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B3C1D" w:rsidRPr="00964EEE" w:rsidTr="00F429C5">
        <w:trPr>
          <w:trHeight w:hRule="exact" w:val="1418"/>
        </w:trPr>
        <w:tc>
          <w:tcPr>
            <w:tcW w:w="6804" w:type="dxa"/>
            <w:shd w:val="clear" w:color="auto" w:fill="auto"/>
            <w:vAlign w:val="center"/>
          </w:tcPr>
          <w:p w:rsidR="00BE5062" w:rsidRPr="00964EEE" w:rsidRDefault="00E97736" w:rsidP="00F429C5">
            <w:pPr>
              <w:pStyle w:val="EPName"/>
            </w:pPr>
            <w:r w:rsidRPr="00964EEE">
              <w:t>Parlament Eur</w:t>
            </w:r>
            <w:bookmarkStart w:id="0" w:name="_GoBack"/>
            <w:bookmarkEnd w:id="0"/>
            <w:r w:rsidRPr="00964EEE">
              <w:t>opejski</w:t>
            </w:r>
          </w:p>
          <w:p w:rsidR="00BE5062" w:rsidRPr="00964EEE" w:rsidRDefault="00E97736" w:rsidP="007D4E7A">
            <w:pPr>
              <w:pStyle w:val="EPTerm"/>
            </w:pPr>
            <w:r w:rsidRPr="00964EEE">
              <w:t>2019-2024</w:t>
            </w:r>
          </w:p>
        </w:tc>
        <w:tc>
          <w:tcPr>
            <w:tcW w:w="2268" w:type="dxa"/>
            <w:shd w:val="clear" w:color="auto" w:fill="auto"/>
          </w:tcPr>
          <w:p w:rsidR="00BE5062" w:rsidRPr="00964EEE" w:rsidRDefault="00E97736" w:rsidP="00F429C5">
            <w:pPr>
              <w:pStyle w:val="EPLogo"/>
            </w:pPr>
            <w:r w:rsidRPr="00964EEE">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964EEE" w:rsidRDefault="000E7234" w:rsidP="000E7234">
      <w:pPr>
        <w:pStyle w:val="LineTop"/>
      </w:pPr>
    </w:p>
    <w:p w:rsidR="000E7234" w:rsidRPr="00964EEE" w:rsidRDefault="00E97736" w:rsidP="000E7234">
      <w:pPr>
        <w:pStyle w:val="EPBody"/>
      </w:pPr>
      <w:r w:rsidRPr="00964EEE">
        <w:rPr>
          <w:rStyle w:val="HideTWBExt"/>
        </w:rPr>
        <w:t>&lt;</w:t>
      </w:r>
      <w:r w:rsidRPr="00964EEE">
        <w:rPr>
          <w:rStyle w:val="HideTWBExt"/>
          <w:i w:val="0"/>
        </w:rPr>
        <w:t>Commission</w:t>
      </w:r>
      <w:r w:rsidRPr="00964EEE">
        <w:rPr>
          <w:rStyle w:val="HideTWBExt"/>
        </w:rPr>
        <w:t>&gt;</w:t>
      </w:r>
      <w:r w:rsidRPr="00964EEE">
        <w:rPr>
          <w:rStyle w:val="HideTWBInt"/>
          <w:color w:val="auto"/>
        </w:rPr>
        <w:t>{ECON}</w:t>
      </w:r>
      <w:r w:rsidRPr="00964EEE">
        <w:t>Komisja Gospodarcza i Monetarna</w:t>
      </w:r>
      <w:r w:rsidRPr="00964EEE">
        <w:rPr>
          <w:rStyle w:val="HideTWBExt"/>
        </w:rPr>
        <w:t>&lt;/</w:t>
      </w:r>
      <w:r w:rsidRPr="00964EEE">
        <w:rPr>
          <w:rStyle w:val="HideTWBExt"/>
          <w:i w:val="0"/>
        </w:rPr>
        <w:t>Commission</w:t>
      </w:r>
      <w:r w:rsidRPr="00964EEE">
        <w:rPr>
          <w:rStyle w:val="HideTWBExt"/>
        </w:rPr>
        <w:t>&gt;</w:t>
      </w:r>
    </w:p>
    <w:p w:rsidR="000E7234" w:rsidRPr="00964EEE" w:rsidRDefault="000E7234" w:rsidP="000E7234">
      <w:pPr>
        <w:pStyle w:val="LineBottom"/>
      </w:pPr>
    </w:p>
    <w:p w:rsidR="00B85286" w:rsidRPr="00964EEE" w:rsidRDefault="00E97736">
      <w:pPr>
        <w:pStyle w:val="CoverReference"/>
      </w:pPr>
      <w:r w:rsidRPr="00964EEE">
        <w:rPr>
          <w:rStyle w:val="HideTWBExt"/>
          <w:b w:val="0"/>
        </w:rPr>
        <w:t>&lt;RefProc&gt;</w:t>
      </w:r>
      <w:r w:rsidRPr="00964EEE">
        <w:t>2023/0209</w:t>
      </w:r>
      <w:r w:rsidRPr="00964EEE">
        <w:rPr>
          <w:rStyle w:val="HideTWBExt"/>
          <w:b w:val="0"/>
        </w:rPr>
        <w:t>&lt;/RefProc&gt;&lt;RefTypeProc&gt;</w:t>
      </w:r>
      <w:r w:rsidRPr="00964EEE">
        <w:t>(COD)</w:t>
      </w:r>
      <w:r w:rsidRPr="00964EEE">
        <w:rPr>
          <w:rStyle w:val="HideTWBExt"/>
          <w:b w:val="0"/>
        </w:rPr>
        <w:t>&lt;/RefTypeProc&gt;</w:t>
      </w:r>
    </w:p>
    <w:p w:rsidR="00B85286" w:rsidRPr="00964EEE" w:rsidRDefault="00E97736">
      <w:pPr>
        <w:pStyle w:val="CoverDate"/>
      </w:pPr>
      <w:r w:rsidRPr="00964EEE">
        <w:rPr>
          <w:rStyle w:val="HideTWBExt"/>
        </w:rPr>
        <w:t>&lt;Date&gt;</w:t>
      </w:r>
      <w:r w:rsidRPr="00964EEE">
        <w:rPr>
          <w:rStyle w:val="HideTWBInt"/>
          <w:color w:val="auto"/>
        </w:rPr>
        <w:t>{04/12/2023}</w:t>
      </w:r>
      <w:r w:rsidRPr="00964EEE">
        <w:t>4.12.2023</w:t>
      </w:r>
      <w:r w:rsidRPr="00964EEE">
        <w:rPr>
          <w:rStyle w:val="HideTWBExt"/>
        </w:rPr>
        <w:t>&lt;/Date&gt;</w:t>
      </w:r>
    </w:p>
    <w:p w:rsidR="009B0305" w:rsidRPr="00964EEE" w:rsidRDefault="00E97736" w:rsidP="009B0305">
      <w:pPr>
        <w:pStyle w:val="CoverDocType"/>
      </w:pPr>
      <w:r w:rsidRPr="00964EEE">
        <w:rPr>
          <w:rStyle w:val="HideTWBExt"/>
          <w:b w:val="0"/>
        </w:rPr>
        <w:t>&lt;TypeAM&gt;</w:t>
      </w:r>
      <w:r w:rsidRPr="00964EEE">
        <w:t>POPRAWKI</w:t>
      </w:r>
      <w:r w:rsidRPr="00964EEE">
        <w:rPr>
          <w:rStyle w:val="HideTWBExt"/>
          <w:b w:val="0"/>
        </w:rPr>
        <w:t>&lt;/TypeAM&gt;</w:t>
      </w:r>
    </w:p>
    <w:p w:rsidR="00B85286" w:rsidRPr="00964EEE" w:rsidRDefault="00E97736" w:rsidP="001C2054">
      <w:pPr>
        <w:pStyle w:val="CoverDocType24a"/>
      </w:pPr>
      <w:r w:rsidRPr="00964EEE">
        <w:rPr>
          <w:rStyle w:val="HideTWBExt"/>
          <w:b w:val="0"/>
        </w:rPr>
        <w:t>&lt;RangeAM&gt;</w:t>
      </w:r>
      <w:r w:rsidRPr="00964EEE">
        <w:t>56 - 145</w:t>
      </w:r>
      <w:r w:rsidRPr="00964EEE">
        <w:rPr>
          <w:rStyle w:val="HideTWBExt"/>
          <w:b w:val="0"/>
        </w:rPr>
        <w:t>&lt;/RangeAM&gt;</w:t>
      </w:r>
    </w:p>
    <w:p w:rsidR="001C2054" w:rsidRPr="00964EEE" w:rsidRDefault="00E97736" w:rsidP="00A93F8C">
      <w:pPr>
        <w:pStyle w:val="CoverBold"/>
      </w:pPr>
      <w:r w:rsidRPr="00964EEE">
        <w:rPr>
          <w:rStyle w:val="HideTWBExt"/>
          <w:b w:val="0"/>
        </w:rPr>
        <w:t>&lt;TitreType&gt;</w:t>
      </w:r>
      <w:r w:rsidRPr="00964EEE">
        <w:t>Projekt sprawozdania</w:t>
      </w:r>
      <w:r w:rsidRPr="00964EEE">
        <w:rPr>
          <w:rStyle w:val="HideTWBExt"/>
          <w:b w:val="0"/>
        </w:rPr>
        <w:t>&lt;/TitreType&gt;</w:t>
      </w:r>
    </w:p>
    <w:p w:rsidR="00B85286" w:rsidRPr="00964EEE" w:rsidRDefault="00E97736" w:rsidP="00A93F8C">
      <w:pPr>
        <w:pStyle w:val="CoverBold"/>
      </w:pPr>
      <w:r w:rsidRPr="00964EEE">
        <w:rPr>
          <w:rStyle w:val="HideTWBExt"/>
          <w:b w:val="0"/>
        </w:rPr>
        <w:t>&lt;Rapporteur&gt;</w:t>
      </w:r>
      <w:r w:rsidRPr="00964EEE">
        <w:t>Ondřej Kovařík</w:t>
      </w:r>
      <w:r w:rsidRPr="00964EEE">
        <w:rPr>
          <w:rStyle w:val="HideTWBExt"/>
          <w:b w:val="0"/>
        </w:rPr>
        <w:t>&lt;/Rapporteur&gt;</w:t>
      </w:r>
    </w:p>
    <w:p w:rsidR="00B85286" w:rsidRPr="00964EEE" w:rsidRDefault="00E97736">
      <w:pPr>
        <w:pStyle w:val="CoverNormal24a"/>
      </w:pPr>
      <w:r w:rsidRPr="00964EEE">
        <w:rPr>
          <w:rStyle w:val="HideTWBExt"/>
        </w:rPr>
        <w:t>&lt;DocRefPE&gt;</w:t>
      </w:r>
      <w:r w:rsidRPr="00964EEE">
        <w:t>(PE753.780v01-00)</w:t>
      </w:r>
      <w:r w:rsidRPr="00964EEE">
        <w:rPr>
          <w:rStyle w:val="HideTWBExt"/>
        </w:rPr>
        <w:t>&lt;/DocRefPE&gt;</w:t>
      </w:r>
    </w:p>
    <w:p w:rsidR="00B85286" w:rsidRPr="00964EEE" w:rsidRDefault="00E97736">
      <w:pPr>
        <w:pStyle w:val="CoverNormal24a"/>
      </w:pPr>
      <w:r w:rsidRPr="00964EEE">
        <w:rPr>
          <w:rStyle w:val="HideTWBExt"/>
        </w:rPr>
        <w:t>&lt;Titre&gt;</w:t>
      </w:r>
      <w:r w:rsidRPr="00964EEE">
        <w:t xml:space="preserve">Wniosek dotyczący dyrektywy Parlamentu Europejskiego i Rady w sprawie usług płatniczych i usług związanych z pieniądzem </w:t>
      </w:r>
      <w:r w:rsidRPr="00964EEE">
        <w:t>elektronicznym w ramach rynku wewnętrznego, zmieniającej dyrektywę 98/26/WE i uchylającej dyrektywy (UE) 2015/2366 i 2009/110/WE</w:t>
      </w:r>
      <w:r w:rsidRPr="00964EEE">
        <w:rPr>
          <w:rStyle w:val="HideTWBExt"/>
        </w:rPr>
        <w:t>&lt;/Titre&gt;</w:t>
      </w:r>
    </w:p>
    <w:p w:rsidR="006337D4" w:rsidRPr="00964EEE" w:rsidRDefault="00E97736" w:rsidP="006337D4">
      <w:pPr>
        <w:pStyle w:val="CoverNormal"/>
      </w:pPr>
      <w:r w:rsidRPr="00964EEE">
        <w:rPr>
          <w:rStyle w:val="HideTWBExt"/>
        </w:rPr>
        <w:t>&lt;DocAmend&gt;</w:t>
      </w:r>
      <w:r w:rsidRPr="00964EEE">
        <w:t>Wniosek dotyczący dyrektywy</w:t>
      </w:r>
      <w:r w:rsidRPr="00964EEE">
        <w:rPr>
          <w:rStyle w:val="HideTWBExt"/>
        </w:rPr>
        <w:t>&lt;/DocAmend&gt;</w:t>
      </w:r>
    </w:p>
    <w:p w:rsidR="00B85286" w:rsidRPr="00964EEE" w:rsidRDefault="00E97736">
      <w:pPr>
        <w:pStyle w:val="CoverNormal24a"/>
      </w:pPr>
      <w:r w:rsidRPr="00964EEE">
        <w:rPr>
          <w:rStyle w:val="HideTWBExt"/>
        </w:rPr>
        <w:t>&lt;DocRef&gt;</w:t>
      </w:r>
      <w:r w:rsidRPr="00964EEE">
        <w:t>(COM(2023)0366 – C9</w:t>
      </w:r>
      <w:r w:rsidRPr="00964EEE">
        <w:noBreakHyphen/>
        <w:t>0218/2023 – 2023/0</w:t>
      </w:r>
      <w:r w:rsidR="00F37168">
        <w:t>111</w:t>
      </w:r>
      <w:r w:rsidRPr="00964EEE">
        <w:t>(COD))</w:t>
      </w:r>
      <w:r w:rsidRPr="00964EEE">
        <w:rPr>
          <w:rStyle w:val="HideTWBExt"/>
        </w:rPr>
        <w:t>&lt;/DocRef&gt;</w:t>
      </w:r>
    </w:p>
    <w:p w:rsidR="00B85286" w:rsidRPr="00964EEE" w:rsidRDefault="00E97736" w:rsidP="00E660E2">
      <w:pPr>
        <w:widowControl/>
        <w:tabs>
          <w:tab w:val="center" w:pos="4677"/>
        </w:tabs>
      </w:pPr>
      <w:r w:rsidRPr="00964EEE">
        <w:br w:type="page"/>
      </w:r>
      <w:r w:rsidRPr="00964EEE">
        <w:lastRenderedPageBreak/>
        <w:t>AM_C</w:t>
      </w:r>
      <w:r w:rsidRPr="00964EEE">
        <w:t>om_LegReport</w:t>
      </w:r>
    </w:p>
    <w:p w:rsidR="00AE7AC1" w:rsidRPr="00964EEE" w:rsidRDefault="00E97736" w:rsidP="00AE7AC1">
      <w:pPr>
        <w:pStyle w:val="AMNumberTabs0"/>
        <w:keepNext/>
      </w:pPr>
      <w:r w:rsidRPr="00964EEE">
        <w:br w:type="page"/>
      </w:r>
      <w:r w:rsidRPr="00964EEE">
        <w:rPr>
          <w:rStyle w:val="HideTWBExt"/>
          <w:b w:val="0"/>
        </w:rPr>
        <w:lastRenderedPageBreak/>
        <w:t>&lt;RepeatBlock-Amend&gt;&lt;Amend&gt;</w:t>
      </w:r>
      <w:r w:rsidRPr="00964EEE">
        <w:t>Poprawka</w:t>
      </w:r>
      <w:r w:rsidRPr="00964EEE">
        <w:tab/>
      </w:r>
      <w:r w:rsidRPr="00964EEE">
        <w:tab/>
      </w:r>
      <w:r w:rsidRPr="00964EEE">
        <w:rPr>
          <w:rStyle w:val="HideTWBExt"/>
          <w:b w:val="0"/>
        </w:rPr>
        <w:t>&lt;NumAm&gt;</w:t>
      </w:r>
      <w:r w:rsidRPr="00964EEE">
        <w:t>56</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Marek Belka, Paul Tang, René Repasi</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Motyw 6</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 xml:space="preserve">Tekst proponowany </w:t>
            </w:r>
            <w:r w:rsidRPr="00964EEE">
              <w:t>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(6)</w:t>
            </w:r>
            <w:r w:rsidRPr="00964EEE">
              <w:tab/>
              <w:t xml:space="preserve">Jak wskazano w przeglądzie przeprowadzonym przez Komisję oraz biorąc pod uwagę ewolucję odpowiednich rynków, przedsiębiorstw oraz zagrożeń związanych z działalnością, konieczna jest aktualizacja systemu ostrożnościowego dla </w:t>
            </w:r>
            <w:r w:rsidRPr="00964EEE">
              <w:t>instytucji płatniczych, w tym tych, które emitują pieniądz elektroniczny i świadczą usługi związane z pieniądzem elektronicznym, poprzez nałożenie wymogu posiadania jednego zezwolenia dla dostawców usług płatniczych i usług związanych z pieniądzem elektron</w:t>
            </w:r>
            <w:r w:rsidRPr="00964EEE">
              <w:t xml:space="preserve">icznym, którzy nie przyjmują depozytów. Biorąc pod uwagę, że </w:t>
            </w:r>
            <w:r w:rsidRPr="00964EEE">
              <w:rPr>
                <w:b/>
                <w:i/>
              </w:rPr>
              <w:t>w </w:t>
            </w:r>
            <w:r w:rsidRPr="00964EEE">
              <w:t>art. 48 ust. 2 rozporządzenia Parlamentu Europejskiego i Rady (UE) 2023/1114</w:t>
            </w:r>
            <w:r w:rsidRPr="00964EEE">
              <w:rPr>
                <w:vertAlign w:val="superscript"/>
              </w:rPr>
              <w:t>32</w:t>
            </w:r>
            <w:r w:rsidRPr="00964EEE">
              <w:t xml:space="preserve"> stanowi, że </w:t>
            </w:r>
            <w:r w:rsidRPr="00964EEE">
              <w:rPr>
                <w:b/>
                <w:i/>
              </w:rPr>
              <w:t>tokeny będące</w:t>
            </w:r>
            <w:r w:rsidRPr="00964EEE">
              <w:t xml:space="preserve"> pieniądzem elektronicznym uznaje się za </w:t>
            </w:r>
            <w:r w:rsidRPr="00964EEE">
              <w:rPr>
                <w:b/>
                <w:i/>
              </w:rPr>
              <w:t>pieniądz elektroniczny</w:t>
            </w:r>
            <w:r w:rsidRPr="00964EEE">
              <w:t>, system udzielania zezwol</w:t>
            </w:r>
            <w:r w:rsidRPr="00964EEE">
              <w:t>eń dla instytucji płatniczych, kiedy zastąpią instytucje pieniądza elektronicznego, powinien również mieć zastosowanie do emitentów tokenów będących pieniądzem elektronicznym. System ostrożnościowy mający zastosowanie do instytucji płatniczych powinien opi</w:t>
            </w:r>
            <w:r w:rsidRPr="00964EEE">
              <w:t>erać się na zezwoleniu udzielanym pod warunkiem spełnienia szeregu rygorystycznych i kompleksowych warunków osobom prawnym oferującym usługi płatnicze, które nie przyjmują depozytów. System ostrożnościowy mający zastosowanie do instytucji płatniczych powin</w:t>
            </w:r>
            <w:r w:rsidRPr="00964EEE">
              <w:t>ien zapewniać, by takie same warunki obowiązywały w całej Unii w odniesieniu do działalności związanej ze świadczeniem usług płatniczych.</w:t>
            </w:r>
          </w:p>
        </w:tc>
        <w:tc>
          <w:tcPr>
            <w:tcW w:w="4876" w:type="dxa"/>
            <w:hideMark/>
          </w:tcPr>
          <w:p w:rsidR="00AE7AC1" w:rsidRPr="00964EEE" w:rsidRDefault="00E97736">
            <w:pPr>
              <w:pStyle w:val="Normal6"/>
              <w:rPr>
                <w:szCs w:val="24"/>
              </w:rPr>
            </w:pPr>
            <w:r w:rsidRPr="00964EEE">
              <w:t>(6)</w:t>
            </w:r>
            <w:r w:rsidRPr="00964EEE">
              <w:tab/>
              <w:t>Jak wskazano w przeglądzie przeprowadzonym przez Komisję oraz biorąc pod uwagę ewolucję odpowiednich rynków, przed</w:t>
            </w:r>
            <w:r w:rsidRPr="00964EEE">
              <w:t>siębiorstw oraz zagrożeń związanych z działalnością, konieczna jest aktualizacja systemu ostrożnościowego dla instytucji płatniczych, w tym tych, które emitują pieniądz elektroniczny i świadczą usługi związane z pieniądzem elektronicznym, poprzez nałożenie</w:t>
            </w:r>
            <w:r w:rsidRPr="00964EEE">
              <w:t xml:space="preserve"> wymogu posiadania jednego zezwolenia dla dostawców usług płatniczych i usług związanych z pieniądzem elektronicznym, którzy nie przyjmują depozytów. Biorąc pod uwagę, że art. 48 ust. 2 rozporządzenia Parlamentu Europejskiego i Rady (UE) 2023/1114</w:t>
            </w:r>
            <w:r w:rsidRPr="00964EEE">
              <w:rPr>
                <w:vertAlign w:val="superscript"/>
              </w:rPr>
              <w:t>32</w:t>
            </w:r>
            <w:r w:rsidRPr="00964EEE">
              <w:t xml:space="preserve"> stanow</w:t>
            </w:r>
            <w:r w:rsidRPr="00964EEE">
              <w:t xml:space="preserve">i, że </w:t>
            </w:r>
            <w:r w:rsidRPr="00964EEE">
              <w:rPr>
                <w:b/>
                <w:i/>
              </w:rPr>
              <w:t>emitentów tokenów będących</w:t>
            </w:r>
            <w:r w:rsidRPr="00964EEE">
              <w:t xml:space="preserve"> pieniądzem elektronicznym uznaje się za </w:t>
            </w:r>
            <w:r w:rsidRPr="00964EEE">
              <w:rPr>
                <w:b/>
                <w:i/>
              </w:rPr>
              <w:t>instytucje pieniądza elektronicznego</w:t>
            </w:r>
            <w:r w:rsidRPr="00964EEE">
              <w:t>, system udzielania zezwoleń dla instytucji płatniczych, kiedy zastąpią instytucje pieniądza elektronicznego, powinien również mieć zastosowanie do</w:t>
            </w:r>
            <w:r w:rsidRPr="00964EEE">
              <w:t xml:space="preserve"> emitentów tokenów będących pieniądzem elektronicznym. System ostrożnościowy mający zastosowanie do instytucji płatniczych powinien opierać się na zezwoleniu udzielanym pod warunkiem spełnienia szeregu rygorystycznych i kompleksowych warunków osobom prawny</w:t>
            </w:r>
            <w:r w:rsidRPr="00964EEE">
              <w:t>m oferującym usługi płatnicze, które nie przyjmują depozytów. System ostrożnościowy mający zastosowanie do instytucji płatniczych powinien zapewniać, by takie same warunki obowiązywały w całej Unii w odniesieniu do działalności związanej ze świadczeniem us</w:t>
            </w:r>
            <w:r w:rsidRPr="00964EEE">
              <w:t>ług płatniczych.</w:t>
            </w:r>
          </w:p>
        </w:tc>
      </w:tr>
      <w:tr w:rsidR="00CB3C1D" w:rsidRPr="00964EEE" w:rsidTr="00AE7AC1">
        <w:trPr>
          <w:jc w:val="center"/>
        </w:trPr>
        <w:tc>
          <w:tcPr>
            <w:tcW w:w="4876" w:type="dxa"/>
            <w:hideMark/>
          </w:tcPr>
          <w:p w:rsidR="00AE7AC1" w:rsidRPr="00964EEE" w:rsidRDefault="00E97736">
            <w:pPr>
              <w:pStyle w:val="Normal6"/>
            </w:pPr>
            <w:r w:rsidRPr="00964EEE">
              <w:lastRenderedPageBreak/>
              <w:t>__________________</w:t>
            </w:r>
          </w:p>
        </w:tc>
        <w:tc>
          <w:tcPr>
            <w:tcW w:w="4876" w:type="dxa"/>
            <w:hideMark/>
          </w:tcPr>
          <w:p w:rsidR="00AE7AC1" w:rsidRPr="00964EEE" w:rsidRDefault="00E97736">
            <w:pPr>
              <w:pStyle w:val="Normal6"/>
              <w:rPr>
                <w:szCs w:val="24"/>
              </w:rPr>
            </w:pPr>
            <w:r w:rsidRPr="00964EEE">
              <w:t>__________________</w:t>
            </w:r>
          </w:p>
        </w:tc>
      </w:tr>
      <w:tr w:rsidR="00CB3C1D" w:rsidRPr="00964EEE" w:rsidTr="00AE7AC1">
        <w:trPr>
          <w:jc w:val="center"/>
        </w:trPr>
        <w:tc>
          <w:tcPr>
            <w:tcW w:w="4876" w:type="dxa"/>
            <w:hideMark/>
          </w:tcPr>
          <w:p w:rsidR="00AE7AC1" w:rsidRPr="00964EEE" w:rsidRDefault="00E97736">
            <w:pPr>
              <w:pStyle w:val="Normal6"/>
            </w:pPr>
            <w:r w:rsidRPr="00964EEE">
              <w:rPr>
                <w:vertAlign w:val="superscript"/>
              </w:rPr>
              <w:t>32</w:t>
            </w:r>
            <w:r w:rsidRPr="00964EEE">
              <w:t xml:space="preserve"> Rozporządzenie Parlamentu Europejskiego i Rady (UE) 2023/1114 z dnia 31 maja 2023 r. w sprawie rynków kryptoaktywów oraz zmiany rozporządzeń (UE) nr 1093/2010 i (UE) nr 1095/2010 oraz dyrektyw 201</w:t>
            </w:r>
            <w:r w:rsidRPr="00964EEE">
              <w:t>3/36/UE i (UE) 2019/1937 (Dz.U. L 150 z 9.6.2023, s. 40).</w:t>
            </w:r>
          </w:p>
        </w:tc>
        <w:tc>
          <w:tcPr>
            <w:tcW w:w="4876" w:type="dxa"/>
            <w:hideMark/>
          </w:tcPr>
          <w:p w:rsidR="00AE7AC1" w:rsidRPr="00964EEE" w:rsidRDefault="00E97736">
            <w:pPr>
              <w:pStyle w:val="Normal6"/>
              <w:rPr>
                <w:szCs w:val="24"/>
              </w:rPr>
            </w:pPr>
            <w:r w:rsidRPr="00964EEE">
              <w:rPr>
                <w:vertAlign w:val="superscript"/>
              </w:rPr>
              <w:t>32</w:t>
            </w:r>
            <w:r w:rsidRPr="00964EEE">
              <w:t xml:space="preserve"> Rozporządzenie Parlamentu Europejskiego i Rady (UE) 2023/1114 z dnia 31 maja 2023 r. w sprawie rynków kryptoaktywów oraz zmiany rozporządzeń (UE) nr 1093/2010 i (UE) nr 1095/2010 oraz dyrektyw 20</w:t>
            </w:r>
            <w:r w:rsidRPr="00964EEE">
              <w:t>13/36/UE i (UE) 2019/1937 (Dz.U. L 150 z 9.6.2023, s. 40).</w:t>
            </w: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57</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Ondřej Kovařík</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Motyw 6</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(6)</w:t>
            </w:r>
            <w:r w:rsidRPr="00964EEE">
              <w:tab/>
              <w:t>Jak wskazano w przeglądzie przeprowadzonym przez Komisję oraz biorąc pod uwagę ewolucję odpowiednich rynków, przedsiębiorstw oraz zagrożeń związanych z działalnością, konieczna jest</w:t>
            </w:r>
            <w:r w:rsidRPr="00964EEE">
              <w:t xml:space="preserve"> aktualizacja systemu ostrożnościowego dla instytucji płatniczych, w tym tych, które emitują pieniądz elektroniczny i świadczą usługi związane z pieniądzem elektronicznym, poprzez nałożenie wymogu posiadania jednego zezwolenia dla dostawców usług płatniczy</w:t>
            </w:r>
            <w:r w:rsidRPr="00964EEE">
              <w:t>ch i usług związanych z pieniądzem elektronicznym, którzy nie przyjmują depozytów. Biorąc pod uwagę, że w art. 48 ust. 2 rozporządzenia Parlamentu Europejskiego i Rady (UE) 2023/1114</w:t>
            </w:r>
            <w:r w:rsidRPr="00964EEE">
              <w:rPr>
                <w:vertAlign w:val="superscript"/>
              </w:rPr>
              <w:t>32</w:t>
            </w:r>
            <w:r w:rsidRPr="00964EEE">
              <w:t xml:space="preserve"> stanowi, że </w:t>
            </w:r>
            <w:r w:rsidRPr="00964EEE">
              <w:rPr>
                <w:b/>
                <w:i/>
              </w:rPr>
              <w:t>tokeny będące</w:t>
            </w:r>
            <w:r w:rsidRPr="00964EEE">
              <w:t xml:space="preserve"> pieniądzem elektronicznym </w:t>
            </w:r>
            <w:r w:rsidRPr="00964EEE">
              <w:rPr>
                <w:b/>
                <w:i/>
              </w:rPr>
              <w:t>uznaje się za pieni</w:t>
            </w:r>
            <w:r w:rsidRPr="00964EEE">
              <w:rPr>
                <w:b/>
                <w:i/>
              </w:rPr>
              <w:t>ądz elektroniczny</w:t>
            </w:r>
            <w:r w:rsidRPr="00964EEE">
              <w:t>, system udzielania zezwoleń dla instytucji płatniczych</w:t>
            </w:r>
            <w:r w:rsidRPr="00964EEE">
              <w:rPr>
                <w:b/>
                <w:i/>
              </w:rPr>
              <w:t>, kiedy zastąpią instytucje pieniądza elektronicznego, powinien</w:t>
            </w:r>
            <w:r w:rsidRPr="00964EEE">
              <w:t xml:space="preserve"> również mieć zastosowanie do </w:t>
            </w:r>
            <w:r w:rsidRPr="00964EEE">
              <w:rPr>
                <w:b/>
                <w:i/>
              </w:rPr>
              <w:t>emitentów</w:t>
            </w:r>
            <w:r w:rsidRPr="00964EEE">
              <w:t xml:space="preserve"> tokenów będących pieniądzem elektronicznym</w:t>
            </w:r>
            <w:r w:rsidRPr="00964EEE">
              <w:rPr>
                <w:b/>
                <w:i/>
              </w:rPr>
              <w:t>. System ostrożnościowy mający zastosow</w:t>
            </w:r>
            <w:r w:rsidRPr="00964EEE">
              <w:rPr>
                <w:b/>
                <w:i/>
              </w:rPr>
              <w:t xml:space="preserve">anie do instytucji płatniczych powinien opierać się na </w:t>
            </w:r>
            <w:r w:rsidRPr="00964EEE">
              <w:rPr>
                <w:b/>
                <w:i/>
              </w:rPr>
              <w:lastRenderedPageBreak/>
              <w:t>zezwoleniu udzielanym pod warunkiem spełnienia szeregu rygorystycznych i kompleksowych warunków osobom prawnym oferującym usługi płatnicze</w:t>
            </w:r>
            <w:r w:rsidRPr="00964EEE">
              <w:t xml:space="preserve">, </w:t>
            </w:r>
            <w:r w:rsidRPr="00964EEE">
              <w:rPr>
                <w:b/>
                <w:i/>
              </w:rPr>
              <w:t>które</w:t>
            </w:r>
            <w:r w:rsidRPr="00964EEE">
              <w:t xml:space="preserve"> nie </w:t>
            </w:r>
            <w:r w:rsidRPr="00964EEE">
              <w:rPr>
                <w:b/>
                <w:i/>
              </w:rPr>
              <w:t>przyjmują depozytów. System ostrożnościowy mający z</w:t>
            </w:r>
            <w:r w:rsidRPr="00964EEE">
              <w:rPr>
                <w:b/>
                <w:i/>
              </w:rPr>
              <w:t>astosowanie do instytucji płatniczych powinien zapewniać, by takie same warunki obowiązywały w całej Unii</w:t>
            </w:r>
            <w:r w:rsidRPr="00964EEE">
              <w:t xml:space="preserve"> w</w:t>
            </w:r>
            <w:r w:rsidRPr="00964EEE">
              <w:rPr>
                <w:b/>
                <w:i/>
              </w:rPr>
              <w:t> odniesieniu do działalności związanej ze świadczeniem usług płatniczych</w:t>
            </w:r>
            <w:r w:rsidRPr="00964EEE">
              <w:t>.</w:t>
            </w:r>
          </w:p>
        </w:tc>
        <w:tc>
          <w:tcPr>
            <w:tcW w:w="4876" w:type="dxa"/>
            <w:hideMark/>
          </w:tcPr>
          <w:p w:rsidR="00AE7AC1" w:rsidRPr="00964EEE" w:rsidRDefault="00E97736">
            <w:pPr>
              <w:pStyle w:val="Normal6"/>
              <w:rPr>
                <w:szCs w:val="24"/>
              </w:rPr>
            </w:pPr>
            <w:r w:rsidRPr="00964EEE">
              <w:lastRenderedPageBreak/>
              <w:t>(6)</w:t>
            </w:r>
            <w:r w:rsidRPr="00964EEE">
              <w:tab/>
              <w:t>Jak wskazano w przeglądzie przeprowadzonym przez Komisję oraz biorąc po</w:t>
            </w:r>
            <w:r w:rsidRPr="00964EEE">
              <w:t>d uwagę ewolucję odpowiednich rynków, przedsiębiorstw oraz zagrożeń związanych z działalnością, konieczna jest aktualizacja systemu ostrożnościowego dla instytucji płatniczych, w tym tych, które emitują pieniądz elektroniczny i świadczą usługi związane z p</w:t>
            </w:r>
            <w:r w:rsidRPr="00964EEE">
              <w:t>ieniądzem elektronicznym, poprzez nałożenie wymogu posiadania jednego zezwolenia dla dostawców usług płatniczych i usług związanych z pieniądzem elektronicznym, którzy nie przyjmują depozytów. Biorąc pod uwagę, że w art. 48 ust. 2 rozporządzenia Parlamentu</w:t>
            </w:r>
            <w:r w:rsidRPr="00964EEE">
              <w:t xml:space="preserve"> Europejskiego i Rady (UE) 2023/1114</w:t>
            </w:r>
            <w:r w:rsidRPr="00964EEE">
              <w:rPr>
                <w:vertAlign w:val="superscript"/>
              </w:rPr>
              <w:t>32</w:t>
            </w:r>
            <w:r w:rsidRPr="00964EEE">
              <w:t xml:space="preserve"> stanowi, że </w:t>
            </w:r>
            <w:r w:rsidRPr="00964EEE">
              <w:rPr>
                <w:b/>
                <w:i/>
              </w:rPr>
              <w:t>emitenci tokenów będących</w:t>
            </w:r>
            <w:r w:rsidRPr="00964EEE">
              <w:t xml:space="preserve"> pieniądzem elektronicznym </w:t>
            </w:r>
            <w:r w:rsidRPr="00964EEE">
              <w:rPr>
                <w:b/>
                <w:i/>
              </w:rPr>
              <w:t>muszą uzyskać zezwolenie jako instytucja kredytowa albo jako instytucja pieniądza elektronicznego</w:t>
            </w:r>
            <w:r w:rsidRPr="00964EEE">
              <w:t>, system udzielania zezwoleń dla instytucji płatniczych</w:t>
            </w:r>
            <w:r w:rsidRPr="00964EEE">
              <w:rPr>
                <w:b/>
                <w:i/>
              </w:rPr>
              <w:t xml:space="preserve"> </w:t>
            </w:r>
            <w:r w:rsidRPr="00964EEE">
              <w:rPr>
                <w:b/>
                <w:i/>
              </w:rPr>
              <w:t>może</w:t>
            </w:r>
            <w:r w:rsidRPr="00964EEE">
              <w:t xml:space="preserve"> również mieć zastosowanie do </w:t>
            </w:r>
            <w:r w:rsidRPr="00964EEE">
              <w:rPr>
                <w:b/>
                <w:i/>
              </w:rPr>
              <w:t>dostawców usług w zakresie</w:t>
            </w:r>
            <w:r w:rsidRPr="00964EEE">
              <w:t xml:space="preserve"> tokenów będących pieniądzem elektronicznym, </w:t>
            </w:r>
            <w:r w:rsidRPr="00964EEE">
              <w:rPr>
                <w:b/>
                <w:i/>
              </w:rPr>
              <w:t>którzy</w:t>
            </w:r>
            <w:r w:rsidRPr="00964EEE">
              <w:t xml:space="preserve"> nie </w:t>
            </w:r>
            <w:r w:rsidRPr="00964EEE">
              <w:rPr>
                <w:b/>
                <w:i/>
              </w:rPr>
              <w:t xml:space="preserve">spełniają warunków określonych w tytule V tego </w:t>
            </w:r>
            <w:r w:rsidRPr="00964EEE">
              <w:rPr>
                <w:b/>
                <w:i/>
              </w:rPr>
              <w:lastRenderedPageBreak/>
              <w:t>rozporządzenia w celu uzyskania zezwolenia na prowadzenie działalności jako dostawca usług</w:t>
            </w:r>
            <w:r w:rsidRPr="00964EEE">
              <w:t xml:space="preserve"> w</w:t>
            </w:r>
            <w:r w:rsidRPr="00964EEE">
              <w:rPr>
                <w:b/>
                <w:i/>
              </w:rPr>
              <w:t xml:space="preserve"> </w:t>
            </w:r>
            <w:r w:rsidRPr="00964EEE">
              <w:rPr>
                <w:b/>
                <w:i/>
              </w:rPr>
              <w:t>zakresie kryptoaktywów</w:t>
            </w:r>
            <w:r w:rsidRPr="00964EEE">
              <w:t>.</w:t>
            </w:r>
          </w:p>
        </w:tc>
      </w:tr>
      <w:tr w:rsidR="00CB3C1D" w:rsidRPr="00964EEE" w:rsidTr="00AE7AC1">
        <w:trPr>
          <w:jc w:val="center"/>
        </w:trPr>
        <w:tc>
          <w:tcPr>
            <w:tcW w:w="4876" w:type="dxa"/>
            <w:hideMark/>
          </w:tcPr>
          <w:p w:rsidR="00AE7AC1" w:rsidRPr="00964EEE" w:rsidRDefault="00E97736">
            <w:pPr>
              <w:pStyle w:val="Normal6"/>
            </w:pPr>
            <w:r w:rsidRPr="00964EEE">
              <w:lastRenderedPageBreak/>
              <w:t>__________________</w:t>
            </w:r>
          </w:p>
        </w:tc>
        <w:tc>
          <w:tcPr>
            <w:tcW w:w="4876" w:type="dxa"/>
            <w:hideMark/>
          </w:tcPr>
          <w:p w:rsidR="00AE7AC1" w:rsidRPr="00964EEE" w:rsidRDefault="00E97736">
            <w:pPr>
              <w:pStyle w:val="Normal6"/>
              <w:rPr>
                <w:szCs w:val="24"/>
              </w:rPr>
            </w:pPr>
            <w:r w:rsidRPr="00964EEE">
              <w:t>__________________</w:t>
            </w:r>
          </w:p>
        </w:tc>
      </w:tr>
      <w:tr w:rsidR="00CB3C1D" w:rsidRPr="00964EEE" w:rsidTr="00AE7AC1">
        <w:trPr>
          <w:jc w:val="center"/>
        </w:trPr>
        <w:tc>
          <w:tcPr>
            <w:tcW w:w="4876" w:type="dxa"/>
            <w:hideMark/>
          </w:tcPr>
          <w:p w:rsidR="00AE7AC1" w:rsidRPr="00964EEE" w:rsidRDefault="00E97736">
            <w:pPr>
              <w:pStyle w:val="Normal6"/>
            </w:pPr>
            <w:r w:rsidRPr="00964EEE">
              <w:rPr>
                <w:vertAlign w:val="superscript"/>
              </w:rPr>
              <w:t>32</w:t>
            </w:r>
            <w:r w:rsidRPr="00964EEE">
              <w:t xml:space="preserve"> Rozporządzenie Parlamentu Europejskiego i Rady (UE) 2023/1114 z dnia 31 maja 2023 r. w sprawie rynków kryptoaktywów oraz zmiany rozporządzeń (UE) nr 1093/2010 i (UE) nr 1095/2010 oraz dyrek</w:t>
            </w:r>
            <w:r w:rsidRPr="00964EEE">
              <w:t>tyw 2013/36/UE i (UE) 2019/1937 (Dz.U. L 150 z 9.6.2023, s. 40).</w:t>
            </w:r>
          </w:p>
        </w:tc>
        <w:tc>
          <w:tcPr>
            <w:tcW w:w="4876" w:type="dxa"/>
            <w:hideMark/>
          </w:tcPr>
          <w:p w:rsidR="00AE7AC1" w:rsidRPr="00964EEE" w:rsidRDefault="00E97736">
            <w:pPr>
              <w:pStyle w:val="Normal6"/>
              <w:rPr>
                <w:szCs w:val="24"/>
              </w:rPr>
            </w:pPr>
            <w:r w:rsidRPr="00964EEE">
              <w:rPr>
                <w:vertAlign w:val="superscript"/>
              </w:rPr>
              <w:t>32</w:t>
            </w:r>
            <w:r w:rsidRPr="00964EEE">
              <w:t xml:space="preserve"> Rozporządzenie Parlamentu Europejskiego i Rady (UE) 2023/1114 z dnia 31 maja 2023 r. w sprawie rynków kryptoaktywów oraz zmiany rozporządzeń (UE) nr 1093/2010 i (UE) nr 1095/2010 oraz dyre</w:t>
            </w:r>
            <w:r w:rsidRPr="00964EEE">
              <w:t>ktyw 2013/36/UE i (UE) 2019/1937 (Dz.U. L 150 z 9.6.2023, s. 40).</w:t>
            </w: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58</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Marek Belka, Paul Tang, René Repasi</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 xml:space="preserve">Wniosek </w:t>
      </w:r>
      <w:r w:rsidRPr="00964EEE">
        <w:t>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Motyw 10</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(10)</w:t>
            </w:r>
            <w:r w:rsidRPr="00964EEE">
              <w:tab/>
              <w:t>Ze względu na pojawianie się nowych rodzajów instrumentów płatniczych oraz przeważającą na rynku niepewność co do ich kwalifikacji prawnej należy do</w:t>
            </w:r>
            <w:r w:rsidRPr="00964EEE">
              <w:t>precyzować definicję „instrumentu płatniczego”, wskazując, które narzędzia stanowią instrument płatniczy lub go nie stanowią, mając na uwadze zasadę neutralności pod względem technologicznym.</w:t>
            </w:r>
          </w:p>
        </w:tc>
        <w:tc>
          <w:tcPr>
            <w:tcW w:w="4876" w:type="dxa"/>
            <w:hideMark/>
          </w:tcPr>
          <w:p w:rsidR="00AE7AC1" w:rsidRPr="00964EEE" w:rsidRDefault="00E97736">
            <w:pPr>
              <w:pStyle w:val="Normal6"/>
              <w:rPr>
                <w:szCs w:val="24"/>
              </w:rPr>
            </w:pPr>
            <w:r w:rsidRPr="00964EEE">
              <w:t>(10)</w:t>
            </w:r>
            <w:r w:rsidRPr="00964EEE">
              <w:tab/>
              <w:t>Ze względu na pojawianie się nowych rodzajów instrumentów p</w:t>
            </w:r>
            <w:r w:rsidRPr="00964EEE">
              <w:t>łatniczych</w:t>
            </w:r>
            <w:r w:rsidRPr="00964EEE">
              <w:rPr>
                <w:b/>
                <w:i/>
              </w:rPr>
              <w:t>, rozwiązania technologiczne, które mogą być podstawą takich instrumentów,</w:t>
            </w:r>
            <w:r w:rsidRPr="00964EEE">
              <w:t xml:space="preserve"> oraz przeważającą na rynku niepewność co do ich kwalifikacji prawnej należy doprecyzować definicję „instrumentu płatniczego”, wskazując, które narzędzia stanowią instrumen</w:t>
            </w:r>
            <w:r w:rsidRPr="00964EEE">
              <w:t>t płatniczy lub go nie stanowią, mając na uwadze zasadę neutralności pod względem technologicznym.</w:t>
            </w: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lastRenderedPageBreak/>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59</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Marek Belka, Paul Tang, René Repasi</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Motyw 12</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(12)</w:t>
            </w:r>
            <w:r w:rsidRPr="00964EEE">
              <w:tab/>
              <w:t xml:space="preserve">Definicja „instrumentu płatniczego” zawarta w dyrektywie (UE) 2015/2366 zawierała odniesienie do </w:t>
            </w:r>
            <w:r w:rsidRPr="00964EEE">
              <w:t>„zindywidualizowanego urządzenia”. Z uwagi na fakt, że istnieją karty przedpłacone, w przypadku których nazwisko posiadacza instrumentu nie jest umieszczane na karcie, mogłoby to spowodować, że takie karty zostałyby wyłączone z zakresu definicji instrument</w:t>
            </w:r>
            <w:r w:rsidRPr="00964EEE">
              <w:t>u płatniczego. W związku z tym należy zmienić definicję „instrumentu płatniczego”, aby odnosiła się urządzeń zindywidualizowanych (ang. individualised), a nie spersonalizowanych (ang. personalised), co pozwoli uściślić, że karty przedpłacone, w przypadku k</w:t>
            </w:r>
            <w:r w:rsidRPr="00964EEE">
              <w:t>tórych nazwisko posiadacza instrumentu nie jest umieszczane na karcie, są instrumentami płatniczymi.</w:t>
            </w:r>
          </w:p>
        </w:tc>
        <w:tc>
          <w:tcPr>
            <w:tcW w:w="4876" w:type="dxa"/>
            <w:hideMark/>
          </w:tcPr>
          <w:p w:rsidR="00AE7AC1" w:rsidRPr="00964EEE" w:rsidRDefault="00E97736">
            <w:pPr>
              <w:pStyle w:val="Normal6"/>
              <w:rPr>
                <w:szCs w:val="24"/>
              </w:rPr>
            </w:pPr>
            <w:r w:rsidRPr="00964EEE">
              <w:t>(12)</w:t>
            </w:r>
            <w:r w:rsidRPr="00964EEE">
              <w:tab/>
              <w:t>Definicja „instrumentu płatniczego” zawarta w dyrektywie (UE) 2015/2366 zawierała odniesienie do „zindywidualizowanego urządzenia”. Z uwagi na fakt, ż</w:t>
            </w:r>
            <w:r w:rsidRPr="00964EEE">
              <w:t>e istnieją karty przedpłacone, w przypadku których nazwisko posiadacza instrumentu nie jest umieszczane na karcie, mogłoby to spowodować, że takie karty zostałyby wyłączone z zakresu definicji instrumentu płatniczego. W związku z tym należy zmienić definic</w:t>
            </w:r>
            <w:r w:rsidRPr="00964EEE">
              <w:t>ję „instrumentu płatniczego”, aby odnosiła się urządzeń zindywidualizowanych (ang. individualised), a nie spersonalizowanych (ang. personalised), co pozwoli uściślić, że karty przedpłacone, w przypadku których nazwisko posiadacza instrumentu nie jest umies</w:t>
            </w:r>
            <w:r w:rsidRPr="00964EEE">
              <w:t xml:space="preserve">zczane na karcie, są instrumentami płatniczymi. </w:t>
            </w:r>
            <w:r w:rsidRPr="00964EEE">
              <w:rPr>
                <w:b/>
                <w:i/>
              </w:rPr>
              <w:t>Rachunek techniczny wykorzystywany tylko do spłaty linii kredytowej przyznanej wyłącznie w związku z transakcją płatniczą również nie powinien wchodzić w zakres definicji rachunku płatniczego.</w:t>
            </w: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60</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Marek Belka, Paul Tang, René Repasi</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Motyw 13</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 xml:space="preserve">Tekst proponowany przez </w:t>
            </w:r>
            <w:r w:rsidRPr="00964EEE">
              <w:t>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(13)</w:t>
            </w:r>
            <w:r w:rsidRPr="00964EEE">
              <w:tab/>
              <w:t xml:space="preserve">Tak </w:t>
            </w:r>
            <w:r w:rsidRPr="00964EEE">
              <w:rPr>
                <w:b/>
                <w:i/>
              </w:rPr>
              <w:t>zwane portfele</w:t>
            </w:r>
            <w:r w:rsidRPr="00964EEE">
              <w:t xml:space="preserve"> „pass through”, </w:t>
            </w:r>
            <w:r w:rsidRPr="00964EEE">
              <w:rPr>
                <w:b/>
                <w:i/>
              </w:rPr>
              <w:lastRenderedPageBreak/>
              <w:t>obejmujące</w:t>
            </w:r>
            <w:r w:rsidRPr="00964EEE">
              <w:t xml:space="preserve"> tokenizację istniejącego instrumentu płatniczego, między innymi karty płatniczej, należy uznawać za usługi techniczne</w:t>
            </w:r>
            <w:r w:rsidRPr="00964EEE">
              <w:rPr>
                <w:b/>
                <w:i/>
              </w:rPr>
              <w:t xml:space="preserve"> i w związku z tym</w:t>
            </w:r>
            <w:r w:rsidRPr="00964EEE">
              <w:t xml:space="preserve"> należy </w:t>
            </w:r>
            <w:r w:rsidRPr="00964EEE">
              <w:rPr>
                <w:b/>
                <w:i/>
              </w:rPr>
              <w:t>wyłączyć je</w:t>
            </w:r>
            <w:r w:rsidRPr="00964EEE">
              <w:t xml:space="preserve"> z definicji </w:t>
            </w:r>
            <w:r w:rsidRPr="00964EEE">
              <w:rPr>
                <w:b/>
                <w:i/>
              </w:rPr>
              <w:t>instrumentu płatnicz</w:t>
            </w:r>
            <w:r w:rsidRPr="00964EEE">
              <w:rPr>
                <w:b/>
                <w:i/>
              </w:rPr>
              <w:t>ego, ponieważ tokenu nie można uznać za samodzielny instrument płatniczy, ale raczej za „aplikację płatniczą” w rozumieniu art</w:t>
            </w:r>
            <w:r w:rsidRPr="00964EEE">
              <w:t>.</w:t>
            </w:r>
            <w:r w:rsidRPr="00964EEE">
              <w:rPr>
                <w:b/>
                <w:i/>
              </w:rPr>
              <w:t> 2 pkt 21 rozporządzenia Parlamentu Europejskiego i Rady (UE) 2015/751</w:t>
            </w:r>
            <w:r w:rsidRPr="00964EEE">
              <w:rPr>
                <w:b/>
                <w:i/>
                <w:vertAlign w:val="superscript"/>
              </w:rPr>
              <w:t>33</w:t>
            </w:r>
            <w:r w:rsidRPr="00964EEE">
              <w:rPr>
                <w:b/>
                <w:i/>
              </w:rPr>
              <w:t xml:space="preserve">. </w:t>
            </w:r>
            <w:r w:rsidRPr="00964EEE">
              <w:t xml:space="preserve">Niektóre inne kategorie cyfrowych portfeli, mianowicie </w:t>
            </w:r>
            <w:r w:rsidRPr="00964EEE">
              <w:t>przedpłacone portfele cyfrowe, takie jak tzw. staged digital wallet, na których użytkownicy mogą przechowywać pieniądze na potrzeby przyszłej transakcji online, należy</w:t>
            </w:r>
            <w:r w:rsidRPr="00964EEE">
              <w:rPr>
                <w:b/>
                <w:i/>
              </w:rPr>
              <w:t xml:space="preserve"> jednak</w:t>
            </w:r>
            <w:r w:rsidRPr="00964EEE">
              <w:t xml:space="preserve"> uznać za instrument płatniczy, a ich emisję za usługę płatniczą.</w:t>
            </w:r>
          </w:p>
        </w:tc>
        <w:tc>
          <w:tcPr>
            <w:tcW w:w="4876" w:type="dxa"/>
            <w:hideMark/>
          </w:tcPr>
          <w:p w:rsidR="00AE7AC1" w:rsidRPr="00964EEE" w:rsidRDefault="00E97736">
            <w:pPr>
              <w:pStyle w:val="Normal6"/>
              <w:rPr>
                <w:szCs w:val="24"/>
              </w:rPr>
            </w:pPr>
            <w:r w:rsidRPr="00964EEE">
              <w:lastRenderedPageBreak/>
              <w:t>(13)</w:t>
            </w:r>
            <w:r w:rsidRPr="00964EEE">
              <w:tab/>
              <w:t xml:space="preserve">Tak </w:t>
            </w:r>
            <w:r w:rsidRPr="00964EEE">
              <w:rPr>
                <w:b/>
                <w:i/>
              </w:rPr>
              <w:t>zwanych</w:t>
            </w:r>
            <w:r w:rsidRPr="00964EEE">
              <w:rPr>
                <w:b/>
                <w:i/>
              </w:rPr>
              <w:t xml:space="preserve"> portfeli</w:t>
            </w:r>
            <w:r w:rsidRPr="00964EEE">
              <w:t xml:space="preserve"> „pass </w:t>
            </w:r>
            <w:r w:rsidRPr="00964EEE">
              <w:lastRenderedPageBreak/>
              <w:t xml:space="preserve">through”, </w:t>
            </w:r>
            <w:r w:rsidRPr="00964EEE">
              <w:rPr>
                <w:b/>
                <w:i/>
              </w:rPr>
              <w:t>obejmujących</w:t>
            </w:r>
            <w:r w:rsidRPr="00964EEE">
              <w:t xml:space="preserve"> tokenizację istniejącego instrumentu płatniczego, między innymi karty płatniczej, </w:t>
            </w:r>
            <w:r w:rsidRPr="00964EEE">
              <w:rPr>
                <w:b/>
                <w:i/>
              </w:rPr>
              <w:t xml:space="preserve">nie </w:t>
            </w:r>
            <w:r w:rsidRPr="00964EEE">
              <w:t>należy uznawać za usługi techniczne</w:t>
            </w:r>
            <w:r w:rsidRPr="00964EEE">
              <w:rPr>
                <w:b/>
                <w:i/>
              </w:rPr>
              <w:t>. Usług tych nie</w:t>
            </w:r>
            <w:r w:rsidRPr="00964EEE">
              <w:t xml:space="preserve"> należy </w:t>
            </w:r>
            <w:r w:rsidRPr="00964EEE">
              <w:rPr>
                <w:b/>
                <w:i/>
              </w:rPr>
              <w:t>wyłączać</w:t>
            </w:r>
            <w:r w:rsidRPr="00964EEE">
              <w:t xml:space="preserve"> z definicji </w:t>
            </w:r>
            <w:r w:rsidRPr="00964EEE">
              <w:rPr>
                <w:b/>
                <w:i/>
              </w:rPr>
              <w:t>usług płatniczych</w:t>
            </w:r>
            <w:r w:rsidRPr="00964EEE">
              <w:t>.</w:t>
            </w:r>
            <w:r w:rsidRPr="00964EEE">
              <w:rPr>
                <w:b/>
                <w:i/>
              </w:rPr>
              <w:t xml:space="preserve"> Ponadto</w:t>
            </w:r>
            <w:r w:rsidRPr="00964EEE">
              <w:t xml:space="preserve"> niektóre inne kategorie cyfrowych portfeli, mianowicie przedpłacone portfele cyfrowe, takie jak tzw. staged digital wallet, na których użytkownicy mogą przechowywać pieniądze na potrzeby przyszłej transakcji online, należy uznać za instrument płatniczy, a</w:t>
            </w:r>
            <w:r w:rsidRPr="00964EEE">
              <w:t> ich emisję za usługę płatniczą.</w:t>
            </w:r>
          </w:p>
        </w:tc>
      </w:tr>
      <w:tr w:rsidR="00CB3C1D" w:rsidRPr="00964EEE" w:rsidTr="00AE7AC1">
        <w:trPr>
          <w:jc w:val="center"/>
        </w:trPr>
        <w:tc>
          <w:tcPr>
            <w:tcW w:w="4876" w:type="dxa"/>
            <w:hideMark/>
          </w:tcPr>
          <w:p w:rsidR="00AE7AC1" w:rsidRPr="00964EEE" w:rsidRDefault="00E97736">
            <w:pPr>
              <w:pStyle w:val="Normal6"/>
            </w:pPr>
            <w:r w:rsidRPr="00964EEE">
              <w:lastRenderedPageBreak/>
              <w:t>__________________</w:t>
            </w:r>
          </w:p>
        </w:tc>
        <w:tc>
          <w:tcPr>
            <w:tcW w:w="4876" w:type="dxa"/>
            <w:hideMark/>
          </w:tcPr>
          <w:p w:rsidR="00AE7AC1" w:rsidRPr="00964EEE" w:rsidRDefault="00E97736">
            <w:pPr>
              <w:pStyle w:val="Normal6"/>
              <w:rPr>
                <w:szCs w:val="24"/>
              </w:rPr>
            </w:pPr>
            <w:r w:rsidRPr="00964EEE">
              <w:t>__________________</w:t>
            </w:r>
          </w:p>
        </w:tc>
      </w:tr>
      <w:tr w:rsidR="00CB3C1D" w:rsidRPr="00964EEE" w:rsidTr="00AE7AC1">
        <w:trPr>
          <w:jc w:val="center"/>
        </w:trPr>
        <w:tc>
          <w:tcPr>
            <w:tcW w:w="4876" w:type="dxa"/>
            <w:hideMark/>
          </w:tcPr>
          <w:p w:rsidR="00AE7AC1" w:rsidRPr="00964EEE" w:rsidRDefault="00E97736">
            <w:pPr>
              <w:pStyle w:val="Normal6"/>
            </w:pPr>
            <w:r w:rsidRPr="00964EEE">
              <w:rPr>
                <w:vertAlign w:val="superscript"/>
              </w:rPr>
              <w:t>33</w:t>
            </w:r>
            <w:r w:rsidRPr="00964EEE">
              <w:t xml:space="preserve"> Rozporządzenie Parlamentu Europejskiego i Rady (UE) 2015/751 z dnia 29 kwietnia 2015 r. w sprawie opłat interchange w odniesieniu do transakcji płatniczych realizowanych w oparciu </w:t>
            </w:r>
            <w:r w:rsidRPr="00964EEE">
              <w:t>o kartę (Dz.U. L 123 z 19.5.2015, s. 1).</w:t>
            </w:r>
          </w:p>
        </w:tc>
        <w:tc>
          <w:tcPr>
            <w:tcW w:w="4876" w:type="dxa"/>
            <w:hideMark/>
          </w:tcPr>
          <w:p w:rsidR="00AE7AC1" w:rsidRPr="00D770D1" w:rsidRDefault="00E97736">
            <w:pPr>
              <w:pStyle w:val="Normal6"/>
              <w:rPr>
                <w:szCs w:val="24"/>
              </w:rPr>
            </w:pPr>
            <w:r w:rsidRPr="00D770D1">
              <w:rPr>
                <w:bCs/>
                <w:iCs/>
                <w:vertAlign w:val="superscript"/>
              </w:rPr>
              <w:t>33</w:t>
            </w:r>
            <w:r w:rsidRPr="00D770D1">
              <w:rPr>
                <w:bCs/>
                <w:iCs/>
              </w:rPr>
              <w:t xml:space="preserve"> Rozporządzenie Parlamentu Europejskiego i Rady (UE) 2015/751 z dnia 29 kwietnia 2015 r. w sprawie opłat interchange w odniesieniu do transakcji płatniczych realizowanych w oparciu o kartę (Dz.U. L 123 z 19.5.2015</w:t>
            </w:r>
            <w:r w:rsidRPr="00D770D1">
              <w:rPr>
                <w:bCs/>
                <w:iCs/>
              </w:rPr>
              <w:t>, s. 1).</w:t>
            </w: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61</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Marek Belka, Paul Tang, René Repasi</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Motyw 13</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(13)</w:t>
            </w:r>
            <w:r w:rsidRPr="00964EEE">
              <w:tab/>
              <w:t>Tak zwane portfele „pass through”, obejmujące tokenizację istniejącego instrumentu płatniczego, między innymi karty płatniczej, należy uznawać za usługi techniczne i w związku z tym należy wyłączyć je z defini</w:t>
            </w:r>
            <w:r w:rsidRPr="00964EEE">
              <w:t xml:space="preserve">cji instrumentu płatniczego, ponieważ tokenu nie można uznać za samodzielny instrument płatniczy, ale raczej za „aplikację płatniczą” </w:t>
            </w:r>
            <w:r w:rsidRPr="00964EEE">
              <w:lastRenderedPageBreak/>
              <w:t>w rozumieniu art. 2 pkt 21 rozporządzenia Parlamentu Europejskiego i Rady (UE) 2015/751</w:t>
            </w:r>
            <w:r w:rsidRPr="00964EEE">
              <w:rPr>
                <w:vertAlign w:val="superscript"/>
              </w:rPr>
              <w:t>33</w:t>
            </w:r>
            <w:r w:rsidRPr="00964EEE">
              <w:t>. Niektóre inne kategorie cyfrowy</w:t>
            </w:r>
            <w:r w:rsidRPr="00964EEE">
              <w:t>ch portfeli, mianowicie przedpłacone portfele cyfrowe, takie jak tzw. staged digital wallet, na których użytkownicy mogą przechowywać pieniądze na potrzeby przyszłej transakcji online, należy jednak uznać za instrument płatniczy, a ich emisję za usługę pła</w:t>
            </w:r>
            <w:r w:rsidRPr="00964EEE">
              <w:t>tniczą.</w:t>
            </w:r>
          </w:p>
        </w:tc>
        <w:tc>
          <w:tcPr>
            <w:tcW w:w="4876" w:type="dxa"/>
            <w:hideMark/>
          </w:tcPr>
          <w:p w:rsidR="00AE7AC1" w:rsidRPr="00964EEE" w:rsidRDefault="00E97736">
            <w:pPr>
              <w:pStyle w:val="Normal6"/>
              <w:rPr>
                <w:szCs w:val="24"/>
              </w:rPr>
            </w:pPr>
            <w:r w:rsidRPr="00964EEE">
              <w:rPr>
                <w:i/>
                <w:iCs/>
              </w:rPr>
              <w:lastRenderedPageBreak/>
              <w:t>(Nie dotyczy polskiej wersji językowej.)</w:t>
            </w:r>
          </w:p>
        </w:tc>
      </w:tr>
      <w:tr w:rsidR="00CB3C1D" w:rsidRPr="00964EEE" w:rsidTr="00AE7AC1">
        <w:trPr>
          <w:jc w:val="center"/>
        </w:trPr>
        <w:tc>
          <w:tcPr>
            <w:tcW w:w="4876" w:type="dxa"/>
            <w:hideMark/>
          </w:tcPr>
          <w:p w:rsidR="00AE7AC1" w:rsidRPr="00964EEE" w:rsidRDefault="00E97736">
            <w:pPr>
              <w:pStyle w:val="Normal6"/>
            </w:pPr>
            <w:r w:rsidRPr="00964EEE">
              <w:t>__________________</w:t>
            </w:r>
          </w:p>
        </w:tc>
        <w:tc>
          <w:tcPr>
            <w:tcW w:w="4876" w:type="dxa"/>
            <w:hideMark/>
          </w:tcPr>
          <w:p w:rsidR="00AE7AC1" w:rsidRPr="00964EEE" w:rsidRDefault="00E97736">
            <w:pPr>
              <w:pStyle w:val="Normal6"/>
              <w:rPr>
                <w:szCs w:val="24"/>
              </w:rPr>
            </w:pPr>
            <w:r w:rsidRPr="00964EEE">
              <w:t>__________________</w:t>
            </w:r>
          </w:p>
        </w:tc>
      </w:tr>
      <w:tr w:rsidR="00CB3C1D" w:rsidRPr="00964EEE" w:rsidTr="00E97736">
        <w:trPr>
          <w:jc w:val="center"/>
        </w:trPr>
        <w:tc>
          <w:tcPr>
            <w:tcW w:w="4876" w:type="dxa"/>
            <w:hideMark/>
          </w:tcPr>
          <w:p w:rsidR="00AE7AC1" w:rsidRPr="00964EEE" w:rsidRDefault="00E97736">
            <w:pPr>
              <w:pStyle w:val="Normal6"/>
            </w:pPr>
            <w:r w:rsidRPr="00964EEE">
              <w:rPr>
                <w:vertAlign w:val="superscript"/>
              </w:rPr>
              <w:t>33</w:t>
            </w:r>
            <w:r w:rsidRPr="00964EEE">
              <w:t xml:space="preserve"> Rozporządzenie Parlamentu Europejskiego i Rady (UE) 2015/751 z dnia 29 kwietnia 2015 r. w sprawie opłat interchange w odniesieniu do transakcji płatniczych realizowanych w oparciu o kartę (Dz.U. L 123 z 19.5.2015, s. 1).</w:t>
            </w:r>
          </w:p>
        </w:tc>
        <w:tc>
          <w:tcPr>
            <w:tcW w:w="4876" w:type="dxa"/>
          </w:tcPr>
          <w:p w:rsidR="00AE7AC1" w:rsidRPr="00964EEE" w:rsidRDefault="00AE7AC1">
            <w:pPr>
              <w:pStyle w:val="Normal6"/>
              <w:rPr>
                <w:szCs w:val="24"/>
              </w:rPr>
            </w:pP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62</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Ondřej Kovařík</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Motyw 16</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(16)</w:t>
            </w:r>
            <w:r w:rsidRPr="00964EEE">
              <w:tab/>
              <w:t xml:space="preserve">W rozporządzeniu (UE) 2023/1114 z dnia 31 maja </w:t>
            </w:r>
            <w:r w:rsidRPr="00964EEE">
              <w:t>2023 r. określono, że tokeny będące pieniądzem elektronicznym uznaje się za pieniądz elektroniczny. Tokeny będące pieniądzem elektronicznym należy zatem uwzględnić – jako pieniądz elektroniczny – w definicji środków pieniężnych.</w:t>
            </w:r>
          </w:p>
        </w:tc>
        <w:tc>
          <w:tcPr>
            <w:tcW w:w="4876" w:type="dxa"/>
            <w:hideMark/>
          </w:tcPr>
          <w:p w:rsidR="00AE7AC1" w:rsidRPr="00964EEE" w:rsidRDefault="00E97736">
            <w:pPr>
              <w:pStyle w:val="Normal6"/>
              <w:rPr>
                <w:szCs w:val="24"/>
              </w:rPr>
            </w:pPr>
            <w:r w:rsidRPr="00964EEE">
              <w:t>(16)</w:t>
            </w:r>
            <w:r w:rsidRPr="00964EEE">
              <w:tab/>
              <w:t xml:space="preserve">W rozporządzeniu (UE) </w:t>
            </w:r>
            <w:r w:rsidRPr="00964EEE">
              <w:t xml:space="preserve">2023/1114 z dnia 31 maja 2023 r. określono, że tokeny będące pieniądzem elektronicznym uznaje się za pieniądz elektroniczny. Tokeny będące pieniądzem elektronicznym należy zatem </w:t>
            </w:r>
            <w:r w:rsidRPr="00964EEE">
              <w:rPr>
                <w:b/>
                <w:i/>
              </w:rPr>
              <w:t>traktować jako pieniądz elektroniczny do celów ich emisji i wykupu, oferty pub</w:t>
            </w:r>
            <w:r w:rsidRPr="00964EEE">
              <w:rPr>
                <w:b/>
                <w:i/>
              </w:rPr>
              <w:t xml:space="preserve">licznej i dopuszczenia do obrotu. W związku z tym i wyłącznie do celów tych operacji tokeny będące pieniądzem elektronicznym należy </w:t>
            </w:r>
            <w:r w:rsidRPr="00964EEE">
              <w:t>uwzględnić – jako pieniądz elektroniczny – w definicji środków pieniężnych.</w:t>
            </w: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lastRenderedPageBreak/>
        <w:t>&lt;Amend</w:t>
      </w:r>
      <w:r w:rsidRPr="00964EEE">
        <w:rPr>
          <w:rStyle w:val="HideTWBExt"/>
          <w:b w:val="0"/>
        </w:rPr>
        <w:t>&gt;</w:t>
      </w:r>
      <w:r w:rsidRPr="00964EEE">
        <w:t>Poprawka</w:t>
      </w:r>
      <w:r w:rsidRPr="00964EEE">
        <w:tab/>
      </w:r>
      <w:r w:rsidRPr="00964EEE">
        <w:tab/>
      </w:r>
      <w:r w:rsidRPr="00964EEE">
        <w:rPr>
          <w:rStyle w:val="HideTWBExt"/>
          <w:b w:val="0"/>
        </w:rPr>
        <w:t>&lt;NumAm&gt;</w:t>
      </w:r>
      <w:r w:rsidRPr="00964EEE">
        <w:t>63</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Gunnar Beck</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Motyw 31</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(31)</w:t>
            </w:r>
            <w:r w:rsidRPr="00964EEE">
              <w:tab/>
              <w:t xml:space="preserve">Zważywszy na trudności, jakich </w:t>
            </w:r>
            <w:r w:rsidRPr="00964EEE">
              <w:t>doświadczają instytucje płatnicze przy otwieraniu i utrzymywaniu rachunków płatniczych w instytucjach kredytowych, konieczne jest zapewnienie dodatkowego wariantu ochrony środków pieniężnych użytkowników, a mianowicie możliwości przechowywania tych środków</w:t>
            </w:r>
            <w:r w:rsidRPr="00964EEE">
              <w:t xml:space="preserve"> pieniężnych w banku centralnym. </w:t>
            </w:r>
            <w:r w:rsidRPr="00964EEE">
              <w:rPr>
                <w:b/>
                <w:i/>
              </w:rPr>
              <w:t>Możliwość ta powinna jednak pozostawać bez uszczerbku dla możliwości</w:t>
            </w:r>
            <w:r w:rsidRPr="00964EEE">
              <w:t xml:space="preserve">, </w:t>
            </w:r>
            <w:r w:rsidRPr="00964EEE">
              <w:rPr>
                <w:b/>
                <w:i/>
              </w:rPr>
              <w:t>by bank centralny nie oferował</w:t>
            </w:r>
            <w:r w:rsidRPr="00964EEE">
              <w:t xml:space="preserve"> takiego wariantu </w:t>
            </w:r>
            <w:r w:rsidRPr="00964EEE">
              <w:rPr>
                <w:b/>
                <w:i/>
              </w:rPr>
              <w:t>na podstawie swojej ustawy organicznej</w:t>
            </w:r>
            <w:r w:rsidRPr="00964EEE">
              <w:t>. Uwzględniając potrzebę ochrony środków pieniężnych użytkowników o</w:t>
            </w:r>
            <w:r w:rsidRPr="00964EEE">
              <w:t>raz zapobiegania wykorzystywaniu takich środków pieniężnych do celów innych niż świadczenie usług płatniczych lub usług związanych z pieniądzem elektronicznym, należy wprowadzić wymóg, aby środki pieniężne użytkownika usług płatniczych były przechowywane o</w:t>
            </w:r>
            <w:r w:rsidRPr="00964EEE">
              <w:t>ddzielnie od funduszy własnych instytucji płatniczej. Aby zapewnić równe warunki działania instytucji płatniczych świadczących usługi płatnicze i instytucji płatniczych emitujących pieniądz elektroniczny i świadczących usługi związane z pieniądzem elektron</w:t>
            </w:r>
            <w:r w:rsidRPr="00964EEE">
              <w:t xml:space="preserve">icznym, systemy mające zastosowanie do ochrony środków pieniężnych użytkowników należy ujednolicić w największym możliwy stopniu z jednoczesnym zachowaniem specyfiki pieniądza elektronicznego. Ryzyko koncentracji stanowi znaczące ryzyko, na jakie narażone </w:t>
            </w:r>
            <w:r w:rsidRPr="00964EEE">
              <w:t xml:space="preserve">są instytucje płatnicze, w szczególności w przypadku, gdy środki pieniężne są przechowywane w jednej instytucji kredytowej. W związku z tym ważne jest zapewnienie, by </w:t>
            </w:r>
            <w:r w:rsidRPr="00964EEE">
              <w:lastRenderedPageBreak/>
              <w:t xml:space="preserve">instytucje płatnicze unikały ryzyka koncentracji w największym możliwym zakresie. Z tego </w:t>
            </w:r>
            <w:r w:rsidRPr="00964EEE">
              <w:t>powodu należy polecić EUNB opracowanie regulacyjnych standardów technicznych dotyczących unikania ryzyka przy przechowywaniu środków pieniężnych klienta.</w:t>
            </w:r>
          </w:p>
        </w:tc>
        <w:tc>
          <w:tcPr>
            <w:tcW w:w="4876" w:type="dxa"/>
            <w:hideMark/>
          </w:tcPr>
          <w:p w:rsidR="00AE7AC1" w:rsidRPr="00964EEE" w:rsidRDefault="00E97736">
            <w:pPr>
              <w:pStyle w:val="Normal6"/>
              <w:rPr>
                <w:szCs w:val="24"/>
              </w:rPr>
            </w:pPr>
            <w:r w:rsidRPr="00964EEE">
              <w:lastRenderedPageBreak/>
              <w:t>(31)</w:t>
            </w:r>
            <w:r w:rsidRPr="00964EEE">
              <w:tab/>
              <w:t>Zważywszy na trudności, jakich doświadczają instytucje płatnicze przy otwieraniu i utrzymywaniu r</w:t>
            </w:r>
            <w:r w:rsidRPr="00964EEE">
              <w:t xml:space="preserve">achunków płatniczych w instytucjach kredytowych, konieczne jest zapewnienie dodatkowego wariantu ochrony środków pieniężnych użytkowników, a mianowicie możliwości przechowywania tych środków pieniężnych w banku centralnym. </w:t>
            </w:r>
            <w:r w:rsidRPr="00964EEE">
              <w:rPr>
                <w:b/>
                <w:i/>
              </w:rPr>
              <w:t>Aby instytucje płatnicze mogły sk</w:t>
            </w:r>
            <w:r w:rsidRPr="00964EEE">
              <w:rPr>
                <w:b/>
                <w:i/>
              </w:rPr>
              <w:t>orzystać z tej możliwości oraz aby zwiększyć równe szanse w dostępie do systemów rachunków banków centralnych</w:t>
            </w:r>
            <w:r w:rsidRPr="00964EEE">
              <w:t xml:space="preserve">, </w:t>
            </w:r>
            <w:r w:rsidRPr="00964EEE">
              <w:rPr>
                <w:b/>
                <w:i/>
              </w:rPr>
              <w:t>banki centralne powinny być zobowiązane do oferowania instytucjom płatniczym dostępu do swoich rachunków na obiektywnych, niedyskryminujących i p</w:t>
            </w:r>
            <w:r w:rsidRPr="00964EEE">
              <w:rPr>
                <w:b/>
                <w:i/>
              </w:rPr>
              <w:t>roporcjonalnych zasadach. Każde odrzucenie</w:t>
            </w:r>
            <w:r w:rsidRPr="00964EEE">
              <w:t xml:space="preserve"> takiego wariantu </w:t>
            </w:r>
            <w:r w:rsidRPr="00964EEE">
              <w:rPr>
                <w:b/>
                <w:i/>
              </w:rPr>
              <w:t>przez bank centralny powinno być należycie uzasadnione wobec odpowiedniej instytucji płatniczej</w:t>
            </w:r>
            <w:r w:rsidRPr="00964EEE">
              <w:t>. Uwzględniając potrzebę ochrony środków pieniężnych użytkowników oraz zapobiegania wykorzystywaniu t</w:t>
            </w:r>
            <w:r w:rsidRPr="00964EEE">
              <w:t>akich środków pieniężnych do celów innych niż świadczenie usług płatniczych lub usług związanych z pieniądzem elektronicznym, należy wprowadzić wymóg, aby środki pieniężne użytkownika usług płatniczych były przechowywane oddzielnie od funduszy własnych ins</w:t>
            </w:r>
            <w:r w:rsidRPr="00964EEE">
              <w:t>tytucji płatniczej. Aby zapewnić równe warunki działania instytucji płatniczych świadczących usługi płatnicze i instytucji płatniczych emitujących pieniądz elektroniczny i świadczących usługi związane z pieniądzem elektronicznym, systemy mające zastosowani</w:t>
            </w:r>
            <w:r w:rsidRPr="00964EEE">
              <w:t xml:space="preserve">e do ochrony środków pieniężnych użytkowników należy ujednolicić w największym możliwy </w:t>
            </w:r>
            <w:r w:rsidRPr="00964EEE">
              <w:lastRenderedPageBreak/>
              <w:t>stopniu z jednoczesnym zachowaniem specyfiki pieniądza elektronicznego. Ryzyko koncentracji stanowi znaczące ryzyko, na jakie narażone są instytucje płatnicze, w szczegó</w:t>
            </w:r>
            <w:r w:rsidRPr="00964EEE">
              <w:t>lności w przypadku, gdy środki pieniężne są przechowywane w jednej instytucji kredytowej. W związku z tym ważne jest zapewnienie, by instytucje płatnicze unikały ryzyka koncentracji w największym możliwym zakresie. Z tego powodu należy polecić EUNB opracow</w:t>
            </w:r>
            <w:r w:rsidRPr="00964EEE">
              <w:t>anie regulacyjnych standardów technicznych dotyczących unikania ryzyka przy przechowywaniu środków pieniężnych klienta.</w:t>
            </w:r>
          </w:p>
        </w:tc>
      </w:tr>
    </w:tbl>
    <w:p w:rsidR="00AE7AC1" w:rsidRPr="00964EEE" w:rsidRDefault="00E97736" w:rsidP="00AE7AC1">
      <w:pPr>
        <w:pStyle w:val="Olang"/>
      </w:pPr>
      <w:r w:rsidRPr="00964EEE">
        <w:lastRenderedPageBreak/>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64</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Eugen Jurzyca</w:t>
      </w:r>
      <w:r w:rsidRPr="00964EEE">
        <w:rPr>
          <w:rStyle w:val="HideTWBExt"/>
          <w:b w:val="0"/>
        </w:rPr>
        <w:t>&lt;/Members&gt;</w:t>
      </w:r>
    </w:p>
    <w:p w:rsidR="00AE7AC1" w:rsidRPr="00964EEE" w:rsidRDefault="00E97736" w:rsidP="00AE7AC1">
      <w:r w:rsidRPr="00964EEE">
        <w:rPr>
          <w:rStyle w:val="HideTWBExt"/>
        </w:rPr>
        <w:t>&lt;/RepeatBl</w:t>
      </w:r>
      <w:r w:rsidRPr="00964EEE">
        <w:rPr>
          <w:rStyle w:val="HideTWBExt"/>
        </w:rPr>
        <w:t>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Motyw 35</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(35)</w:t>
            </w:r>
            <w:r w:rsidRPr="00964EEE">
              <w:tab/>
              <w:t xml:space="preserve">Instytucje płatnicze powinny mieć możliwość przyznawania kredytu, ale działalność ta powinny podlegać pewnym </w:t>
            </w:r>
            <w:r w:rsidRPr="00964EEE">
              <w:t>rygorystycznym warunkom. Należy zatem uregulować udzielanie przez instytucje płatnicze kredytów w formie linii kredytowych i wydawania kart kredytowych w zakresie, w jakim usługi te ułatwiają usługi płatnicze oraz w przypadku, gdy kredyt przyznaje się na o</w:t>
            </w:r>
            <w:r w:rsidRPr="00964EEE">
              <w:t>kres nieprzekraczający 12 miesięcy, w tym na zasadzie odnawialnej. Należy zezwolić instytucjom płatniczym na udzielanie kredytu krótkoterminowego w odniesieniu do ich działalności transgranicznej, pod warunkiem że jest on pokrywany głównie z funduszy własn</w:t>
            </w:r>
            <w:r w:rsidRPr="00964EEE">
              <w:t xml:space="preserve">ych instytucji płatniczej, jak również innych środków pieniężnych pozyskanych z rynków kapitałowych, a nie ze środków </w:t>
            </w:r>
            <w:r w:rsidRPr="00964EEE">
              <w:lastRenderedPageBreak/>
              <w:t>pieniężnych przechowywanych w imieniu klientów do celów usług płatniczych. Możliwość ta powinna jednak pozostawać bez uszczerbku dla dyrek</w:t>
            </w:r>
            <w:r w:rsidRPr="00964EEE">
              <w:t>tywy Parlamentu Europejskiego i Rady 2008/48/WE</w:t>
            </w:r>
            <w:r w:rsidRPr="00964EEE">
              <w:rPr>
                <w:vertAlign w:val="superscript"/>
              </w:rPr>
              <w:t>39</w:t>
            </w:r>
            <w:r w:rsidRPr="00964EEE">
              <w:t xml:space="preserve"> lub innych stosownych przepisów prawa Unii lub środków krajowych regulujących warunki udzielania kredytów konsumentom. Ze względu na zasadniczo pożyczkowy charakter usług typu „kup teraz, zapłać później” us</w:t>
            </w:r>
            <w:r w:rsidRPr="00964EEE">
              <w:t>ługi te nie powinny stanowić usługi płatniczej. Usługi te są objęte zakresem nowej dyrektywy w sprawie kredytów konsumenckich zastępującej dyrektywę 2008/48/WE.</w:t>
            </w:r>
          </w:p>
        </w:tc>
        <w:tc>
          <w:tcPr>
            <w:tcW w:w="4876" w:type="dxa"/>
            <w:hideMark/>
          </w:tcPr>
          <w:p w:rsidR="00AE7AC1" w:rsidRPr="00964EEE" w:rsidRDefault="00E97736">
            <w:pPr>
              <w:pStyle w:val="Normal6"/>
              <w:rPr>
                <w:szCs w:val="24"/>
              </w:rPr>
            </w:pPr>
            <w:r w:rsidRPr="00964EEE">
              <w:lastRenderedPageBreak/>
              <w:t>(35)</w:t>
            </w:r>
            <w:r w:rsidRPr="00964EEE">
              <w:tab/>
              <w:t>Instytucje płatnicze powinny mieć możliwość przyznawania kredytu, ale działalność ta powin</w:t>
            </w:r>
            <w:r w:rsidRPr="00964EEE">
              <w:t>ny podlegać pewnym rygorystycznym warunkom. Należy zatem uregulować udzielanie przez instytucje płatnicze kredytów w formie linii kredytowych i wydawania kart kredytowych w zakresie, w jakim usługi te ułatwiają usługi płatnicze oraz w przypadku, gdy kredyt</w:t>
            </w:r>
            <w:r w:rsidRPr="00964EEE">
              <w:t xml:space="preserve"> przyznaje się na okres nieprzekraczający 12 miesięcy, w tym na zasadzie odnawialnej. Należy zezwolić instytucjom płatniczym na udzielanie kredytu krótkoterminowego w odniesieniu do ich działalności transgranicznej, pod warunkiem że jest on pokrywany główn</w:t>
            </w:r>
            <w:r w:rsidRPr="00964EEE">
              <w:t xml:space="preserve">ie z funduszy własnych instytucji płatniczej, jak również innych środków pieniężnych pozyskanych z rynków kapitałowych, a nie ze środków </w:t>
            </w:r>
            <w:r w:rsidRPr="00964EEE">
              <w:lastRenderedPageBreak/>
              <w:t>pieniężnych przechowywanych w imieniu klientów do celów usług płatniczych. Możliwość ta powinna jednak pozostawać bez u</w:t>
            </w:r>
            <w:r w:rsidRPr="00964EEE">
              <w:t>szczerbku dla dyrektywy Parlamentu Europejskiego i Rady 2008/48/WE</w:t>
            </w:r>
            <w:r w:rsidRPr="00964EEE">
              <w:rPr>
                <w:vertAlign w:val="superscript"/>
              </w:rPr>
              <w:t>39</w:t>
            </w:r>
            <w:r w:rsidRPr="00964EEE">
              <w:t xml:space="preserve"> lub innych stosownych przepisów prawa Unii lub środków krajowych regulujących warunki udzielania kredytów konsumentom. Ze względu na zasadniczo pożyczkowy charakter usług typu „kup teraz,</w:t>
            </w:r>
            <w:r w:rsidRPr="00964EEE">
              <w:t xml:space="preserve"> zapłać później” usługi te nie powinny stanowić usługi płatniczej. Usługi te są objęte zakresem nowej dyrektywy w sprawie kredytów konsumenckich zastępującej dyrektywę 2008/48/WE. </w:t>
            </w:r>
            <w:r w:rsidRPr="00964EEE">
              <w:rPr>
                <w:b/>
                <w:i/>
              </w:rPr>
              <w:t>Jednak przedsiębiorstwa świadczące usługi typu „kup teraz, zapłać później” p</w:t>
            </w:r>
            <w:r w:rsidRPr="00964EEE">
              <w:rPr>
                <w:b/>
                <w:i/>
              </w:rPr>
              <w:t>odlegają niniejszej dyrektywie, jeżeli świadczą jakąkolwiek usługę płatniczą, o której mowa w załączniku I.</w:t>
            </w:r>
          </w:p>
        </w:tc>
      </w:tr>
      <w:tr w:rsidR="00CB3C1D" w:rsidRPr="00964EEE" w:rsidTr="00AE7AC1">
        <w:trPr>
          <w:jc w:val="center"/>
        </w:trPr>
        <w:tc>
          <w:tcPr>
            <w:tcW w:w="4876" w:type="dxa"/>
            <w:hideMark/>
          </w:tcPr>
          <w:p w:rsidR="00AE7AC1" w:rsidRPr="00964EEE" w:rsidRDefault="00E97736">
            <w:pPr>
              <w:pStyle w:val="Normal6"/>
            </w:pPr>
            <w:r w:rsidRPr="00964EEE">
              <w:lastRenderedPageBreak/>
              <w:t>__________________</w:t>
            </w:r>
          </w:p>
        </w:tc>
        <w:tc>
          <w:tcPr>
            <w:tcW w:w="4876" w:type="dxa"/>
            <w:hideMark/>
          </w:tcPr>
          <w:p w:rsidR="00AE7AC1" w:rsidRPr="00964EEE" w:rsidRDefault="00E97736">
            <w:pPr>
              <w:pStyle w:val="Normal6"/>
              <w:rPr>
                <w:szCs w:val="24"/>
              </w:rPr>
            </w:pPr>
            <w:r w:rsidRPr="00964EEE">
              <w:t>__________________</w:t>
            </w:r>
          </w:p>
        </w:tc>
      </w:tr>
      <w:tr w:rsidR="00CB3C1D" w:rsidRPr="00964EEE" w:rsidTr="00AE7AC1">
        <w:trPr>
          <w:jc w:val="center"/>
        </w:trPr>
        <w:tc>
          <w:tcPr>
            <w:tcW w:w="4876" w:type="dxa"/>
            <w:hideMark/>
          </w:tcPr>
          <w:p w:rsidR="00AE7AC1" w:rsidRPr="00964EEE" w:rsidRDefault="00E97736">
            <w:pPr>
              <w:pStyle w:val="Normal6"/>
            </w:pPr>
            <w:r w:rsidRPr="00964EEE">
              <w:rPr>
                <w:vertAlign w:val="superscript"/>
              </w:rPr>
              <w:t>39</w:t>
            </w:r>
            <w:r w:rsidRPr="00964EEE">
              <w:t xml:space="preserve"> Dyrektywa Parlamentu Europejskiego i Rady 2008/48/WE z dnia 23 kwietnia 2008 r. w sprawie umów o kredyt k</w:t>
            </w:r>
            <w:r w:rsidRPr="00964EEE">
              <w:t>onsumencki oraz uchylająca dyrektywę Rady 87/102/EWG (Dz.U. L 133 z 22.5.2008, s. 66).</w:t>
            </w:r>
          </w:p>
        </w:tc>
        <w:tc>
          <w:tcPr>
            <w:tcW w:w="4876" w:type="dxa"/>
            <w:hideMark/>
          </w:tcPr>
          <w:p w:rsidR="00AE7AC1" w:rsidRPr="00964EEE" w:rsidRDefault="00E97736">
            <w:pPr>
              <w:pStyle w:val="Normal6"/>
              <w:rPr>
                <w:szCs w:val="24"/>
              </w:rPr>
            </w:pPr>
            <w:r w:rsidRPr="00964EEE">
              <w:rPr>
                <w:vertAlign w:val="superscript"/>
              </w:rPr>
              <w:t>39</w:t>
            </w:r>
            <w:r w:rsidRPr="00964EEE">
              <w:t xml:space="preserve"> Dyrektywa Parlamentu Europejskiego i Rady 2008/48/WE z dnia 23 kwietnia 2008 r. w sprawie umów o kredyt konsumencki oraz uchylająca dyrektywę Rady 87/102/EWG (Dz.U. L</w:t>
            </w:r>
            <w:r w:rsidRPr="00964EEE">
              <w:t xml:space="preserve"> 133 z 22.5.2008, s. 66).</w:t>
            </w: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pPr>
        <w:pStyle w:val="JustificationTitle"/>
        <w:rPr>
          <w:noProof w:val="0"/>
        </w:rPr>
      </w:pPr>
      <w:r w:rsidRPr="00964EEE">
        <w:rPr>
          <w:rStyle w:val="HideTWBExt"/>
          <w:i w:val="0"/>
        </w:rPr>
        <w:t>&lt;TitreJust&gt;</w:t>
      </w:r>
      <w:r w:rsidRPr="00964EEE">
        <w:t>Uzasadnienie</w:t>
      </w:r>
      <w:r w:rsidRPr="00964EEE">
        <w:rPr>
          <w:rStyle w:val="HideTWBExt"/>
          <w:i w:val="0"/>
        </w:rPr>
        <w:t>&lt;/TitreJust&gt;</w:t>
      </w:r>
    </w:p>
    <w:p w:rsidR="00AE7AC1" w:rsidRPr="00964EEE" w:rsidRDefault="00E97736" w:rsidP="00AE7AC1">
      <w:pPr>
        <w:pStyle w:val="Normal12Italic"/>
        <w:rPr>
          <w:noProof w:val="0"/>
        </w:rPr>
      </w:pPr>
      <w:r w:rsidRPr="00964EEE">
        <w:t>Wyjaśnienie, że podmioty świadczące usługi typu „kup teraz, zapłać później” podlegają wymogom dyrektywy, jeżeli świadczą usługi płatnicze.</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65</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Lídia Pereira</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Motyw 35</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(35)</w:t>
            </w:r>
            <w:r w:rsidRPr="00964EEE">
              <w:tab/>
              <w:t xml:space="preserve">Instytucje płatnicze powinny mieć </w:t>
            </w:r>
            <w:r w:rsidRPr="00964EEE">
              <w:t xml:space="preserve">możliwość przyznawania kredytu, ale działalność ta powinny podlegać pewnym </w:t>
            </w:r>
            <w:r w:rsidRPr="00964EEE">
              <w:lastRenderedPageBreak/>
              <w:t>rygorystycznym warunkom. Należy zatem uregulować udzielanie przez instytucje płatnicze kredytów w formie linii kredytowych i wydawania kart kredytowych w zakresie, w jakim usługi te</w:t>
            </w:r>
            <w:r w:rsidRPr="00964EEE">
              <w:t xml:space="preserve"> ułatwiają usługi płatnicze</w:t>
            </w:r>
            <w:r w:rsidRPr="00964EEE">
              <w:rPr>
                <w:b/>
                <w:i/>
              </w:rPr>
              <w:t xml:space="preserve"> oraz w przypadku, gdy kredyt przyznaje się na okres nieprzekraczający 12 miesięcy</w:t>
            </w:r>
            <w:r w:rsidRPr="00964EEE">
              <w:t>, w tym na zasadzie odnawialnej. Należy zezwolić instytucjom płatniczym na udzielanie kredytu krótkoterminowego w odniesieniu do ich działalności t</w:t>
            </w:r>
            <w:r w:rsidRPr="00964EEE">
              <w:t>ransgranicznej, pod warunkiem że jest on pokrywany głównie z funduszy własnych instytucji płatniczej, jak również innych środków pieniężnych pozyskanych z rynków kapitałowych, a nie ze środków pieniężnych przechowywanych w imieniu klientów do celów usług p</w:t>
            </w:r>
            <w:r w:rsidRPr="00964EEE">
              <w:t>łatniczych. Możliwość ta powinna jednak pozostawać bez uszczerbku dla dyrektywy Parlamentu Europejskiego i Rady 2008/48/WE</w:t>
            </w:r>
            <w:r w:rsidRPr="00964EEE">
              <w:rPr>
                <w:vertAlign w:val="superscript"/>
              </w:rPr>
              <w:t>39</w:t>
            </w:r>
            <w:r w:rsidRPr="00964EEE">
              <w:t xml:space="preserve"> lub innych stosownych przepisów prawa Unii lub środków krajowych regulujących warunki udzielania kredytów konsumentom. Ze względu n</w:t>
            </w:r>
            <w:r w:rsidRPr="00964EEE">
              <w:t>a zasadniczo pożyczkowy charakter usług typu „kup teraz, zapłać później” usługi te nie powinny stanowić usługi płatniczej. Usługi te są objęte zakresem nowej dyrektywy w sprawie kredytów konsumenckich zastępującej dyrektywę 2008/48/WE.</w:t>
            </w:r>
          </w:p>
        </w:tc>
        <w:tc>
          <w:tcPr>
            <w:tcW w:w="4876" w:type="dxa"/>
            <w:hideMark/>
          </w:tcPr>
          <w:p w:rsidR="00AE7AC1" w:rsidRPr="00964EEE" w:rsidRDefault="00E97736">
            <w:pPr>
              <w:pStyle w:val="Normal6"/>
              <w:rPr>
                <w:szCs w:val="24"/>
              </w:rPr>
            </w:pPr>
            <w:r w:rsidRPr="00964EEE">
              <w:lastRenderedPageBreak/>
              <w:t>(35)</w:t>
            </w:r>
            <w:r w:rsidRPr="00964EEE">
              <w:tab/>
              <w:t>Instytucje płat</w:t>
            </w:r>
            <w:r w:rsidRPr="00964EEE">
              <w:t xml:space="preserve">nicze powinny mieć możliwość przyznawania kredytu, ale działalność ta powinny podlegać pewnym </w:t>
            </w:r>
            <w:r w:rsidRPr="00964EEE">
              <w:lastRenderedPageBreak/>
              <w:t>rygorystycznym warunkom. Należy zatem uregulować udzielanie przez instytucje płatnicze kredytów w formie linii kredytowych i wydawania kart kredytowych w zakresie</w:t>
            </w:r>
            <w:r w:rsidRPr="00964EEE">
              <w:t>, w jakim usługi te ułatwiają usługi płatnicze, w tym na zasadzie odnawialnej. Należy zezwolić instytucjom płatniczym na udzielanie kredytu krótkoterminowego w odniesieniu do ich działalności transgranicznej, pod warunkiem że jest on pokrywany głównie z fu</w:t>
            </w:r>
            <w:r w:rsidRPr="00964EEE">
              <w:t>nduszy własnych instytucji płatniczej, jak również innych środków pieniężnych pozyskanych z rynków kapitałowych, a nie ze środków pieniężnych przechowywanych w imieniu klientów do celów usług płatniczych. Możliwość ta powinna jednak pozostawać bez uszczerb</w:t>
            </w:r>
            <w:r w:rsidRPr="00964EEE">
              <w:t>ku dla dyrektywy Parlamentu Europejskiego i Rady 2008/48/WE</w:t>
            </w:r>
            <w:r w:rsidRPr="00964EEE">
              <w:rPr>
                <w:vertAlign w:val="superscript"/>
              </w:rPr>
              <w:t>39</w:t>
            </w:r>
            <w:r w:rsidRPr="00964EEE">
              <w:t xml:space="preserve"> lub innych stosownych przepisów prawa Unii lub środków krajowych regulujących warunki udzielania kredytów konsumentom. Ze względu na zasadniczo pożyczkowy charakter usług typu „kup teraz, zapłać</w:t>
            </w:r>
            <w:r w:rsidRPr="00964EEE">
              <w:t xml:space="preserve"> później” usługi te nie powinny stanowić usługi płatniczej. Usługi te są objęte zakresem nowej dyrektywy w sprawie kredytów konsumenckich zastępującej dyrektywę 2008/48/WE.</w:t>
            </w:r>
          </w:p>
        </w:tc>
      </w:tr>
      <w:tr w:rsidR="00CB3C1D" w:rsidRPr="00964EEE" w:rsidTr="00AE7AC1">
        <w:trPr>
          <w:jc w:val="center"/>
        </w:trPr>
        <w:tc>
          <w:tcPr>
            <w:tcW w:w="4876" w:type="dxa"/>
            <w:hideMark/>
          </w:tcPr>
          <w:p w:rsidR="00AE7AC1" w:rsidRPr="00964EEE" w:rsidRDefault="00E97736">
            <w:pPr>
              <w:pStyle w:val="Normal6"/>
            </w:pPr>
            <w:r w:rsidRPr="00964EEE">
              <w:lastRenderedPageBreak/>
              <w:t>__________________</w:t>
            </w:r>
          </w:p>
        </w:tc>
        <w:tc>
          <w:tcPr>
            <w:tcW w:w="4876" w:type="dxa"/>
            <w:hideMark/>
          </w:tcPr>
          <w:p w:rsidR="00AE7AC1" w:rsidRPr="00964EEE" w:rsidRDefault="00E97736">
            <w:pPr>
              <w:pStyle w:val="Normal6"/>
              <w:rPr>
                <w:szCs w:val="24"/>
              </w:rPr>
            </w:pPr>
            <w:r w:rsidRPr="00964EEE">
              <w:t>__________________</w:t>
            </w:r>
          </w:p>
        </w:tc>
      </w:tr>
      <w:tr w:rsidR="00CB3C1D" w:rsidRPr="00964EEE" w:rsidTr="00AE7AC1">
        <w:trPr>
          <w:jc w:val="center"/>
        </w:trPr>
        <w:tc>
          <w:tcPr>
            <w:tcW w:w="4876" w:type="dxa"/>
            <w:hideMark/>
          </w:tcPr>
          <w:p w:rsidR="00AE7AC1" w:rsidRPr="00964EEE" w:rsidRDefault="00E97736">
            <w:pPr>
              <w:pStyle w:val="Normal6"/>
            </w:pPr>
            <w:r w:rsidRPr="00964EEE">
              <w:rPr>
                <w:vertAlign w:val="superscript"/>
              </w:rPr>
              <w:t>39</w:t>
            </w:r>
            <w:r w:rsidRPr="00964EEE">
              <w:t xml:space="preserve"> Dyrektywa Parlamentu Europejskiego i Rad</w:t>
            </w:r>
            <w:r w:rsidRPr="00964EEE">
              <w:t>y 2008/48/WE z dnia 23 kwietnia 2008 r. w sprawie umów o kredyt konsumencki oraz uchylająca dyrektywę Rady 87/102/EWG (Dz.U. L 133 z 22.5.2008, s. 66).</w:t>
            </w:r>
          </w:p>
        </w:tc>
        <w:tc>
          <w:tcPr>
            <w:tcW w:w="4876" w:type="dxa"/>
            <w:hideMark/>
          </w:tcPr>
          <w:p w:rsidR="00AE7AC1" w:rsidRPr="00964EEE" w:rsidRDefault="00E97736">
            <w:pPr>
              <w:pStyle w:val="Normal6"/>
              <w:rPr>
                <w:szCs w:val="24"/>
              </w:rPr>
            </w:pPr>
            <w:r w:rsidRPr="00964EEE">
              <w:rPr>
                <w:vertAlign w:val="superscript"/>
              </w:rPr>
              <w:t>39</w:t>
            </w:r>
            <w:r w:rsidRPr="00964EEE">
              <w:t xml:space="preserve"> Dyrektywa Parlamentu Europejskiego i Rady 2008/48/WE z dnia 23 kwietnia 2008 r. w sprawie umów o kred</w:t>
            </w:r>
            <w:r w:rsidRPr="00964EEE">
              <w:t>yt konsumencki oraz uchylająca dyrektywę Rady 87/102/EWG (Dz.U. L 133 z 22.5.2008, s. 66).</w:t>
            </w: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66</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Marek Belka, Paul Tang, René Repasi</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lastRenderedPageBreak/>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Motyw 37 a (nowy)</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tcPr>
          <w:p w:rsidR="00AE7AC1" w:rsidRPr="00964EEE" w:rsidRDefault="00AE7AC1">
            <w:pPr>
              <w:pStyle w:val="Normal6"/>
            </w:pPr>
          </w:p>
        </w:tc>
        <w:tc>
          <w:tcPr>
            <w:tcW w:w="4876" w:type="dxa"/>
            <w:hideMark/>
          </w:tcPr>
          <w:p w:rsidR="00AE7AC1" w:rsidRPr="00964EEE" w:rsidRDefault="00E97736">
            <w:pPr>
              <w:pStyle w:val="Normal6"/>
              <w:rPr>
                <w:szCs w:val="24"/>
              </w:rPr>
            </w:pPr>
            <w:r w:rsidRPr="00964EEE">
              <w:rPr>
                <w:b/>
                <w:i/>
              </w:rPr>
              <w:t>(37a)</w:t>
            </w:r>
            <w:r w:rsidRPr="00964EEE">
              <w:rPr>
                <w:b/>
                <w:i/>
              </w:rPr>
              <w:tab/>
              <w:t xml:space="preserve">Aby instytucje płatnicze mogły rzeczywiście angażować się w świadczenie usług transgranicznych, Komisja powinna </w:t>
            </w:r>
            <w:r w:rsidRPr="00964EEE">
              <w:rPr>
                <w:b/>
                <w:i/>
              </w:rPr>
              <w:t>udostępnić określoną stronę internetową lub punkt kompleksowej obsługi z wszystkimi informacjami na temat sposobu rejestracji w poszczególnych państwach członkowskich.</w:t>
            </w: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67</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Ondřej Kovařík</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Motyw 45 a (nowy)</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tcPr>
          <w:p w:rsidR="00AE7AC1" w:rsidRPr="00964EEE" w:rsidRDefault="00AE7AC1">
            <w:pPr>
              <w:pStyle w:val="Normal6"/>
            </w:pPr>
          </w:p>
        </w:tc>
        <w:tc>
          <w:tcPr>
            <w:tcW w:w="4876" w:type="dxa"/>
            <w:hideMark/>
          </w:tcPr>
          <w:p w:rsidR="00AE7AC1" w:rsidRPr="00964EEE" w:rsidRDefault="00E97736">
            <w:pPr>
              <w:pStyle w:val="Normal6"/>
              <w:rPr>
                <w:szCs w:val="24"/>
              </w:rPr>
            </w:pPr>
            <w:r w:rsidRPr="00964EEE">
              <w:rPr>
                <w:b/>
                <w:i/>
              </w:rPr>
              <w:t>(45a)</w:t>
            </w:r>
            <w:r w:rsidRPr="00964EEE">
              <w:rPr>
                <w:b/>
                <w:i/>
              </w:rPr>
              <w:tab/>
              <w:t>Jeżeli nabywcy korzystają z usług agenta w celu świ</w:t>
            </w:r>
            <w:r w:rsidRPr="00964EEE">
              <w:rPr>
                <w:b/>
                <w:i/>
              </w:rPr>
              <w:t>adczenia usług płatniczych, należy zauważyć, że agent ten działa wyłącznie w imieniu jednego nabywcy jako główny dostawca usług płatniczych, a nie w odniesieniu do wszystkich usług płatniczych świadczonych na rzecz użytkownika usług płatniczych.</w:t>
            </w: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68</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Ondřej Kovařík</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Motyw 45 b (nowy)</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w:t>
            </w:r>
            <w:r w:rsidRPr="00964EEE">
              <w:t>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tcPr>
          <w:p w:rsidR="00AE7AC1" w:rsidRPr="00964EEE" w:rsidRDefault="00AE7AC1">
            <w:pPr>
              <w:pStyle w:val="Normal6"/>
            </w:pPr>
          </w:p>
        </w:tc>
        <w:tc>
          <w:tcPr>
            <w:tcW w:w="4876" w:type="dxa"/>
            <w:hideMark/>
          </w:tcPr>
          <w:p w:rsidR="00AE7AC1" w:rsidRPr="00964EEE" w:rsidRDefault="00E97736" w:rsidP="009C45E4">
            <w:pPr>
              <w:pStyle w:val="Normal6"/>
              <w:rPr>
                <w:szCs w:val="24"/>
              </w:rPr>
            </w:pPr>
            <w:r w:rsidRPr="00964EEE">
              <w:rPr>
                <w:b/>
                <w:i/>
              </w:rPr>
              <w:t>(45b)</w:t>
            </w:r>
            <w:r w:rsidRPr="00964EEE">
              <w:rPr>
                <w:b/>
                <w:i/>
              </w:rPr>
              <w:tab/>
              <w:t xml:space="preserve">Aby uwzględnić zmieniające się realia rynkowe, platformy handlowe i platformy wspierane przez dostawców usług płatniczych, które uwalniają tych ostatnich spod kontroli lub posiadania środków finansowych w imieniu osób trzecich, nie </w:t>
            </w:r>
            <w:r w:rsidRPr="00964EEE">
              <w:rPr>
                <w:b/>
                <w:i/>
              </w:rPr>
              <w:t>powinny być uznawane domyślnie za agentów dostawców usług płatniczych.</w:t>
            </w: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69</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Lídia Pereira</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w:t>
      </w:r>
      <w:r w:rsidRPr="00964EEE">
        <w:rPr>
          <w:rStyle w:val="HideTWBExt"/>
          <w:b w:val="0"/>
        </w:rPr>
        <w:t>cAmend&gt;</w:t>
      </w:r>
    </w:p>
    <w:p w:rsidR="00AE7AC1" w:rsidRPr="00964EEE" w:rsidRDefault="00E97736" w:rsidP="00AE7AC1">
      <w:pPr>
        <w:pStyle w:val="NormalBold"/>
      </w:pPr>
      <w:r w:rsidRPr="00964EEE">
        <w:rPr>
          <w:rStyle w:val="HideTWBExt"/>
          <w:b w:val="0"/>
        </w:rPr>
        <w:t>&lt;Article&gt;</w:t>
      </w:r>
      <w:r w:rsidRPr="00964EEE">
        <w:t>Motyw 62</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(62)</w:t>
            </w:r>
            <w:r w:rsidRPr="00964EEE">
              <w:tab/>
              <w:t>Aby jeszcze bardziej ułatwić dostęp do gotówki, co stanowi priorytet Komisji, sprzedawcy detaliczni powinni mieć możliwość oferowania w fizycznych punktach sprzedaży usług</w:t>
            </w:r>
            <w:r w:rsidRPr="00964EEE">
              <w:t xml:space="preserve"> wypłacania gotówki, nawet wówczas, gdy klient nie dokonuje zakupu, bez konieczności uzyskania zezwolenia na prowadzenie działalności jako dostawca usług płatniczych, rejestracji ani pełnienia roli agenta instytucji płatniczej. Takie usługi wypłaty gotówki</w:t>
            </w:r>
            <w:r w:rsidRPr="00964EEE">
              <w:t xml:space="preserve"> powinny jednak podlegać obowiązkowi ujawniania opłat pobieranych od klienta, jeśli ma to miejsce. Wspomniane usługi powinni świadczyć sprzedawcy detaliczni dobrowolnie i powinny być uzależnione od dostępnej dla nich gotówki. Aby zapobiec nieuczciwej konku</w:t>
            </w:r>
            <w:r w:rsidRPr="00964EEE">
              <w:t xml:space="preserve">rencji między operatorami bankomatów nieprowadzącymi rachunków płatniczych a sprzedawcami detalicznymi oferującymi wypłaty gotówki bez zakupu oraz </w:t>
            </w:r>
            <w:r w:rsidRPr="00964EEE">
              <w:lastRenderedPageBreak/>
              <w:t>zapewnić, by sklepom nie wyczerpywała się szybko gotówka, należy nałożyć limit w wysokości 50 EUR na transakc</w:t>
            </w:r>
            <w:r w:rsidRPr="00964EEE">
              <w:t>ję.</w:t>
            </w:r>
          </w:p>
        </w:tc>
        <w:tc>
          <w:tcPr>
            <w:tcW w:w="4876" w:type="dxa"/>
            <w:hideMark/>
          </w:tcPr>
          <w:p w:rsidR="00AE7AC1" w:rsidRPr="00964EEE" w:rsidRDefault="00E97736">
            <w:pPr>
              <w:pStyle w:val="Normal6"/>
              <w:rPr>
                <w:szCs w:val="24"/>
              </w:rPr>
            </w:pPr>
            <w:r w:rsidRPr="00964EEE">
              <w:lastRenderedPageBreak/>
              <w:t>(62)</w:t>
            </w:r>
            <w:r w:rsidRPr="00964EEE">
              <w:tab/>
              <w:t>Aby jeszcze bardziej ułatwić dostęp do gotówki, co stanowi priorytet Komisji, sprzedawcy detaliczni powinni mieć możliwość oferowania w fizycznych punktach sprzedaży usług wypłacania gotówki, nawet wówczas, gdy klient nie dokonuje zakupu, bez koni</w:t>
            </w:r>
            <w:r w:rsidRPr="00964EEE">
              <w:t>eczności uzyskania zezwolenia na prowadzenie działalności jako dostawca usług płatniczych, rejestracji ani pełnienia roli agenta instytucji płatniczej. Takie usługi wypłaty gotówki powinny jednak podlegać obowiązkowi ujawniania opłat pobieranych od klienta</w:t>
            </w:r>
            <w:r w:rsidRPr="00964EEE">
              <w:t>, jeśli ma to miejsce. Wspomniane usługi powinni świadczyć sprzedawcy detaliczni dobrowolnie i powinny być uzależnione od dostępnej dla nich gotówki. Aby zapobiec nieuczciwej konkurencji między operatorami bankomatów nieprowadzącymi rachunków płatniczych a</w:t>
            </w:r>
            <w:r w:rsidRPr="00964EEE">
              <w:t xml:space="preserve"> sprzedawcami detalicznymi oferującymi wypłaty gotówki bez zakupu oraz </w:t>
            </w:r>
            <w:r w:rsidRPr="00964EEE">
              <w:lastRenderedPageBreak/>
              <w:t>zapewnić, by sklepom nie wyczerpywała się szybko gotówka, należy nałożyć limit w wysokości 50 EUR na transakcję</w:t>
            </w:r>
            <w:r w:rsidRPr="00964EEE">
              <w:rPr>
                <w:b/>
                <w:i/>
              </w:rPr>
              <w:t xml:space="preserve"> i 500 EUR miesięcznie.</w:t>
            </w:r>
            <w:r w:rsidRPr="00964EEE">
              <w:t xml:space="preserve"> </w:t>
            </w:r>
            <w:r w:rsidRPr="00964EEE">
              <w:rPr>
                <w:b/>
                <w:i/>
              </w:rPr>
              <w:t xml:space="preserve">Oferując tę usługę, sprzedawcy detaliczni powinni </w:t>
            </w:r>
            <w:r w:rsidRPr="00964EEE">
              <w:rPr>
                <w:b/>
                <w:i/>
              </w:rPr>
              <w:t>mieć obowiązek domagać się od klienta ręcznego wprowadzenia kodu PIN.</w:t>
            </w:r>
          </w:p>
        </w:tc>
      </w:tr>
    </w:tbl>
    <w:p w:rsidR="00AE7AC1" w:rsidRPr="00964EEE" w:rsidRDefault="00E97736" w:rsidP="00AE7AC1">
      <w:pPr>
        <w:pStyle w:val="Olang"/>
      </w:pPr>
      <w:r w:rsidRPr="00964EEE">
        <w:lastRenderedPageBreak/>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70</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Marek Belka, Paul Tang, René Repasi</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 xml:space="preserve">Wniosek </w:t>
      </w:r>
      <w:r w:rsidRPr="00964EEE">
        <w:t>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Motyw 62</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(62)</w:t>
            </w:r>
            <w:r w:rsidRPr="00964EEE">
              <w:tab/>
              <w:t xml:space="preserve">Aby jeszcze bardziej ułatwić dostęp do gotówki, co stanowi priorytet Komisji, sprzedawcy detaliczni powinni mieć możliwość oferowania w fizycznych </w:t>
            </w:r>
            <w:r w:rsidRPr="00964EEE">
              <w:t>punktach sprzedaży usług wypłacania gotówki, nawet wówczas, gdy klient nie dokonuje zakupu, bez konieczności uzyskania zezwolenia na prowadzenie działalności jako dostawca usług płatniczych, rejestracji ani pełnienia roli agenta instytucji płatniczej. Taki</w:t>
            </w:r>
            <w:r w:rsidRPr="00964EEE">
              <w:t>e usługi wypłaty gotówki powinny jednak podlegać obowiązkowi ujawniania opłat pobieranych od klienta, jeśli ma to miejsce. Wspomniane usługi powinni świadczyć sprzedawcy detaliczni dobrowolnie i powinny być uzależnione od dostępnej dla nich gotówki. Aby za</w:t>
            </w:r>
            <w:r w:rsidRPr="00964EEE">
              <w:t>pobiec nieuczciwej konkurencji między operatorami bankomatów nieprowadzącymi rachunków płatniczych a sprzedawcami detalicznymi oferującymi wypłaty gotówki bez zakupu oraz zapewnić, by sklepom nie wyczerpywała się szybko gotówka, należy nałożyć limit w wyso</w:t>
            </w:r>
            <w:r w:rsidRPr="00964EEE">
              <w:t xml:space="preserve">kości </w:t>
            </w:r>
            <w:r w:rsidRPr="00964EEE">
              <w:rPr>
                <w:b/>
                <w:i/>
              </w:rPr>
              <w:t>50</w:t>
            </w:r>
            <w:r w:rsidRPr="00964EEE">
              <w:t xml:space="preserve"> EUR na transakcję.</w:t>
            </w:r>
          </w:p>
        </w:tc>
        <w:tc>
          <w:tcPr>
            <w:tcW w:w="4876" w:type="dxa"/>
            <w:hideMark/>
          </w:tcPr>
          <w:p w:rsidR="00AE7AC1" w:rsidRPr="00964EEE" w:rsidRDefault="00E97736">
            <w:pPr>
              <w:pStyle w:val="Normal6"/>
              <w:rPr>
                <w:szCs w:val="24"/>
              </w:rPr>
            </w:pPr>
            <w:r w:rsidRPr="00964EEE">
              <w:t>(62)</w:t>
            </w:r>
            <w:r w:rsidRPr="00964EEE">
              <w:tab/>
              <w:t>Aby jeszcze bardziej ułatwić dostęp do gotówki, co stanowi priorytet Komisji, sprzedawcy detaliczni powinni mieć możliwość oferowania w fizycznych punktach sprzedaży usług wypłacania gotówki, nawet wówczas, gdy klient nie d</w:t>
            </w:r>
            <w:r w:rsidRPr="00964EEE">
              <w:t>okonuje zakupu, bez konieczności uzyskania zezwolenia na prowadzenie działalności jako dostawca usług płatniczych, rejestracji ani pełnienia roli agenta instytucji płatniczej. Takie usługi wypłaty gotówki powinny jednak podlegać obowiązkowi ujawniania opła</w:t>
            </w:r>
            <w:r w:rsidRPr="00964EEE">
              <w:t>t pobieranych od klienta, jeśli ma to miejsce. Wspomniane usługi powinni świadczyć sprzedawcy detaliczni dobrowolnie i powinny być uzależnione od dostępnej dla nich gotówki. Aby zapobiec nieuczciwej konkurencji między operatorami bankomatów nieprowadzącymi</w:t>
            </w:r>
            <w:r w:rsidRPr="00964EEE">
              <w:t xml:space="preserve"> rachunków płatniczych a sprzedawcami detalicznymi oferującymi wypłaty gotówki bez zakupu oraz zapewnić, by sklepom nie wyczerpywała się szybko gotówka, należy nałożyć limit w wysokości </w:t>
            </w:r>
            <w:r w:rsidRPr="00964EEE">
              <w:rPr>
                <w:b/>
                <w:i/>
              </w:rPr>
              <w:t>100</w:t>
            </w:r>
            <w:r w:rsidRPr="00964EEE">
              <w:t xml:space="preserve"> EUR</w:t>
            </w:r>
            <w:r w:rsidRPr="00964EEE">
              <w:rPr>
                <w:b/>
                <w:i/>
              </w:rPr>
              <w:t xml:space="preserve"> lub odpowiedniej kwoty w walucie danego państwa członkowskiego</w:t>
            </w:r>
            <w:r w:rsidRPr="00964EEE">
              <w:t xml:space="preserve"> na transakcję.</w:t>
            </w:r>
          </w:p>
        </w:tc>
      </w:tr>
    </w:tbl>
    <w:p w:rsidR="00AE7AC1" w:rsidRPr="00964EEE" w:rsidRDefault="00E97736" w:rsidP="00AE7AC1">
      <w:pPr>
        <w:pStyle w:val="Olang"/>
      </w:pPr>
      <w:r w:rsidRPr="00964EEE">
        <w:lastRenderedPageBreak/>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71</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Marek Belka, Paul Tang, René Repasi</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Motyw 68</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(68)</w:t>
            </w:r>
            <w:r w:rsidRPr="00964EEE">
              <w:tab/>
              <w:t>Niniejsza dyrektywa nie obejmuje wymogów w zakresie udzielania zezwoleń dotyczących systemów płatności, schematów płatności lub uzgodnień w zakresie płatności, biorąc pod uwagę potrzebę uniknięcia</w:t>
            </w:r>
            <w:r w:rsidRPr="00964EEE">
              <w:t xml:space="preserve"> powielania kompetencji przewidzianych już w ramach nadzoru Eurosystemu nad systemami płatności detalicznych, w tym nad systemami płatności o znaczeniu systemowym i innymi systemami, a także w nowych ramach PISA Eurosystemu oraz uniknięcia powielania nadzo</w:t>
            </w:r>
            <w:r w:rsidRPr="00964EEE">
              <w:t xml:space="preserve">ru sprawowanego przez krajowe banki centralne. </w:t>
            </w:r>
            <w:r w:rsidRPr="00964EEE">
              <w:rPr>
                <w:b/>
                <w:i/>
              </w:rPr>
              <w:t>Zakres stosowania niniejszej dyrektywy nie obejmuje również świadczenia usług technicznych, w tym przetwarzania lub obsługi cyfrowych portfeli.</w:t>
            </w:r>
            <w:r w:rsidRPr="00964EEE">
              <w:t xml:space="preserve"> Biorąc jednak pod uwagę tempo innowacji w sektorze płatności i mo</w:t>
            </w:r>
            <w:r w:rsidRPr="00964EEE">
              <w:t>żliwe pojawienie się nowych rodzajów ryzyka, konieczne jest, aby w przyszłym przeglądzie niniejszej dyrektywy Komisja zwróciła szczególną uwagę na te zmiany i oceniła, czy zakres stosowania dyrektywy należy rozszerzyć na nowe usługi i podmioty.</w:t>
            </w:r>
          </w:p>
        </w:tc>
        <w:tc>
          <w:tcPr>
            <w:tcW w:w="4876" w:type="dxa"/>
            <w:hideMark/>
          </w:tcPr>
          <w:p w:rsidR="00AE7AC1" w:rsidRPr="00964EEE" w:rsidRDefault="00E97736">
            <w:pPr>
              <w:pStyle w:val="Normal6"/>
              <w:rPr>
                <w:szCs w:val="24"/>
              </w:rPr>
            </w:pPr>
            <w:r w:rsidRPr="00964EEE">
              <w:t>(68)</w:t>
            </w:r>
            <w:r w:rsidRPr="00964EEE">
              <w:tab/>
              <w:t>Niniej</w:t>
            </w:r>
            <w:r w:rsidRPr="00964EEE">
              <w:t>sza dyrektywa nie obejmuje wymogów w zakresie udzielania zezwoleń dotyczących systemów płatności, schematów płatności lub uzgodnień w zakresie płatności, biorąc pod uwagę potrzebę uniknięcia powielania kompetencji przewidzianych już w ramach nadzoru Eurosy</w:t>
            </w:r>
            <w:r w:rsidRPr="00964EEE">
              <w:t>stemu nad systemami płatności detalicznych, w tym nad systemami płatności o znaczeniu systemowym i innymi systemami, a także w nowych ramach PISA Eurosystemu oraz uniknięcia powielania nadzoru sprawowanego przez krajowe banki centralne. Biorąc jednak pod u</w:t>
            </w:r>
            <w:r w:rsidRPr="00964EEE">
              <w:t>wagę tempo innowacji w sektorze płatności i możliwe pojawienie się nowych rodzajów ryzyka, konieczne jest, aby w przyszłym przeglądzie niniejszej dyrektywy Komisja zwróciła szczególną uwagę na te zmiany i oceniła, czy zakres stosowania dyrektywy należy roz</w:t>
            </w:r>
            <w:r w:rsidRPr="00964EEE">
              <w:t>szerzyć na nowe usługi i podmioty.</w:t>
            </w: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72</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Marek Belka, Paul Tang, René Repasi</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Motyw 71</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(71)</w:t>
            </w:r>
            <w:r w:rsidRPr="00964EEE">
              <w:tab/>
              <w:t>Instytucje płatnicze nie są ujęte w wykazie podmiotów objętych definicją „instytucji” zawartą w art. 2 lit. b) dyrektywy 98/26/WE Parlamentu Europejskiego i Rady</w:t>
            </w:r>
            <w:r w:rsidRPr="00964EEE">
              <w:rPr>
                <w:vertAlign w:val="superscript"/>
              </w:rPr>
              <w:t>47</w:t>
            </w:r>
            <w:r w:rsidRPr="00964EEE">
              <w:t>. W związku z ty</w:t>
            </w:r>
            <w:r w:rsidRPr="00964EEE">
              <w:t>m uczestnictwo instytucji płatniczych w systemach płatności wskazanych przez państwa członkowskie zgodnie z tą dyrektywą jest faktycznie niemożliwe. Brak dostępu do niektórych kluczowych systemów płatności może utrudniać instytucjom płatniczym skuteczne i </w:t>
            </w:r>
            <w:r w:rsidRPr="00964EEE">
              <w:t>konkurencyjne świadczenie pełnego zakresu usług płatniczych na rzecz swoich klientów. Uzasadnione jest zatem włączenie instytucji płatniczych do definicji „instytucji” zawartej w tej dyrektywie, ale tylko do celów związanych z systemami płatności, a nie do</w:t>
            </w:r>
            <w:r w:rsidRPr="00964EEE">
              <w:t xml:space="preserve"> celów związanych z systemami rozrachunku papierów wartościowych. Aby móc uczestniczyć w systemach płatności, instytucje płatnicze powinny spełniać wymogi i przestrzegać zasad funkcjonowania tych systemów. W rozporządzeniu XXX [PSR] nakłada się na operator</w:t>
            </w:r>
            <w:r w:rsidRPr="00964EEE">
              <w:t xml:space="preserve">ów systemów płatności wymogi dotyczące przyjmowania nowych wnioskodawców ubiegających się o uczestnictwo, w tym wymogi w zakresie oceny istotnych rodzajów ryzyka. </w:t>
            </w:r>
            <w:r w:rsidRPr="00964EEE">
              <w:rPr>
                <w:b/>
                <w:i/>
              </w:rPr>
              <w:t xml:space="preserve">Ze względu na znaczenie, jakie ma jak najszybsze przywrócenie równych warunków działania dla </w:t>
            </w:r>
            <w:r w:rsidRPr="00964EEE">
              <w:rPr>
                <w:b/>
                <w:i/>
              </w:rPr>
              <w:t>banków i instytucji niebędących bankami, oraz na wpływ obecnej sytuacji na konkurencję na rynkach płatności konieczne jest wyznaczenie państwom członkowskim krótszego terminu transpozycji i stosowania tego nowego przepisu dyrektywy 98/26/WE niż innych prze</w:t>
            </w:r>
            <w:r w:rsidRPr="00964EEE">
              <w:rPr>
                <w:b/>
                <w:i/>
              </w:rPr>
              <w:t xml:space="preserve">pisów niniejszej dyrektywy. Należy zatem wymagać od państw członkowskich transpozycji tego nowego przepisu do prawa krajowego w terminie 6 miesięcy od </w:t>
            </w:r>
            <w:r w:rsidRPr="00964EEE">
              <w:rPr>
                <w:b/>
                <w:i/>
              </w:rPr>
              <w:lastRenderedPageBreak/>
              <w:t xml:space="preserve">wejścia w życie niniejszej dyrektywy, a nie w terminie 18 miesięcy, który ma zastosowanie do pozostałych </w:t>
            </w:r>
            <w:r w:rsidRPr="00964EEE">
              <w:rPr>
                <w:b/>
                <w:i/>
              </w:rPr>
              <w:t>przepisów niniejszej dyrektywy.</w:t>
            </w:r>
          </w:p>
        </w:tc>
        <w:tc>
          <w:tcPr>
            <w:tcW w:w="4876" w:type="dxa"/>
            <w:hideMark/>
          </w:tcPr>
          <w:p w:rsidR="00AE7AC1" w:rsidRPr="00964EEE" w:rsidRDefault="00E97736" w:rsidP="009C45E4">
            <w:pPr>
              <w:pStyle w:val="Normal6"/>
              <w:rPr>
                <w:szCs w:val="24"/>
              </w:rPr>
            </w:pPr>
            <w:r w:rsidRPr="00964EEE">
              <w:lastRenderedPageBreak/>
              <w:t>(71)</w:t>
            </w:r>
            <w:r w:rsidRPr="00964EEE">
              <w:tab/>
              <w:t>Instytucje płatnicze nie są ujęte w wykazie podmiotów objętych definicją „instytucji” zawartą w art. 2 lit. b) dyrektywy 98/26/WE Parlamentu Europejskiego i Rady</w:t>
            </w:r>
            <w:r w:rsidRPr="00964EEE">
              <w:rPr>
                <w:vertAlign w:val="superscript"/>
              </w:rPr>
              <w:t>47</w:t>
            </w:r>
            <w:r w:rsidRPr="00964EEE">
              <w:t xml:space="preserve">. W związku z tym uczestnictwo instytucji płatniczych </w:t>
            </w:r>
            <w:r w:rsidRPr="00964EEE">
              <w:t>w systemach płatności wskazanych przez państwa członkowskie zgodnie z tą dyrektywą jest faktycznie niemożliwe. Brak dostępu do niektórych kluczowych systemów płatności może utrudniać instytucjom płatniczym skuteczne i konkurencyjne świadczenie pełnego zakr</w:t>
            </w:r>
            <w:r w:rsidRPr="00964EEE">
              <w:t>esu usług płatniczych na rzecz swoich klientów. Uzasadnione jest zatem włączenie instytucji płatniczych do definicji „instytucji” zawartej w tej dyrektywie, ale tylko do celów związanych z systemami płatności, a nie do celów związanych z systemami rozrachu</w:t>
            </w:r>
            <w:r w:rsidRPr="00964EEE">
              <w:t xml:space="preserve">nku papierów wartościowych. </w:t>
            </w:r>
            <w:r w:rsidRPr="00964EEE">
              <w:rPr>
                <w:b/>
                <w:i/>
              </w:rPr>
              <w:t>W związku z tym z zadowoleniem należy przyjąć, że już podjęto ten krok za pośrednictwem rozporządzenia w sprawie płatności natychmiastowych.</w:t>
            </w:r>
            <w:r w:rsidRPr="00964EEE">
              <w:t xml:space="preserve"> Aby móc uczestniczyć w systemach płatności, instytucje płatnicze powinny spełniać wymog</w:t>
            </w:r>
            <w:r w:rsidRPr="00964EEE">
              <w:t>i i przestrzegać zasad funkcjonowania tych systemów. W rozporządzeniu XXX [PSR] nakłada się na operatorów systemów płatności wymogi dotyczące przyjmowania nowych wnioskodawców ubiegających się o uczestnictwo, w tym wymogi w zakresie oceny istotnych rodzajó</w:t>
            </w:r>
            <w:r w:rsidRPr="00964EEE">
              <w:t>w ryzyka.</w:t>
            </w:r>
          </w:p>
        </w:tc>
      </w:tr>
      <w:tr w:rsidR="00CB3C1D" w:rsidRPr="00964EEE" w:rsidTr="00AE7AC1">
        <w:trPr>
          <w:jc w:val="center"/>
        </w:trPr>
        <w:tc>
          <w:tcPr>
            <w:tcW w:w="4876" w:type="dxa"/>
            <w:hideMark/>
          </w:tcPr>
          <w:p w:rsidR="00AE7AC1" w:rsidRPr="00964EEE" w:rsidRDefault="00E97736">
            <w:pPr>
              <w:pStyle w:val="Normal6"/>
            </w:pPr>
            <w:r w:rsidRPr="00964EEE">
              <w:t>__________________</w:t>
            </w:r>
          </w:p>
        </w:tc>
        <w:tc>
          <w:tcPr>
            <w:tcW w:w="4876" w:type="dxa"/>
            <w:hideMark/>
          </w:tcPr>
          <w:p w:rsidR="00AE7AC1" w:rsidRPr="00964EEE" w:rsidRDefault="00E97736">
            <w:pPr>
              <w:pStyle w:val="Normal6"/>
              <w:rPr>
                <w:szCs w:val="24"/>
              </w:rPr>
            </w:pPr>
            <w:r w:rsidRPr="00964EEE">
              <w:t>__________________</w:t>
            </w:r>
          </w:p>
        </w:tc>
      </w:tr>
      <w:tr w:rsidR="00CB3C1D" w:rsidRPr="00964EEE" w:rsidTr="00AE7AC1">
        <w:trPr>
          <w:jc w:val="center"/>
        </w:trPr>
        <w:tc>
          <w:tcPr>
            <w:tcW w:w="4876" w:type="dxa"/>
            <w:hideMark/>
          </w:tcPr>
          <w:p w:rsidR="00AE7AC1" w:rsidRPr="00964EEE" w:rsidRDefault="00E97736">
            <w:pPr>
              <w:pStyle w:val="Normal6"/>
            </w:pPr>
            <w:r w:rsidRPr="00964EEE">
              <w:rPr>
                <w:vertAlign w:val="superscript"/>
              </w:rPr>
              <w:t>47</w:t>
            </w:r>
            <w:r w:rsidRPr="00964EEE">
              <w:t xml:space="preserve"> Dyrektywa 98/26/WE Parlamentu Europejskiego i Rady z dnia 19 maja 1998 r. w sprawie zamknięcia rozliczeń w systemach płatności i rozrachunku papierów wartościowych (Dz.U. L 166 z 11.6.1998, s. 45).</w:t>
            </w:r>
          </w:p>
        </w:tc>
        <w:tc>
          <w:tcPr>
            <w:tcW w:w="4876" w:type="dxa"/>
            <w:hideMark/>
          </w:tcPr>
          <w:p w:rsidR="00AE7AC1" w:rsidRPr="00964EEE" w:rsidRDefault="00E97736">
            <w:pPr>
              <w:pStyle w:val="Normal6"/>
              <w:rPr>
                <w:szCs w:val="24"/>
              </w:rPr>
            </w:pPr>
            <w:r w:rsidRPr="00964EEE">
              <w:rPr>
                <w:vertAlign w:val="superscript"/>
              </w:rPr>
              <w:t>47</w:t>
            </w:r>
            <w:r w:rsidRPr="00964EEE">
              <w:t xml:space="preserve"> Dy</w:t>
            </w:r>
            <w:r w:rsidRPr="00964EEE">
              <w:t>rektywa 98/26/WE Parlamentu Europejskiego i Rady z dnia 19 maja 1998 r. w sprawie zamknięcia rozliczeń w systemach płatności i rozrachunku papierów wartościowych (Dz.U. L 166 z 11.6.1998, s. 45).</w:t>
            </w: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w:t>
      </w:r>
      <w:r w:rsidRPr="00964EEE">
        <w:rPr>
          <w:rStyle w:val="HideTWBExt"/>
          <w:b w:val="0"/>
        </w:rPr>
        <w:t>NumAm&gt;</w:t>
      </w:r>
      <w:r w:rsidRPr="00964EEE">
        <w:t>73</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Marek Belka, Paul Tang, René Repasi</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Motyw 77</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(77)</w:t>
            </w:r>
            <w:r w:rsidRPr="00964EEE">
              <w:tab/>
            </w:r>
            <w:r w:rsidRPr="00964EEE">
              <w:t xml:space="preserve">Zgodnie z art. 42 ust. 1 rozporządzenia (UE) 2018/1725 skonsultowano się z Europejskim Inspektorem Ochrony Danych, który wydał opinię w dniu </w:t>
            </w:r>
            <w:r w:rsidRPr="00964EEE">
              <w:rPr>
                <w:b/>
                <w:i/>
              </w:rPr>
              <w:t>[XX XX</w:t>
            </w:r>
            <w:r w:rsidRPr="00964EEE">
              <w:t xml:space="preserve"> 2023 r.</w:t>
            </w:r>
            <w:r w:rsidRPr="00964EEE">
              <w:rPr>
                <w:b/>
                <w:i/>
              </w:rPr>
              <w:t>]</w:t>
            </w:r>
            <w:r w:rsidRPr="00964EEE">
              <w:t>,</w:t>
            </w:r>
          </w:p>
        </w:tc>
        <w:tc>
          <w:tcPr>
            <w:tcW w:w="4876" w:type="dxa"/>
            <w:hideMark/>
          </w:tcPr>
          <w:p w:rsidR="00AE7AC1" w:rsidRPr="00964EEE" w:rsidRDefault="00E97736">
            <w:pPr>
              <w:pStyle w:val="Normal6"/>
              <w:rPr>
                <w:szCs w:val="24"/>
              </w:rPr>
            </w:pPr>
            <w:r w:rsidRPr="00964EEE">
              <w:t>(77)</w:t>
            </w:r>
            <w:r w:rsidRPr="00964EEE">
              <w:tab/>
              <w:t>Zgodnie z art. 42 ust. 1 rozporządzenia (UE) 2018/1725 skonsultowano się z Europejskim Inspek</w:t>
            </w:r>
            <w:r w:rsidRPr="00964EEE">
              <w:t xml:space="preserve">torem Ochrony Danych, który wydał opinię w dniu </w:t>
            </w:r>
            <w:r w:rsidRPr="00964EEE">
              <w:rPr>
                <w:b/>
                <w:i/>
              </w:rPr>
              <w:t>22 sierpnia</w:t>
            </w:r>
            <w:r w:rsidRPr="00964EEE">
              <w:t xml:space="preserve"> 2023 r.,</w:t>
            </w: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74</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Lídia Pereira</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w:t>
      </w:r>
      <w:r w:rsidRPr="00964EEE">
        <w:rPr>
          <w:rStyle w:val="HideTWBExt"/>
          <w:b w:val="0"/>
        </w:rPr>
        <w:t>mend&gt;</w:t>
      </w:r>
    </w:p>
    <w:p w:rsidR="00AE7AC1" w:rsidRPr="00964EEE" w:rsidRDefault="00E97736" w:rsidP="00AE7AC1">
      <w:pPr>
        <w:pStyle w:val="NormalBold"/>
      </w:pPr>
      <w:r w:rsidRPr="00964EEE">
        <w:rPr>
          <w:rStyle w:val="HideTWBExt"/>
          <w:b w:val="0"/>
        </w:rPr>
        <w:t>&lt;Article&gt;</w:t>
      </w:r>
      <w:r w:rsidRPr="00964EEE">
        <w:t>Artykuł 2 – akapit 1 – punkt 24</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24)</w:t>
            </w:r>
            <w:r w:rsidRPr="00964EEE">
              <w:tab/>
              <w:t xml:space="preserve">„dostawca usług technicznych” oznacza dostawcę usług, które </w:t>
            </w:r>
            <w:r w:rsidRPr="00964EEE">
              <w:rPr>
                <w:b/>
                <w:i/>
              </w:rPr>
              <w:t>– mimo iż nie są usługami płatniczymi – są niezbędne do wspierania świadczenia</w:t>
            </w:r>
            <w:r w:rsidRPr="00964EEE">
              <w:t xml:space="preserve"> usług płatniczych, przy czym dostawca usług technicznych w żadnym momencie </w:t>
            </w:r>
            <w:r w:rsidRPr="00964EEE">
              <w:lastRenderedPageBreak/>
              <w:t>nie wchodzi w posiadanie środków pieniężnych, które mają zostać przekazane;</w:t>
            </w:r>
          </w:p>
        </w:tc>
        <w:tc>
          <w:tcPr>
            <w:tcW w:w="4876" w:type="dxa"/>
            <w:hideMark/>
          </w:tcPr>
          <w:p w:rsidR="00AE7AC1" w:rsidRPr="00964EEE" w:rsidRDefault="00E97736">
            <w:pPr>
              <w:pStyle w:val="Normal6"/>
              <w:rPr>
                <w:szCs w:val="24"/>
              </w:rPr>
            </w:pPr>
            <w:r w:rsidRPr="00964EEE">
              <w:lastRenderedPageBreak/>
              <w:t>24)</w:t>
            </w:r>
            <w:r w:rsidRPr="00964EEE">
              <w:tab/>
              <w:t xml:space="preserve">„dostawca usług technicznych” oznacza dostawcę usług, które </w:t>
            </w:r>
            <w:r w:rsidRPr="00964EEE">
              <w:rPr>
                <w:b/>
                <w:i/>
              </w:rPr>
              <w:t>wspierają świadczenie</w:t>
            </w:r>
            <w:r w:rsidRPr="00964EEE">
              <w:t xml:space="preserve"> usług płatniczych,</w:t>
            </w:r>
            <w:r w:rsidRPr="00964EEE">
              <w:t xml:space="preserve"> przy czym dostawca usług technicznych w żadnym momencie nie wchodzi w posiadanie środków pieniężnych, które mają zostać </w:t>
            </w:r>
            <w:r w:rsidRPr="00964EEE">
              <w:lastRenderedPageBreak/>
              <w:t>przekazane;</w:t>
            </w:r>
          </w:p>
        </w:tc>
      </w:tr>
    </w:tbl>
    <w:p w:rsidR="00AE7AC1" w:rsidRPr="00964EEE" w:rsidRDefault="00E97736" w:rsidP="00AE7AC1">
      <w:pPr>
        <w:pStyle w:val="Olang"/>
      </w:pPr>
      <w:r w:rsidRPr="00964EEE">
        <w:lastRenderedPageBreak/>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75</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Eugen Jurzyca</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Artykuł 2 – akapit 1 – punkt 24</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24)</w:t>
            </w:r>
            <w:r w:rsidRPr="00964EEE">
              <w:tab/>
              <w:t xml:space="preserve">„dostawca usług technicznych” oznacza dostawcę usług, które </w:t>
            </w:r>
            <w:r w:rsidRPr="00964EEE">
              <w:rPr>
                <w:b/>
                <w:i/>
              </w:rPr>
              <w:t xml:space="preserve">– mimo iż nie są </w:t>
            </w:r>
            <w:r w:rsidRPr="00964EEE">
              <w:rPr>
                <w:b/>
                <w:i/>
              </w:rPr>
              <w:t>usługami płatniczymi – są niezbędne do wspierania świadczenia</w:t>
            </w:r>
            <w:r w:rsidRPr="00964EEE">
              <w:t xml:space="preserve"> usług płatniczych, przy czym dostawca usług technicznych w żadnym momencie nie wchodzi w posiadanie środków pieniężnych, które mają zostać przekazane;</w:t>
            </w:r>
          </w:p>
        </w:tc>
        <w:tc>
          <w:tcPr>
            <w:tcW w:w="4876" w:type="dxa"/>
            <w:hideMark/>
          </w:tcPr>
          <w:p w:rsidR="00AE7AC1" w:rsidRPr="00964EEE" w:rsidRDefault="00E97736">
            <w:pPr>
              <w:pStyle w:val="Normal6"/>
              <w:rPr>
                <w:szCs w:val="24"/>
              </w:rPr>
            </w:pPr>
            <w:r w:rsidRPr="00964EEE">
              <w:t>24)</w:t>
            </w:r>
            <w:r w:rsidRPr="00964EEE">
              <w:tab/>
              <w:t>„dostawca usług technicznych” oznacza d</w:t>
            </w:r>
            <w:r w:rsidRPr="00964EEE">
              <w:t xml:space="preserve">ostawcę usług, które </w:t>
            </w:r>
            <w:r w:rsidRPr="00964EEE">
              <w:rPr>
                <w:b/>
                <w:i/>
              </w:rPr>
              <w:t>wspierają świadczenie</w:t>
            </w:r>
            <w:r w:rsidRPr="00964EEE">
              <w:t xml:space="preserve"> usług płatniczych, przy czym dostawca usług technicznych w żadnym momencie nie wchodzi w posiadanie środków pieniężnych, które mają zostać przekazane;</w:t>
            </w: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pPr>
        <w:pStyle w:val="JustificationTitle"/>
        <w:rPr>
          <w:noProof w:val="0"/>
        </w:rPr>
      </w:pPr>
      <w:r w:rsidRPr="00964EEE">
        <w:rPr>
          <w:rStyle w:val="HideTWBExt"/>
          <w:i w:val="0"/>
        </w:rPr>
        <w:t>&lt;TitreJust&gt;</w:t>
      </w:r>
      <w:r w:rsidRPr="00964EEE">
        <w:t>Uzasadnienie</w:t>
      </w:r>
      <w:r w:rsidRPr="00964EEE">
        <w:rPr>
          <w:rStyle w:val="HideTWBExt"/>
          <w:i w:val="0"/>
        </w:rPr>
        <w:t>&lt;/Titr</w:t>
      </w:r>
      <w:r w:rsidRPr="00964EEE">
        <w:rPr>
          <w:rStyle w:val="HideTWBExt"/>
          <w:i w:val="0"/>
        </w:rPr>
        <w:t>eJust&gt;</w:t>
      </w:r>
    </w:p>
    <w:p w:rsidR="00AE7AC1" w:rsidRPr="00964EEE" w:rsidRDefault="00E97736" w:rsidP="00AE7AC1">
      <w:pPr>
        <w:pStyle w:val="Normal12Italic"/>
        <w:rPr>
          <w:noProof w:val="0"/>
        </w:rPr>
      </w:pPr>
      <w:r w:rsidRPr="00964EEE">
        <w:t>Dostosowanie definicji do rozporządzenia w sprawie usług płatniczych.</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76</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Marek Belka, Paul Tang, René Repasi</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Artykuł 2 – akapit 1 – punkt 24</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24)</w:t>
            </w:r>
            <w:r w:rsidRPr="00964EEE">
              <w:tab/>
              <w:t xml:space="preserve">„dostawca usług technicznych” oznacza dostawcę usług, które </w:t>
            </w:r>
            <w:r w:rsidRPr="00964EEE">
              <w:rPr>
                <w:b/>
                <w:i/>
              </w:rPr>
              <w:t>– mimo iż nie są usługami płatniczymi – są niezbędne do wspierania świadczenia</w:t>
            </w:r>
            <w:r w:rsidRPr="00964EEE">
              <w:t xml:space="preserve"> usług płatniczych, przy czym dostawca usług technicznych w żadnym momencie nie wchodzi w posiadanie środków pieniężnych, które mają zostać przekazane;</w:t>
            </w:r>
          </w:p>
        </w:tc>
        <w:tc>
          <w:tcPr>
            <w:tcW w:w="4876" w:type="dxa"/>
            <w:hideMark/>
          </w:tcPr>
          <w:p w:rsidR="00AE7AC1" w:rsidRPr="00964EEE" w:rsidRDefault="00E97736">
            <w:pPr>
              <w:pStyle w:val="Normal6"/>
              <w:rPr>
                <w:szCs w:val="24"/>
              </w:rPr>
            </w:pPr>
            <w:r w:rsidRPr="00964EEE">
              <w:t>24)</w:t>
            </w:r>
            <w:r w:rsidRPr="00964EEE">
              <w:tab/>
              <w:t xml:space="preserve">„dostawca usług technicznych” oznacza dostawcę usług, które </w:t>
            </w:r>
            <w:r w:rsidRPr="00964EEE">
              <w:rPr>
                <w:b/>
                <w:i/>
              </w:rPr>
              <w:t>wspierają świadczenie</w:t>
            </w:r>
            <w:r w:rsidRPr="00964EEE">
              <w:t xml:space="preserve"> usług płatniczych,</w:t>
            </w:r>
            <w:r w:rsidRPr="00964EEE">
              <w:t xml:space="preserve"> przy czym dostawca usług technicznych w żadnym momencie nie wchodzi w posiadanie środków pieniężnych, które mają zostać przekazane;</w:t>
            </w:r>
          </w:p>
        </w:tc>
      </w:tr>
    </w:tbl>
    <w:p w:rsidR="00AE7AC1" w:rsidRPr="00964EEE" w:rsidRDefault="00E97736" w:rsidP="00AE7AC1">
      <w:pPr>
        <w:pStyle w:val="Olang"/>
      </w:pPr>
      <w:r w:rsidRPr="00964EEE">
        <w:lastRenderedPageBreak/>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pPr>
        <w:pStyle w:val="JustificationTitle"/>
        <w:rPr>
          <w:noProof w:val="0"/>
        </w:rPr>
      </w:pPr>
      <w:r w:rsidRPr="00964EEE">
        <w:rPr>
          <w:rStyle w:val="HideTWBExt"/>
          <w:i w:val="0"/>
        </w:rPr>
        <w:t>&lt;TitreJust&gt;</w:t>
      </w:r>
      <w:r w:rsidRPr="00964EEE">
        <w:t>Uzasadnienie</w:t>
      </w:r>
      <w:r w:rsidRPr="00964EEE">
        <w:rPr>
          <w:rStyle w:val="HideTWBExt"/>
          <w:i w:val="0"/>
        </w:rPr>
        <w:t>&lt;/TitreJust&gt;</w:t>
      </w:r>
    </w:p>
    <w:p w:rsidR="00AE7AC1" w:rsidRPr="00964EEE" w:rsidRDefault="00E97736" w:rsidP="00AE7AC1">
      <w:pPr>
        <w:pStyle w:val="Normal12Italic"/>
        <w:rPr>
          <w:noProof w:val="0"/>
        </w:rPr>
      </w:pPr>
      <w:r w:rsidRPr="00964EEE">
        <w:t>Definicja powinna być spójna z definicją zawartą w roz</w:t>
      </w:r>
      <w:r w:rsidRPr="00964EEE">
        <w:t>porządzeniu w sprawie usług płatniczych.</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77</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Eugen Jurzyca</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Artykuł 2 – akapit 1 – punkt 26</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26)</w:t>
            </w:r>
            <w:r w:rsidRPr="00964EEE">
              <w:tab/>
              <w:t xml:space="preserve">„dzień roboczy” oznacza dzień, w którym dostawca usług płatniczych płatnika lub odbiorcy uczestniczący w wykonaniu transakcji płatniczej prowadzi działalność </w:t>
            </w:r>
            <w:r w:rsidRPr="00964EEE">
              <w:rPr>
                <w:b/>
                <w:i/>
              </w:rPr>
              <w:t>wymaganą do wykonania</w:t>
            </w:r>
            <w:r w:rsidRPr="00964EEE">
              <w:t xml:space="preserve"> transakcji płatniczej;</w:t>
            </w:r>
          </w:p>
        </w:tc>
        <w:tc>
          <w:tcPr>
            <w:tcW w:w="4876" w:type="dxa"/>
            <w:hideMark/>
          </w:tcPr>
          <w:p w:rsidR="00AE7AC1" w:rsidRPr="00964EEE" w:rsidRDefault="00E97736">
            <w:pPr>
              <w:pStyle w:val="Normal6"/>
              <w:rPr>
                <w:szCs w:val="24"/>
              </w:rPr>
            </w:pPr>
            <w:r w:rsidRPr="00964EEE">
              <w:t>26)</w:t>
            </w:r>
            <w:r w:rsidRPr="00964EEE">
              <w:tab/>
              <w:t>„dz</w:t>
            </w:r>
            <w:r w:rsidRPr="00964EEE">
              <w:t xml:space="preserve">ień roboczy” oznacza dzień, w którym dostawca usług płatniczych płatnika lub odbiorcy uczestniczący w wykonaniu transakcji płatniczej prowadzi działalność </w:t>
            </w:r>
            <w:r w:rsidRPr="00964EEE">
              <w:rPr>
                <w:b/>
                <w:i/>
              </w:rPr>
              <w:t>polegającą na wykonaniu</w:t>
            </w:r>
            <w:r w:rsidRPr="00964EEE">
              <w:t xml:space="preserve"> transakcji płatniczej;</w:t>
            </w: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t>
      </w:r>
      <w:r w:rsidRPr="00964EEE">
        <w:t>wka</w:t>
      </w:r>
      <w:r w:rsidRPr="00964EEE">
        <w:tab/>
      </w:r>
      <w:r w:rsidRPr="00964EEE">
        <w:tab/>
      </w:r>
      <w:r w:rsidRPr="00964EEE">
        <w:rPr>
          <w:rStyle w:val="HideTWBExt"/>
          <w:b w:val="0"/>
        </w:rPr>
        <w:t>&lt;NumAm&gt;</w:t>
      </w:r>
      <w:r w:rsidRPr="00964EEE">
        <w:t>78</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Marek Belka, Paul Tang, René Repasi</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Artykuł 2 – akapit 1 – punkt 27</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27)</w:t>
            </w:r>
            <w:r w:rsidRPr="00964EEE">
              <w:tab/>
              <w:t xml:space="preserve">„usługi z zakresu technologii </w:t>
            </w:r>
            <w:r w:rsidRPr="00964EEE">
              <w:rPr>
                <w:b/>
                <w:i/>
              </w:rPr>
              <w:t>informacyjno-komunikacyjnej</w:t>
            </w:r>
            <w:r w:rsidRPr="00964EEE">
              <w:t xml:space="preserve"> (ICT)” oznaczają usługi ICT w rozumieniu art. 3 pkt 21 rozporządzenia (UE) 2022/2554;</w:t>
            </w:r>
          </w:p>
        </w:tc>
        <w:tc>
          <w:tcPr>
            <w:tcW w:w="4876" w:type="dxa"/>
            <w:hideMark/>
          </w:tcPr>
          <w:p w:rsidR="00AE7AC1" w:rsidRPr="00964EEE" w:rsidRDefault="00E97736">
            <w:pPr>
              <w:pStyle w:val="Normal6"/>
              <w:rPr>
                <w:szCs w:val="24"/>
              </w:rPr>
            </w:pPr>
            <w:r w:rsidRPr="00964EEE">
              <w:t>27)</w:t>
            </w:r>
            <w:r w:rsidRPr="00964EEE">
              <w:tab/>
              <w:t xml:space="preserve">„usługi z zakresu technologii </w:t>
            </w:r>
            <w:r w:rsidRPr="00964EEE">
              <w:rPr>
                <w:b/>
                <w:i/>
              </w:rPr>
              <w:t>informacyjno-komunikacyjnych</w:t>
            </w:r>
            <w:r w:rsidRPr="00964EEE">
              <w:t xml:space="preserve"> (ICT)” oznaczają usługi ICT w rozumieniu art.</w:t>
            </w:r>
            <w:r w:rsidRPr="00964EEE">
              <w:t> 3 pkt 21 rozporządzenia (UE) 2022/2554;</w:t>
            </w: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79</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Marek Belka, Paul Tang, René Repasi</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lastRenderedPageBreak/>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Artykuł 2 – akapit 1 – punkt 30</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30)</w:t>
            </w:r>
            <w:r w:rsidRPr="00964EEE">
              <w:tab/>
              <w:t>„grupa” oznacza grupę przedsiębiorstw, które są ze sobą powiązane jednym z rodzajów stosunków, o których mowa w art. 22 ust. 1</w:t>
            </w:r>
            <w:r w:rsidRPr="00964EEE">
              <w:rPr>
                <w:b/>
                <w:i/>
              </w:rPr>
              <w:t xml:space="preserve"> pkt</w:t>
            </w:r>
            <w:r w:rsidRPr="00964EEE">
              <w:t> 2 lub 7 dyrektywy Parlamen</w:t>
            </w:r>
            <w:r w:rsidRPr="00964EEE">
              <w:t>tu Europejskiego i Rady 2013/34/UE</w:t>
            </w:r>
            <w:r w:rsidRPr="00964EEE">
              <w:rPr>
                <w:vertAlign w:val="superscript"/>
              </w:rPr>
              <w:t>51</w:t>
            </w:r>
            <w:r w:rsidRPr="00964EEE">
              <w:t>, lub przedsiębiorstw, o których mowa w art. 4, 5, 6 i 7 rozporządzenia delegowanego Komisji (UE) nr 241/2014</w:t>
            </w:r>
            <w:r w:rsidRPr="00964EEE">
              <w:rPr>
                <w:vertAlign w:val="superscript"/>
              </w:rPr>
              <w:t>52</w:t>
            </w:r>
            <w:r w:rsidRPr="00964EEE">
              <w:t>, które są ze sobą powiązane jednym z rodzajów stosunków, o których mowa w art. 10 ust. 1 lub art. 113 ust. 6</w:t>
            </w:r>
            <w:r w:rsidRPr="00964EEE">
              <w:t xml:space="preserve"> akapit pierwszy lub art. 113 ust. 7 akapit pierwszy rozporządzenia (UE) nr 575/2013;</w:t>
            </w:r>
          </w:p>
        </w:tc>
        <w:tc>
          <w:tcPr>
            <w:tcW w:w="4876" w:type="dxa"/>
            <w:hideMark/>
          </w:tcPr>
          <w:p w:rsidR="00AE7AC1" w:rsidRPr="00964EEE" w:rsidRDefault="00E97736">
            <w:pPr>
              <w:pStyle w:val="Normal6"/>
              <w:rPr>
                <w:szCs w:val="24"/>
              </w:rPr>
            </w:pPr>
            <w:r w:rsidRPr="00964EEE">
              <w:t>30)</w:t>
            </w:r>
            <w:r w:rsidRPr="00964EEE">
              <w:tab/>
              <w:t>„grupa” oznacza grupę przedsiębiorstw, które są ze sobą powiązane jednym z rodzajów stosunków, o których mowa w art. 22 ust. 1</w:t>
            </w:r>
            <w:r w:rsidRPr="00964EEE">
              <w:rPr>
                <w:b/>
                <w:i/>
              </w:rPr>
              <w:t>,</w:t>
            </w:r>
            <w:r w:rsidRPr="00964EEE">
              <w:t> 2 lub 7 dyrektywy Parlamentu Europejsk</w:t>
            </w:r>
            <w:r w:rsidRPr="00964EEE">
              <w:t>iego i Rady 2013/34/UE</w:t>
            </w:r>
            <w:r w:rsidRPr="00964EEE">
              <w:rPr>
                <w:vertAlign w:val="superscript"/>
              </w:rPr>
              <w:t>51</w:t>
            </w:r>
            <w:r w:rsidRPr="00964EEE">
              <w:t>, lub przedsiębiorstw, o których mowa w art. 4, 5, 6 i 7 rozporządzenia delegowanego Komisji (UE) nr 241/2014</w:t>
            </w:r>
            <w:r w:rsidRPr="00964EEE">
              <w:rPr>
                <w:vertAlign w:val="superscript"/>
              </w:rPr>
              <w:t>52</w:t>
            </w:r>
            <w:r w:rsidRPr="00964EEE">
              <w:t>, które są ze sobą powiązane jednym z rodzajów stosunków, o których mowa w art. 10 ust. 1 lub art. 113 ust. 6 akapit pier</w:t>
            </w:r>
            <w:r w:rsidRPr="00964EEE">
              <w:t>wszy lub art. 113 ust. 7 akapit pierwszy rozporządzenia (UE) nr 575/2013;</w:t>
            </w:r>
          </w:p>
        </w:tc>
      </w:tr>
      <w:tr w:rsidR="00CB3C1D" w:rsidRPr="00964EEE" w:rsidTr="00AE7AC1">
        <w:trPr>
          <w:jc w:val="center"/>
        </w:trPr>
        <w:tc>
          <w:tcPr>
            <w:tcW w:w="4876" w:type="dxa"/>
            <w:hideMark/>
          </w:tcPr>
          <w:p w:rsidR="00AE7AC1" w:rsidRPr="00964EEE" w:rsidRDefault="00E97736">
            <w:pPr>
              <w:pStyle w:val="Normal6"/>
            </w:pPr>
            <w:r w:rsidRPr="00964EEE">
              <w:t>__________________</w:t>
            </w:r>
          </w:p>
        </w:tc>
        <w:tc>
          <w:tcPr>
            <w:tcW w:w="4876" w:type="dxa"/>
            <w:hideMark/>
          </w:tcPr>
          <w:p w:rsidR="00AE7AC1" w:rsidRPr="00964EEE" w:rsidRDefault="00E97736">
            <w:pPr>
              <w:pStyle w:val="Normal6"/>
              <w:rPr>
                <w:szCs w:val="24"/>
              </w:rPr>
            </w:pPr>
            <w:r w:rsidRPr="00964EEE">
              <w:t>__________________</w:t>
            </w:r>
          </w:p>
        </w:tc>
      </w:tr>
      <w:tr w:rsidR="00CB3C1D" w:rsidRPr="00964EEE" w:rsidTr="00AE7AC1">
        <w:trPr>
          <w:jc w:val="center"/>
        </w:trPr>
        <w:tc>
          <w:tcPr>
            <w:tcW w:w="4876" w:type="dxa"/>
            <w:hideMark/>
          </w:tcPr>
          <w:p w:rsidR="00AE7AC1" w:rsidRPr="00964EEE" w:rsidRDefault="00E97736">
            <w:pPr>
              <w:pStyle w:val="Normal6"/>
            </w:pPr>
            <w:r w:rsidRPr="00964EEE">
              <w:rPr>
                <w:vertAlign w:val="superscript"/>
              </w:rPr>
              <w:t>51</w:t>
            </w:r>
            <w:r w:rsidRPr="00964EEE">
              <w:t xml:space="preserve"> Dyrektywa Parlamentu Europejskiego i Rady 2013/34/UE z dnia 26 czerwca 2013 r. w sprawie rocznych sprawozdań finansowych, skonsolidowanych </w:t>
            </w:r>
            <w:r w:rsidRPr="00964EEE">
              <w:t>sprawozdań finansowych i powiązanych sprawozdań niektórych rodzajów jednostek, zmieniająca dyrektywę Parlamentu Europejskiego i Rady 2006/43/WE oraz uchylająca dyrektywy Rady 78/660/EWG i 83/349/EWG (Dz.U. L 182 z 29.6.2013, s. 19).</w:t>
            </w:r>
          </w:p>
        </w:tc>
        <w:tc>
          <w:tcPr>
            <w:tcW w:w="4876" w:type="dxa"/>
            <w:hideMark/>
          </w:tcPr>
          <w:p w:rsidR="00AE7AC1" w:rsidRPr="00964EEE" w:rsidRDefault="00E97736">
            <w:pPr>
              <w:pStyle w:val="Normal6"/>
              <w:rPr>
                <w:szCs w:val="24"/>
              </w:rPr>
            </w:pPr>
            <w:r w:rsidRPr="00964EEE">
              <w:rPr>
                <w:vertAlign w:val="superscript"/>
              </w:rPr>
              <w:t>51</w:t>
            </w:r>
            <w:r w:rsidRPr="00964EEE">
              <w:t xml:space="preserve"> Dyrektywa Parlamentu Europejskiego i Rady 2013/34/UE z dnia 26 czerwca 2013 r. w sprawie rocznych sprawozdań finansowych, skonsolidowanych sprawozdań finansowych i powiązanych sprawozdań niektórych rodzajów jednostek, zmieniająca dyrektywę Parlamentu Euro</w:t>
            </w:r>
            <w:r w:rsidRPr="00964EEE">
              <w:t>pejskiego i Rady 2006/43/WE oraz uchylająca dyrektywy Rady 78/660/EWG i 83/349/EWG (Dz.U. L 182 z 29.6.2013, s. 19).</w:t>
            </w:r>
          </w:p>
        </w:tc>
      </w:tr>
      <w:tr w:rsidR="00CB3C1D" w:rsidRPr="00964EEE" w:rsidTr="00AE7AC1">
        <w:trPr>
          <w:jc w:val="center"/>
        </w:trPr>
        <w:tc>
          <w:tcPr>
            <w:tcW w:w="4876" w:type="dxa"/>
            <w:hideMark/>
          </w:tcPr>
          <w:p w:rsidR="00AE7AC1" w:rsidRPr="00964EEE" w:rsidRDefault="00E97736">
            <w:pPr>
              <w:pStyle w:val="Normal6"/>
            </w:pPr>
            <w:r w:rsidRPr="00964EEE">
              <w:rPr>
                <w:vertAlign w:val="superscript"/>
              </w:rPr>
              <w:t>52</w:t>
            </w:r>
            <w:r w:rsidRPr="00964EEE">
              <w:t xml:space="preserve"> Rozporządzenie delegowane Komisji (UE) nr 241/2014 z dnia 7 stycznia 2014 r. uzupełniające rozporządzenie Parlamentu Europejskiego i Ra</w:t>
            </w:r>
            <w:r w:rsidRPr="00964EEE">
              <w:t>dy (UE) nr 575/2013 w odniesieniu do regulacyjnych standardów technicznych dotyczących wymogów w zakresie funduszy własnych obowiązujących instytucje (Dz.U. L 74 z 14.3.2014, s. 8).</w:t>
            </w:r>
          </w:p>
        </w:tc>
        <w:tc>
          <w:tcPr>
            <w:tcW w:w="4876" w:type="dxa"/>
            <w:hideMark/>
          </w:tcPr>
          <w:p w:rsidR="00AE7AC1" w:rsidRPr="00964EEE" w:rsidRDefault="00E97736">
            <w:pPr>
              <w:pStyle w:val="Normal6"/>
              <w:rPr>
                <w:szCs w:val="24"/>
              </w:rPr>
            </w:pPr>
            <w:r w:rsidRPr="00964EEE">
              <w:rPr>
                <w:vertAlign w:val="superscript"/>
              </w:rPr>
              <w:t>52</w:t>
            </w:r>
            <w:r w:rsidRPr="00964EEE">
              <w:t xml:space="preserve"> Rozporządzenie delegowane Komisji (UE) nr 241/2014 z dnia 7 stycznia 20</w:t>
            </w:r>
            <w:r w:rsidRPr="00964EEE">
              <w:t>14 r. uzupełniające rozporządzenie Parlamentu Europejskiego i Rady (UE) nr 575/2013 w odniesieniu do regulacyjnych standardów technicznych dotyczących wymogów w zakresie funduszy własnych obowiązujących instytucje (Dz.U. L 74 z 14.3.2014, s. 8).</w:t>
            </w:r>
          </w:p>
        </w:tc>
      </w:tr>
    </w:tbl>
    <w:p w:rsidR="00AE7AC1" w:rsidRPr="00964EEE" w:rsidRDefault="00E97736" w:rsidP="00AE7AC1">
      <w:pPr>
        <w:pStyle w:val="Olang"/>
      </w:pPr>
      <w:r w:rsidRPr="00964EEE">
        <w:t xml:space="preserve">Or. </w:t>
      </w:r>
      <w:r w:rsidRPr="00964EEE">
        <w:rPr>
          <w:rStyle w:val="HideTWBExt"/>
          <w:noProof w:val="0"/>
        </w:rPr>
        <w:t>&lt;Orig</w:t>
      </w:r>
      <w:r w:rsidRPr="00964EEE">
        <w:rPr>
          <w:rStyle w:val="HideTWBExt"/>
          <w:noProof w:val="0"/>
        </w:rPr>
        <w:t>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80</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Eugen Jurzyca</w:t>
      </w:r>
      <w:r w:rsidRPr="00964EEE">
        <w:rPr>
          <w:rStyle w:val="HideTWBExt"/>
          <w:b w:val="0"/>
        </w:rPr>
        <w:t>&lt;/Members&gt;</w:t>
      </w:r>
    </w:p>
    <w:p w:rsidR="00AE7AC1" w:rsidRPr="00964EEE" w:rsidRDefault="00E97736" w:rsidP="00AE7AC1">
      <w:r w:rsidRPr="00964EEE">
        <w:rPr>
          <w:rStyle w:val="HideTWBExt"/>
        </w:rPr>
        <w:lastRenderedPageBreak/>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Artykuł 2 – akapit 1 – punkt 36</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 xml:space="preserve">Tekst proponowany </w:t>
            </w:r>
            <w:r w:rsidRPr="00964EEE">
              <w:t>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36)</w:t>
            </w:r>
            <w:r w:rsidRPr="00964EEE">
              <w:tab/>
              <w:t>„dystrybutor” oznacza osobę fizyczną lub prawną dystrybuującą pieniądz elektroniczny lub dokonującą wykupu tego pieniądza w imieniu instytucji płatniczej;</w:t>
            </w:r>
          </w:p>
        </w:tc>
        <w:tc>
          <w:tcPr>
            <w:tcW w:w="4876" w:type="dxa"/>
            <w:hideMark/>
          </w:tcPr>
          <w:p w:rsidR="00AE7AC1" w:rsidRPr="00964EEE" w:rsidRDefault="00E97736">
            <w:pPr>
              <w:pStyle w:val="Normal6"/>
              <w:rPr>
                <w:szCs w:val="24"/>
              </w:rPr>
            </w:pPr>
            <w:r w:rsidRPr="00964EEE">
              <w:t>36)</w:t>
            </w:r>
            <w:r w:rsidRPr="00964EEE">
              <w:tab/>
              <w:t>„dystrybutor” oznacza osobę fizyczną lub prawną dystrybuującą pieniąd</w:t>
            </w:r>
            <w:r w:rsidRPr="00964EEE">
              <w:t>z elektroniczny lub dokonującą wykupu tego pieniądza w imieniu instytucji płatniczej</w:t>
            </w:r>
            <w:r w:rsidRPr="00964EEE">
              <w:rPr>
                <w:b/>
                <w:i/>
              </w:rPr>
              <w:t xml:space="preserve"> i zaangażowaną przez tę instytucję płatniczą</w:t>
            </w:r>
            <w:r w:rsidRPr="00964EEE">
              <w:t>;</w:t>
            </w: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81</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Gunnar Beck</w:t>
      </w:r>
      <w:r w:rsidRPr="00964EEE">
        <w:rPr>
          <w:rStyle w:val="HideTWBExt"/>
          <w:b w:val="0"/>
        </w:rPr>
        <w:t>&lt;/Members&gt;</w:t>
      </w:r>
    </w:p>
    <w:p w:rsidR="00AE7AC1" w:rsidRPr="00964EEE" w:rsidRDefault="00E97736" w:rsidP="00AE7AC1">
      <w:r w:rsidRPr="00964EEE">
        <w:rPr>
          <w:rStyle w:val="HideTWBExt"/>
        </w:rPr>
        <w:t>&lt;</w:t>
      </w:r>
      <w:r w:rsidRPr="00964EEE">
        <w:rPr>
          <w:rStyle w:val="HideTWBExt"/>
        </w:rPr>
        <w: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Artykuł 2 – akapit 1 – punkt 37</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37)</w:t>
            </w:r>
            <w:r w:rsidRPr="00964EEE">
              <w:tab/>
              <w:t>„usługi związane z pieniądzem elektronicznym” oznaczają emisję pieniądza elektronicznego</w:t>
            </w:r>
            <w:r w:rsidRPr="00964EEE">
              <w:rPr>
                <w:b/>
                <w:i/>
              </w:rPr>
              <w:t xml:space="preserve">, </w:t>
            </w:r>
            <w:r w:rsidRPr="00964EEE">
              <w:rPr>
                <w:b/>
                <w:i/>
              </w:rPr>
              <w:t>prowadzenie rachunków płatniczych, na których przechowywane są jednostki pieniądza elektronicznego, oraz przekazywanie jednostek pieniądza elektronicznego</w:t>
            </w:r>
            <w:r w:rsidRPr="00964EEE">
              <w:t>;</w:t>
            </w:r>
          </w:p>
        </w:tc>
        <w:tc>
          <w:tcPr>
            <w:tcW w:w="4876" w:type="dxa"/>
            <w:hideMark/>
          </w:tcPr>
          <w:p w:rsidR="00AE7AC1" w:rsidRPr="00964EEE" w:rsidRDefault="00E97736">
            <w:pPr>
              <w:pStyle w:val="Normal6"/>
              <w:rPr>
                <w:szCs w:val="24"/>
              </w:rPr>
            </w:pPr>
            <w:r w:rsidRPr="00964EEE">
              <w:t>37)</w:t>
            </w:r>
            <w:r w:rsidRPr="00964EEE">
              <w:tab/>
              <w:t>„usługi związane z pieniądzem elektronicznym” oznaczają emisję pieniądza elektronicznego;</w:t>
            </w:r>
          </w:p>
        </w:tc>
      </w:tr>
    </w:tbl>
    <w:p w:rsidR="00AE7AC1" w:rsidRPr="00964EEE" w:rsidRDefault="00E97736" w:rsidP="00AE7AC1">
      <w:pPr>
        <w:pStyle w:val="Olang"/>
      </w:pPr>
      <w:r w:rsidRPr="00964EEE">
        <w:t xml:space="preserve">Or. </w:t>
      </w:r>
      <w:r w:rsidRPr="00964EEE">
        <w:rPr>
          <w:rStyle w:val="HideTWBExt"/>
          <w:noProof w:val="0"/>
        </w:rPr>
        <w:t>&lt;</w:t>
      </w:r>
      <w:r w:rsidRPr="00964EEE">
        <w:rPr>
          <w:rStyle w:val="HideTWBExt"/>
          <w:noProof w:val="0"/>
        </w:rPr>
        <w: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82</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Eugen Jurzyca</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Artykuł 2 – akapit 1 – punkt 37</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 xml:space="preserve">Tekst </w:t>
            </w:r>
            <w:r w:rsidRPr="00964EEE">
              <w:t>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37)</w:t>
            </w:r>
            <w:r w:rsidRPr="00964EEE">
              <w:tab/>
              <w:t>„usługi związane z pieniądzem elektronicznym” oznaczają emisję pieniądza elektronicznego</w:t>
            </w:r>
            <w:r w:rsidRPr="00964EEE">
              <w:rPr>
                <w:b/>
                <w:i/>
              </w:rPr>
              <w:t xml:space="preserve">, prowadzenie rachunków płatniczych, na których </w:t>
            </w:r>
            <w:r w:rsidRPr="00964EEE">
              <w:rPr>
                <w:b/>
                <w:i/>
              </w:rPr>
              <w:lastRenderedPageBreak/>
              <w:t>przechowywane są jednostki pieniądza elektronicznego, oraz przekazywanie jednost</w:t>
            </w:r>
            <w:r w:rsidRPr="00964EEE">
              <w:rPr>
                <w:b/>
                <w:i/>
              </w:rPr>
              <w:t>ek pieniądza elektronicznego</w:t>
            </w:r>
            <w:r w:rsidRPr="00964EEE">
              <w:t>;</w:t>
            </w:r>
          </w:p>
        </w:tc>
        <w:tc>
          <w:tcPr>
            <w:tcW w:w="4876" w:type="dxa"/>
            <w:hideMark/>
          </w:tcPr>
          <w:p w:rsidR="00AE7AC1" w:rsidRPr="00964EEE" w:rsidRDefault="00E97736">
            <w:pPr>
              <w:pStyle w:val="Normal6"/>
              <w:rPr>
                <w:szCs w:val="24"/>
              </w:rPr>
            </w:pPr>
            <w:r w:rsidRPr="00964EEE">
              <w:lastRenderedPageBreak/>
              <w:t>37)</w:t>
            </w:r>
            <w:r w:rsidRPr="00964EEE">
              <w:tab/>
              <w:t>„usługi związane z pieniądzem elektronicznym” oznaczają emisję pieniądza elektronicznego;</w:t>
            </w: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pPr>
        <w:pStyle w:val="JustificationTitle"/>
        <w:rPr>
          <w:noProof w:val="0"/>
        </w:rPr>
      </w:pPr>
      <w:r w:rsidRPr="00964EEE">
        <w:rPr>
          <w:rStyle w:val="HideTWBExt"/>
          <w:i w:val="0"/>
        </w:rPr>
        <w:t>&lt;TitreJust&gt;</w:t>
      </w:r>
      <w:r w:rsidRPr="00964EEE">
        <w:t>Uzasadnienie</w:t>
      </w:r>
      <w:r w:rsidRPr="00964EEE">
        <w:rPr>
          <w:rStyle w:val="HideTWBExt"/>
          <w:i w:val="0"/>
        </w:rPr>
        <w:t>&lt;/TitreJust&gt;</w:t>
      </w:r>
    </w:p>
    <w:p w:rsidR="00AE7AC1" w:rsidRPr="00964EEE" w:rsidRDefault="00E97736" w:rsidP="00AE7AC1">
      <w:pPr>
        <w:pStyle w:val="Normal12Italic"/>
        <w:rPr>
          <w:noProof w:val="0"/>
        </w:rPr>
      </w:pPr>
      <w:r w:rsidRPr="00964EEE">
        <w:t xml:space="preserve">Definicja zawarta w PSD3 stanowi odejście od obecnej pozycji w </w:t>
      </w:r>
      <w:r w:rsidRPr="00964EEE">
        <w:t>drugiej dyrektywie w sprawie pieniądza elektronicznego, która reguluje jedynie emisję pieniądza elektronicznego (chociaż te dodatkowe usługi pieniądza elektronicznego są prawdopodobnie ujęte jako usługi płatnicze w PSD2). Stwarza to ryzyko podwójnej regula</w:t>
      </w:r>
      <w:r w:rsidRPr="00964EEE">
        <w:t>cji.</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83</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Marek Belka, Paul Tang, René Repasi</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Artykuł 2 – akapit 1 – punkt 38</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 xml:space="preserve">Tekst </w:t>
            </w:r>
            <w:r w:rsidRPr="00964EEE">
              <w:t>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38)</w:t>
            </w:r>
            <w:r w:rsidRPr="00964EEE">
              <w:tab/>
              <w:t xml:space="preserve">„operator bankomatu” oznacza podmioty obsługujące bankomaty, które nie </w:t>
            </w:r>
            <w:r w:rsidRPr="00964EEE">
              <w:rPr>
                <w:b/>
                <w:i/>
              </w:rPr>
              <w:t>prowadzą</w:t>
            </w:r>
            <w:r w:rsidRPr="00964EEE">
              <w:t xml:space="preserve"> rachunków płatniczych;</w:t>
            </w:r>
          </w:p>
        </w:tc>
        <w:tc>
          <w:tcPr>
            <w:tcW w:w="4876" w:type="dxa"/>
            <w:hideMark/>
          </w:tcPr>
          <w:p w:rsidR="00AE7AC1" w:rsidRPr="00964EEE" w:rsidRDefault="00E97736">
            <w:pPr>
              <w:pStyle w:val="Normal6"/>
              <w:rPr>
                <w:szCs w:val="24"/>
              </w:rPr>
            </w:pPr>
            <w:r w:rsidRPr="00964EEE">
              <w:t>38)</w:t>
            </w:r>
            <w:r w:rsidRPr="00964EEE">
              <w:tab/>
              <w:t xml:space="preserve">„operator bankomatu” oznacza podmioty obsługujące bankomaty, które nie </w:t>
            </w:r>
            <w:r w:rsidRPr="00964EEE">
              <w:rPr>
                <w:b/>
                <w:i/>
              </w:rPr>
              <w:t>posiadają</w:t>
            </w:r>
            <w:r w:rsidRPr="00964EEE">
              <w:t xml:space="preserve"> rachunków płatniczych;</w:t>
            </w: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pPr>
        <w:pStyle w:val="JustificationTitle"/>
        <w:rPr>
          <w:noProof w:val="0"/>
        </w:rPr>
      </w:pPr>
      <w:r w:rsidRPr="00964EEE">
        <w:rPr>
          <w:rStyle w:val="HideTWBExt"/>
          <w:i w:val="0"/>
        </w:rPr>
        <w:t>&lt;TitreJust&gt;</w:t>
      </w:r>
      <w:r w:rsidRPr="00964EEE">
        <w:t>Uzasadnienie</w:t>
      </w:r>
      <w:r w:rsidRPr="00964EEE">
        <w:rPr>
          <w:rStyle w:val="HideTWBExt"/>
          <w:i w:val="0"/>
        </w:rPr>
        <w:t>&lt;/TitreJust&gt;</w:t>
      </w:r>
    </w:p>
    <w:p w:rsidR="00AE7AC1" w:rsidRPr="00964EEE" w:rsidRDefault="00E97736" w:rsidP="00AE7AC1">
      <w:pPr>
        <w:pStyle w:val="Normal12Italic"/>
        <w:rPr>
          <w:noProof w:val="0"/>
        </w:rPr>
      </w:pPr>
      <w:r w:rsidRPr="00964EEE">
        <w:t>Operator bankomatu nie posiada rachunków płatniczych – takie powinno być znaczenie tego tekstu.</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84</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Lídia Pereira</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Artykuł 3 – ustęp 3 – akapit 1 – litera b</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b)</w:t>
            </w:r>
            <w:r w:rsidRPr="00964EEE">
              <w:tab/>
              <w:t>biznesplan</w:t>
            </w:r>
            <w:r w:rsidRPr="00964EEE">
              <w:rPr>
                <w:b/>
                <w:i/>
              </w:rPr>
              <w:t xml:space="preserve"> zawierający prognozę budżetu na pierwsze 3 lata obrotowe</w:t>
            </w:r>
            <w:r w:rsidRPr="00964EEE">
              <w:t xml:space="preserve">, z którego </w:t>
            </w:r>
            <w:r w:rsidRPr="00964EEE">
              <w:t xml:space="preserve">wynika, że wnioskodawca jest w stanie zastosować odpowiednie i proporcjonalne systemy, zasoby </w:t>
            </w:r>
            <w:r w:rsidRPr="00964EEE">
              <w:lastRenderedPageBreak/>
              <w:t>i procedury niezbędne do prawidłowego prowadzenia działalności;</w:t>
            </w:r>
          </w:p>
        </w:tc>
        <w:tc>
          <w:tcPr>
            <w:tcW w:w="4876" w:type="dxa"/>
            <w:hideMark/>
          </w:tcPr>
          <w:p w:rsidR="00AE7AC1" w:rsidRPr="00964EEE" w:rsidRDefault="00E97736">
            <w:pPr>
              <w:pStyle w:val="Normal6"/>
              <w:rPr>
                <w:szCs w:val="24"/>
              </w:rPr>
            </w:pPr>
            <w:r w:rsidRPr="00964EEE">
              <w:lastRenderedPageBreak/>
              <w:t>b)</w:t>
            </w:r>
            <w:r w:rsidRPr="00964EEE">
              <w:tab/>
              <w:t>biznesplan, z którego wynika, że wnioskodawca jest w stanie zastosować odpowiednie i proporcjon</w:t>
            </w:r>
            <w:r w:rsidRPr="00964EEE">
              <w:t>alne systemy, zasoby i procedury niezbędne do prawidłowego prowadzenia działalności;</w:t>
            </w: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85</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Lídia Pereira</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w:t>
      </w:r>
      <w:r w:rsidRPr="00964EEE">
        <w:t xml:space="preserve">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Artykuł 3 – ustęp 3 – akapit 1 – litera l – podpunkt i</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rPr>
                <w:b/>
                <w:i/>
              </w:rPr>
              <w:t>(i)</w:t>
            </w:r>
            <w:r w:rsidRPr="00964EEE">
              <w:rPr>
                <w:b/>
                <w:i/>
              </w:rPr>
              <w:tab/>
              <w:t>planowanego korzystania z usług agentów lub dystrybutorów lub z oddziałów;</w:t>
            </w:r>
          </w:p>
        </w:tc>
        <w:tc>
          <w:tcPr>
            <w:tcW w:w="4876" w:type="dxa"/>
            <w:hideMark/>
          </w:tcPr>
          <w:p w:rsidR="00AE7AC1" w:rsidRPr="00964EEE" w:rsidRDefault="00E97736">
            <w:pPr>
              <w:pStyle w:val="Normal6"/>
              <w:rPr>
                <w:szCs w:val="24"/>
              </w:rPr>
            </w:pPr>
            <w:r w:rsidRPr="00964EEE">
              <w:rPr>
                <w:b/>
                <w:i/>
              </w:rPr>
              <w:t>skreśla się</w:t>
            </w: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86</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Lídia Pereira</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Artykuł 3 – ustęp 3 – akapit 1 – litera l – podpunkt ii</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 xml:space="preserve">Tekst </w:t>
            </w:r>
            <w:r w:rsidRPr="00964EEE">
              <w:t>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rPr>
                <w:b/>
                <w:i/>
              </w:rPr>
              <w:t>(ii)</w:t>
            </w:r>
            <w:r w:rsidRPr="00964EEE">
              <w:rPr>
                <w:b/>
                <w:i/>
              </w:rPr>
              <w:tab/>
              <w:t>kontroli zdalnych i kontroli na miejscu, które wnioskodawca zobowiązuje się przeprowadzać w stosunku do tych agentów, dystrybutorów lub oddziałów co najmniej raz w roku;</w:t>
            </w:r>
          </w:p>
        </w:tc>
        <w:tc>
          <w:tcPr>
            <w:tcW w:w="4876" w:type="dxa"/>
            <w:hideMark/>
          </w:tcPr>
          <w:p w:rsidR="00AE7AC1" w:rsidRPr="00964EEE" w:rsidRDefault="00E97736">
            <w:pPr>
              <w:pStyle w:val="Normal6"/>
              <w:rPr>
                <w:szCs w:val="24"/>
              </w:rPr>
            </w:pPr>
            <w:r w:rsidRPr="00964EEE">
              <w:rPr>
                <w:b/>
                <w:i/>
              </w:rPr>
              <w:t>skreśla się</w:t>
            </w: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87</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Lídia Pereira</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Artykuł 5 – akapit 1 – litera d</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d)</w:t>
            </w:r>
            <w:r w:rsidRPr="00964EEE">
              <w:tab/>
              <w:t xml:space="preserve">jeżeli instytucja płatnicza świadczy usługi związane z pieniądzem elektronicznym, jej kapitał nie może być w żadnym momencie niższy niż </w:t>
            </w:r>
            <w:r w:rsidRPr="00964EEE">
              <w:rPr>
                <w:b/>
                <w:i/>
              </w:rPr>
              <w:t xml:space="preserve">400 </w:t>
            </w:r>
            <w:r w:rsidRPr="00964EEE">
              <w:rPr>
                <w:b/>
                <w:bCs/>
                <w:i/>
                <w:iCs/>
              </w:rPr>
              <w:t>000</w:t>
            </w:r>
            <w:r w:rsidRPr="00964EEE">
              <w:t xml:space="preserve"> EUR.</w:t>
            </w:r>
          </w:p>
        </w:tc>
        <w:tc>
          <w:tcPr>
            <w:tcW w:w="4876" w:type="dxa"/>
            <w:hideMark/>
          </w:tcPr>
          <w:p w:rsidR="00AE7AC1" w:rsidRPr="00964EEE" w:rsidRDefault="00E97736">
            <w:pPr>
              <w:pStyle w:val="Normal6"/>
              <w:rPr>
                <w:szCs w:val="24"/>
              </w:rPr>
            </w:pPr>
            <w:r w:rsidRPr="00964EEE">
              <w:t>d)</w:t>
            </w:r>
            <w:r w:rsidRPr="00964EEE">
              <w:tab/>
            </w:r>
            <w:r w:rsidRPr="00964EEE">
              <w:t xml:space="preserve">jeżeli instytucja płatnicza świadczy usługi związane z pieniądzem elektronicznym, jej kapitał nie może być w żadnym momencie niższy niż </w:t>
            </w:r>
            <w:r w:rsidRPr="00964EEE">
              <w:rPr>
                <w:b/>
                <w:i/>
              </w:rPr>
              <w:t>300 </w:t>
            </w:r>
            <w:r w:rsidRPr="00964EEE">
              <w:rPr>
                <w:b/>
                <w:bCs/>
                <w:i/>
                <w:iCs/>
              </w:rPr>
              <w:t>000</w:t>
            </w:r>
            <w:r w:rsidRPr="00964EEE">
              <w:t xml:space="preserve"> EUR.</w:t>
            </w: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88</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Eugen</w:t>
      </w:r>
      <w:r w:rsidRPr="00964EEE">
        <w:t xml:space="preserve"> Jurzyca</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Artykuł 5 – akapit 1 – litera d</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d)</w:t>
            </w:r>
            <w:r w:rsidRPr="00964EEE">
              <w:tab/>
            </w:r>
            <w:r w:rsidRPr="00964EEE">
              <w:t xml:space="preserve">jeżeli instytucja płatnicza świadczy usługi związane z pieniądzem elektronicznym, jej kapitał nie może być w żadnym momencie niższy niż </w:t>
            </w:r>
            <w:r w:rsidRPr="00964EEE">
              <w:rPr>
                <w:b/>
                <w:bCs/>
                <w:i/>
                <w:iCs/>
              </w:rPr>
              <w:t>400 000</w:t>
            </w:r>
            <w:r w:rsidRPr="00964EEE">
              <w:t xml:space="preserve"> EUR.</w:t>
            </w:r>
          </w:p>
        </w:tc>
        <w:tc>
          <w:tcPr>
            <w:tcW w:w="4876" w:type="dxa"/>
            <w:hideMark/>
          </w:tcPr>
          <w:p w:rsidR="00AE7AC1" w:rsidRPr="00964EEE" w:rsidRDefault="00E97736">
            <w:pPr>
              <w:pStyle w:val="Normal6"/>
              <w:rPr>
                <w:szCs w:val="24"/>
              </w:rPr>
            </w:pPr>
            <w:r w:rsidRPr="00964EEE">
              <w:t>d)</w:t>
            </w:r>
            <w:r w:rsidRPr="00964EEE">
              <w:tab/>
              <w:t>jeżeli instytucja płatnicza świadczy usługi związane z pieniądzem elektronicznym, jej kapitał nie może b</w:t>
            </w:r>
            <w:r w:rsidRPr="00964EEE">
              <w:t xml:space="preserve">yć w żadnym momencie niższy niż </w:t>
            </w:r>
            <w:r w:rsidRPr="00964EEE">
              <w:rPr>
                <w:b/>
                <w:bCs/>
                <w:i/>
                <w:iCs/>
              </w:rPr>
              <w:t>350 000</w:t>
            </w:r>
            <w:r w:rsidRPr="00964EEE">
              <w:t xml:space="preserve"> EUR.</w:t>
            </w: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89</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Gunnar Beck</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Artykuł 9 –</w:t>
      </w:r>
      <w:r w:rsidRPr="00964EEE">
        <w:t xml:space="preserve"> ustęp 1 – akapit 2 – litera a</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a)</w:t>
            </w:r>
            <w:r w:rsidRPr="00964EEE">
              <w:tab/>
              <w:t xml:space="preserve">deponuje te środki pieniężne </w:t>
            </w:r>
            <w:r w:rsidRPr="00964EEE">
              <w:rPr>
                <w:b/>
                <w:i/>
              </w:rPr>
              <w:t xml:space="preserve">albo </w:t>
            </w:r>
            <w:r w:rsidRPr="00964EEE">
              <w:t>na odrębnym rachunku w instytucji kredytowej posiadającej zezwolenie w państwie członkowskim</w:t>
            </w:r>
            <w:r w:rsidRPr="00964EEE">
              <w:rPr>
                <w:b/>
                <w:i/>
              </w:rPr>
              <w:t>, albo w banku centralnym według uznania t</w:t>
            </w:r>
            <w:r w:rsidRPr="00964EEE">
              <w:rPr>
                <w:b/>
                <w:i/>
              </w:rPr>
              <w:t>ego banku centralnego</w:t>
            </w:r>
            <w:r w:rsidRPr="00964EEE">
              <w:t>;</w:t>
            </w:r>
          </w:p>
        </w:tc>
        <w:tc>
          <w:tcPr>
            <w:tcW w:w="4876" w:type="dxa"/>
            <w:hideMark/>
          </w:tcPr>
          <w:p w:rsidR="00AE7AC1" w:rsidRPr="00964EEE" w:rsidRDefault="00E97736">
            <w:pPr>
              <w:pStyle w:val="Normal6"/>
              <w:rPr>
                <w:szCs w:val="24"/>
              </w:rPr>
            </w:pPr>
            <w:r w:rsidRPr="00964EEE">
              <w:t>a)</w:t>
            </w:r>
            <w:r w:rsidRPr="00964EEE">
              <w:tab/>
              <w:t>deponuje te środki pieniężne na odrębnym rachunku w instytucji kredytowej posiadającej zezwolenie w państwie członkowskim;</w:t>
            </w: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lastRenderedPageBreak/>
        <w:t>&lt;Amend&gt;</w:t>
      </w:r>
      <w:r w:rsidRPr="00964EEE">
        <w:t>Poprawka</w:t>
      </w:r>
      <w:r w:rsidRPr="00964EEE">
        <w:tab/>
      </w:r>
      <w:r w:rsidRPr="00964EEE">
        <w:tab/>
      </w:r>
      <w:r w:rsidRPr="00964EEE">
        <w:rPr>
          <w:rStyle w:val="HideTWBExt"/>
          <w:b w:val="0"/>
        </w:rPr>
        <w:t>&lt;NumAm&gt;</w:t>
      </w:r>
      <w:r w:rsidRPr="00964EEE">
        <w:t>90</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Gunnar Beck</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Artykuł 9 – ustęp 1 – akapit 2 a (nowy)</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tcPr>
          <w:p w:rsidR="00AE7AC1" w:rsidRPr="00964EEE" w:rsidRDefault="00AE7AC1">
            <w:pPr>
              <w:pStyle w:val="Normal6"/>
            </w:pPr>
          </w:p>
        </w:tc>
        <w:tc>
          <w:tcPr>
            <w:tcW w:w="4876" w:type="dxa"/>
            <w:hideMark/>
          </w:tcPr>
          <w:p w:rsidR="00AE7AC1" w:rsidRPr="00964EEE" w:rsidRDefault="00E97736">
            <w:pPr>
              <w:pStyle w:val="Normal6"/>
              <w:rPr>
                <w:szCs w:val="24"/>
              </w:rPr>
            </w:pPr>
            <w:r w:rsidRPr="00964EEE">
              <w:rPr>
                <w:b/>
                <w:i/>
              </w:rPr>
              <w:t xml:space="preserve">Do celów akapitu drugiego lit. a) państwa członkowskie </w:t>
            </w:r>
            <w:r w:rsidRPr="00964EEE">
              <w:rPr>
                <w:b/>
                <w:i/>
              </w:rPr>
              <w:t>dopilnowują, by instytucje płatnicze miały dostęp do rachunków w bankach centralnych na podstawie obiektywnych, niedyskryminujących i proporcjonalnych zasad. Banki centralne przedstawiają instytucji płatniczej należycie umotywowane uzasadnienie każdej decy</w:t>
            </w:r>
            <w:r w:rsidRPr="00964EEE">
              <w:rPr>
                <w:b/>
                <w:i/>
              </w:rPr>
              <w:t>zji o odmowie dostępu do rachunku w banku centralnym lub o cofnięciu takiego dostępu.</w:t>
            </w: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91</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Ondřej Kovařík</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 xml:space="preserve">Wniosek </w:t>
      </w:r>
      <w:r w:rsidRPr="00964EEE">
        <w:t>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Artykuł 9 – ustęp 2</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2.</w:t>
            </w:r>
            <w:r w:rsidRPr="00964EEE">
              <w:tab/>
              <w:t xml:space="preserve">Instytucje płatnicze unikają ryzyka koncentracji w odniesieniu do chronionych środków pieniężnych klienta poprzez zapewnienie, aby tej </w:t>
            </w:r>
            <w:r w:rsidRPr="00964EEE">
              <w:t xml:space="preserve">samej metody ochronnej nie stosowano w przypadku całości środków pieniężnych klienta chronionych przez te instytucje. </w:t>
            </w:r>
            <w:r w:rsidRPr="00964EEE">
              <w:rPr>
                <w:b/>
                <w:i/>
              </w:rPr>
              <w:t>W szczególności muszą one dążyć do tego, aby nie przechowywać wszystkich środków pieniężnych konsumentów w jednej instytucji kredytowej.</w:t>
            </w:r>
          </w:p>
        </w:tc>
        <w:tc>
          <w:tcPr>
            <w:tcW w:w="4876" w:type="dxa"/>
            <w:hideMark/>
          </w:tcPr>
          <w:p w:rsidR="00AE7AC1" w:rsidRPr="00964EEE" w:rsidRDefault="00E97736">
            <w:pPr>
              <w:pStyle w:val="Normal6"/>
              <w:rPr>
                <w:szCs w:val="24"/>
              </w:rPr>
            </w:pPr>
            <w:r w:rsidRPr="00964EEE">
              <w:t>2</w:t>
            </w:r>
            <w:r w:rsidRPr="00964EEE">
              <w:t>.</w:t>
            </w:r>
            <w:r w:rsidRPr="00964EEE">
              <w:tab/>
              <w:t>Instytucje płatnicze unikają ryzyka koncentracji w odniesieniu do chronionych środków pieniężnych klienta poprzez zapewnienie, aby tej samej metody ochronnej nie stosowano w przypadku całości środków pieniężnych klienta chronionych przez te instytucje.</w:t>
            </w: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lastRenderedPageBreak/>
        <w:t>&lt;Amend&gt;</w:t>
      </w:r>
      <w:r w:rsidRPr="00964EEE">
        <w:t>Poprawka</w:t>
      </w:r>
      <w:r w:rsidRPr="00964EEE">
        <w:tab/>
      </w:r>
      <w:r w:rsidRPr="00964EEE">
        <w:tab/>
      </w:r>
      <w:r w:rsidRPr="00964EEE">
        <w:rPr>
          <w:rStyle w:val="HideTWBExt"/>
          <w:b w:val="0"/>
        </w:rPr>
        <w:t>&lt;NumAm&gt;</w:t>
      </w:r>
      <w:r w:rsidRPr="00964EEE">
        <w:t>92</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Gunnar Beck</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Artykuł 9 – ustęp 2</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 xml:space="preserve">Tekst proponowany przez </w:t>
            </w:r>
            <w:r w:rsidRPr="00964EEE">
              <w:t>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2.</w:t>
            </w:r>
            <w:r w:rsidRPr="00964EEE">
              <w:tab/>
              <w:t xml:space="preserve">Instytucje płatnicze </w:t>
            </w:r>
            <w:r w:rsidRPr="00964EEE">
              <w:rPr>
                <w:b/>
                <w:i/>
              </w:rPr>
              <w:t>unikają</w:t>
            </w:r>
            <w:r w:rsidRPr="00964EEE">
              <w:t xml:space="preserve"> ryzyka koncentracji w odniesieniu do chronionych środków pieniężnych klienta</w:t>
            </w:r>
            <w:r w:rsidRPr="00964EEE">
              <w:rPr>
                <w:b/>
                <w:i/>
              </w:rPr>
              <w:t xml:space="preserve"> poprzez zapewnienie, aby</w:t>
            </w:r>
            <w:r w:rsidRPr="00964EEE">
              <w:t xml:space="preserve"> tej samej metody ochronnej</w:t>
            </w:r>
            <w:r w:rsidRPr="00964EEE">
              <w:rPr>
                <w:b/>
                <w:i/>
              </w:rPr>
              <w:t xml:space="preserve"> nie stosowano</w:t>
            </w:r>
            <w:r w:rsidRPr="00964EEE">
              <w:t xml:space="preserve"> w przypadku całości środków pieniężnych klienta chronionych przez te instytucje. W szczególności muszą one dążyć do tego, aby nie przechowywać wszystkich środków pieniężnych konsumentów w jednej instytucji kredytowej.</w:t>
            </w:r>
          </w:p>
        </w:tc>
        <w:tc>
          <w:tcPr>
            <w:tcW w:w="4876" w:type="dxa"/>
            <w:hideMark/>
          </w:tcPr>
          <w:p w:rsidR="00AE7AC1" w:rsidRPr="00964EEE" w:rsidRDefault="00E97736">
            <w:pPr>
              <w:pStyle w:val="Normal6"/>
              <w:rPr>
                <w:szCs w:val="24"/>
              </w:rPr>
            </w:pPr>
            <w:r w:rsidRPr="00964EEE">
              <w:t>2.</w:t>
            </w:r>
            <w:r w:rsidRPr="00964EEE">
              <w:tab/>
              <w:t xml:space="preserve">Instytucje płatnicze </w:t>
            </w:r>
            <w:r w:rsidRPr="00964EEE">
              <w:rPr>
                <w:b/>
                <w:i/>
              </w:rPr>
              <w:t>starają się u</w:t>
            </w:r>
            <w:r w:rsidRPr="00964EEE">
              <w:rPr>
                <w:b/>
                <w:i/>
              </w:rPr>
              <w:t>nikać</w:t>
            </w:r>
            <w:r w:rsidRPr="00964EEE">
              <w:t xml:space="preserve"> ryzyka koncentracji w odniesieniu do chronionych środków pieniężnych klienta</w:t>
            </w:r>
            <w:r w:rsidRPr="00964EEE">
              <w:rPr>
                <w:b/>
                <w:i/>
              </w:rPr>
              <w:t>, w tym w stosownych przypadkach przez niestosowanie</w:t>
            </w:r>
            <w:r w:rsidRPr="00964EEE">
              <w:t xml:space="preserve"> tej samej metody ochronnej w przypadku całości środków pieniężnych klienta chronionych przez te instytucje. W szczególnoś</w:t>
            </w:r>
            <w:r w:rsidRPr="00964EEE">
              <w:t>ci muszą one dążyć do tego, aby nie przechowywać wszystkich środków pieniężnych konsumentów w jednej instytucji kredytowej.</w:t>
            </w: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93</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Lídia Pereira</w:t>
      </w:r>
      <w:r w:rsidRPr="00964EEE">
        <w:rPr>
          <w:rStyle w:val="HideTWBExt"/>
          <w:b w:val="0"/>
        </w:rPr>
        <w:t>&lt;/Members&gt;</w:t>
      </w:r>
    </w:p>
    <w:p w:rsidR="00AE7AC1" w:rsidRPr="00964EEE" w:rsidRDefault="00E97736" w:rsidP="00AE7AC1">
      <w:r w:rsidRPr="00964EEE">
        <w:rPr>
          <w:rStyle w:val="HideTWBExt"/>
        </w:rPr>
        <w:t>&lt;/Repe</w:t>
      </w:r>
      <w:r w:rsidRPr="00964EEE">
        <w:rPr>
          <w:rStyle w:val="HideTWBExt"/>
        </w:rPr>
        <w:t>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Artykuł 9 – ustęp 7 – akapit 1</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 xml:space="preserve">EUNB opracowuje regulacyjne standardy techniczne dotyczące wymogów dotyczących ochrony środków </w:t>
            </w:r>
            <w:r w:rsidRPr="00964EEE">
              <w:t>pieniężnych, w szczególności określające ramy zarządzania ryzykiem związanym z ochroną środków pieniężnych dla instytucji płatniczych, aby zapewnić ochronę środków pieniężnych użytkowników, a także uwzględniające wymogi w zakresie wyodrębnienia, wyznaczeni</w:t>
            </w:r>
            <w:r w:rsidRPr="00964EEE">
              <w:t>a, uzgodnienia i obliczenia wymaganych środków pieniężnych podlegających ochronie.</w:t>
            </w:r>
          </w:p>
        </w:tc>
        <w:tc>
          <w:tcPr>
            <w:tcW w:w="4876" w:type="dxa"/>
            <w:hideMark/>
          </w:tcPr>
          <w:p w:rsidR="00AE7AC1" w:rsidRPr="00964EEE" w:rsidRDefault="00E97736">
            <w:pPr>
              <w:pStyle w:val="Normal6"/>
              <w:rPr>
                <w:szCs w:val="24"/>
              </w:rPr>
            </w:pPr>
            <w:r w:rsidRPr="00964EEE">
              <w:t>EUNB opracowuje regulacyjne standardy techniczne dotyczące wymogów dotyczących ochrony środków pieniężnych, w szczególności określające ramy zarządzania ryzykiem związanym z</w:t>
            </w:r>
            <w:r w:rsidRPr="00964EEE">
              <w:t> ochroną środków pieniężnych dla instytucji płatniczych, aby zapewnić ochronę środków pieniężnych użytkowników, a także uwzględniające wymogi w zakresie wyodrębnienia, wyznaczenia, uzgodnienia</w:t>
            </w:r>
            <w:r w:rsidRPr="00964EEE">
              <w:rPr>
                <w:b/>
                <w:i/>
              </w:rPr>
              <w:t>, ochrony</w:t>
            </w:r>
            <w:r w:rsidRPr="00964EEE">
              <w:t xml:space="preserve"> i obliczenia wymaganych środków pieniężnych podlegając</w:t>
            </w:r>
            <w:r w:rsidRPr="00964EEE">
              <w:t>ych ochronie</w:t>
            </w:r>
            <w:r w:rsidRPr="00964EEE">
              <w:rPr>
                <w:b/>
                <w:i/>
              </w:rPr>
              <w:t xml:space="preserve"> oraz unikające ryzyka płynności i koncentracji</w:t>
            </w:r>
            <w:r w:rsidRPr="00964EEE">
              <w:t>.</w:t>
            </w:r>
          </w:p>
        </w:tc>
      </w:tr>
    </w:tbl>
    <w:p w:rsidR="00AE7AC1" w:rsidRPr="00964EEE" w:rsidRDefault="00E97736" w:rsidP="00AE7AC1">
      <w:pPr>
        <w:pStyle w:val="Olang"/>
      </w:pPr>
      <w:r w:rsidRPr="00964EEE">
        <w:lastRenderedPageBreak/>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94</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Lídia Pereira</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Artykuł 10 – ustęp 4 – litera b</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b)</w:t>
            </w:r>
            <w:r w:rsidRPr="00964EEE">
              <w:tab/>
              <w:t>niezależnie od ewentualnych przepisów krajowych dotyczących udzielania kredytów przez wystawców kart kredytowych kredyt udzielony w związku z płatnością i zre</w:t>
            </w:r>
            <w:r w:rsidRPr="00964EEE">
              <w:t>alizowany zgodnie z art. 13 ust. 6 i art. 30 podlega spłacie w krótkim terminie</w:t>
            </w:r>
            <w:r w:rsidRPr="00964EEE">
              <w:rPr>
                <w:b/>
                <w:i/>
              </w:rPr>
              <w:t>, który w żadnym przypadku nie może przekroczyć 12 miesięcy</w:t>
            </w:r>
            <w:r w:rsidRPr="00964EEE">
              <w:t>;</w:t>
            </w:r>
          </w:p>
        </w:tc>
        <w:tc>
          <w:tcPr>
            <w:tcW w:w="4876" w:type="dxa"/>
            <w:hideMark/>
          </w:tcPr>
          <w:p w:rsidR="00AE7AC1" w:rsidRPr="00964EEE" w:rsidRDefault="00E97736">
            <w:pPr>
              <w:pStyle w:val="Normal6"/>
              <w:rPr>
                <w:szCs w:val="24"/>
              </w:rPr>
            </w:pPr>
            <w:r w:rsidRPr="00964EEE">
              <w:t>b)</w:t>
            </w:r>
            <w:r w:rsidRPr="00964EEE">
              <w:tab/>
              <w:t xml:space="preserve">niezależnie od ewentualnych przepisów krajowych dotyczących udzielania kredytów przez wystawców kart kredytowych </w:t>
            </w:r>
            <w:r w:rsidRPr="00964EEE">
              <w:t>kredyt udzielony w związku z płatnością i zrealizowany zgodnie z art. 13 ust. 6 i art. 30 podlega spłacie w </w:t>
            </w:r>
            <w:r w:rsidRPr="00964EEE">
              <w:rPr>
                <w:b/>
                <w:i/>
              </w:rPr>
              <w:t xml:space="preserve">rozsądnie </w:t>
            </w:r>
            <w:r w:rsidRPr="00964EEE">
              <w:t>krótkim terminie;</w:t>
            </w: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95</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Lídia Pereira</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Artykuł 14 – akapit 1</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 xml:space="preserve">W terminie </w:t>
            </w:r>
            <w:r w:rsidRPr="00964EEE">
              <w:rPr>
                <w:b/>
                <w:i/>
              </w:rPr>
              <w:t>trzech</w:t>
            </w:r>
            <w:r w:rsidRPr="00964EEE">
              <w:t xml:space="preserve"> miesięcy od daty otrzymania wniosku o udzielenie zezwolenia, o którym mowa </w:t>
            </w:r>
            <w:r w:rsidRPr="00964EEE">
              <w:t>w art. 3, lub – w przypadku gdy wniosek taki jest niekompletny – od daty otrzymania wszystkich informacji, o których mowa w art. 3 ust. 3, właściwe organy powiadamiają wnioskodawcę o udzieleniu zezwolenia lub o odmowie jego udzielenia. W przypadku odmowy u</w:t>
            </w:r>
            <w:r w:rsidRPr="00964EEE">
              <w:t>dzielenia zezwolenia właściwy organ podaje uzasadnienie.</w:t>
            </w:r>
          </w:p>
        </w:tc>
        <w:tc>
          <w:tcPr>
            <w:tcW w:w="4876" w:type="dxa"/>
            <w:hideMark/>
          </w:tcPr>
          <w:p w:rsidR="00AE7AC1" w:rsidRPr="00964EEE" w:rsidRDefault="00E97736">
            <w:pPr>
              <w:pStyle w:val="Normal6"/>
              <w:rPr>
                <w:szCs w:val="24"/>
              </w:rPr>
            </w:pPr>
            <w:r w:rsidRPr="00964EEE">
              <w:t xml:space="preserve">W terminie </w:t>
            </w:r>
            <w:r w:rsidRPr="00964EEE">
              <w:rPr>
                <w:b/>
                <w:i/>
              </w:rPr>
              <w:t>dwóch</w:t>
            </w:r>
            <w:r w:rsidRPr="00964EEE">
              <w:t xml:space="preserve"> miesięcy od daty otrzymania wniosku o udzielenie zezwolenia, o którym mowa w art. 3, lub – w przypadku gdy wniosek taki jest niekompletny – od daty otrzymania wszystkich informacji, </w:t>
            </w:r>
            <w:r w:rsidRPr="00964EEE">
              <w:t>o których mowa w art. 3 ust. 3, właściwe organy powiadamiają wnioskodawcę o udzieleniu zezwolenia lub o odmowie jego udzielenia. W przypadku odmowy udzielenia zezwolenia właściwy organ podaje uzasadnienie.</w:t>
            </w: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lastRenderedPageBreak/>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96</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Eugen Jurzyca</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Artykuł 17 – ustęp 1 – akapit 1 – litera a</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a)</w:t>
            </w:r>
            <w:r w:rsidRPr="00964EEE">
              <w:tab/>
            </w:r>
            <w:r w:rsidRPr="00964EEE">
              <w:t>informacje o instytucjach płatniczych, które uzyskały zezwolenie zgodnie z art. 13, oraz o ich agentach lub dystrybutorach, o ile ci istnieją;</w:t>
            </w:r>
          </w:p>
        </w:tc>
        <w:tc>
          <w:tcPr>
            <w:tcW w:w="4876" w:type="dxa"/>
            <w:hideMark/>
          </w:tcPr>
          <w:p w:rsidR="00AE7AC1" w:rsidRPr="00964EEE" w:rsidRDefault="00E97736">
            <w:pPr>
              <w:pStyle w:val="Normal6"/>
              <w:rPr>
                <w:szCs w:val="24"/>
              </w:rPr>
            </w:pPr>
            <w:r w:rsidRPr="00964EEE">
              <w:rPr>
                <w:i/>
                <w:iCs/>
              </w:rPr>
              <w:t>(Nie dotyczy polskiej wersji językowej.)</w:t>
            </w: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97</w:t>
      </w:r>
      <w:r w:rsidRPr="00964EEE">
        <w:rPr>
          <w:rStyle w:val="HideTWBExt"/>
          <w:b w:val="0"/>
        </w:rPr>
        <w:t>&lt;</w:t>
      </w:r>
      <w:r w:rsidRPr="00964EEE">
        <w:rPr>
          <w:rStyle w:val="HideTWBExt"/>
          <w:b w:val="0"/>
        </w:rPr>
        <w:t>/NumAm&gt;</w:t>
      </w:r>
    </w:p>
    <w:p w:rsidR="00AE7AC1" w:rsidRPr="00964EEE" w:rsidRDefault="00E97736" w:rsidP="00AE7AC1">
      <w:pPr>
        <w:pStyle w:val="NormalBold"/>
      </w:pPr>
      <w:r w:rsidRPr="00964EEE">
        <w:rPr>
          <w:rStyle w:val="HideTWBExt"/>
          <w:b w:val="0"/>
        </w:rPr>
        <w:t>&lt;RepeatBlock-By&gt;&lt;Members&gt;</w:t>
      </w:r>
      <w:r w:rsidRPr="00964EEE">
        <w:t>Marek Belka, Paul Tang, René Repasi</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Artykuł 17 – ustęp 1 – akapit 1 – litera a</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a)</w:t>
            </w:r>
            <w:r w:rsidRPr="00964EEE">
              <w:tab/>
            </w:r>
            <w:r w:rsidRPr="00964EEE">
              <w:t>informacje o instytucjach płatniczych, które uzyskały zezwolenie zgodnie z art. 13, oraz o ich agentach lub dystrybutorach, o ile ci istnieją;</w:t>
            </w:r>
          </w:p>
        </w:tc>
        <w:tc>
          <w:tcPr>
            <w:tcW w:w="4876" w:type="dxa"/>
            <w:hideMark/>
          </w:tcPr>
          <w:p w:rsidR="00AE7AC1" w:rsidRPr="00964EEE" w:rsidRDefault="00E97736">
            <w:pPr>
              <w:pStyle w:val="Normal6"/>
              <w:rPr>
                <w:szCs w:val="24"/>
              </w:rPr>
            </w:pPr>
            <w:r w:rsidRPr="00964EEE">
              <w:rPr>
                <w:i/>
                <w:iCs/>
              </w:rPr>
              <w:t>(Nie dotyczy polskiej wersji językowej.)</w:t>
            </w: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98</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Marek Belka, Paul Tang, René Repasi</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Artykuł 19 – ustęp 1 – wprowadzenie</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1.</w:t>
            </w:r>
            <w:r w:rsidRPr="00964EEE">
              <w:tab/>
            </w:r>
            <w:r w:rsidRPr="00964EEE">
              <w:t xml:space="preserve">Instytucje płatnicze, które zamierzają świadczyć usługi płatnicze za pośrednictwem agentów, przekazują właściwym organom swojego państwa członkowskiego pochodzenia wszystkie </w:t>
            </w:r>
            <w:r w:rsidRPr="00964EEE">
              <w:lastRenderedPageBreak/>
              <w:t>następujące informacje:</w:t>
            </w:r>
          </w:p>
        </w:tc>
        <w:tc>
          <w:tcPr>
            <w:tcW w:w="4876" w:type="dxa"/>
            <w:hideMark/>
          </w:tcPr>
          <w:p w:rsidR="00AE7AC1" w:rsidRPr="00964EEE" w:rsidRDefault="00E97736">
            <w:pPr>
              <w:pStyle w:val="Normal6"/>
              <w:rPr>
                <w:szCs w:val="24"/>
              </w:rPr>
            </w:pPr>
            <w:r w:rsidRPr="00964EEE">
              <w:lastRenderedPageBreak/>
              <w:t>1.</w:t>
            </w:r>
            <w:r w:rsidRPr="00964EEE">
              <w:tab/>
              <w:t>Instytucje płatnicze, które zamierzają świadczyć usługi</w:t>
            </w:r>
            <w:r w:rsidRPr="00964EEE">
              <w:t xml:space="preserve"> płatnicze </w:t>
            </w:r>
            <w:r w:rsidRPr="00964EEE">
              <w:rPr>
                <w:b/>
                <w:i/>
              </w:rPr>
              <w:t xml:space="preserve">oraz usługi inne niż związane z pieniądzem elektronicznym </w:t>
            </w:r>
            <w:r w:rsidRPr="00964EEE">
              <w:t xml:space="preserve">za pośrednictwem agentów, przekazują właściwym organom </w:t>
            </w:r>
            <w:r w:rsidRPr="00964EEE">
              <w:lastRenderedPageBreak/>
              <w:t>swojego państwa członkowskiego pochodzenia wszystkie następujące informacje:</w:t>
            </w:r>
          </w:p>
        </w:tc>
      </w:tr>
    </w:tbl>
    <w:p w:rsidR="00AE7AC1" w:rsidRPr="00964EEE" w:rsidRDefault="00E97736" w:rsidP="00AE7AC1">
      <w:pPr>
        <w:pStyle w:val="Olang"/>
      </w:pPr>
      <w:r w:rsidRPr="00964EEE">
        <w:lastRenderedPageBreak/>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w:t>
      </w:r>
      <w:r w:rsidRPr="00964EEE">
        <w:t>ka</w:t>
      </w:r>
      <w:r w:rsidRPr="00964EEE">
        <w:tab/>
      </w:r>
      <w:r w:rsidRPr="00964EEE">
        <w:tab/>
      </w:r>
      <w:r w:rsidRPr="00964EEE">
        <w:rPr>
          <w:rStyle w:val="HideTWBExt"/>
          <w:b w:val="0"/>
        </w:rPr>
        <w:t>&lt;NumAm&gt;</w:t>
      </w:r>
      <w:r w:rsidRPr="00964EEE">
        <w:t>99</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Lídia Pereira</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Artykuł 19 – ustęp 2</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2.</w:t>
            </w:r>
            <w:r w:rsidRPr="00964EEE">
              <w:tab/>
            </w:r>
            <w:r w:rsidRPr="00964EEE">
              <w:t xml:space="preserve">Państwa członkowskie zapewniają, aby właściwe organy państwa członkowskiego pochodzenia powiadomiły instytucję płatniczą, w terminie </w:t>
            </w:r>
            <w:r w:rsidRPr="00964EEE">
              <w:rPr>
                <w:b/>
                <w:i/>
              </w:rPr>
              <w:t>2 miesięcy</w:t>
            </w:r>
            <w:r w:rsidRPr="00964EEE">
              <w:t xml:space="preserve"> od daty otrzymania informacji, o których mowa w ust. 1, o tym, czy dany agent został wpisany do rejestru, o któr</w:t>
            </w:r>
            <w:r w:rsidRPr="00964EEE">
              <w:t>ym mowa w art. 17. Po wpisaniu do rejestru agent może rozpocząć świadczenie usług płatniczych.</w:t>
            </w:r>
          </w:p>
        </w:tc>
        <w:tc>
          <w:tcPr>
            <w:tcW w:w="4876" w:type="dxa"/>
            <w:hideMark/>
          </w:tcPr>
          <w:p w:rsidR="00AE7AC1" w:rsidRPr="00964EEE" w:rsidRDefault="00E97736">
            <w:pPr>
              <w:pStyle w:val="Normal6"/>
              <w:rPr>
                <w:szCs w:val="24"/>
              </w:rPr>
            </w:pPr>
            <w:r w:rsidRPr="00964EEE">
              <w:t>2.</w:t>
            </w:r>
            <w:r w:rsidRPr="00964EEE">
              <w:tab/>
              <w:t xml:space="preserve">Państwa członkowskie zapewniają, aby właściwe organy państwa członkowskiego pochodzenia powiadomiły instytucję płatniczą, w terminie </w:t>
            </w:r>
            <w:r w:rsidRPr="00964EEE">
              <w:rPr>
                <w:b/>
                <w:i/>
              </w:rPr>
              <w:t>1 miesiąca</w:t>
            </w:r>
            <w:r w:rsidRPr="00964EEE">
              <w:t xml:space="preserve"> od daty otrzym</w:t>
            </w:r>
            <w:r w:rsidRPr="00964EEE">
              <w:t>ania informacji, o których mowa w ust. 1, o tym, czy dany agent został wpisany do rejestru, o którym mowa w art. 17. Po wpisaniu do rejestru agent może rozpocząć świadczenie usług płatniczych.</w:t>
            </w: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w:t>
      </w:r>
      <w:r w:rsidRPr="00964EEE">
        <w:rPr>
          <w:rStyle w:val="HideTWBExt"/>
          <w:b w:val="0"/>
        </w:rPr>
        <w:t>Am&gt;</w:t>
      </w:r>
      <w:r w:rsidRPr="00964EEE">
        <w:t>100</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Eugen Jurzyca</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Artykuł 19 – ustęp 2</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2.</w:t>
            </w:r>
            <w:r w:rsidRPr="00964EEE">
              <w:tab/>
            </w:r>
            <w:r w:rsidRPr="00964EEE">
              <w:t xml:space="preserve">Państwa członkowskie zapewniają, aby właściwe organy państwa członkowskiego pochodzenia powiadomiły instytucję płatniczą, w terminie </w:t>
            </w:r>
            <w:r w:rsidRPr="00964EEE">
              <w:rPr>
                <w:b/>
                <w:i/>
              </w:rPr>
              <w:t>2 miesięcy</w:t>
            </w:r>
            <w:r w:rsidRPr="00964EEE">
              <w:t xml:space="preserve"> od daty otrzymania informacji, o których mowa w ust. 1, o tym, czy dany agent został wpisany do rejestru, o któr</w:t>
            </w:r>
            <w:r w:rsidRPr="00964EEE">
              <w:t xml:space="preserve">ym mowa w art. 17. Po wpisaniu do rejestru agent może rozpocząć świadczenie usług </w:t>
            </w:r>
            <w:r w:rsidRPr="00964EEE">
              <w:lastRenderedPageBreak/>
              <w:t>płatniczych.</w:t>
            </w:r>
          </w:p>
        </w:tc>
        <w:tc>
          <w:tcPr>
            <w:tcW w:w="4876" w:type="dxa"/>
            <w:hideMark/>
          </w:tcPr>
          <w:p w:rsidR="00AE7AC1" w:rsidRPr="00964EEE" w:rsidRDefault="00E97736">
            <w:pPr>
              <w:pStyle w:val="Normal6"/>
              <w:rPr>
                <w:szCs w:val="24"/>
              </w:rPr>
            </w:pPr>
            <w:r w:rsidRPr="00964EEE">
              <w:lastRenderedPageBreak/>
              <w:t>2.</w:t>
            </w:r>
            <w:r w:rsidRPr="00964EEE">
              <w:tab/>
              <w:t xml:space="preserve">Państwa członkowskie zapewniają, aby właściwe organy państwa członkowskiego pochodzenia powiadomiły instytucję płatniczą, w terminie </w:t>
            </w:r>
            <w:r w:rsidRPr="00964EEE">
              <w:rPr>
                <w:b/>
                <w:i/>
              </w:rPr>
              <w:t>1 miesiąca</w:t>
            </w:r>
            <w:r w:rsidRPr="00964EEE">
              <w:t xml:space="preserve"> od daty otrzym</w:t>
            </w:r>
            <w:r w:rsidRPr="00964EEE">
              <w:t xml:space="preserve">ania informacji, o których mowa w ust. 1, o tym, czy dany agent został wpisany do rejestru, o którym mowa w art. 17. Po wpisaniu do rejestru agent może rozpocząć świadczenie usług </w:t>
            </w:r>
            <w:r w:rsidRPr="00964EEE">
              <w:lastRenderedPageBreak/>
              <w:t>płatniczych.</w:t>
            </w:r>
          </w:p>
        </w:tc>
      </w:tr>
    </w:tbl>
    <w:p w:rsidR="00AE7AC1" w:rsidRPr="00964EEE" w:rsidRDefault="00E97736" w:rsidP="00AE7AC1">
      <w:pPr>
        <w:pStyle w:val="Olang"/>
      </w:pPr>
      <w:r w:rsidRPr="00964EEE">
        <w:lastRenderedPageBreak/>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101</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Gunnar Beck</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Artykuł 20 – ustęp 2</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2.</w:t>
            </w:r>
            <w:r w:rsidRPr="00964EEE">
              <w:tab/>
            </w:r>
            <w:r w:rsidRPr="00964EEE">
              <w:t xml:space="preserve">Państwa członkowskie zapewniają, aby instytucje płatnicze, które zamierzają świadczyć usługi związane z pieniądzem elektronicznym za pośrednictwem dystrybutora, </w:t>
            </w:r>
            <w:r w:rsidRPr="00964EEE">
              <w:rPr>
                <w:b/>
                <w:i/>
              </w:rPr>
              <w:t>stosowały odpowiednio wymogi przewidziane w art</w:t>
            </w:r>
            <w:r w:rsidRPr="00964EEE">
              <w:t>.</w:t>
            </w:r>
            <w:r w:rsidRPr="00964EEE">
              <w:rPr>
                <w:b/>
                <w:i/>
              </w:rPr>
              <w:t> 19</w:t>
            </w:r>
            <w:r w:rsidRPr="00964EEE">
              <w:t>.</w:t>
            </w:r>
          </w:p>
        </w:tc>
        <w:tc>
          <w:tcPr>
            <w:tcW w:w="4876" w:type="dxa"/>
            <w:hideMark/>
          </w:tcPr>
          <w:p w:rsidR="00AE7AC1" w:rsidRPr="00964EEE" w:rsidRDefault="00E97736" w:rsidP="00D5652E">
            <w:pPr>
              <w:pStyle w:val="Normal6"/>
              <w:rPr>
                <w:szCs w:val="24"/>
              </w:rPr>
            </w:pPr>
            <w:r w:rsidRPr="00964EEE">
              <w:t>2.</w:t>
            </w:r>
            <w:r w:rsidRPr="00964EEE">
              <w:tab/>
            </w:r>
            <w:r w:rsidRPr="00964EEE">
              <w:t xml:space="preserve">Państwa członkowskie zapewniają, aby instytucje płatnicze, które zamierzają świadczyć usługi związane z pieniądzem elektronicznym za pośrednictwem dystrybutora, </w:t>
            </w:r>
            <w:r w:rsidRPr="00964EEE">
              <w:rPr>
                <w:b/>
                <w:i/>
              </w:rPr>
              <w:t>powiadamia swój właściwy organ o tym zamiarze i przekazywały dane identyfikacyjne takich dystry</w:t>
            </w:r>
            <w:r w:rsidRPr="00964EEE">
              <w:rPr>
                <w:b/>
                <w:i/>
              </w:rPr>
              <w:t>butorów</w:t>
            </w:r>
            <w:r w:rsidRPr="00964EEE">
              <w:t xml:space="preserve">. </w:t>
            </w:r>
            <w:r w:rsidRPr="00964EEE">
              <w:rPr>
                <w:b/>
                <w:i/>
              </w:rPr>
              <w:t>Dystrybutorów, którzy są częścią grupy lub łańcucha, można zgłaszać na poziomie grupy lub łańcucha.</w:t>
            </w: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102</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Gunnar Beck</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w:t>
      </w:r>
      <w:r w:rsidRPr="00964EEE">
        <w:rPr>
          <w:rStyle w:val="HideTWBExt"/>
          <w:b w:val="0"/>
        </w:rPr>
        <w:t>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Artykuł 20 – ustęp 3</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3.</w:t>
            </w:r>
            <w:r w:rsidRPr="00964EEE">
              <w:tab/>
            </w:r>
            <w:r w:rsidRPr="00964EEE">
              <w:t xml:space="preserve">W przypadku gdy instytucja płatnicza zamierza prowadzić dystrybucję usług związanych z pieniądzem elektronicznym w innym państwie członkowskim poprzez zaangażowanie dystrybutora, </w:t>
            </w:r>
            <w:r w:rsidRPr="00964EEE">
              <w:rPr>
                <w:b/>
                <w:i/>
              </w:rPr>
              <w:t>do takiej instytucji płatniczej stosuje się odpowiednio art</w:t>
            </w:r>
            <w:r w:rsidRPr="00964EEE">
              <w:t>.</w:t>
            </w:r>
            <w:r w:rsidRPr="00964EEE">
              <w:rPr>
                <w:b/>
                <w:i/>
              </w:rPr>
              <w:t> 30–33</w:t>
            </w:r>
            <w:r w:rsidRPr="00964EEE">
              <w:t xml:space="preserve">, </w:t>
            </w:r>
            <w:r w:rsidRPr="00964EEE">
              <w:rPr>
                <w:b/>
                <w:i/>
              </w:rPr>
              <w:t>z wyjątkiem art. 31 ust. 4 i 5 niniejszej dyrektywy</w:t>
            </w:r>
            <w:r w:rsidRPr="00964EEE">
              <w:t xml:space="preserve">, </w:t>
            </w:r>
            <w:r w:rsidRPr="00964EEE">
              <w:rPr>
                <w:b/>
                <w:i/>
              </w:rPr>
              <w:t>łącznie z aktami delegowanymi przyjętymi</w:t>
            </w:r>
            <w:r w:rsidRPr="00964EEE">
              <w:t xml:space="preserve"> na </w:t>
            </w:r>
            <w:r w:rsidRPr="00964EEE">
              <w:rPr>
                <w:b/>
                <w:i/>
              </w:rPr>
              <w:t>podstawie art. 30 ust. 5 niniejszej dyrektywy</w:t>
            </w:r>
            <w:r w:rsidRPr="00964EEE">
              <w:t>.</w:t>
            </w:r>
          </w:p>
        </w:tc>
        <w:tc>
          <w:tcPr>
            <w:tcW w:w="4876" w:type="dxa"/>
            <w:hideMark/>
          </w:tcPr>
          <w:p w:rsidR="00AE7AC1" w:rsidRPr="00964EEE" w:rsidRDefault="00E97736" w:rsidP="00D5652E">
            <w:pPr>
              <w:pStyle w:val="Normal6"/>
              <w:rPr>
                <w:szCs w:val="24"/>
              </w:rPr>
            </w:pPr>
            <w:r w:rsidRPr="00964EEE">
              <w:t>3.</w:t>
            </w:r>
            <w:r w:rsidRPr="00964EEE">
              <w:tab/>
              <w:t>W przypadku gdy instytucja płatnicza zamierza prowadzić dystrybucję usług związanych z pieniądzem elektronicz</w:t>
            </w:r>
            <w:r w:rsidRPr="00964EEE">
              <w:t xml:space="preserve">nym w innym państwie członkowskim poprzez zaangażowanie dystrybutora, </w:t>
            </w:r>
            <w:r w:rsidRPr="00964EEE">
              <w:rPr>
                <w:b/>
                <w:i/>
              </w:rPr>
              <w:t>powiadamia swój właściwy organ, który z kolei przekazuje właściwemu organowi przyjmującego państwa członkowskiego dane identyfikacyjne takich dystrybutorów</w:t>
            </w:r>
            <w:r w:rsidRPr="00964EEE">
              <w:t>.</w:t>
            </w:r>
            <w:r w:rsidRPr="00964EEE">
              <w:rPr>
                <w:b/>
                <w:i/>
              </w:rPr>
              <w:t xml:space="preserve"> Dystrybutorów</w:t>
            </w:r>
            <w:r w:rsidRPr="00964EEE">
              <w:t xml:space="preserve">, </w:t>
            </w:r>
            <w:r w:rsidRPr="00964EEE">
              <w:rPr>
                <w:b/>
                <w:i/>
              </w:rPr>
              <w:t>którzy są częś</w:t>
            </w:r>
            <w:r w:rsidRPr="00964EEE">
              <w:rPr>
                <w:b/>
                <w:i/>
              </w:rPr>
              <w:t>cią grupy lub łańcucha</w:t>
            </w:r>
            <w:r w:rsidRPr="00964EEE">
              <w:t xml:space="preserve">, </w:t>
            </w:r>
            <w:r w:rsidRPr="00964EEE">
              <w:rPr>
                <w:b/>
                <w:i/>
              </w:rPr>
              <w:t>można zgłaszać</w:t>
            </w:r>
            <w:r w:rsidRPr="00964EEE">
              <w:t xml:space="preserve"> na </w:t>
            </w:r>
            <w:r w:rsidRPr="00964EEE">
              <w:rPr>
                <w:b/>
                <w:i/>
              </w:rPr>
              <w:t xml:space="preserve">poziomie </w:t>
            </w:r>
            <w:r w:rsidRPr="00964EEE">
              <w:rPr>
                <w:b/>
                <w:i/>
              </w:rPr>
              <w:lastRenderedPageBreak/>
              <w:t>grupy lub łańcucha</w:t>
            </w:r>
            <w:r w:rsidRPr="00964EEE">
              <w:t>.</w:t>
            </w:r>
          </w:p>
        </w:tc>
      </w:tr>
    </w:tbl>
    <w:p w:rsidR="00AE7AC1" w:rsidRPr="00964EEE" w:rsidRDefault="00E97736" w:rsidP="00AE7AC1">
      <w:pPr>
        <w:pStyle w:val="Olang"/>
      </w:pPr>
      <w:r w:rsidRPr="00964EEE">
        <w:lastRenderedPageBreak/>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103</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Marek Belka, Paul Tang, René Repasi</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 xml:space="preserve">Wniosek </w:t>
      </w:r>
      <w:r w:rsidRPr="00964EEE">
        <w:t>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Artykuł 21 – ustęp 1</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1.</w:t>
            </w:r>
            <w:r w:rsidRPr="00964EEE">
              <w:tab/>
              <w:t>Państwa członkowskie wymagają</w:t>
            </w:r>
            <w:r w:rsidRPr="00964EEE">
              <w:rPr>
                <w:b/>
                <w:i/>
              </w:rPr>
              <w:t xml:space="preserve"> od instytucji płatniczych</w:t>
            </w:r>
            <w:r w:rsidRPr="00964EEE">
              <w:t xml:space="preserve">, </w:t>
            </w:r>
            <w:r w:rsidRPr="00964EEE">
              <w:rPr>
                <w:b/>
                <w:i/>
              </w:rPr>
              <w:t>które zamierzają</w:t>
            </w:r>
            <w:r w:rsidRPr="00964EEE">
              <w:t xml:space="preserve"> świadczyć usługi płatnicze w innym państwie członkowskim poprzez utworzenie oddziału lub </w:t>
            </w:r>
            <w:r w:rsidRPr="00964EEE">
              <w:rPr>
                <w:b/>
                <w:i/>
              </w:rPr>
              <w:t>które zamierzają</w:t>
            </w:r>
            <w:r w:rsidRPr="00964EEE">
              <w:t xml:space="preserve"> świadczyć usługi płatnicze w państwie członkowskim innym niż </w:t>
            </w:r>
            <w:r w:rsidRPr="00964EEE">
              <w:rPr>
                <w:b/>
                <w:i/>
              </w:rPr>
              <w:t>ich</w:t>
            </w:r>
            <w:r w:rsidRPr="00964EEE">
              <w:t xml:space="preserve"> państwo członkowskie pochodzenia za pośrednictwem oddziału mającego siedzibę w trzec</w:t>
            </w:r>
            <w:r w:rsidRPr="00964EEE">
              <w:t xml:space="preserve">im państwie członkowskim, </w:t>
            </w:r>
            <w:r w:rsidRPr="00964EEE">
              <w:rPr>
                <w:b/>
                <w:i/>
              </w:rPr>
              <w:t>aby postępowały</w:t>
            </w:r>
            <w:r w:rsidRPr="00964EEE">
              <w:t xml:space="preserve"> zgodnie z procedurami określonymi w art. 30.</w:t>
            </w:r>
          </w:p>
        </w:tc>
        <w:tc>
          <w:tcPr>
            <w:tcW w:w="4876" w:type="dxa"/>
            <w:hideMark/>
          </w:tcPr>
          <w:p w:rsidR="00AE7AC1" w:rsidRPr="00964EEE" w:rsidRDefault="00E97736">
            <w:pPr>
              <w:pStyle w:val="Normal6"/>
              <w:rPr>
                <w:szCs w:val="24"/>
              </w:rPr>
            </w:pPr>
            <w:r w:rsidRPr="00964EEE">
              <w:t>1.</w:t>
            </w:r>
            <w:r w:rsidRPr="00964EEE">
              <w:tab/>
              <w:t>Państwa członkowskie wymagają</w:t>
            </w:r>
            <w:r w:rsidRPr="00964EEE">
              <w:rPr>
                <w:b/>
                <w:i/>
              </w:rPr>
              <w:t>, by instytucja płatnicza</w:t>
            </w:r>
            <w:r w:rsidRPr="00964EEE">
              <w:t xml:space="preserve">, </w:t>
            </w:r>
            <w:r w:rsidRPr="00964EEE">
              <w:rPr>
                <w:b/>
                <w:i/>
              </w:rPr>
              <w:t>która zamierza</w:t>
            </w:r>
            <w:r w:rsidRPr="00964EEE">
              <w:t xml:space="preserve"> świadczyć usługi płatnicze w innym państwie członkowskim poprzez utworzenie oddziału lub </w:t>
            </w:r>
            <w:r w:rsidRPr="00964EEE">
              <w:rPr>
                <w:b/>
                <w:i/>
              </w:rPr>
              <w:t xml:space="preserve">która </w:t>
            </w:r>
            <w:r w:rsidRPr="00964EEE">
              <w:rPr>
                <w:b/>
                <w:i/>
              </w:rPr>
              <w:t>zamierza</w:t>
            </w:r>
            <w:r w:rsidRPr="00964EEE">
              <w:t xml:space="preserve"> świadczyć usługi płatnicze w państwie członkowskim innym niż </w:t>
            </w:r>
            <w:r w:rsidRPr="00964EEE">
              <w:rPr>
                <w:b/>
                <w:i/>
              </w:rPr>
              <w:t>jej</w:t>
            </w:r>
            <w:r w:rsidRPr="00964EEE">
              <w:t xml:space="preserve"> państwo członkowskie pochodzenia za pośrednictwem oddziału mającego siedzibę w trzecim państwie członkowskim, </w:t>
            </w:r>
            <w:r w:rsidRPr="00964EEE">
              <w:rPr>
                <w:b/>
                <w:i/>
              </w:rPr>
              <w:t>postępowała</w:t>
            </w:r>
            <w:r w:rsidRPr="00964EEE">
              <w:t xml:space="preserve"> zgodnie z procedurami określonymi w art. 30.</w:t>
            </w: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104</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Marek Belka, Paul Tang, René Repasi</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Artykuł 30 – ustęp 1 – akapit 2</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Państwa członkowskie zapewniają, aby instytucje płatnicze, które zamierzają zlecać funkcje operacyjne do celów usług płatniczych lub usług związanych z pieniądzem elektronicznym innym podmiotom w przyjmującym państ</w:t>
            </w:r>
            <w:r w:rsidRPr="00964EEE">
              <w:t xml:space="preserve">wie członkowskim na zasadzie outsourcingu, powiadamiały o tym fakcie właściwe organy swojego państwa członkowskiego </w:t>
            </w:r>
            <w:r w:rsidRPr="00964EEE">
              <w:lastRenderedPageBreak/>
              <w:t>pochodzenia.</w:t>
            </w:r>
          </w:p>
        </w:tc>
        <w:tc>
          <w:tcPr>
            <w:tcW w:w="4876" w:type="dxa"/>
            <w:hideMark/>
          </w:tcPr>
          <w:p w:rsidR="00AE7AC1" w:rsidRPr="00964EEE" w:rsidRDefault="00E97736">
            <w:pPr>
              <w:pStyle w:val="Normal6"/>
              <w:rPr>
                <w:szCs w:val="24"/>
              </w:rPr>
            </w:pPr>
            <w:r w:rsidRPr="00964EEE">
              <w:lastRenderedPageBreak/>
              <w:t>Państwa członkowskie zapewniają, aby instytucje płatnicze, które zamierzają zlecać funkcje operacyjne do celów usług płatniczyc</w:t>
            </w:r>
            <w:r w:rsidRPr="00964EEE">
              <w:t xml:space="preserve">h lub usług związanych z pieniądzem elektronicznym innym podmiotom w przyjmującym państwie członkowskim na zasadzie outsourcingu, </w:t>
            </w:r>
            <w:r w:rsidRPr="00964EEE">
              <w:rPr>
                <w:b/>
                <w:i/>
              </w:rPr>
              <w:t xml:space="preserve">bez zbędnej zwłoki </w:t>
            </w:r>
            <w:r w:rsidRPr="00964EEE">
              <w:t xml:space="preserve">powiadamiały o tym fakcie właściwe organy swojego państwa </w:t>
            </w:r>
            <w:r w:rsidRPr="00964EEE">
              <w:lastRenderedPageBreak/>
              <w:t>członkowskiego pochodzenia.</w:t>
            </w:r>
          </w:p>
        </w:tc>
      </w:tr>
    </w:tbl>
    <w:p w:rsidR="00AE7AC1" w:rsidRPr="00964EEE" w:rsidRDefault="00E97736" w:rsidP="00AE7AC1">
      <w:pPr>
        <w:pStyle w:val="Olang"/>
      </w:pPr>
      <w:r w:rsidRPr="00964EEE">
        <w:lastRenderedPageBreak/>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105</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Marek Belka, Paul Tang, René Repasi</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Artykuł 30 – ustęp 1 a (nowy)</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 xml:space="preserve">Tekst </w:t>
            </w:r>
            <w:r w:rsidRPr="00964EEE">
              <w:t>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tcPr>
          <w:p w:rsidR="00AE7AC1" w:rsidRPr="00964EEE" w:rsidRDefault="00AE7AC1">
            <w:pPr>
              <w:pStyle w:val="Normal6"/>
            </w:pPr>
          </w:p>
        </w:tc>
        <w:tc>
          <w:tcPr>
            <w:tcW w:w="4876" w:type="dxa"/>
            <w:hideMark/>
          </w:tcPr>
          <w:p w:rsidR="00AE7AC1" w:rsidRPr="00964EEE" w:rsidRDefault="00E97736">
            <w:pPr>
              <w:pStyle w:val="Normal6"/>
              <w:rPr>
                <w:szCs w:val="24"/>
              </w:rPr>
            </w:pPr>
            <w:r w:rsidRPr="00964EEE">
              <w:rPr>
                <w:b/>
                <w:i/>
              </w:rPr>
              <w:t>1a.</w:t>
            </w:r>
            <w:r w:rsidRPr="00964EEE">
              <w:rPr>
                <w:b/>
                <w:i/>
              </w:rPr>
              <w:tab/>
              <w:t>Komisja tworzy specjalną stronę internetową zawierającą wszystkie informacje na temat możliwości rejestracji instytucji płatniczych w każdym państwie członkowskim.</w:t>
            </w: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106</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Eugen Jurzyca</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Artykuł 30 – ustęp 2 – akapit 1</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 xml:space="preserve">W terminie </w:t>
            </w:r>
            <w:r w:rsidRPr="00964EEE">
              <w:rPr>
                <w:b/>
                <w:i/>
              </w:rPr>
              <w:t xml:space="preserve">1 </w:t>
            </w:r>
            <w:r w:rsidRPr="00964EEE">
              <w:rPr>
                <w:b/>
                <w:i/>
              </w:rPr>
              <w:t>miesiąca</w:t>
            </w:r>
            <w:r w:rsidRPr="00964EEE">
              <w:t xml:space="preserve"> od otrzymania wszystkich informacji, o których mowa w ust. 1, właściwe organy państwa członkowskiego pochodzenia przekazują te informacje właściwym organom przyjmującego państwa członkowskiego. Jeżeli dane usługi są świadczone za pośrednictwem pod</w:t>
            </w:r>
            <w:r w:rsidRPr="00964EEE">
              <w:t>miotu zlokalizowanego w trzecim państwie członkowskim, państwem członkowskim, które należy powiadomić, jest państwo członkowskie, w którym usługi te są świadczone na rzecz użytkowników usług płatniczych.</w:t>
            </w:r>
          </w:p>
        </w:tc>
        <w:tc>
          <w:tcPr>
            <w:tcW w:w="4876" w:type="dxa"/>
            <w:hideMark/>
          </w:tcPr>
          <w:p w:rsidR="00AE7AC1" w:rsidRPr="00964EEE" w:rsidRDefault="00E97736">
            <w:pPr>
              <w:pStyle w:val="Normal6"/>
              <w:rPr>
                <w:szCs w:val="24"/>
              </w:rPr>
            </w:pPr>
            <w:r w:rsidRPr="00964EEE">
              <w:t xml:space="preserve">W terminie </w:t>
            </w:r>
            <w:r w:rsidRPr="00964EEE">
              <w:rPr>
                <w:b/>
                <w:i/>
              </w:rPr>
              <w:t>10 dni roboczych</w:t>
            </w:r>
            <w:r w:rsidRPr="00964EEE">
              <w:t xml:space="preserve"> od otrzymania wszystkich</w:t>
            </w:r>
            <w:r w:rsidRPr="00964EEE">
              <w:t xml:space="preserve"> informacji, o których mowa w ust. 1, właściwe organy państwa członkowskiego pochodzenia przekazują te informacje właściwym organom przyjmującego państwa członkowskiego. Jeżeli dane usługi są świadczone za pośrednictwem podmiotu zlokalizowanego w trzecim p</w:t>
            </w:r>
            <w:r w:rsidRPr="00964EEE">
              <w:t>aństwie członkowskim, państwem członkowskim, które należy powiadomić, jest państwo członkowskie, w którym usługi te są świadczone na rzecz użytkowników usług płatniczych.</w:t>
            </w: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lastRenderedPageBreak/>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107</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Eugen Jurzyca</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Artykuł 30 – ustęp 3 – akapit 1</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 xml:space="preserve">W terminie </w:t>
            </w:r>
            <w:r w:rsidRPr="00964EEE">
              <w:rPr>
                <w:b/>
                <w:i/>
              </w:rPr>
              <w:t>3 miesięcy</w:t>
            </w:r>
            <w:r w:rsidRPr="00964EEE">
              <w:t xml:space="preserve"> od otrzymania informacji, o</w:t>
            </w:r>
            <w:r w:rsidRPr="00964EEE">
              <w:rPr>
                <w:b/>
                <w:i/>
              </w:rPr>
              <w:t> </w:t>
            </w:r>
            <w:r w:rsidRPr="00964EEE">
              <w:t>których mowa w</w:t>
            </w:r>
            <w:r w:rsidRPr="00964EEE">
              <w:rPr>
                <w:b/>
                <w:i/>
              </w:rPr>
              <w:t> </w:t>
            </w:r>
            <w:r w:rsidRPr="00964EEE">
              <w:t>ust.</w:t>
            </w:r>
            <w:r w:rsidRPr="00964EEE">
              <w:rPr>
                <w:b/>
                <w:i/>
              </w:rPr>
              <w:t> </w:t>
            </w:r>
            <w:r w:rsidRPr="00964EEE">
              <w:t>1, właściwe organy państwa członkowskiego pochodzenia przekazują swoją decyzję właściwym organom przyjmującego państwa członkowskiego oraz danej instytucji płatniczej.</w:t>
            </w:r>
          </w:p>
        </w:tc>
        <w:tc>
          <w:tcPr>
            <w:tcW w:w="4876" w:type="dxa"/>
            <w:hideMark/>
          </w:tcPr>
          <w:p w:rsidR="00AE7AC1" w:rsidRPr="00964EEE" w:rsidRDefault="00E97736">
            <w:pPr>
              <w:pStyle w:val="Normal6"/>
              <w:rPr>
                <w:szCs w:val="24"/>
              </w:rPr>
            </w:pPr>
            <w:r w:rsidRPr="00964EEE">
              <w:t xml:space="preserve">W terminie </w:t>
            </w:r>
            <w:r w:rsidRPr="00964EEE">
              <w:rPr>
                <w:b/>
                <w:i/>
              </w:rPr>
              <w:t>20 dni roboczych</w:t>
            </w:r>
            <w:r w:rsidRPr="00964EEE">
              <w:t xml:space="preserve"> od otrzyman</w:t>
            </w:r>
            <w:r w:rsidRPr="00964EEE">
              <w:t>ia informacji, o</w:t>
            </w:r>
            <w:r w:rsidRPr="00964EEE">
              <w:rPr>
                <w:b/>
                <w:i/>
              </w:rPr>
              <w:t xml:space="preserve"> </w:t>
            </w:r>
            <w:r w:rsidRPr="00964EEE">
              <w:t>których mowa w</w:t>
            </w:r>
            <w:r w:rsidRPr="00964EEE">
              <w:rPr>
                <w:b/>
                <w:i/>
              </w:rPr>
              <w:t xml:space="preserve"> </w:t>
            </w:r>
            <w:r w:rsidRPr="00964EEE">
              <w:t>ust.</w:t>
            </w:r>
            <w:r w:rsidRPr="00964EEE">
              <w:rPr>
                <w:b/>
                <w:i/>
              </w:rPr>
              <w:t xml:space="preserve"> </w:t>
            </w:r>
            <w:r w:rsidRPr="00964EEE">
              <w:t>1, właściwe organy państwa członkowskiego pochodzenia przekazują swoją decyzję właściwym organom przyjmującego państwa członkowskiego oraz danej instytucji płatniczej.</w:t>
            </w: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w:t>
      </w:r>
      <w:r w:rsidRPr="00964EEE">
        <w:t>prawka</w:t>
      </w:r>
      <w:r w:rsidRPr="00964EEE">
        <w:tab/>
      </w:r>
      <w:r w:rsidRPr="00964EEE">
        <w:tab/>
      </w:r>
      <w:r w:rsidRPr="00964EEE">
        <w:rPr>
          <w:rStyle w:val="HideTWBExt"/>
          <w:b w:val="0"/>
        </w:rPr>
        <w:t>&lt;NumAm&gt;</w:t>
      </w:r>
      <w:r w:rsidRPr="00964EEE">
        <w:t>108</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Lídia Pereira</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Artykuł 30 – ustęp 3 – akapit 1</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 xml:space="preserve">W terminie </w:t>
            </w:r>
            <w:r w:rsidRPr="00964EEE">
              <w:rPr>
                <w:b/>
                <w:i/>
              </w:rPr>
              <w:t xml:space="preserve">3 </w:t>
            </w:r>
            <w:r w:rsidRPr="00964EEE">
              <w:rPr>
                <w:b/>
                <w:i/>
              </w:rPr>
              <w:t>miesięcy</w:t>
            </w:r>
            <w:r w:rsidRPr="00964EEE">
              <w:t xml:space="preserve"> od otrzymania informacji, o</w:t>
            </w:r>
            <w:r w:rsidRPr="00964EEE">
              <w:rPr>
                <w:b/>
                <w:i/>
              </w:rPr>
              <w:t> </w:t>
            </w:r>
            <w:r w:rsidRPr="00964EEE">
              <w:t>których mowa w</w:t>
            </w:r>
            <w:r w:rsidRPr="00964EEE">
              <w:rPr>
                <w:b/>
                <w:i/>
              </w:rPr>
              <w:t> </w:t>
            </w:r>
            <w:r w:rsidRPr="00964EEE">
              <w:t>ust.</w:t>
            </w:r>
            <w:r w:rsidRPr="00964EEE">
              <w:rPr>
                <w:b/>
                <w:i/>
              </w:rPr>
              <w:t> </w:t>
            </w:r>
            <w:r w:rsidRPr="00964EEE">
              <w:t>1, właściwe organy państwa członkowskiego pochodzenia przekazują swoją decyzję właściwym organom przyjmującego państwa członkowskiego oraz danej instytucji płatniczej.</w:t>
            </w:r>
          </w:p>
        </w:tc>
        <w:tc>
          <w:tcPr>
            <w:tcW w:w="4876" w:type="dxa"/>
            <w:hideMark/>
          </w:tcPr>
          <w:p w:rsidR="00AE7AC1" w:rsidRPr="00964EEE" w:rsidRDefault="00E97736">
            <w:pPr>
              <w:pStyle w:val="Normal6"/>
              <w:rPr>
                <w:szCs w:val="24"/>
              </w:rPr>
            </w:pPr>
            <w:r w:rsidRPr="00964EEE">
              <w:t xml:space="preserve">W terminie </w:t>
            </w:r>
            <w:r w:rsidRPr="00964EEE">
              <w:rPr>
                <w:b/>
                <w:i/>
              </w:rPr>
              <w:t>1 miesiąca</w:t>
            </w:r>
            <w:r w:rsidRPr="00964EEE">
              <w:t xml:space="preserve"> od otrzym</w:t>
            </w:r>
            <w:r w:rsidRPr="00964EEE">
              <w:t>ania informacji, o</w:t>
            </w:r>
            <w:r w:rsidRPr="00964EEE">
              <w:rPr>
                <w:b/>
                <w:i/>
              </w:rPr>
              <w:t xml:space="preserve"> </w:t>
            </w:r>
            <w:r w:rsidRPr="00964EEE">
              <w:t>których mowa w</w:t>
            </w:r>
            <w:r w:rsidRPr="00964EEE">
              <w:rPr>
                <w:b/>
                <w:i/>
              </w:rPr>
              <w:t xml:space="preserve"> </w:t>
            </w:r>
            <w:r w:rsidRPr="00964EEE">
              <w:t>ust.</w:t>
            </w:r>
            <w:r w:rsidRPr="00964EEE">
              <w:rPr>
                <w:b/>
                <w:i/>
              </w:rPr>
              <w:t xml:space="preserve"> </w:t>
            </w:r>
            <w:r w:rsidRPr="00964EEE">
              <w:t>1, właściwe organy państwa członkowskiego pochodzenia przekazują swoją decyzję właściwym organom przyjmującego państwa członkowskiego oraz danej instytucji płatniczej.</w:t>
            </w: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109</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Ondřej Kovařík</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Artykuł 34 – ustęp 1 – akapit 1 – litera c a (nowa)</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tcPr>
          <w:p w:rsidR="00AE7AC1" w:rsidRPr="00964EEE" w:rsidRDefault="00AE7AC1">
            <w:pPr>
              <w:pStyle w:val="Normal6"/>
            </w:pPr>
          </w:p>
        </w:tc>
        <w:tc>
          <w:tcPr>
            <w:tcW w:w="4876" w:type="dxa"/>
            <w:hideMark/>
          </w:tcPr>
          <w:p w:rsidR="00AE7AC1" w:rsidRPr="00964EEE" w:rsidRDefault="00E97736">
            <w:pPr>
              <w:pStyle w:val="Normal6"/>
              <w:rPr>
                <w:szCs w:val="24"/>
              </w:rPr>
            </w:pPr>
            <w:r w:rsidRPr="00964EEE">
              <w:rPr>
                <w:b/>
                <w:i/>
              </w:rPr>
              <w:t>ca)</w:t>
            </w:r>
            <w:r w:rsidRPr="00964EEE">
              <w:rPr>
                <w:b/>
                <w:i/>
              </w:rPr>
              <w:tab/>
              <w:t>w przypadku usług płatniczych z wykorzystaniem tokenów będących pieniądzem elektronicznym zdefiniowanych w rozporządzeniu (UE) 2023/1114 dostawca usług płatniczych uzyskał już zezwolenie na prowadzenie działalności jako dostawca usług w zakr</w:t>
            </w:r>
            <w:r w:rsidRPr="00964EEE">
              <w:rPr>
                <w:b/>
                <w:i/>
              </w:rPr>
              <w:t>esie kryptoaktywów w państwie członkowskim Unii Europejskiej, zgodnie z tytułem V tego rozporządzenia.</w:t>
            </w: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110</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Marek Belka, Paul Tang, René Repasi</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Artykuł 36 – ustęp 5 – akapit 2</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Jako alternatywę dla ubezpieczenia od odpowiedzialności cywilnej z tytułu działalności zawodow</w:t>
            </w:r>
            <w:r w:rsidRPr="00964EEE">
              <w:t>ej wymaganego w ust. </w:t>
            </w:r>
            <w:r w:rsidRPr="00964EEE">
              <w:rPr>
                <w:b/>
                <w:i/>
              </w:rPr>
              <w:t>3 i </w:t>
            </w:r>
            <w:r w:rsidRPr="00964EEE">
              <w:t>4 przedsiębiorstwa, o których mowa w ust. 1, posiadają kapitał założycielski w wysokości 50 000 EUR, który może zostać zastąpiony ubezpieczeniem od odpowiedzialności cywilnej z tytułu prowadzenia działalności zawodowej niezwłocznie</w:t>
            </w:r>
            <w:r w:rsidRPr="00964EEE">
              <w:t xml:space="preserve"> po rozpoczęciu przez te przedsiębiorstwa działalności w charakterze instytucji płatniczej.</w:t>
            </w:r>
          </w:p>
        </w:tc>
        <w:tc>
          <w:tcPr>
            <w:tcW w:w="4876" w:type="dxa"/>
            <w:hideMark/>
          </w:tcPr>
          <w:p w:rsidR="00AE7AC1" w:rsidRPr="00964EEE" w:rsidRDefault="00E97736">
            <w:pPr>
              <w:pStyle w:val="Normal6"/>
              <w:rPr>
                <w:szCs w:val="24"/>
              </w:rPr>
            </w:pPr>
            <w:r w:rsidRPr="00964EEE">
              <w:t>Jako alternatywę dla ubezpieczenia od odpowiedzialności cywilnej z tytułu działalności zawodowej wymaganego w ust. 4 przedsiębiorstwa, o których mowa w ust. 1, posi</w:t>
            </w:r>
            <w:r w:rsidRPr="00964EEE">
              <w:t>adają kapitał założycielski w wysokości 50 000 EUR, który może zostać zastąpiony ubezpieczeniem od odpowiedzialności cywilnej z tytułu prowadzenia działalności zawodowej niezwłocznie po rozpoczęciu przez te przedsiębiorstwa działalności w charakterze insty</w:t>
            </w:r>
            <w:r w:rsidRPr="00964EEE">
              <w:t>tucji płatniczej.</w:t>
            </w: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111</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Marek Belka, Paul Tang, René Repasi</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 xml:space="preserve">Artykuł 37 – </w:t>
      </w:r>
      <w:r w:rsidRPr="00964EEE">
        <w:t>ustęp 1 – litera b</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b)</w:t>
            </w:r>
            <w:r w:rsidRPr="00964EEE">
              <w:tab/>
              <w:t xml:space="preserve">kwota wypłaconej gotówki nie przekracza </w:t>
            </w:r>
            <w:r w:rsidRPr="00964EEE">
              <w:rPr>
                <w:b/>
                <w:i/>
              </w:rPr>
              <w:t>50</w:t>
            </w:r>
            <w:r w:rsidRPr="00964EEE">
              <w:t xml:space="preserve"> EUR na wypłatę.</w:t>
            </w:r>
          </w:p>
        </w:tc>
        <w:tc>
          <w:tcPr>
            <w:tcW w:w="4876" w:type="dxa"/>
            <w:hideMark/>
          </w:tcPr>
          <w:p w:rsidR="00AE7AC1" w:rsidRPr="00964EEE" w:rsidRDefault="00E97736">
            <w:pPr>
              <w:pStyle w:val="Normal6"/>
              <w:rPr>
                <w:szCs w:val="24"/>
              </w:rPr>
            </w:pPr>
            <w:r w:rsidRPr="00964EEE">
              <w:t>b)</w:t>
            </w:r>
            <w:r w:rsidRPr="00964EEE">
              <w:tab/>
              <w:t xml:space="preserve">kwota wypłaconej gotówki nie przekracza </w:t>
            </w:r>
            <w:r w:rsidRPr="00964EEE">
              <w:rPr>
                <w:b/>
                <w:i/>
              </w:rPr>
              <w:t>100</w:t>
            </w:r>
            <w:r w:rsidRPr="00964EEE">
              <w:t xml:space="preserve"> EUR</w:t>
            </w:r>
            <w:r w:rsidRPr="00964EEE">
              <w:rPr>
                <w:b/>
                <w:i/>
              </w:rPr>
              <w:t xml:space="preserve"> lub odpowiedniej kwoty w walucie danego państwa członkowskiego</w:t>
            </w:r>
            <w:r w:rsidRPr="00964EEE">
              <w:t xml:space="preserve"> na wypłatę.</w:t>
            </w: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112</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Claude Gruffat</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Artykuł 37 – ustęp 1 – litera b</w:t>
      </w:r>
      <w:r w:rsidRPr="00964EEE">
        <w:rPr>
          <w:rStyle w:val="HideTWBExt"/>
          <w:b w:val="0"/>
        </w:rPr>
        <w:t>&lt;/Articl</w:t>
      </w:r>
      <w:r w:rsidRPr="00964EEE">
        <w:rPr>
          <w:rStyle w:val="HideTWBExt"/>
          <w:b w:val="0"/>
        </w:rPr>
        <w:t>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b)</w:t>
            </w:r>
            <w:r w:rsidRPr="00964EEE">
              <w:tab/>
              <w:t xml:space="preserve">kwota wypłaconej gotówki nie przekracza </w:t>
            </w:r>
            <w:r w:rsidRPr="00964EEE">
              <w:rPr>
                <w:b/>
                <w:i/>
              </w:rPr>
              <w:t>50</w:t>
            </w:r>
            <w:r w:rsidRPr="00964EEE">
              <w:t xml:space="preserve"> EUR na wypłatę.</w:t>
            </w:r>
          </w:p>
        </w:tc>
        <w:tc>
          <w:tcPr>
            <w:tcW w:w="4876" w:type="dxa"/>
            <w:hideMark/>
          </w:tcPr>
          <w:p w:rsidR="00AE7AC1" w:rsidRPr="00964EEE" w:rsidRDefault="00E97736">
            <w:pPr>
              <w:pStyle w:val="Normal6"/>
              <w:rPr>
                <w:szCs w:val="24"/>
              </w:rPr>
            </w:pPr>
            <w:r w:rsidRPr="00964EEE">
              <w:t>b)</w:t>
            </w:r>
            <w:r w:rsidRPr="00964EEE">
              <w:tab/>
              <w:t xml:space="preserve">kwota wypłaconej gotówki nie przekracza </w:t>
            </w:r>
            <w:r w:rsidRPr="00964EEE">
              <w:rPr>
                <w:b/>
                <w:i/>
              </w:rPr>
              <w:t>100</w:t>
            </w:r>
            <w:r w:rsidRPr="00964EEE">
              <w:t xml:space="preserve"> EUR na wypłatę.</w:t>
            </w: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113</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Eugen Jurzyca</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Artykuł 37 – ustęp 1 – litera b</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b)</w:t>
            </w:r>
            <w:r w:rsidRPr="00964EEE">
              <w:tab/>
              <w:t xml:space="preserve">kwota wypłaconej gotówki nie przekracza </w:t>
            </w:r>
            <w:r w:rsidRPr="00964EEE">
              <w:rPr>
                <w:b/>
                <w:i/>
              </w:rPr>
              <w:t>50</w:t>
            </w:r>
            <w:r w:rsidRPr="00964EEE">
              <w:t xml:space="preserve"> EUR na wypłatę.</w:t>
            </w:r>
          </w:p>
        </w:tc>
        <w:tc>
          <w:tcPr>
            <w:tcW w:w="4876" w:type="dxa"/>
            <w:hideMark/>
          </w:tcPr>
          <w:p w:rsidR="00AE7AC1" w:rsidRPr="00964EEE" w:rsidRDefault="00E97736">
            <w:pPr>
              <w:pStyle w:val="Normal6"/>
              <w:rPr>
                <w:szCs w:val="24"/>
              </w:rPr>
            </w:pPr>
            <w:r w:rsidRPr="00964EEE">
              <w:t>b)</w:t>
            </w:r>
            <w:r w:rsidRPr="00964EEE">
              <w:tab/>
              <w:t xml:space="preserve">kwota wypłaconej gotówki nie przekracza </w:t>
            </w:r>
            <w:r w:rsidRPr="00964EEE">
              <w:rPr>
                <w:b/>
                <w:i/>
              </w:rPr>
              <w:t>150</w:t>
            </w:r>
            <w:r w:rsidRPr="00964EEE">
              <w:t xml:space="preserve"> EUR na wypłatę.</w:t>
            </w: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114</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Lídia Pereira</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w:t>
      </w:r>
      <w:r w:rsidRPr="00964EEE">
        <w:t>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Artykuł 37 – ustęp 1 – litera b a (nowa)</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tcPr>
          <w:p w:rsidR="00AE7AC1" w:rsidRPr="00964EEE" w:rsidRDefault="00AE7AC1">
            <w:pPr>
              <w:pStyle w:val="Normal6"/>
            </w:pPr>
          </w:p>
        </w:tc>
        <w:tc>
          <w:tcPr>
            <w:tcW w:w="4876" w:type="dxa"/>
            <w:hideMark/>
          </w:tcPr>
          <w:p w:rsidR="00AE7AC1" w:rsidRPr="00964EEE" w:rsidRDefault="00E97736">
            <w:pPr>
              <w:pStyle w:val="Normal6"/>
              <w:rPr>
                <w:szCs w:val="24"/>
              </w:rPr>
            </w:pPr>
            <w:r w:rsidRPr="00964EEE">
              <w:rPr>
                <w:b/>
                <w:i/>
              </w:rPr>
              <w:t>ba)</w:t>
            </w:r>
            <w:r w:rsidRPr="00964EEE">
              <w:rPr>
                <w:b/>
                <w:i/>
              </w:rPr>
              <w:tab/>
              <w:t>kwota wypłaconej gotówki nie przekracza łącznie 500 EUR miesięcznie.</w:t>
            </w: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115</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Lídia Pereira</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Artykuł 37 – ustęp 1 – litera b b (nowa)</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tcPr>
          <w:p w:rsidR="00AE7AC1" w:rsidRPr="00964EEE" w:rsidRDefault="00AE7AC1">
            <w:pPr>
              <w:pStyle w:val="Normal6"/>
            </w:pPr>
          </w:p>
        </w:tc>
        <w:tc>
          <w:tcPr>
            <w:tcW w:w="4876" w:type="dxa"/>
            <w:hideMark/>
          </w:tcPr>
          <w:p w:rsidR="00AE7AC1" w:rsidRPr="00964EEE" w:rsidRDefault="00E97736">
            <w:pPr>
              <w:pStyle w:val="Normal6"/>
              <w:rPr>
                <w:szCs w:val="24"/>
              </w:rPr>
            </w:pPr>
            <w:r w:rsidRPr="00964EEE">
              <w:rPr>
                <w:b/>
                <w:i/>
              </w:rPr>
              <w:t>bb)</w:t>
            </w:r>
            <w:r w:rsidRPr="00964EEE">
              <w:rPr>
                <w:b/>
                <w:i/>
              </w:rPr>
              <w:tab/>
              <w:t>wyklucza się</w:t>
            </w:r>
            <w:r w:rsidRPr="00964EEE">
              <w:rPr>
                <w:b/>
                <w:i/>
              </w:rPr>
              <w:t xml:space="preserve"> stosowanie rozwiązań zbliżeniowych i klient musi wprowadzić kod PIN ręcznie w punkcie sprzedaży.</w:t>
            </w: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116</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Claude Gruffat</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Artykuł 38 – ustęp 4 a (nowy)</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tcPr>
          <w:p w:rsidR="00AE7AC1" w:rsidRPr="00964EEE" w:rsidRDefault="00AE7AC1">
            <w:pPr>
              <w:pStyle w:val="Normal6"/>
            </w:pPr>
          </w:p>
        </w:tc>
        <w:tc>
          <w:tcPr>
            <w:tcW w:w="4876" w:type="dxa"/>
            <w:hideMark/>
          </w:tcPr>
          <w:p w:rsidR="00AE7AC1" w:rsidRPr="00964EEE" w:rsidRDefault="00E97736">
            <w:pPr>
              <w:pStyle w:val="Normal6"/>
              <w:rPr>
                <w:szCs w:val="24"/>
              </w:rPr>
            </w:pPr>
            <w:r w:rsidRPr="00964EEE">
              <w:rPr>
                <w:b/>
                <w:i/>
              </w:rPr>
              <w:t>4a.</w:t>
            </w:r>
            <w:r w:rsidRPr="00964EEE">
              <w:rPr>
                <w:b/>
                <w:i/>
              </w:rPr>
              <w:tab/>
              <w:t xml:space="preserve">Osoby fizyczne lub prawne świadczące usługi, o których mowa w ust. 1 niniejszego artykułu, spełniają wymogi dotyczące </w:t>
            </w:r>
            <w:r w:rsidRPr="00964EEE">
              <w:rPr>
                <w:b/>
                <w:i/>
              </w:rPr>
              <w:t>przejrzystości opłat i należności określone w art. 7 rozporządzenia XXX (rozporządzenie w sprawie usług płatniczych), a w szczególności dopilnowują, aby takie opłaty i należności były widoczne w momencie inicjowania transakcji.</w:t>
            </w: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lastRenderedPageBreak/>
        <w:t>&lt;Amend&gt;</w:t>
      </w:r>
      <w:r w:rsidRPr="00964EEE">
        <w:t>Poprawka</w:t>
      </w:r>
      <w:r w:rsidRPr="00964EEE">
        <w:tab/>
      </w:r>
      <w:r w:rsidRPr="00964EEE">
        <w:tab/>
      </w:r>
      <w:r w:rsidRPr="00964EEE">
        <w:rPr>
          <w:rStyle w:val="HideTWBExt"/>
          <w:b w:val="0"/>
        </w:rPr>
        <w:t>&lt;NumAm&gt;</w:t>
      </w:r>
      <w:r w:rsidRPr="00964EEE">
        <w:t>117</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Marek Belka, Paul Tang, René Repasi</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Artykuł 38 – ustęp 4 a (nowy)</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 xml:space="preserve">Tekst </w:t>
            </w:r>
            <w:r w:rsidRPr="00964EEE">
              <w:t>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tcPr>
          <w:p w:rsidR="00AE7AC1" w:rsidRPr="00964EEE" w:rsidRDefault="00AE7AC1">
            <w:pPr>
              <w:pStyle w:val="Normal6"/>
            </w:pPr>
          </w:p>
        </w:tc>
        <w:tc>
          <w:tcPr>
            <w:tcW w:w="4876" w:type="dxa"/>
            <w:hideMark/>
          </w:tcPr>
          <w:p w:rsidR="00AE7AC1" w:rsidRPr="00964EEE" w:rsidRDefault="00E97736">
            <w:pPr>
              <w:pStyle w:val="Normal6"/>
              <w:rPr>
                <w:szCs w:val="24"/>
              </w:rPr>
            </w:pPr>
            <w:r w:rsidRPr="00964EEE">
              <w:rPr>
                <w:b/>
                <w:i/>
              </w:rPr>
              <w:t>4a.</w:t>
            </w:r>
            <w:r w:rsidRPr="00964EEE">
              <w:rPr>
                <w:b/>
                <w:i/>
              </w:rPr>
              <w:tab/>
              <w:t>Opłaty i informacje, które powinien wyświetlać bankomat, a także termin i sposób ich przekazywania użytkownikom usług płatniczych muszą być zgodne z przepisami określonymi w rozporządzeniu XXX (rozporządzenie w spra</w:t>
            </w:r>
            <w:r w:rsidRPr="00964EEE">
              <w:rPr>
                <w:b/>
                <w:i/>
              </w:rPr>
              <w:t>wie usług płatniczych).</w:t>
            </w: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118</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Eugen Jurzyca</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Artykuł 39 – ustęp 2</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rPr>
                <w:b/>
                <w:i/>
              </w:rPr>
              <w:t>2.</w:t>
            </w:r>
            <w:r w:rsidRPr="00964EEE">
              <w:rPr>
                <w:b/>
                <w:i/>
              </w:rPr>
              <w:tab/>
              <w:t xml:space="preserve">Państwa członkowskie nakładają wymóg, by dostawcy usług prowadzący działalność określoną w art. 2 ust. 1 lit. j) rozporządzenia XXX [PSR] przesyłali właściwym organom powiadomienie oraz by </w:t>
            </w:r>
            <w:r w:rsidRPr="00964EEE">
              <w:rPr>
                <w:b/>
                <w:i/>
              </w:rPr>
              <w:t>przedstawiali właściwym organom roczną opinię pokontrolną poświadczającą, że dany rodzaj działalności jest zgodny z ograniczeniami określonymi w art. 2 ust. 1 lit. j) rozporządzenia XXX [PSR].</w:t>
            </w:r>
          </w:p>
        </w:tc>
        <w:tc>
          <w:tcPr>
            <w:tcW w:w="4876" w:type="dxa"/>
            <w:hideMark/>
          </w:tcPr>
          <w:p w:rsidR="00AE7AC1" w:rsidRPr="00964EEE" w:rsidRDefault="00E97736">
            <w:pPr>
              <w:pStyle w:val="Normal6"/>
              <w:rPr>
                <w:szCs w:val="24"/>
              </w:rPr>
            </w:pPr>
            <w:r w:rsidRPr="00964EEE">
              <w:rPr>
                <w:b/>
                <w:i/>
              </w:rPr>
              <w:t>skreśla się</w:t>
            </w: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pPr>
        <w:pStyle w:val="JustificationTitle"/>
        <w:rPr>
          <w:noProof w:val="0"/>
        </w:rPr>
      </w:pPr>
      <w:r w:rsidRPr="00964EEE">
        <w:rPr>
          <w:rStyle w:val="HideTWBExt"/>
          <w:i w:val="0"/>
        </w:rPr>
        <w:t>&lt;TitreJust&gt;</w:t>
      </w:r>
      <w:r w:rsidRPr="00964EEE">
        <w:t>Uzasadnienie</w:t>
      </w:r>
      <w:r w:rsidRPr="00964EEE">
        <w:rPr>
          <w:rStyle w:val="HideTWBExt"/>
          <w:i w:val="0"/>
        </w:rPr>
        <w:t>&lt;/TitreJust&gt;</w:t>
      </w:r>
    </w:p>
    <w:p w:rsidR="00AE7AC1" w:rsidRPr="00964EEE" w:rsidRDefault="00E97736" w:rsidP="00AE7AC1">
      <w:pPr>
        <w:pStyle w:val="Normal12Italic"/>
        <w:rPr>
          <w:noProof w:val="0"/>
        </w:rPr>
      </w:pPr>
      <w:r w:rsidRPr="00964EEE">
        <w:t>Obowiązek przedstawiania właściwym organom rocznej opinii pokontrolnej jest zbędny i uciążliwy, ponieważ obowiązująca coroczna procedura powiadamiania jest dość skuteczna.</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lastRenderedPageBreak/>
        <w:t>&lt;Amend&gt;</w:t>
      </w:r>
      <w:r w:rsidRPr="00964EEE">
        <w:t>Poprawka</w:t>
      </w:r>
      <w:r w:rsidRPr="00964EEE">
        <w:tab/>
      </w:r>
      <w:r w:rsidRPr="00964EEE">
        <w:tab/>
      </w:r>
      <w:r w:rsidRPr="00964EEE">
        <w:rPr>
          <w:rStyle w:val="HideTWBExt"/>
          <w:b w:val="0"/>
        </w:rPr>
        <w:t>&lt;NumAm&gt;</w:t>
      </w:r>
      <w:r w:rsidRPr="00964EEE">
        <w:t>119</w:t>
      </w:r>
      <w:r w:rsidRPr="00964EEE">
        <w:rPr>
          <w:rStyle w:val="HideTWBExt"/>
          <w:b w:val="0"/>
        </w:rPr>
        <w:t>&lt;/NumAm&gt;</w:t>
      </w:r>
    </w:p>
    <w:p w:rsidR="00AE7AC1" w:rsidRPr="00964EEE" w:rsidRDefault="00E97736" w:rsidP="00AE7AC1">
      <w:pPr>
        <w:pStyle w:val="NormalBold"/>
      </w:pPr>
      <w:r w:rsidRPr="00964EEE">
        <w:rPr>
          <w:rStyle w:val="HideTWBExt"/>
          <w:b w:val="0"/>
        </w:rPr>
        <w:t>&lt;RepeatBlock-B</w:t>
      </w:r>
      <w:r w:rsidRPr="00964EEE">
        <w:rPr>
          <w:rStyle w:val="HideTWBExt"/>
          <w:b w:val="0"/>
        </w:rPr>
        <w:t>y&gt;&lt;Members&gt;</w:t>
      </w:r>
      <w:r w:rsidRPr="00964EEE">
        <w:t>Eugen Jurzyca</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Artykuł 43 – ustęp 1 – akapit 1 – wprowadzenie</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 xml:space="preserve">Do dnia [Urząd Publikacji – proszę wstawić datę = </w:t>
            </w:r>
            <w:r w:rsidRPr="00964EEE">
              <w:rPr>
                <w:b/>
                <w:i/>
              </w:rPr>
              <w:t>5</w:t>
            </w:r>
            <w:r w:rsidRPr="00964EEE">
              <w:t xml:space="preserve"> lat od daty wejścia w życie niniejszej dyrektywy] r. Komisja przedkłada Parlamentowi Europejskiemu, Radzie, EBC i Europejskiemu Komitetowi Ekonomiczno-Społecznemu sprawozdanie dotyczące stosowania i wpływ</w:t>
            </w:r>
            <w:r w:rsidRPr="00964EEE">
              <w:t>u niniejszej dyrektywy, a w szczególności dotyczące:</w:t>
            </w:r>
          </w:p>
        </w:tc>
        <w:tc>
          <w:tcPr>
            <w:tcW w:w="4876" w:type="dxa"/>
            <w:hideMark/>
          </w:tcPr>
          <w:p w:rsidR="00AE7AC1" w:rsidRPr="00964EEE" w:rsidRDefault="00E97736">
            <w:pPr>
              <w:pStyle w:val="Normal6"/>
              <w:rPr>
                <w:szCs w:val="24"/>
              </w:rPr>
            </w:pPr>
            <w:r w:rsidRPr="00964EEE">
              <w:t xml:space="preserve">Do dnia [Urząd Publikacji – proszę wstawić datę = </w:t>
            </w:r>
            <w:r w:rsidRPr="00964EEE">
              <w:rPr>
                <w:b/>
                <w:i/>
              </w:rPr>
              <w:t>7</w:t>
            </w:r>
            <w:r w:rsidRPr="00964EEE">
              <w:t xml:space="preserve"> lat od daty wejścia w życie niniejszej dyrektywy] r. Komisja przedkłada Parlamentowi Europejskiemu, Radzie, EBC i Europejskiemu Komitetowi Ekonomiczno-</w:t>
            </w:r>
            <w:r w:rsidRPr="00964EEE">
              <w:t>Społecznemu sprawozdanie dotyczące stosowania i wpływu niniejszej dyrektywy, a w szczególności dotyczące:</w:t>
            </w: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120</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Marek Belka, Paul Tang, René Repasi</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Artykuł 43 – ustęp 1 – akapit 1 – litera a</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a)</w:t>
            </w:r>
            <w:r w:rsidRPr="00964EEE">
              <w:tab/>
              <w:t>adekwatności zakresu niniejszej dyrektywy, zwłaszcza w odniesieniu do możliwości</w:t>
            </w:r>
            <w:r w:rsidRPr="00964EEE">
              <w:t xml:space="preserve"> jej rozszerzenia na niektóre usługi, w tym obsługę systemów płatności</w:t>
            </w:r>
            <w:r w:rsidRPr="00964EEE">
              <w:rPr>
                <w:b/>
                <w:i/>
              </w:rPr>
              <w:t xml:space="preserve"> i świadczenie usług technicznych, takich jak przetwarzanie lub obsługa cyfrowych portfeli, które nie są objęte zakresem jej stosowania</w:t>
            </w:r>
            <w:r w:rsidRPr="00964EEE">
              <w:t>;</w:t>
            </w:r>
          </w:p>
        </w:tc>
        <w:tc>
          <w:tcPr>
            <w:tcW w:w="4876" w:type="dxa"/>
            <w:hideMark/>
          </w:tcPr>
          <w:p w:rsidR="00AE7AC1" w:rsidRPr="00964EEE" w:rsidRDefault="00E97736">
            <w:pPr>
              <w:pStyle w:val="Normal6"/>
              <w:rPr>
                <w:szCs w:val="24"/>
              </w:rPr>
            </w:pPr>
            <w:r w:rsidRPr="00964EEE">
              <w:t>a)</w:t>
            </w:r>
            <w:r w:rsidRPr="00964EEE">
              <w:tab/>
              <w:t>adekwatności zakresu niniejszej dyrektywy, zwł</w:t>
            </w:r>
            <w:r w:rsidRPr="00964EEE">
              <w:t>aszcza w odniesieniu do możliwości jej rozszerzenia na niektóre usługi, w tym obsługę systemów płatności;</w:t>
            </w: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121</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Eugen Jurzyca</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w:t>
      </w:r>
      <w:r w:rsidRPr="00964EEE">
        <w:rPr>
          <w:rStyle w:val="HideTWBExt"/>
          <w:b w:val="0"/>
        </w:rPr>
        <w:t>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Artykuł 43 – ustęp 1 – akapit 1 – litera b a (nowa)</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tcPr>
          <w:p w:rsidR="00AE7AC1" w:rsidRPr="00964EEE" w:rsidRDefault="00AE7AC1">
            <w:pPr>
              <w:pStyle w:val="Normal6"/>
            </w:pPr>
          </w:p>
        </w:tc>
        <w:tc>
          <w:tcPr>
            <w:tcW w:w="4876" w:type="dxa"/>
            <w:hideMark/>
          </w:tcPr>
          <w:p w:rsidR="00AE7AC1" w:rsidRPr="00964EEE" w:rsidRDefault="00E97736">
            <w:pPr>
              <w:pStyle w:val="Normal6"/>
              <w:rPr>
                <w:szCs w:val="24"/>
              </w:rPr>
            </w:pPr>
            <w:r w:rsidRPr="00964EEE">
              <w:rPr>
                <w:b/>
                <w:i/>
              </w:rPr>
              <w:t>ba)</w:t>
            </w:r>
            <w:r w:rsidRPr="00964EEE">
              <w:rPr>
                <w:b/>
                <w:i/>
              </w:rPr>
              <w:tab/>
              <w:t xml:space="preserve">łącznej liczby i udziału w rynku dostawców usług płatniczych, którzy uzyskali zezwolenie na </w:t>
            </w:r>
            <w:r w:rsidRPr="00964EEE">
              <w:rPr>
                <w:b/>
                <w:i/>
              </w:rPr>
              <w:t>mocy niniejszej dyrektywy, w podziale na poszczególne państwa członkowskie;</w:t>
            </w: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122</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Lídia Pereira</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 xml:space="preserve">Wniosek dotyczący </w:t>
      </w:r>
      <w:r w:rsidRPr="00964EEE">
        <w:t>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Artykuł 43 – ustęp 2</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2.</w:t>
            </w:r>
            <w:r w:rsidRPr="00964EEE">
              <w:tab/>
              <w:t xml:space="preserve">Do dnia [Urząd Publikacji – proszę wstawić datę = </w:t>
            </w:r>
            <w:r w:rsidRPr="00964EEE">
              <w:rPr>
                <w:b/>
                <w:i/>
              </w:rPr>
              <w:t>trzy lata</w:t>
            </w:r>
            <w:r w:rsidRPr="00964EEE">
              <w:t xml:space="preserve"> od daty rozpoczęcia stosowania PSR] r. Komisja przedkłada Parlamentowi Europejskiemu, Ra</w:t>
            </w:r>
            <w:r w:rsidRPr="00964EEE">
              <w:t>dzie, EBC i Europejskiemu Komitetowi Ekonomiczno-Społecznemu sprawozdanie dotyczące zakresu niniejszej dyrektywy, w szczególności w odniesieniu do systemów płatności, schematów płatności i dostawców usług technicznych. W stosownych przypadkach Komisja prze</w:t>
            </w:r>
            <w:r w:rsidRPr="00964EEE">
              <w:t>dstawia wraz z takim sprawozdaniem wniosek ustawodawczy.</w:t>
            </w:r>
          </w:p>
        </w:tc>
        <w:tc>
          <w:tcPr>
            <w:tcW w:w="4876" w:type="dxa"/>
            <w:hideMark/>
          </w:tcPr>
          <w:p w:rsidR="00AE7AC1" w:rsidRPr="00964EEE" w:rsidRDefault="00E97736">
            <w:pPr>
              <w:pStyle w:val="Normal6"/>
              <w:rPr>
                <w:szCs w:val="24"/>
              </w:rPr>
            </w:pPr>
            <w:r w:rsidRPr="00964EEE">
              <w:t>2.</w:t>
            </w:r>
            <w:r w:rsidRPr="00964EEE">
              <w:tab/>
              <w:t xml:space="preserve">Do dnia [Urząd Publikacji – proszę wstawić datę = </w:t>
            </w:r>
            <w:r w:rsidRPr="00964EEE">
              <w:rPr>
                <w:b/>
                <w:i/>
              </w:rPr>
              <w:t>pięć lat</w:t>
            </w:r>
            <w:r w:rsidRPr="00964EEE">
              <w:t xml:space="preserve"> od daty rozpoczęcia stosowania PSR] r. Komisja przedkłada Parlamentowi Europejskiemu, Radzie, EBC i Europejskiemu Komitetowi Ekonomiczno-</w:t>
            </w:r>
            <w:r w:rsidRPr="00964EEE">
              <w:t>Społecznemu sprawozdanie dotyczące zakresu niniejszej dyrektywy, w szczególności w odniesieniu do systemów płatności, schematów płatności i dostawców usług technicznych. W stosownych przypadkach Komisja przedstawia wraz z takim sprawozdaniem wniosek ustawo</w:t>
            </w:r>
            <w:r w:rsidRPr="00964EEE">
              <w:t>dawczy.</w:t>
            </w: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123</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Lídia Pereira</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Artykuł 44 – ustęp 1 – akapit 1</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 xml:space="preserve">Państwa członkowskie zezwalają instytucjom płatniczym, które uzyskały </w:t>
            </w:r>
            <w:r w:rsidRPr="00964EEE">
              <w:lastRenderedPageBreak/>
              <w:t>zezwolenie zgodnie z art. 11 dyrektywy (UE) 2015/2366 do dnia [Urząd Publikacji – proszę wstawić datę = 18 miesięcy od daty wejścia w życie nini</w:t>
            </w:r>
            <w:r w:rsidRPr="00964EEE">
              <w:t xml:space="preserve">ejszej dyrektywy] r., na dalsze świadczenie i wykonywanie usług płatniczych, na które udzielono im zezwolenie, bez konieczności występowania o zezwolenie zgodnie z art. 3 niniejszej dyrektywy lub przestrzegania pozostałych przepisów, które ustanowiono lub </w:t>
            </w:r>
            <w:r w:rsidRPr="00964EEE">
              <w:t>o których mowa w tytule II niniejszej dyrektywy, do dnia [Urząd Publikacji – proszę wstawić datę = 24 miesiące od daty wejścia w życie niniejszej dyrektywy] r.</w:t>
            </w:r>
          </w:p>
        </w:tc>
        <w:tc>
          <w:tcPr>
            <w:tcW w:w="4876" w:type="dxa"/>
            <w:hideMark/>
          </w:tcPr>
          <w:p w:rsidR="00AE7AC1" w:rsidRPr="00964EEE" w:rsidRDefault="00E97736">
            <w:pPr>
              <w:pStyle w:val="Normal6"/>
              <w:rPr>
                <w:szCs w:val="24"/>
              </w:rPr>
            </w:pPr>
            <w:r w:rsidRPr="00964EEE">
              <w:lastRenderedPageBreak/>
              <w:t xml:space="preserve">Państwa członkowskie zezwalają instytucjom płatniczym, które uzyskały </w:t>
            </w:r>
            <w:r w:rsidRPr="00964EEE">
              <w:lastRenderedPageBreak/>
              <w:t>zezwolenie zgodnie z art. </w:t>
            </w:r>
            <w:r w:rsidRPr="00964EEE">
              <w:t>11 dyrektywy (UE) 2015/2366 do dnia [Urząd Publikacji – proszę wstawić datę = 18 miesięcy od daty wejścia w życie niniejszej dyrektywy] r., na dalsze świadczenie i wykonywanie usług płatniczych, na które udzielono im zezwolenie, bez konieczności występowan</w:t>
            </w:r>
            <w:r w:rsidRPr="00964EEE">
              <w:t>ia o </w:t>
            </w:r>
            <w:r w:rsidRPr="00964EEE">
              <w:rPr>
                <w:b/>
                <w:i/>
              </w:rPr>
              <w:t xml:space="preserve">nowe </w:t>
            </w:r>
            <w:r w:rsidRPr="00964EEE">
              <w:t>zezwolenie zgodnie z art. 3 niniejszej dyrektywy lub przestrzegania pozostałych przepisów, które ustanowiono lub o których mowa w tytule II niniejszej dyrektywy, do dnia [Urząd Publikacji – proszę wstawić datę = 24 miesiące od daty wejścia w życi</w:t>
            </w:r>
            <w:r w:rsidRPr="00964EEE">
              <w:t>e niniejszej dyrektywy] r.</w:t>
            </w:r>
          </w:p>
        </w:tc>
      </w:tr>
    </w:tbl>
    <w:p w:rsidR="00AE7AC1" w:rsidRPr="00964EEE" w:rsidRDefault="00E97736" w:rsidP="00AE7AC1">
      <w:pPr>
        <w:pStyle w:val="Olang"/>
      </w:pPr>
      <w:r w:rsidRPr="00964EEE">
        <w:lastRenderedPageBreak/>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124</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Lídia Pereira</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 xml:space="preserve">Artykuł 44 – ustęp 1 – </w:t>
      </w:r>
      <w:r w:rsidRPr="00964EEE">
        <w:t>akapit 2 – litera a</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a)</w:t>
            </w:r>
            <w:r w:rsidRPr="00964EEE">
              <w:tab/>
              <w:t>czy te instytucje płatnicze spełniają wymogi tytułu II, a jeżeli nie, jakie środki należy zastosować, aby zapewnić spełnienie tych wymogów;</w:t>
            </w:r>
          </w:p>
        </w:tc>
        <w:tc>
          <w:tcPr>
            <w:tcW w:w="4876" w:type="dxa"/>
            <w:hideMark/>
          </w:tcPr>
          <w:p w:rsidR="00AE7AC1" w:rsidRPr="00964EEE" w:rsidRDefault="00E97736">
            <w:pPr>
              <w:pStyle w:val="Normal6"/>
              <w:rPr>
                <w:szCs w:val="24"/>
              </w:rPr>
            </w:pPr>
            <w:r w:rsidRPr="00964EEE">
              <w:t>a)</w:t>
            </w:r>
            <w:r w:rsidRPr="00964EEE">
              <w:tab/>
            </w:r>
            <w:r w:rsidRPr="00964EEE">
              <w:t xml:space="preserve">czy te instytucje płatnicze spełniają </w:t>
            </w:r>
            <w:r w:rsidRPr="00964EEE">
              <w:rPr>
                <w:b/>
                <w:i/>
              </w:rPr>
              <w:t xml:space="preserve">nowe </w:t>
            </w:r>
            <w:r w:rsidRPr="00964EEE">
              <w:t>wymogi</w:t>
            </w:r>
            <w:r w:rsidRPr="00964EEE">
              <w:rPr>
                <w:b/>
                <w:i/>
              </w:rPr>
              <w:t xml:space="preserve"> na mocy</w:t>
            </w:r>
            <w:r w:rsidRPr="00964EEE">
              <w:t xml:space="preserve"> tytułu II, a jeżeli nie, jakie środki należy zastosować, aby zapewnić spełnienie tych wymogów;</w:t>
            </w: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125</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Eugen Jurzyca</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Artykuł 44 – ustęp 1 – akapit 3</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 xml:space="preserve">Instytucjom płatniczym, o których mowa w akapicie pierwszym, </w:t>
            </w:r>
            <w:r w:rsidRPr="00964EEE">
              <w:t xml:space="preserve">w przypadku których w wyniku oceny przeprowadzonej przez właściwe organy stwierdzone </w:t>
            </w:r>
            <w:r w:rsidRPr="00964EEE">
              <w:lastRenderedPageBreak/>
              <w:t xml:space="preserve">zostanie, że spełniają one wymogi tytułu II, udziela się zezwolenia na prowadzenie działalności jako instytucja płatnicza zgodnie z art. 13 niniejszej dyrektywy i wpisuje </w:t>
            </w:r>
            <w:r w:rsidRPr="00964EEE">
              <w:t xml:space="preserve">się je do rejestrów, o których mowa w art. 17 i 18. </w:t>
            </w:r>
            <w:r w:rsidRPr="00964EEE">
              <w:rPr>
                <w:b/>
                <w:i/>
              </w:rPr>
              <w:t>W przypadku gdy te instytucje płatnicze nie spełnią wymogów określonych w tytule II</w:t>
            </w:r>
            <w:r w:rsidRPr="00964EEE">
              <w:t xml:space="preserve"> do dnia [Urząd Publikacji – proszę wstawić datę = 24 miesiące od daty wejścia w życie niniejszej dyrektywy] r., </w:t>
            </w:r>
            <w:r w:rsidRPr="00964EEE">
              <w:rPr>
                <w:b/>
                <w:i/>
              </w:rPr>
              <w:t>zakazuje</w:t>
            </w:r>
            <w:r w:rsidRPr="00964EEE">
              <w:rPr>
                <w:b/>
                <w:i/>
              </w:rPr>
              <w:t xml:space="preserve"> się im świadczenia usług płatniczych</w:t>
            </w:r>
            <w:r w:rsidRPr="00964EEE">
              <w:t>.</w:t>
            </w:r>
          </w:p>
        </w:tc>
        <w:tc>
          <w:tcPr>
            <w:tcW w:w="4876" w:type="dxa"/>
            <w:hideMark/>
          </w:tcPr>
          <w:p w:rsidR="00AE7AC1" w:rsidRPr="00964EEE" w:rsidRDefault="00E97736">
            <w:pPr>
              <w:pStyle w:val="Normal6"/>
              <w:rPr>
                <w:szCs w:val="24"/>
              </w:rPr>
            </w:pPr>
            <w:r w:rsidRPr="00964EEE">
              <w:lastRenderedPageBreak/>
              <w:t xml:space="preserve">Instytucjom płatniczym, o których mowa w akapicie pierwszym, w przypadku których w wyniku oceny przeprowadzonej przez właściwe organy stwierdzone </w:t>
            </w:r>
            <w:r w:rsidRPr="00964EEE">
              <w:lastRenderedPageBreak/>
              <w:t xml:space="preserve">zostanie, że spełniają one wymogi tytułu II, udziela się zezwolenia na </w:t>
            </w:r>
            <w:r w:rsidRPr="00964EEE">
              <w:t xml:space="preserve">prowadzenie działalności jako instytucja płatnicza zgodnie z art. 13 niniejszej dyrektywy i wpisuje się je do rejestrów, o których mowa w art. 17 i 18. </w:t>
            </w:r>
            <w:r w:rsidRPr="00964EEE">
              <w:rPr>
                <w:b/>
                <w:i/>
              </w:rPr>
              <w:t>Jeżeli właściwe organy nie podejmą decyzji w sprawie udzielenia zezwolenia instytucjom płatniczym zgodni</w:t>
            </w:r>
            <w:r w:rsidRPr="00964EEE">
              <w:rPr>
                <w:b/>
                <w:i/>
              </w:rPr>
              <w:t>e z akapitem drugim</w:t>
            </w:r>
            <w:r w:rsidRPr="00964EEE">
              <w:t xml:space="preserve"> do dnia [Urząd Publikacji – proszę wstawić datę = 24 miesiące od daty wejścia w życie niniejszej dyrektywy] r., </w:t>
            </w:r>
            <w:r w:rsidRPr="00964EEE">
              <w:rPr>
                <w:b/>
                <w:i/>
              </w:rPr>
              <w:t>instytucje płatnicze mogą nadal świadczyć i wykonywać usługi płatnicze, na które uzyskały zezwolenie, do czasu podjęcia taki</w:t>
            </w:r>
            <w:r w:rsidRPr="00964EEE">
              <w:rPr>
                <w:b/>
                <w:i/>
              </w:rPr>
              <w:t>ej decyzji</w:t>
            </w:r>
            <w:r w:rsidRPr="00964EEE">
              <w:t>.</w:t>
            </w:r>
          </w:p>
        </w:tc>
      </w:tr>
    </w:tbl>
    <w:p w:rsidR="00AE7AC1" w:rsidRPr="00964EEE" w:rsidRDefault="00E97736" w:rsidP="00AE7AC1">
      <w:pPr>
        <w:pStyle w:val="Olang"/>
      </w:pPr>
      <w:r w:rsidRPr="00964EEE">
        <w:lastRenderedPageBreak/>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pPr>
        <w:pStyle w:val="JustificationTitle"/>
        <w:rPr>
          <w:noProof w:val="0"/>
        </w:rPr>
      </w:pPr>
      <w:r w:rsidRPr="00964EEE">
        <w:rPr>
          <w:rStyle w:val="HideTWBExt"/>
          <w:i w:val="0"/>
        </w:rPr>
        <w:t>&lt;TitreJust&gt;</w:t>
      </w:r>
      <w:r w:rsidRPr="00964EEE">
        <w:t>Uzasadnienie</w:t>
      </w:r>
      <w:r w:rsidRPr="00964EEE">
        <w:rPr>
          <w:rStyle w:val="HideTWBExt"/>
          <w:i w:val="0"/>
        </w:rPr>
        <w:t>&lt;/TitreJust&gt;</w:t>
      </w:r>
    </w:p>
    <w:p w:rsidR="00AE7AC1" w:rsidRPr="00964EEE" w:rsidRDefault="00E97736" w:rsidP="00AE7AC1">
      <w:pPr>
        <w:pStyle w:val="Normal12Italic"/>
        <w:rPr>
          <w:noProof w:val="0"/>
        </w:rPr>
      </w:pPr>
      <w:r w:rsidRPr="00964EEE">
        <w:t>Aby zwiększyć pewność prawa, należy zezwolić instytucjom płatniczym na świadczenie usług do czasu, aż ich właściwe organy krajowe podejmą ostateczną decyzję w sprawie ponowneg</w:t>
      </w:r>
      <w:r w:rsidRPr="00964EEE">
        <w:t>o zezwolenia.</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126</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Lídia Pereira</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Artykuł 44 – ustęp 2</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2.</w:t>
            </w:r>
            <w:r w:rsidRPr="00964EEE">
              <w:tab/>
              <w:t xml:space="preserve">Państwa członkowskie </w:t>
            </w:r>
            <w:r w:rsidRPr="00964EEE">
              <w:rPr>
                <w:b/>
                <w:i/>
              </w:rPr>
              <w:t>mogą przewidzieć</w:t>
            </w:r>
            <w:r w:rsidRPr="00964EEE">
              <w:t>, że instytucje płatnicze, o których mowa w ust. 1, automatycznie otrzymują zezwolenie i są wpisywane do rejestrów, o których mowa w art. 17, jeżeli właściwe organy mają dowody na to, że te instytucje płatn</w:t>
            </w:r>
            <w:r w:rsidRPr="00964EEE">
              <w:t>icze spełniają już wymogi określone w art. 3 i 13. Właściwe organy informują zainteresowane instytucje płatnicze o </w:t>
            </w:r>
            <w:r w:rsidRPr="00964EEE">
              <w:rPr>
                <w:b/>
                <w:i/>
              </w:rPr>
              <w:t>takim automatycznym zezwoleniu przed jego udzieleniem</w:t>
            </w:r>
            <w:r w:rsidRPr="00964EEE">
              <w:t>.</w:t>
            </w:r>
          </w:p>
        </w:tc>
        <w:tc>
          <w:tcPr>
            <w:tcW w:w="4876" w:type="dxa"/>
            <w:hideMark/>
          </w:tcPr>
          <w:p w:rsidR="00AE7AC1" w:rsidRPr="00964EEE" w:rsidRDefault="00E97736">
            <w:pPr>
              <w:pStyle w:val="Normal6"/>
              <w:rPr>
                <w:szCs w:val="24"/>
              </w:rPr>
            </w:pPr>
            <w:r w:rsidRPr="00964EEE">
              <w:t>2.</w:t>
            </w:r>
            <w:r w:rsidRPr="00964EEE">
              <w:tab/>
              <w:t xml:space="preserve">Państwa członkowskie </w:t>
            </w:r>
            <w:r w:rsidRPr="00964EEE">
              <w:rPr>
                <w:b/>
                <w:i/>
              </w:rPr>
              <w:t>przewidują</w:t>
            </w:r>
            <w:r w:rsidRPr="00964EEE">
              <w:t xml:space="preserve">, że instytucje płatnicze, o których mowa w ust. 1, </w:t>
            </w:r>
            <w:r w:rsidRPr="00964EEE">
              <w:t>automatycznie otrzymują zezwolenie i są wpisywane do rejestrów, o których mowa w art. 17, jeżeli właściwe organy mają dowody na to, że te instytucje płatnicze spełniają już wymogi określone w art. 3 i 13. Właściwe organy informują zainteresowane instytucje</w:t>
            </w:r>
            <w:r w:rsidRPr="00964EEE">
              <w:t xml:space="preserve"> płatnicze o </w:t>
            </w:r>
            <w:r w:rsidRPr="00964EEE">
              <w:rPr>
                <w:b/>
                <w:i/>
              </w:rPr>
              <w:t>wszelkich przeszkodach związanych z tym zezwoleniem i bez zbędnej zwłoki podejmują działania, by je usunąć</w:t>
            </w:r>
            <w:r w:rsidRPr="00964EEE">
              <w:t>.</w:t>
            </w:r>
          </w:p>
        </w:tc>
      </w:tr>
    </w:tbl>
    <w:p w:rsidR="00AE7AC1" w:rsidRPr="00964EEE" w:rsidRDefault="00E97736" w:rsidP="00AE7AC1">
      <w:pPr>
        <w:pStyle w:val="Olang"/>
      </w:pPr>
      <w:r w:rsidRPr="00964EEE">
        <w:lastRenderedPageBreak/>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127</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Eugen Jurzyca</w:t>
      </w:r>
      <w:r w:rsidRPr="00964EEE">
        <w:rPr>
          <w:rStyle w:val="HideTWBExt"/>
          <w:b w:val="0"/>
        </w:rPr>
        <w:t>&lt;/Members&gt;</w:t>
      </w:r>
    </w:p>
    <w:p w:rsidR="00AE7AC1" w:rsidRPr="00964EEE" w:rsidRDefault="00E97736" w:rsidP="00AE7AC1">
      <w:r w:rsidRPr="00964EEE">
        <w:rPr>
          <w:rStyle w:val="HideTWBExt"/>
        </w:rPr>
        <w:t>&lt;/Repeat</w:t>
      </w:r>
      <w:r w:rsidRPr="00964EEE">
        <w:rPr>
          <w:rStyle w:val="HideTWBExt"/>
        </w:rPr>
        <w: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Artykuł 44 – ustęp 4</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4.</w:t>
            </w:r>
            <w:r w:rsidRPr="00964EEE">
              <w:tab/>
              <w:t xml:space="preserve">Państwa członkowskie mogą przyznać osobom fizycznym i prawnym, które korzystały ze zwolnienia na podstawie </w:t>
            </w:r>
            <w:r w:rsidRPr="00964EEE">
              <w:t>art. 32 dyrektywy (UE) 2015/2366, zwolnienie na podstawie art. 34 niniejszej dyrektywy i wpisać te osoby do rejestrów, o których mowa w art. 17 i 18 niniejszej dyrektywy, jeżeli właściwe organy mają dowody na to, że wymogi określone w art. 34 niniejszej dy</w:t>
            </w:r>
            <w:r w:rsidRPr="00964EEE">
              <w:t>rektywy zostały spełnione. Właściwe organy informują o tym fakcie zainteresowane instytucje płatnicze.</w:t>
            </w:r>
          </w:p>
        </w:tc>
        <w:tc>
          <w:tcPr>
            <w:tcW w:w="4876" w:type="dxa"/>
            <w:hideMark/>
          </w:tcPr>
          <w:p w:rsidR="00AE7AC1" w:rsidRPr="00964EEE" w:rsidRDefault="00E97736">
            <w:pPr>
              <w:pStyle w:val="Normal6"/>
              <w:rPr>
                <w:szCs w:val="24"/>
              </w:rPr>
            </w:pPr>
            <w:r w:rsidRPr="00964EEE">
              <w:t>4.</w:t>
            </w:r>
            <w:r w:rsidRPr="00964EEE">
              <w:tab/>
              <w:t>Państwa członkowskie mogą przyznać osobom fizycznym i prawnym, które korzystały ze zwolnienia na podstawie art. 32 dyrektywy (UE) 2015/2366, zwolnieni</w:t>
            </w:r>
            <w:r w:rsidRPr="00964EEE">
              <w:t xml:space="preserve">e na podstawie art. 34 niniejszej dyrektywy i wpisać te osoby do rejestrów, o których mowa w art. 17 i 18 niniejszej dyrektywy, jeżeli właściwe organy mają dowody na to, że wymogi określone w art. 34 niniejszej dyrektywy zostały spełnione. Właściwe organy </w:t>
            </w:r>
            <w:r w:rsidRPr="00964EEE">
              <w:t>informują o tym fakcie zainteresowane instytucje płatnicze.</w:t>
            </w:r>
            <w:r w:rsidRPr="00964EEE">
              <w:rPr>
                <w:b/>
                <w:i/>
              </w:rPr>
              <w:t xml:space="preserve"> Jeżeli właściwe organy nie podejmą decyzji do dnia [Urząd Publikacji: proszę wstawić datę = 24 miesiące od daty wejścia w życie niniejszej dyrektywy] r., instytucje płatnicze mogą nadal świadczyć </w:t>
            </w:r>
            <w:r w:rsidRPr="00964EEE">
              <w:rPr>
                <w:b/>
                <w:i/>
              </w:rPr>
              <w:t>i wykonywać usługi płatnicze, na które uzyskały zezwolenie, do czasu podjęcia takiej decyzji.</w:t>
            </w: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pPr>
        <w:pStyle w:val="JustificationTitle"/>
        <w:rPr>
          <w:noProof w:val="0"/>
        </w:rPr>
      </w:pPr>
      <w:r w:rsidRPr="00964EEE">
        <w:rPr>
          <w:rStyle w:val="HideTWBExt"/>
          <w:i w:val="0"/>
        </w:rPr>
        <w:t>&lt;TitreJust&gt;</w:t>
      </w:r>
      <w:r w:rsidRPr="00964EEE">
        <w:t>Uzasadnienie</w:t>
      </w:r>
      <w:r w:rsidRPr="00964EEE">
        <w:rPr>
          <w:rStyle w:val="HideTWBExt"/>
          <w:i w:val="0"/>
        </w:rPr>
        <w:t>&lt;/TitreJust&gt;</w:t>
      </w:r>
    </w:p>
    <w:p w:rsidR="00AE7AC1" w:rsidRPr="00964EEE" w:rsidRDefault="00E97736" w:rsidP="00AE7AC1">
      <w:pPr>
        <w:pStyle w:val="Normal12Italic"/>
        <w:rPr>
          <w:noProof w:val="0"/>
        </w:rPr>
      </w:pPr>
      <w:r w:rsidRPr="00964EEE">
        <w:t xml:space="preserve">Aby zwiększyć pewność prawa, należy zezwolić instytucjom płatniczym na świadczenie usług do </w:t>
      </w:r>
      <w:r w:rsidRPr="00964EEE">
        <w:t>czasu, aż ich właściwe organy krajowe podejmą ostateczną decyzję w sprawie ponownego zezwolenia.</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128</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Eugen Jurzyca</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Artykuł 44 – ustęp 4 a (nowy)</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tcPr>
          <w:p w:rsidR="00AE7AC1" w:rsidRPr="00964EEE" w:rsidRDefault="00AE7AC1">
            <w:pPr>
              <w:pStyle w:val="Normal6"/>
            </w:pPr>
          </w:p>
        </w:tc>
        <w:tc>
          <w:tcPr>
            <w:tcW w:w="4876" w:type="dxa"/>
            <w:hideMark/>
          </w:tcPr>
          <w:p w:rsidR="00AE7AC1" w:rsidRPr="00964EEE" w:rsidRDefault="00E97736">
            <w:pPr>
              <w:pStyle w:val="Normal6"/>
              <w:rPr>
                <w:szCs w:val="24"/>
              </w:rPr>
            </w:pPr>
            <w:r w:rsidRPr="00964EEE">
              <w:rPr>
                <w:b/>
                <w:i/>
              </w:rPr>
              <w:t>4a.</w:t>
            </w:r>
            <w:r w:rsidRPr="00964EEE">
              <w:rPr>
                <w:b/>
                <w:i/>
              </w:rPr>
              <w:tab/>
              <w:t>Jeżeli właściwe organy postanowią cofnąć zezwolenie na mocy niniejszego artykułu, instytucje płatnicze mogą nadal świadczyć i wykonywać usługi pła</w:t>
            </w:r>
            <w:r w:rsidRPr="00964EEE">
              <w:rPr>
                <w:b/>
                <w:i/>
              </w:rPr>
              <w:t>tnicze, na które uzyskały zezwolenie zgodnie z dyrektywą (UE) 2015/2366, przez sześć miesięcy od podjęcia takiej decyzji.</w:t>
            </w: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pPr>
        <w:pStyle w:val="JustificationTitle"/>
        <w:rPr>
          <w:noProof w:val="0"/>
        </w:rPr>
      </w:pPr>
      <w:r w:rsidRPr="00964EEE">
        <w:rPr>
          <w:rStyle w:val="HideTWBExt"/>
          <w:i w:val="0"/>
        </w:rPr>
        <w:t>&lt;TitreJust&gt;</w:t>
      </w:r>
      <w:r w:rsidRPr="00964EEE">
        <w:t>Uzasadnienie</w:t>
      </w:r>
      <w:r w:rsidRPr="00964EEE">
        <w:rPr>
          <w:rStyle w:val="HideTWBExt"/>
          <w:i w:val="0"/>
        </w:rPr>
        <w:t>&lt;/TitreJust&gt;</w:t>
      </w:r>
    </w:p>
    <w:p w:rsidR="00AE7AC1" w:rsidRPr="00964EEE" w:rsidRDefault="00E97736" w:rsidP="00AE7AC1">
      <w:pPr>
        <w:pStyle w:val="Normal12Italic"/>
        <w:rPr>
          <w:noProof w:val="0"/>
        </w:rPr>
      </w:pPr>
      <w:r w:rsidRPr="00964EEE">
        <w:t xml:space="preserve">Aby zwiększyć pewność prawa, należy zapewnić instytucjom </w:t>
      </w:r>
      <w:r w:rsidRPr="00964EEE">
        <w:t>płatniczym 6-miesięczny okres na likwidację, jeżeli właściwe organy krajowe postanowią cofnąć im zezwolenie.</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129</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Lídia Pereira</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 xml:space="preserve">Wniosek dotyczący </w:t>
      </w:r>
      <w:r w:rsidRPr="00964EEE">
        <w:t>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Artykuł 45 – ustęp 1</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1.</w:t>
            </w:r>
            <w:r w:rsidRPr="00964EEE">
              <w:tab/>
              <w:t>Państwa członkowskie zezwalają instytucjom pieniądza elektronicznego zdefiniowanym w art. 2 pkt 1 dyrektywy 2009/110/WE, które podjęły – przed dniem</w:t>
            </w:r>
            <w:r w:rsidRPr="00964EEE">
              <w:t xml:space="preserve"> [Urząd Publikacji – proszę wstawić datę = 18 miesięcy od daty wejścia w życie niniejszej dyrektywy] r. – działalność zgodnie z prawem krajowym transponującym dyrektywę 2009/110/WE jako instytucje pieniądza elektronicznego w państwie członkowskim, w którym</w:t>
            </w:r>
            <w:r w:rsidRPr="00964EEE">
              <w:t xml:space="preserve"> znajduje się ich siedziba zarządu zgodnie z prawem krajowym transponującym dyrektywę 2009/110/WE, na kontynuowanie tej działalności w tym państwie członkowskim lub w innym państwie członkowskim, bez konieczności występowania o zezwolenie zgodnie z art. 3 </w:t>
            </w:r>
            <w:r w:rsidRPr="00964EEE">
              <w:t xml:space="preserve">niniejszej dyrektywy lub przestrzegania pozostałych przepisów, które ustanowiono lub o których mowa </w:t>
            </w:r>
            <w:r w:rsidRPr="00964EEE">
              <w:lastRenderedPageBreak/>
              <w:t>w tytule II niniejszej dyrektywy.</w:t>
            </w:r>
          </w:p>
        </w:tc>
        <w:tc>
          <w:tcPr>
            <w:tcW w:w="4876" w:type="dxa"/>
            <w:hideMark/>
          </w:tcPr>
          <w:p w:rsidR="00AE7AC1" w:rsidRPr="00964EEE" w:rsidRDefault="00E97736">
            <w:pPr>
              <w:pStyle w:val="Normal6"/>
              <w:rPr>
                <w:szCs w:val="24"/>
              </w:rPr>
            </w:pPr>
            <w:r w:rsidRPr="00964EEE">
              <w:lastRenderedPageBreak/>
              <w:t>1.</w:t>
            </w:r>
            <w:r w:rsidRPr="00964EEE">
              <w:tab/>
              <w:t>Państwa członkowskie zezwalają instytucjom pieniądza elektronicznego zdefiniowanym w art. 2 pkt 1 dyrektywy 2009/110/WE</w:t>
            </w:r>
            <w:r w:rsidRPr="00964EEE">
              <w:t>, które podjęły – przed dniem [Urząd Publikacji – proszę wstawić datę = 18 miesięcy od daty wejścia w życie niniejszej dyrektywy] r. – działalność zgodnie z prawem krajowym transponującym dyrektywę 2009/110/WE jako instytucje pieniądza elektronicznego w pa</w:t>
            </w:r>
            <w:r w:rsidRPr="00964EEE">
              <w:t>ństwie członkowskim, w którym znajduje się ich siedziba zarządu zgodnie z prawem krajowym transponującym dyrektywę 2009/110/WE, na kontynuowanie tej działalności w tym państwie członkowskim lub w innym państwie członkowskim, bez konieczności występowania o</w:t>
            </w:r>
            <w:r w:rsidRPr="00964EEE">
              <w:t> </w:t>
            </w:r>
            <w:r w:rsidRPr="00964EEE">
              <w:rPr>
                <w:b/>
                <w:i/>
              </w:rPr>
              <w:t xml:space="preserve">nowe </w:t>
            </w:r>
            <w:r w:rsidRPr="00964EEE">
              <w:t xml:space="preserve">zezwolenie zgodnie z art. 3 niniejszej dyrektywy lub przestrzegania pozostałych przepisów, które ustanowiono lub o których mowa </w:t>
            </w:r>
            <w:r w:rsidRPr="00964EEE">
              <w:lastRenderedPageBreak/>
              <w:t>w tytule II niniejszej dyrektywy.</w:t>
            </w:r>
          </w:p>
        </w:tc>
      </w:tr>
    </w:tbl>
    <w:p w:rsidR="00AE7AC1" w:rsidRPr="00964EEE" w:rsidRDefault="00E97736" w:rsidP="00AE7AC1">
      <w:pPr>
        <w:pStyle w:val="Olang"/>
      </w:pPr>
      <w:r w:rsidRPr="00964EEE">
        <w:lastRenderedPageBreak/>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130</w:t>
      </w:r>
      <w:r w:rsidRPr="00964EEE">
        <w:rPr>
          <w:rStyle w:val="HideTWBExt"/>
          <w:b w:val="0"/>
        </w:rPr>
        <w:t>&lt;/NumAm&gt;</w:t>
      </w:r>
    </w:p>
    <w:p w:rsidR="00AE7AC1" w:rsidRPr="00964EEE" w:rsidRDefault="00E97736" w:rsidP="00AE7AC1">
      <w:pPr>
        <w:pStyle w:val="NormalBold"/>
      </w:pPr>
      <w:r w:rsidRPr="00964EEE">
        <w:rPr>
          <w:rStyle w:val="HideTWBExt"/>
          <w:b w:val="0"/>
        </w:rPr>
        <w:t>&lt;RepeatBlo</w:t>
      </w:r>
      <w:r w:rsidRPr="00964EEE">
        <w:rPr>
          <w:rStyle w:val="HideTWBExt"/>
          <w:b w:val="0"/>
        </w:rPr>
        <w:t>ck-By&gt;&lt;Members&gt;</w:t>
      </w:r>
      <w:r w:rsidRPr="00964EEE">
        <w:t>Lídia Pereira</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Artykuł 45 – ustęp 2 – akapit 1</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Państwa członkowskie zobowiązują instytucje pieniądza elektronicznego, o których mowa w ust.1, do przedłożenia właściwym organom wszelkich informacji, których te właściwe organy potrzebują do przeprowadzenia, do dnia [Urząd Publikacji – proszę wstawić datę</w:t>
            </w:r>
            <w:r w:rsidRPr="00964EEE">
              <w:t xml:space="preserve"> = 24 miesiące od daty wejścia w życie niniejszej dyrektywy] r., oceny, czy te instytucje pieniądza elektronicznego spełniają wymogi niniejszej </w:t>
            </w:r>
            <w:r w:rsidRPr="00964EEE">
              <w:rPr>
                <w:b/>
                <w:i/>
              </w:rPr>
              <w:t>dyrektywy</w:t>
            </w:r>
            <w:r w:rsidRPr="00964EEE">
              <w:t>. Jeżeli taka ocena wykaże, że te instytucje pieniądza elektronicznego nie spełniają wspomnianych wymog</w:t>
            </w:r>
            <w:r w:rsidRPr="00964EEE">
              <w:t>ów, właściwe organy podejmują decyzję o tym, jakie środki należy zastosować w celu zapewnienia spełniania tych wymogów, lub o cofnięciu zezwolenia.</w:t>
            </w:r>
          </w:p>
        </w:tc>
        <w:tc>
          <w:tcPr>
            <w:tcW w:w="4876" w:type="dxa"/>
            <w:hideMark/>
          </w:tcPr>
          <w:p w:rsidR="00AE7AC1" w:rsidRPr="00964EEE" w:rsidRDefault="00E97736">
            <w:pPr>
              <w:pStyle w:val="Normal6"/>
              <w:rPr>
                <w:szCs w:val="24"/>
              </w:rPr>
            </w:pPr>
            <w:r w:rsidRPr="00964EEE">
              <w:t>Państwa członkowskie zobowiązują instytucje pieniądza elektronicznego, o których mowa w ust.1, do przedłożen</w:t>
            </w:r>
            <w:r w:rsidRPr="00964EEE">
              <w:t>ia właściwym organom wszelkich informacji, których te właściwe organy potrzebują do przeprowadzenia, do dnia [Urząd Publikacji – proszę wstawić datę = 24 miesiące od daty wejścia w życie niniejszej dyrektywy] r., oceny, czy te instytucje pieniądza elektron</w:t>
            </w:r>
            <w:r w:rsidRPr="00964EEE">
              <w:t xml:space="preserve">icznego spełniają </w:t>
            </w:r>
            <w:r w:rsidRPr="00964EEE">
              <w:rPr>
                <w:b/>
                <w:i/>
              </w:rPr>
              <w:t xml:space="preserve">nowe </w:t>
            </w:r>
            <w:r w:rsidRPr="00964EEE">
              <w:t xml:space="preserve">wymogi </w:t>
            </w:r>
            <w:r w:rsidRPr="00964EEE">
              <w:rPr>
                <w:b/>
                <w:i/>
              </w:rPr>
              <w:t xml:space="preserve">przewidziane w </w:t>
            </w:r>
            <w:r w:rsidRPr="00964EEE">
              <w:t xml:space="preserve">niniejszej </w:t>
            </w:r>
            <w:r w:rsidRPr="00964EEE">
              <w:rPr>
                <w:b/>
                <w:i/>
              </w:rPr>
              <w:t>dyrektywie</w:t>
            </w:r>
            <w:r w:rsidRPr="00964EEE">
              <w:t>. Jeżeli taka ocena wykaże, że te instytucje pieniądza elektronicznego nie spełniają wspomnianych</w:t>
            </w:r>
            <w:r w:rsidRPr="00964EEE">
              <w:rPr>
                <w:b/>
                <w:i/>
              </w:rPr>
              <w:t xml:space="preserve"> nowych</w:t>
            </w:r>
            <w:r w:rsidRPr="00964EEE">
              <w:t xml:space="preserve"> wymogów, właściwe organy podejmują decyzję o tym, jakie środki należy zastosować w ce</w:t>
            </w:r>
            <w:r w:rsidRPr="00964EEE">
              <w:t>lu zapewnienia spełniania tych wymogów, lub o cofnięciu zezwolenia.</w:t>
            </w: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131</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Eugen Jurzyca</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Artykuł 45 – ustęp 2 – akapit 2</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 xml:space="preserve">Instytucjom pieniądza elektronicznego, o których mowa w akapicie pierwszym, w przypadku których w wyniku oceny </w:t>
            </w:r>
            <w:r w:rsidRPr="00964EEE">
              <w:lastRenderedPageBreak/>
              <w:t xml:space="preserve">przeprowadzonej przez właściwe organy </w:t>
            </w:r>
            <w:r w:rsidRPr="00964EEE">
              <w:t xml:space="preserve">stwierdzone zostanie, że spełniają one wymogi tytułu II, udziela się zezwolenia na prowadzenie działalności jako instytucja płatnicza zgodnie z art. 13 niniejszej dyrektywy i wpisuje się je do rejestrów, o których mowa w art. 17 i 18. </w:t>
            </w:r>
            <w:r w:rsidRPr="00964EEE">
              <w:rPr>
                <w:b/>
                <w:i/>
              </w:rPr>
              <w:t>W przypadku gdy te in</w:t>
            </w:r>
            <w:r w:rsidRPr="00964EEE">
              <w:rPr>
                <w:b/>
                <w:i/>
              </w:rPr>
              <w:t>stytucje pieniądza elektronicznego nie spełnią wymogów określonych w tytule II</w:t>
            </w:r>
            <w:r w:rsidRPr="00964EEE">
              <w:t xml:space="preserve"> do dnia [Urząd Publikacji – proszę wstawić datę = 24 miesiące od daty wejścia w życie niniejszej dyrektywy] r., </w:t>
            </w:r>
            <w:r w:rsidRPr="00964EEE">
              <w:rPr>
                <w:b/>
                <w:i/>
              </w:rPr>
              <w:t>zakazuje się im świadczenia usług związanych</w:t>
            </w:r>
            <w:r w:rsidRPr="00964EEE">
              <w:t xml:space="preserve"> z pieniądzem elektro</w:t>
            </w:r>
            <w:r w:rsidRPr="00964EEE">
              <w:t>nicznym.</w:t>
            </w:r>
          </w:p>
        </w:tc>
        <w:tc>
          <w:tcPr>
            <w:tcW w:w="4876" w:type="dxa"/>
            <w:hideMark/>
          </w:tcPr>
          <w:p w:rsidR="00AE7AC1" w:rsidRPr="00964EEE" w:rsidRDefault="00E97736">
            <w:pPr>
              <w:pStyle w:val="Normal6"/>
              <w:rPr>
                <w:szCs w:val="24"/>
              </w:rPr>
            </w:pPr>
            <w:r w:rsidRPr="00964EEE">
              <w:lastRenderedPageBreak/>
              <w:t xml:space="preserve">Instytucjom pieniądza elektronicznego, o których mowa w akapicie pierwszym, w przypadku których w wyniku oceny </w:t>
            </w:r>
            <w:r w:rsidRPr="00964EEE">
              <w:lastRenderedPageBreak/>
              <w:t>przeprowadzonej przez właściwe organy stwierdzone zostanie, że spełniają one wymogi tytułu II, udziela się zezwolenia na prowadzenie dzi</w:t>
            </w:r>
            <w:r w:rsidRPr="00964EEE">
              <w:t xml:space="preserve">ałalności jako instytucja płatnicza zgodnie z art. 13 niniejszej dyrektywy i wpisuje się je do rejestrów, o których mowa w art. 17 i 18. </w:t>
            </w:r>
            <w:r w:rsidRPr="00964EEE">
              <w:rPr>
                <w:b/>
                <w:i/>
              </w:rPr>
              <w:t>Jeżeli właściwe organy nie podejmą decyzji w sprawie udzielenia zezwolenia instytucjom płatniczym zgodnie z akapitem dr</w:t>
            </w:r>
            <w:r w:rsidRPr="00964EEE">
              <w:rPr>
                <w:b/>
                <w:i/>
              </w:rPr>
              <w:t>ugim</w:t>
            </w:r>
            <w:r w:rsidRPr="00964EEE">
              <w:t xml:space="preserve"> do dnia [Urząd Publikacji – proszę wstawić datę = 24 miesiące od daty wejścia w życie niniejszej dyrektywy] r., </w:t>
            </w:r>
            <w:r w:rsidRPr="00964EEE">
              <w:rPr>
                <w:b/>
                <w:i/>
              </w:rPr>
              <w:t>instytucje pieniądza elektronicznego mogą nadal świadczyć i wykonywać usługi związane</w:t>
            </w:r>
            <w:r w:rsidRPr="00964EEE">
              <w:t xml:space="preserve"> z pieniądzem elektronicznym</w:t>
            </w:r>
            <w:r w:rsidRPr="00964EEE">
              <w:rPr>
                <w:b/>
                <w:i/>
              </w:rPr>
              <w:t xml:space="preserve"> i usługi płatnicze, na kt</w:t>
            </w:r>
            <w:r w:rsidRPr="00964EEE">
              <w:rPr>
                <w:b/>
                <w:i/>
              </w:rPr>
              <w:t>óre uzyskały zezwolenie</w:t>
            </w:r>
            <w:r w:rsidRPr="00964EEE">
              <w:t>.</w:t>
            </w:r>
          </w:p>
        </w:tc>
      </w:tr>
    </w:tbl>
    <w:p w:rsidR="00AE7AC1" w:rsidRPr="00964EEE" w:rsidRDefault="00E97736" w:rsidP="00AE7AC1">
      <w:pPr>
        <w:pStyle w:val="Olang"/>
      </w:pPr>
      <w:r w:rsidRPr="00964EEE">
        <w:lastRenderedPageBreak/>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pPr>
        <w:pStyle w:val="JustificationTitle"/>
        <w:rPr>
          <w:noProof w:val="0"/>
        </w:rPr>
      </w:pPr>
      <w:r w:rsidRPr="00964EEE">
        <w:rPr>
          <w:rStyle w:val="HideTWBExt"/>
          <w:i w:val="0"/>
        </w:rPr>
        <w:t>&lt;TitreJust&gt;</w:t>
      </w:r>
      <w:r w:rsidRPr="00964EEE">
        <w:t>Uzasadnienie</w:t>
      </w:r>
      <w:r w:rsidRPr="00964EEE">
        <w:rPr>
          <w:rStyle w:val="HideTWBExt"/>
          <w:i w:val="0"/>
        </w:rPr>
        <w:t>&lt;/TitreJust&gt;</w:t>
      </w:r>
    </w:p>
    <w:p w:rsidR="00AE7AC1" w:rsidRPr="00964EEE" w:rsidRDefault="00E97736" w:rsidP="00AE7AC1">
      <w:pPr>
        <w:pStyle w:val="Normal12Italic"/>
        <w:rPr>
          <w:noProof w:val="0"/>
        </w:rPr>
      </w:pPr>
      <w:r w:rsidRPr="00964EEE">
        <w:t>Aby zwiększyć pewność prawa, należy zezwolić instytucjom pieniądza elektronicznego na świadczenie usług do czasu, aż ich właściwe organy krajowe podejmą ostateczn</w:t>
      </w:r>
      <w:r w:rsidRPr="00964EEE">
        <w:t>ą decyzję w sprawie ponownego zezwolenia.</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132</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Lídia Pereira</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Artykuł 45 – ustęp 3</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 xml:space="preserve">Tekst </w:t>
            </w:r>
            <w:r w:rsidRPr="00964EEE">
              <w:t>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3.</w:t>
            </w:r>
            <w:r w:rsidRPr="00964EEE">
              <w:tab/>
              <w:t xml:space="preserve">Państwa członkowskie </w:t>
            </w:r>
            <w:r w:rsidRPr="00964EEE">
              <w:rPr>
                <w:b/>
                <w:i/>
              </w:rPr>
              <w:t>mogą zezwolić</w:t>
            </w:r>
            <w:r w:rsidRPr="00964EEE">
              <w:t>, aby instytucje pieniądza elektronicznego, o których mowa w ust. 1, automatycznie otrzymywały zezwolenie na prowadzenie działalności jako instytucja płatnicza i były wpisywane do rej</w:t>
            </w:r>
            <w:r w:rsidRPr="00964EEE">
              <w:t xml:space="preserve">estrów, o których mowa w art. 17, jeżeli właściwe organy mają dowody na to, że dane instytucje pieniądza elektronicznego spełniają wymogi niniejszej dyrektywy. Właściwe organy informują o tym dane instytucje pieniądza elektronicznego </w:t>
            </w:r>
            <w:r w:rsidRPr="00964EEE">
              <w:rPr>
                <w:b/>
                <w:i/>
              </w:rPr>
              <w:t xml:space="preserve">przed </w:t>
            </w:r>
            <w:r w:rsidRPr="00964EEE">
              <w:rPr>
                <w:b/>
                <w:i/>
              </w:rPr>
              <w:lastRenderedPageBreak/>
              <w:t>udzieleniem auto</w:t>
            </w:r>
            <w:r w:rsidRPr="00964EEE">
              <w:rPr>
                <w:b/>
                <w:i/>
              </w:rPr>
              <w:t>matycznego zezwolenia</w:t>
            </w:r>
            <w:r w:rsidRPr="00964EEE">
              <w:t>.</w:t>
            </w:r>
          </w:p>
        </w:tc>
        <w:tc>
          <w:tcPr>
            <w:tcW w:w="4876" w:type="dxa"/>
            <w:hideMark/>
          </w:tcPr>
          <w:p w:rsidR="00AE7AC1" w:rsidRPr="00964EEE" w:rsidRDefault="00E97736">
            <w:pPr>
              <w:pStyle w:val="Normal6"/>
              <w:rPr>
                <w:szCs w:val="24"/>
              </w:rPr>
            </w:pPr>
            <w:r w:rsidRPr="00964EEE">
              <w:lastRenderedPageBreak/>
              <w:t>3.</w:t>
            </w:r>
            <w:r w:rsidRPr="00964EEE">
              <w:tab/>
              <w:t xml:space="preserve">Państwa członkowskie </w:t>
            </w:r>
            <w:r w:rsidRPr="00964EEE">
              <w:rPr>
                <w:b/>
                <w:i/>
              </w:rPr>
              <w:t>zezwalają</w:t>
            </w:r>
            <w:r w:rsidRPr="00964EEE">
              <w:t>, aby instytucje pieniądza elektronicznego, o których mowa w ust. 1, automatycznie otrzymywały zezwolenie na prowadzenie działalności jako instytucja płatnicza i były wpisywane do rejestrów, o których</w:t>
            </w:r>
            <w:r w:rsidRPr="00964EEE">
              <w:t xml:space="preserve"> mowa w art. 17, jeżeli właściwe organy mają dowody na to, że dane instytucje pieniądza elektronicznego spełniają wymogi niniejszej dyrektywy. Właściwe organy informują o tym dane instytucje pieniądza elektronicznego </w:t>
            </w:r>
            <w:r w:rsidRPr="00964EEE">
              <w:rPr>
                <w:b/>
                <w:i/>
              </w:rPr>
              <w:t xml:space="preserve">o wszelkich przeszkodach </w:t>
            </w:r>
            <w:r w:rsidRPr="00964EEE">
              <w:rPr>
                <w:b/>
                <w:i/>
              </w:rPr>
              <w:lastRenderedPageBreak/>
              <w:t>związanych z t</w:t>
            </w:r>
            <w:r w:rsidRPr="00964EEE">
              <w:rPr>
                <w:b/>
                <w:i/>
              </w:rPr>
              <w:t>ym zezwoleniem i bez zbędnej zwłoki podejmują działania, by je usunąć</w:t>
            </w:r>
            <w:r w:rsidRPr="00964EEE">
              <w:t>.</w:t>
            </w:r>
          </w:p>
        </w:tc>
      </w:tr>
    </w:tbl>
    <w:p w:rsidR="00AE7AC1" w:rsidRPr="00964EEE" w:rsidRDefault="00E97736" w:rsidP="00AE7AC1">
      <w:pPr>
        <w:pStyle w:val="Olang"/>
      </w:pPr>
      <w:r w:rsidRPr="00964EEE">
        <w:lastRenderedPageBreak/>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133</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Eugen Jurzyca</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Artykuł 45 – ustęp 4</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4.</w:t>
            </w:r>
            <w:r w:rsidRPr="00964EEE">
              <w:tab/>
              <w:t xml:space="preserve">Państwa członkowskie zezwalają osobom prawnym, które podjęły – przed dniem [Urząd Publikacji – proszę wstawić datę = 18 miesięcy od daty wejścia w życie </w:t>
            </w:r>
            <w:r w:rsidRPr="00964EEE">
              <w:t>niniejszej dyrektywy] r. działalność zgodnie z prawem krajowym transponującym art. 9 dyrektywy 2009/110/WE, na kontynuowanie tej działalności w danym państwie członkowskim zgodnie z tą dyrektywą do dnia [Urząd Publikacji – proszę wstawić datę = 24 miesiące</w:t>
            </w:r>
            <w:r w:rsidRPr="00964EEE">
              <w:t xml:space="preserve"> od daty wejścia w życie niniejszej dyrektywy] r., bez konieczności występowania o zezwolenie zgodnie z art. 3 niniejszej dyrektywy lub przestrzegania pozostałych przepisów, które ustanowiono lub o których mowa w tytule II niniejszej dyrektywy. </w:t>
            </w:r>
            <w:r w:rsidRPr="00964EEE">
              <w:rPr>
                <w:b/>
                <w:i/>
              </w:rPr>
              <w:t>Instytucjom</w:t>
            </w:r>
            <w:r w:rsidRPr="00964EEE">
              <w:rPr>
                <w:b/>
                <w:i/>
              </w:rPr>
              <w:t xml:space="preserve"> pieniądza elektronicznego, o których mowa w ust. 1, którym nie udzielono w tym okresie zezwolenia lub wobec których nie zastosowano</w:t>
            </w:r>
            <w:r w:rsidRPr="00964EEE">
              <w:t xml:space="preserve"> w</w:t>
            </w:r>
            <w:r w:rsidRPr="00964EEE">
              <w:rPr>
                <w:b/>
                <w:i/>
              </w:rPr>
              <w:t> tym okresie zwolnienia w rozumieniu art</w:t>
            </w:r>
            <w:r w:rsidRPr="00964EEE">
              <w:t>.</w:t>
            </w:r>
            <w:r w:rsidRPr="00964EEE">
              <w:rPr>
                <w:b/>
                <w:i/>
              </w:rPr>
              <w:t> 34 niniejszej dyrektywy, zakazuje się świadczenia usług związanych</w:t>
            </w:r>
            <w:r w:rsidRPr="00964EEE">
              <w:t xml:space="preserve"> z</w:t>
            </w:r>
            <w:r w:rsidRPr="00964EEE">
              <w:rPr>
                <w:b/>
                <w:i/>
              </w:rPr>
              <w:t> </w:t>
            </w:r>
            <w:r w:rsidRPr="00964EEE">
              <w:t xml:space="preserve">pieniądzem </w:t>
            </w:r>
            <w:r w:rsidRPr="00964EEE">
              <w:t>elektronicznym.</w:t>
            </w:r>
          </w:p>
        </w:tc>
        <w:tc>
          <w:tcPr>
            <w:tcW w:w="4876" w:type="dxa"/>
            <w:hideMark/>
          </w:tcPr>
          <w:p w:rsidR="00AE7AC1" w:rsidRPr="00964EEE" w:rsidRDefault="00E97736">
            <w:pPr>
              <w:pStyle w:val="Normal6"/>
              <w:rPr>
                <w:szCs w:val="24"/>
              </w:rPr>
            </w:pPr>
            <w:r w:rsidRPr="00964EEE">
              <w:t>4.</w:t>
            </w:r>
            <w:r w:rsidRPr="00964EEE">
              <w:tab/>
              <w:t>Państwa członkowskie zezwalają osobom prawnym, które podjęły – przed dniem [Urząd Publikacji – proszę wstawić datę = 18 miesięcy od daty wejścia w życie niniejszej dyrektywy] r. działalność zgodnie z prawem krajowym transponującym art. 9</w:t>
            </w:r>
            <w:r w:rsidRPr="00964EEE">
              <w:t xml:space="preserve"> dyrektywy 2009/110/WE, na kontynuowanie tej działalności w danym państwie członkowskim zgodnie z tą dyrektywą do dnia [Urząd Publikacji – proszę wstawić datę = 24 miesiące od daty wejścia w życie niniejszej dyrektywy] r., bez konieczności występowania o z</w:t>
            </w:r>
            <w:r w:rsidRPr="00964EEE">
              <w:t xml:space="preserve">ezwolenie zgodnie z art. 3 niniejszej dyrektywy lub przestrzegania pozostałych przepisów, które ustanowiono lub o których mowa w tytule II niniejszej dyrektywy. </w:t>
            </w:r>
            <w:r w:rsidRPr="00964EEE">
              <w:rPr>
                <w:b/>
                <w:i/>
              </w:rPr>
              <w:t xml:space="preserve">Jeżeli właściwe organy nie podejmą decyzji do dnia [Urząd Publikacji: proszę wstawić datę = 24 </w:t>
            </w:r>
            <w:r w:rsidRPr="00964EEE">
              <w:rPr>
                <w:b/>
                <w:i/>
              </w:rPr>
              <w:t>miesiące od daty wejścia</w:t>
            </w:r>
            <w:r w:rsidRPr="00964EEE">
              <w:t xml:space="preserve"> w</w:t>
            </w:r>
            <w:r w:rsidRPr="00964EEE">
              <w:rPr>
                <w:b/>
                <w:i/>
              </w:rPr>
              <w:t xml:space="preserve"> życie niniejszej dyrektywy] r</w:t>
            </w:r>
            <w:r w:rsidRPr="00964EEE">
              <w:t>.</w:t>
            </w:r>
            <w:r w:rsidRPr="00964EEE">
              <w:rPr>
                <w:b/>
                <w:i/>
              </w:rPr>
              <w:t>, instytucje pieniądza elektronicznego mogą nadal świadczyć i wykonywać usługi związane</w:t>
            </w:r>
            <w:r w:rsidRPr="00964EEE">
              <w:t xml:space="preserve"> z</w:t>
            </w:r>
            <w:r w:rsidRPr="00964EEE">
              <w:rPr>
                <w:b/>
                <w:i/>
              </w:rPr>
              <w:t xml:space="preserve"> </w:t>
            </w:r>
            <w:r w:rsidRPr="00964EEE">
              <w:t>pieniądzem elektronicznym</w:t>
            </w:r>
            <w:r w:rsidRPr="00964EEE">
              <w:rPr>
                <w:b/>
                <w:i/>
              </w:rPr>
              <w:t xml:space="preserve"> i usługi płatnicze, na które uzyskały zezwolenie</w:t>
            </w:r>
            <w:r w:rsidRPr="00964EEE">
              <w:t>.</w:t>
            </w: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pPr>
        <w:pStyle w:val="JustificationTitle"/>
        <w:rPr>
          <w:noProof w:val="0"/>
        </w:rPr>
      </w:pPr>
      <w:r w:rsidRPr="00964EEE">
        <w:rPr>
          <w:rStyle w:val="HideTWBExt"/>
          <w:i w:val="0"/>
        </w:rPr>
        <w:t>&lt;TitreJust&gt;</w:t>
      </w:r>
      <w:r w:rsidRPr="00964EEE">
        <w:t>Uzasadnienie</w:t>
      </w:r>
      <w:r w:rsidRPr="00964EEE">
        <w:rPr>
          <w:rStyle w:val="HideTWBExt"/>
          <w:i w:val="0"/>
        </w:rPr>
        <w:t>&lt;/TitreJust&gt;</w:t>
      </w:r>
    </w:p>
    <w:p w:rsidR="00AE7AC1" w:rsidRPr="00964EEE" w:rsidRDefault="00E97736" w:rsidP="00AE7AC1">
      <w:pPr>
        <w:pStyle w:val="Normal12Italic"/>
        <w:rPr>
          <w:noProof w:val="0"/>
        </w:rPr>
      </w:pPr>
      <w:r w:rsidRPr="00964EEE">
        <w:t xml:space="preserve">Aby zwiększyć pewność prawa, należy zezwolić instytucjom pieniądza elektronicznego na </w:t>
      </w:r>
      <w:r w:rsidRPr="00964EEE">
        <w:lastRenderedPageBreak/>
        <w:t>świadczenie usług do czasu, aż ich właściwe organy krajowe podejmą ostateczną decyzję w sprawie ponownego zezwolenia.</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134</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Eugen Jurzyca</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Artykuł 45 – ustęp 4 a (nowy)</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tcPr>
          <w:p w:rsidR="00AE7AC1" w:rsidRPr="00964EEE" w:rsidRDefault="00AE7AC1">
            <w:pPr>
              <w:pStyle w:val="Normal6"/>
            </w:pPr>
          </w:p>
        </w:tc>
        <w:tc>
          <w:tcPr>
            <w:tcW w:w="4876" w:type="dxa"/>
            <w:hideMark/>
          </w:tcPr>
          <w:p w:rsidR="00AE7AC1" w:rsidRPr="00964EEE" w:rsidRDefault="00E97736">
            <w:pPr>
              <w:pStyle w:val="Normal6"/>
              <w:rPr>
                <w:szCs w:val="24"/>
              </w:rPr>
            </w:pPr>
            <w:r w:rsidRPr="00964EEE">
              <w:rPr>
                <w:b/>
                <w:i/>
              </w:rPr>
              <w:t>4a.</w:t>
            </w:r>
            <w:r w:rsidRPr="00964EEE">
              <w:rPr>
                <w:b/>
                <w:i/>
              </w:rPr>
              <w:tab/>
            </w:r>
            <w:r w:rsidRPr="00964EEE">
              <w:rPr>
                <w:b/>
                <w:i/>
              </w:rPr>
              <w:t>Jeżeli właściwe organy postanowią cofnąć zezwolenie na mocy niniejszego artykułu, instytucje pieniądza elektronicznego mogą nadal świadczyć i wykonywać usługi związane z pieniądzem elektronicznym i usługi płatnicze, na które uzyskały zezwolenie zgodnie z d</w:t>
            </w:r>
            <w:r w:rsidRPr="00964EEE">
              <w:rPr>
                <w:b/>
                <w:i/>
              </w:rPr>
              <w:t>yrektywą 2009/110/WE, przez sześć miesięcy od podjęcia takiej decyzji.</w:t>
            </w: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pPr>
        <w:pStyle w:val="JustificationTitle"/>
        <w:rPr>
          <w:noProof w:val="0"/>
        </w:rPr>
      </w:pPr>
      <w:r w:rsidRPr="00964EEE">
        <w:rPr>
          <w:rStyle w:val="HideTWBExt"/>
          <w:i w:val="0"/>
        </w:rPr>
        <w:t>&lt;TitreJust&gt;</w:t>
      </w:r>
      <w:r w:rsidRPr="00964EEE">
        <w:t>Uzasadnienie</w:t>
      </w:r>
      <w:r w:rsidRPr="00964EEE">
        <w:rPr>
          <w:rStyle w:val="HideTWBExt"/>
          <w:i w:val="0"/>
        </w:rPr>
        <w:t>&lt;/TitreJust&gt;</w:t>
      </w:r>
    </w:p>
    <w:p w:rsidR="00AE7AC1" w:rsidRPr="00964EEE" w:rsidRDefault="00E97736" w:rsidP="00AE7AC1">
      <w:pPr>
        <w:pStyle w:val="Normal12Italic"/>
        <w:rPr>
          <w:noProof w:val="0"/>
        </w:rPr>
      </w:pPr>
      <w:r w:rsidRPr="00964EEE">
        <w:t>Aby zwiększyć pewność prawa, należy zapewnić instytucjom pieniądza elektronicznego 6-miesięczny okres na likwidację,</w:t>
      </w:r>
      <w:r w:rsidRPr="00964EEE">
        <w:t xml:space="preserve"> jeżeli właściwe organy krajowe postanowią cofnąć im zezwolenie.</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135</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Lídia Pereira</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Artykuł 45 a (nowy)</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tcPr>
          <w:p w:rsidR="00AE7AC1" w:rsidRPr="00964EEE" w:rsidRDefault="00AE7AC1">
            <w:pPr>
              <w:pStyle w:val="Normal6"/>
            </w:pPr>
          </w:p>
        </w:tc>
        <w:tc>
          <w:tcPr>
            <w:tcW w:w="4876" w:type="dxa"/>
            <w:hideMark/>
          </w:tcPr>
          <w:p w:rsidR="00AE7AC1" w:rsidRPr="00964EEE" w:rsidRDefault="00E97736">
            <w:pPr>
              <w:pStyle w:val="Normal6"/>
              <w:jc w:val="center"/>
              <w:rPr>
                <w:szCs w:val="24"/>
              </w:rPr>
            </w:pPr>
            <w:r w:rsidRPr="00964EEE">
              <w:rPr>
                <w:b/>
                <w:i/>
              </w:rPr>
              <w:t>Artykuł 45a</w:t>
            </w:r>
          </w:p>
        </w:tc>
      </w:tr>
      <w:tr w:rsidR="00CB3C1D" w:rsidRPr="00964EEE" w:rsidTr="00AE7AC1">
        <w:trPr>
          <w:jc w:val="center"/>
        </w:trPr>
        <w:tc>
          <w:tcPr>
            <w:tcW w:w="4876" w:type="dxa"/>
          </w:tcPr>
          <w:p w:rsidR="00AE7AC1" w:rsidRPr="00964EEE" w:rsidRDefault="00AE7AC1">
            <w:pPr>
              <w:pStyle w:val="Normal6"/>
            </w:pPr>
          </w:p>
        </w:tc>
        <w:tc>
          <w:tcPr>
            <w:tcW w:w="4876" w:type="dxa"/>
            <w:hideMark/>
          </w:tcPr>
          <w:p w:rsidR="00AE7AC1" w:rsidRPr="00964EEE" w:rsidRDefault="00E97736">
            <w:pPr>
              <w:pStyle w:val="Normal6"/>
              <w:jc w:val="center"/>
              <w:rPr>
                <w:szCs w:val="24"/>
              </w:rPr>
            </w:pPr>
            <w:r w:rsidRPr="00964EEE">
              <w:rPr>
                <w:b/>
                <w:i/>
              </w:rPr>
              <w:t>Okres przedłużenia</w:t>
            </w:r>
          </w:p>
        </w:tc>
      </w:tr>
      <w:tr w:rsidR="00CB3C1D" w:rsidRPr="00964EEE" w:rsidTr="00AE7AC1">
        <w:trPr>
          <w:jc w:val="center"/>
        </w:trPr>
        <w:tc>
          <w:tcPr>
            <w:tcW w:w="4876" w:type="dxa"/>
          </w:tcPr>
          <w:p w:rsidR="00AE7AC1" w:rsidRPr="00964EEE" w:rsidRDefault="00AE7AC1">
            <w:pPr>
              <w:pStyle w:val="Normal6"/>
            </w:pPr>
          </w:p>
        </w:tc>
        <w:tc>
          <w:tcPr>
            <w:tcW w:w="4876" w:type="dxa"/>
            <w:hideMark/>
          </w:tcPr>
          <w:p w:rsidR="00AE7AC1" w:rsidRPr="00964EEE" w:rsidRDefault="00E97736">
            <w:pPr>
              <w:pStyle w:val="Normal6"/>
              <w:rPr>
                <w:szCs w:val="24"/>
              </w:rPr>
            </w:pPr>
            <w:r w:rsidRPr="00964EEE">
              <w:rPr>
                <w:b/>
                <w:i/>
              </w:rPr>
              <w:t xml:space="preserve">Właściwe organy mogą wyjątkowo podjąć decyzję o przedłużeniu tego okresu, zanim zakażą konkretnym instytucjom płatniczym i instytucjom pieniądza elektronicznego </w:t>
            </w:r>
            <w:r w:rsidRPr="00964EEE">
              <w:rPr>
                <w:b/>
                <w:i/>
              </w:rPr>
              <w:t xml:space="preserve">świadczenia usług, jeżeli </w:t>
            </w:r>
            <w:r w:rsidRPr="00964EEE">
              <w:rPr>
                <w:b/>
                <w:i/>
              </w:rPr>
              <w:lastRenderedPageBreak/>
              <w:t>instytucje te dostarczyły wymaganych informacji, o których mowa w art. 44 i 45, a właściwy organ nie był w stanie ich rozpatrzyć w odpowiednim terminie.</w:t>
            </w:r>
          </w:p>
        </w:tc>
      </w:tr>
    </w:tbl>
    <w:p w:rsidR="00AE7AC1" w:rsidRPr="00964EEE" w:rsidRDefault="00E97736" w:rsidP="00AE7AC1">
      <w:pPr>
        <w:pStyle w:val="Olang"/>
      </w:pPr>
      <w:r w:rsidRPr="00964EEE">
        <w:lastRenderedPageBreak/>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136</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Marek Belka, Paul Tang, René Repasi</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Artykuł 46</w:t>
      </w:r>
      <w:r w:rsidRPr="00964EEE">
        <w:rPr>
          <w:rStyle w:val="HideTWBExt"/>
          <w:b w:val="0"/>
        </w:rPr>
        <w:t>&lt;/Article&gt;</w:t>
      </w:r>
    </w:p>
    <w:p w:rsidR="00AE7AC1" w:rsidRPr="00964EEE" w:rsidRDefault="00E97736" w:rsidP="00AE7AC1">
      <w:pPr>
        <w:keepNext/>
      </w:pPr>
      <w:r w:rsidRPr="00964EEE">
        <w:rPr>
          <w:rStyle w:val="HideTWBExt"/>
        </w:rPr>
        <w:t>&lt;DocAmend2&gt;</w:t>
      </w:r>
      <w:r w:rsidRPr="00964EEE">
        <w:t>Dyrektywa 98/26/WE</w:t>
      </w:r>
      <w:r w:rsidRPr="00964EEE">
        <w:rPr>
          <w:rStyle w:val="HideTWBExt"/>
        </w:rPr>
        <w:t>&lt;/DocAmend2&gt;</w:t>
      </w:r>
    </w:p>
    <w:p w:rsidR="00AE7AC1" w:rsidRPr="00964EEE" w:rsidRDefault="00E97736" w:rsidP="00AE7AC1">
      <w:r w:rsidRPr="00964EEE">
        <w:rPr>
          <w:rStyle w:val="HideTWBExt"/>
        </w:rPr>
        <w:t>&lt;Article2&gt;</w:t>
      </w:r>
      <w:r w:rsidRPr="00964EEE">
        <w:t>Artykuł 2</w:t>
      </w:r>
      <w:r w:rsidRPr="00964EE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 xml:space="preserve">Tekst </w:t>
            </w:r>
            <w:r w:rsidRPr="00964EEE">
              <w:t>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rPr>
                <w:b/>
                <w:i/>
              </w:rPr>
              <w:t>[...]</w:t>
            </w:r>
          </w:p>
        </w:tc>
        <w:tc>
          <w:tcPr>
            <w:tcW w:w="4876" w:type="dxa"/>
            <w:hideMark/>
          </w:tcPr>
          <w:p w:rsidR="00AE7AC1" w:rsidRPr="00964EEE" w:rsidRDefault="00E97736">
            <w:pPr>
              <w:pStyle w:val="Normal6"/>
              <w:rPr>
                <w:szCs w:val="24"/>
              </w:rPr>
            </w:pPr>
            <w:r w:rsidRPr="00964EEE">
              <w:rPr>
                <w:b/>
                <w:i/>
              </w:rPr>
              <w:t>skreśla się</w:t>
            </w: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pPr>
        <w:pStyle w:val="JustificationTitle"/>
        <w:rPr>
          <w:noProof w:val="0"/>
        </w:rPr>
      </w:pPr>
      <w:r w:rsidRPr="00964EEE">
        <w:rPr>
          <w:rStyle w:val="HideTWBExt"/>
          <w:i w:val="0"/>
        </w:rPr>
        <w:t>&lt;TitreJust&gt;</w:t>
      </w:r>
      <w:r w:rsidRPr="00964EEE">
        <w:t>Uzasadnienie</w:t>
      </w:r>
      <w:r w:rsidRPr="00964EEE">
        <w:rPr>
          <w:rStyle w:val="HideTWBExt"/>
          <w:i w:val="0"/>
        </w:rPr>
        <w:t>&lt;/TitreJust&gt;</w:t>
      </w:r>
    </w:p>
    <w:p w:rsidR="00AE7AC1" w:rsidRPr="00964EEE" w:rsidRDefault="00E97736" w:rsidP="00AE7AC1">
      <w:pPr>
        <w:pStyle w:val="Normal12Italic"/>
        <w:rPr>
          <w:noProof w:val="0"/>
        </w:rPr>
      </w:pPr>
      <w:r w:rsidRPr="00964EEE">
        <w:t>Tę zmianę dyrektywy w sprawie zamknięcia rozliczeń omówiono już przy okazji rozporządzenia o płatnościach natychmiastowych (podczas z</w:t>
      </w:r>
      <w:r w:rsidRPr="00964EEE">
        <w:t>akończonych rozmów trójstronnych).</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137</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Lídia Pereira</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Artykuł 46 – akapit 1 – punkt 1</w:t>
      </w:r>
      <w:r w:rsidRPr="00964EEE">
        <w:rPr>
          <w:rStyle w:val="HideTWBExt"/>
          <w:b w:val="0"/>
        </w:rPr>
        <w:t>&lt;/Article&gt;</w:t>
      </w:r>
    </w:p>
    <w:p w:rsidR="00AE7AC1" w:rsidRPr="00964EEE" w:rsidRDefault="00E97736" w:rsidP="00AE7AC1">
      <w:pPr>
        <w:keepNext/>
      </w:pPr>
      <w:r w:rsidRPr="00964EEE">
        <w:rPr>
          <w:rStyle w:val="HideTWBExt"/>
        </w:rPr>
        <w:t>&lt;DocAmend2&gt;</w:t>
      </w:r>
      <w:r w:rsidRPr="00964EEE">
        <w:t>Dyrektywa 98/26/WE</w:t>
      </w:r>
      <w:r w:rsidRPr="00964EEE">
        <w:rPr>
          <w:rStyle w:val="HideTWBExt"/>
        </w:rPr>
        <w:t>&lt;/DocAmend2&gt;</w:t>
      </w:r>
    </w:p>
    <w:p w:rsidR="00AE7AC1" w:rsidRPr="00964EEE" w:rsidRDefault="00E97736" w:rsidP="00AE7AC1">
      <w:r w:rsidRPr="00964EEE">
        <w:rPr>
          <w:rStyle w:val="HideTWBExt"/>
        </w:rPr>
        <w:t>&lt;Article2&gt;</w:t>
      </w:r>
      <w:r w:rsidRPr="00964EEE">
        <w:t>Artykuł 2 – litera b</w:t>
      </w:r>
      <w:r w:rsidRPr="00964EE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»instytucja« oznacza każdy z poniższych podmiotów:</w:t>
            </w:r>
          </w:p>
        </w:tc>
        <w:tc>
          <w:tcPr>
            <w:tcW w:w="4876" w:type="dxa"/>
            <w:hideMark/>
          </w:tcPr>
          <w:p w:rsidR="00AE7AC1" w:rsidRPr="00964EEE" w:rsidRDefault="00E97736">
            <w:pPr>
              <w:pStyle w:val="Normal6"/>
              <w:rPr>
                <w:szCs w:val="24"/>
              </w:rPr>
            </w:pPr>
            <w:r w:rsidRPr="00964EEE">
              <w:rPr>
                <w:i/>
                <w:iCs/>
              </w:rPr>
              <w:t>(Nie dotyczy polskiej wersji językowej.)</w:t>
            </w: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lastRenderedPageBreak/>
        <w:t>&lt;Amend&gt;</w:t>
      </w:r>
      <w:r w:rsidRPr="00964EEE">
        <w:t>Poprawka</w:t>
      </w:r>
      <w:r w:rsidRPr="00964EEE">
        <w:tab/>
      </w:r>
      <w:r w:rsidRPr="00964EEE">
        <w:tab/>
      </w:r>
      <w:r w:rsidRPr="00964EEE">
        <w:rPr>
          <w:rStyle w:val="HideTWBExt"/>
          <w:b w:val="0"/>
        </w:rPr>
        <w:t>&lt;NumAm&gt;</w:t>
      </w:r>
      <w:r w:rsidRPr="00964EEE">
        <w:t>138</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Lídia Pereira</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Artykuł 46 – akapit 1 – punkt 1</w:t>
      </w:r>
      <w:r w:rsidRPr="00964EEE">
        <w:rPr>
          <w:rStyle w:val="HideTWBExt"/>
          <w:b w:val="0"/>
        </w:rPr>
        <w:t>&lt;/Article&gt;</w:t>
      </w:r>
    </w:p>
    <w:p w:rsidR="00AE7AC1" w:rsidRPr="00964EEE" w:rsidRDefault="00E97736" w:rsidP="00AE7AC1">
      <w:pPr>
        <w:keepNext/>
      </w:pPr>
      <w:r w:rsidRPr="00964EEE">
        <w:rPr>
          <w:rStyle w:val="HideTWBExt"/>
        </w:rPr>
        <w:t>&lt;DocAmend2&gt;</w:t>
      </w:r>
      <w:r w:rsidRPr="00964EEE">
        <w:t>Dyrektywa 98/26/WE</w:t>
      </w:r>
      <w:r w:rsidRPr="00964EEE">
        <w:rPr>
          <w:rStyle w:val="HideTWBExt"/>
        </w:rPr>
        <w:t>&lt;/DocAmend2&gt;</w:t>
      </w:r>
    </w:p>
    <w:p w:rsidR="00AE7AC1" w:rsidRPr="00964EEE" w:rsidRDefault="00E97736" w:rsidP="00AE7AC1">
      <w:r w:rsidRPr="00964EEE">
        <w:rPr>
          <w:rStyle w:val="HideTWBExt"/>
        </w:rPr>
        <w:t>&lt;A</w:t>
      </w:r>
      <w:r w:rsidRPr="00964EEE">
        <w:rPr>
          <w:rStyle w:val="HideTWBExt"/>
        </w:rPr>
        <w:t>rticle2&gt;</w:t>
      </w:r>
      <w:r w:rsidRPr="00964EEE">
        <w:t>Artykuł 2 – litera b</w:t>
      </w:r>
      <w:r w:rsidRPr="00964EE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tcPr>
          <w:p w:rsidR="00AE7AC1" w:rsidRPr="00964EEE" w:rsidRDefault="00AE7AC1">
            <w:pPr>
              <w:pStyle w:val="Normal6"/>
            </w:pPr>
          </w:p>
        </w:tc>
        <w:tc>
          <w:tcPr>
            <w:tcW w:w="4876" w:type="dxa"/>
            <w:hideMark/>
          </w:tcPr>
          <w:p w:rsidR="00AE7AC1" w:rsidRPr="00964EEE" w:rsidRDefault="00E97736">
            <w:pPr>
              <w:pStyle w:val="Normal6"/>
              <w:rPr>
                <w:szCs w:val="24"/>
              </w:rPr>
            </w:pPr>
            <w:r w:rsidRPr="00964EEE">
              <w:rPr>
                <w:b/>
                <w:i/>
              </w:rPr>
              <w:t>–</w:t>
            </w:r>
            <w:r w:rsidRPr="00964EEE">
              <w:rPr>
                <w:b/>
                <w:i/>
              </w:rPr>
              <w:tab/>
              <w:t xml:space="preserve">instytucję pieniądza elektronicznego w rozumieniu art. 2 pkt 1 dyrektywy Parlamentu Europejskiego i Rady 2009/110/WE, z wyjątkiem osób prawnych korzystających ze </w:t>
            </w:r>
            <w:r w:rsidRPr="00964EEE">
              <w:rPr>
                <w:b/>
                <w:i/>
              </w:rPr>
              <w:t>zwolnienia na podstawie art. 9 tej dyrektywy,</w:t>
            </w: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139</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Lídia Pereira</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Artykuł</w:t>
      </w:r>
      <w:r w:rsidRPr="00964EEE">
        <w:t xml:space="preserve"> 46 – akapit 1 – punkt 1</w:t>
      </w:r>
      <w:r w:rsidRPr="00964EEE">
        <w:rPr>
          <w:rStyle w:val="HideTWBExt"/>
          <w:b w:val="0"/>
        </w:rPr>
        <w:t>&lt;/Article&gt;</w:t>
      </w:r>
    </w:p>
    <w:p w:rsidR="00AE7AC1" w:rsidRPr="00964EEE" w:rsidRDefault="00E97736" w:rsidP="00AE7AC1">
      <w:pPr>
        <w:keepNext/>
      </w:pPr>
      <w:r w:rsidRPr="00964EEE">
        <w:rPr>
          <w:rStyle w:val="HideTWBExt"/>
        </w:rPr>
        <w:t>&lt;DocAmend2&gt;</w:t>
      </w:r>
      <w:r w:rsidRPr="00964EEE">
        <w:t>Dyrektywa 98/26/WE</w:t>
      </w:r>
      <w:r w:rsidRPr="00964EEE">
        <w:rPr>
          <w:rStyle w:val="HideTWBExt"/>
        </w:rPr>
        <w:t>&lt;/DocAmend2&gt;</w:t>
      </w:r>
    </w:p>
    <w:p w:rsidR="00AE7AC1" w:rsidRPr="00964EEE" w:rsidRDefault="00E97736" w:rsidP="00AE7AC1">
      <w:r w:rsidRPr="00964EEE">
        <w:rPr>
          <w:rStyle w:val="HideTWBExt"/>
        </w:rPr>
        <w:t>&lt;Article2&gt;</w:t>
      </w:r>
      <w:r w:rsidRPr="00964EEE">
        <w:t>Artykuł 2 – litera b</w:t>
      </w:r>
      <w:r w:rsidRPr="00964EE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Jeżeli system jest nadzorowany zgodnie z ustawodawstwem krajowym i realizuje jedynie zlecenia</w:t>
            </w:r>
            <w:r w:rsidRPr="00964EEE">
              <w:t xml:space="preserve"> transferu w rozumieniu lit. i) tiret drugie, jak również płatności wynikające z takich zleceń, państwo członkowskie może zadecydować, że przedsiębiorstwa, które uczestniczą w takim systemie i ponoszą odpowiedzialność za wypełnienie zobowiązań finansowych </w:t>
            </w:r>
            <w:r w:rsidRPr="00964EEE">
              <w:t xml:space="preserve">wynikających z realizacji zleceń transferu w tym systemie, mogą być uznane za instytucje, pod warunkiem że co najmniej trzech uczestników </w:t>
            </w:r>
            <w:r w:rsidRPr="00964EEE">
              <w:rPr>
                <w:b/>
                <w:i/>
              </w:rPr>
              <w:t>takiego</w:t>
            </w:r>
            <w:r w:rsidRPr="00964EEE">
              <w:t xml:space="preserve"> systemu należy do kategorii, o których mowa w akapicie pierwszym i że decyzja taka jest zasadna ze względu na </w:t>
            </w:r>
            <w:r w:rsidRPr="00964EEE">
              <w:t>ryzyko systemowe;”;</w:t>
            </w:r>
          </w:p>
        </w:tc>
        <w:tc>
          <w:tcPr>
            <w:tcW w:w="4876" w:type="dxa"/>
            <w:hideMark/>
          </w:tcPr>
          <w:p w:rsidR="00AE7AC1" w:rsidRPr="00964EEE" w:rsidRDefault="00E97736">
            <w:pPr>
              <w:pStyle w:val="Normal6"/>
              <w:rPr>
                <w:szCs w:val="24"/>
              </w:rPr>
            </w:pPr>
            <w:r w:rsidRPr="00964EEE">
              <w:t>Jeżeli system jest nadzorowany zgodnie z ustawodawstwem krajowym i realizuje jedynie zlecenia transferu w rozumieniu lit. i) tiret drugie, jak również płatności wynikające z takich zleceń, państwo członkowskie może zadecydować, że przed</w:t>
            </w:r>
            <w:r w:rsidRPr="00964EEE">
              <w:t xml:space="preserve">siębiorstwa, które uczestniczą w takim systemie i ponoszą odpowiedzialność za wypełnienie zobowiązań finansowych wynikających z realizacji zleceń transferu w tym systemie, mogą być uznane za instytucje, pod warunkiem że co najmniej trzech uczestników </w:t>
            </w:r>
            <w:r w:rsidRPr="00964EEE">
              <w:rPr>
                <w:b/>
                <w:i/>
              </w:rPr>
              <w:t>tego</w:t>
            </w:r>
            <w:r w:rsidRPr="00964EEE">
              <w:t xml:space="preserve"> </w:t>
            </w:r>
            <w:r w:rsidRPr="00964EEE">
              <w:t xml:space="preserve">systemu należy do kategorii, o których mowa w akapicie pierwszym i że decyzja taka jest zasadna ze </w:t>
            </w:r>
            <w:r w:rsidR="00D770D1">
              <w:t>względu na ryzyko systemowe;”;</w:t>
            </w:r>
          </w:p>
        </w:tc>
      </w:tr>
    </w:tbl>
    <w:p w:rsidR="00AE7AC1" w:rsidRPr="00964EEE" w:rsidRDefault="00E97736" w:rsidP="00AE7AC1">
      <w:pPr>
        <w:pStyle w:val="Olang"/>
      </w:pPr>
      <w:r w:rsidRPr="00964EEE">
        <w:lastRenderedPageBreak/>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140</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Eugen Jurzyca</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Artykuł 48 – akapit 1</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 xml:space="preserve">Dyrektywa (UE) 2015/2366 traci moc ze skutkiem od dnia [Urząd Publikacji – proszę wstawić datę = </w:t>
            </w:r>
            <w:r w:rsidRPr="00964EEE">
              <w:rPr>
                <w:b/>
                <w:i/>
              </w:rPr>
              <w:t>18 miesięcy</w:t>
            </w:r>
            <w:r w:rsidRPr="00964EEE">
              <w:t xml:space="preserve"> od dnia wejścia w życie niniejszej dyrektywy] r.</w:t>
            </w:r>
          </w:p>
        </w:tc>
        <w:tc>
          <w:tcPr>
            <w:tcW w:w="4876" w:type="dxa"/>
            <w:hideMark/>
          </w:tcPr>
          <w:p w:rsidR="00AE7AC1" w:rsidRPr="00964EEE" w:rsidRDefault="00E97736">
            <w:pPr>
              <w:pStyle w:val="Normal6"/>
              <w:rPr>
                <w:szCs w:val="24"/>
              </w:rPr>
            </w:pPr>
            <w:r w:rsidRPr="00964EEE">
              <w:t xml:space="preserve">Dyrektywa (UE) 2015/2366 traci moc ze skutkiem od dnia [Urząd Publikacji – proszę wstawić datę = </w:t>
            </w:r>
            <w:r w:rsidRPr="00964EEE">
              <w:rPr>
                <w:b/>
                <w:i/>
              </w:rPr>
              <w:t>2</w:t>
            </w:r>
            <w:r w:rsidRPr="00964EEE">
              <w:rPr>
                <w:b/>
                <w:i/>
              </w:rPr>
              <w:t>4 miesiące</w:t>
            </w:r>
            <w:r w:rsidRPr="00964EEE">
              <w:t xml:space="preserve"> od dnia wejścia w życie niniejszej dyrektywy] r.</w:t>
            </w: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141</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Eugen Jurzyca</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w:t>
      </w:r>
      <w:r w:rsidRPr="00964EEE">
        <w:rPr>
          <w:rStyle w:val="HideTWBExt"/>
          <w:b w:val="0"/>
        </w:rPr>
        <w:t>rticle&gt;</w:t>
      </w:r>
      <w:r w:rsidRPr="00964EEE">
        <w:t>Artykuł 48 – akapit 2</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 xml:space="preserve">Dyrektywa 2009/110/WE traci moc ze skutkiem od dnia [Urząd Publikacji – proszę wstawić datę = </w:t>
            </w:r>
            <w:r w:rsidRPr="00964EEE">
              <w:rPr>
                <w:b/>
                <w:i/>
              </w:rPr>
              <w:t>18 miesięcy</w:t>
            </w:r>
            <w:r w:rsidRPr="00964EEE">
              <w:t xml:space="preserve"> od dnia wejścia w życie niniejszej dyrektywy] r.</w:t>
            </w:r>
          </w:p>
        </w:tc>
        <w:tc>
          <w:tcPr>
            <w:tcW w:w="4876" w:type="dxa"/>
            <w:hideMark/>
          </w:tcPr>
          <w:p w:rsidR="00AE7AC1" w:rsidRPr="00964EEE" w:rsidRDefault="00E97736">
            <w:pPr>
              <w:pStyle w:val="Normal6"/>
              <w:rPr>
                <w:szCs w:val="24"/>
              </w:rPr>
            </w:pPr>
            <w:r w:rsidRPr="00964EEE">
              <w:t xml:space="preserve">Dyrektywa 2009/110/WE traci moc ze skutkiem od dnia [Urząd Publikacji – proszę wstawić datę = </w:t>
            </w:r>
            <w:r w:rsidRPr="00964EEE">
              <w:rPr>
                <w:b/>
                <w:i/>
              </w:rPr>
              <w:t>24 miesiące</w:t>
            </w:r>
            <w:r w:rsidRPr="00964EEE">
              <w:t xml:space="preserve"> od dnia wejścia w życie niniejszej dyrektywy] r.</w:t>
            </w: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142</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Eugen Jurzyca</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Artykuł 49 – ustęp 1</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1.</w:t>
            </w:r>
            <w:r w:rsidRPr="00964EEE">
              <w:tab/>
            </w:r>
            <w:r w:rsidRPr="00964EEE">
              <w:t xml:space="preserve">Państwa członkowskie przyjmują i publikują, najpóźniej do dnia [Urząd Publikacji – proszę wstawić datę = </w:t>
            </w:r>
            <w:r w:rsidRPr="00964EEE">
              <w:rPr>
                <w:b/>
                <w:i/>
              </w:rPr>
              <w:t xml:space="preserve">18 </w:t>
            </w:r>
            <w:r w:rsidRPr="00964EEE">
              <w:rPr>
                <w:b/>
                <w:i/>
              </w:rPr>
              <w:lastRenderedPageBreak/>
              <w:t>miesięcy</w:t>
            </w:r>
            <w:r w:rsidRPr="00964EEE">
              <w:t xml:space="preserve"> od dnia wejścia w życie niniejszej dyrektywy] r., a w przypadku art. 46 – do dnia [Urząd Publikacji – proszę wstawić datę = </w:t>
            </w:r>
            <w:r w:rsidRPr="00964EEE">
              <w:rPr>
                <w:b/>
                <w:i/>
              </w:rPr>
              <w:t>6</w:t>
            </w:r>
            <w:r w:rsidRPr="00964EEE">
              <w:t xml:space="preserve"> miesięcy od d</w:t>
            </w:r>
            <w:r w:rsidRPr="00964EEE">
              <w:t>nia wejścia w życie niniejszej dyrektywy] r., przepisy ustawowe, wykonawcze i administracyjne niezbędne do wykonania niniejszej dyrektywy. Niezwłocznie przekazują Komisji tekst tych przepisów.</w:t>
            </w:r>
          </w:p>
        </w:tc>
        <w:tc>
          <w:tcPr>
            <w:tcW w:w="4876" w:type="dxa"/>
            <w:hideMark/>
          </w:tcPr>
          <w:p w:rsidR="00AE7AC1" w:rsidRPr="00964EEE" w:rsidRDefault="00E97736">
            <w:pPr>
              <w:pStyle w:val="Normal6"/>
              <w:rPr>
                <w:szCs w:val="24"/>
              </w:rPr>
            </w:pPr>
            <w:r w:rsidRPr="00964EEE">
              <w:lastRenderedPageBreak/>
              <w:t>1.</w:t>
            </w:r>
            <w:r w:rsidRPr="00964EEE">
              <w:tab/>
              <w:t>Państwa członkowskie przyjmują i publikują, najpóźniej do dn</w:t>
            </w:r>
            <w:r w:rsidRPr="00964EEE">
              <w:t xml:space="preserve">ia [Urząd Publikacji – proszę wstawić datę = </w:t>
            </w:r>
            <w:r w:rsidRPr="00964EEE">
              <w:rPr>
                <w:b/>
                <w:i/>
              </w:rPr>
              <w:t xml:space="preserve">24 </w:t>
            </w:r>
            <w:r w:rsidRPr="00964EEE">
              <w:rPr>
                <w:b/>
                <w:i/>
              </w:rPr>
              <w:lastRenderedPageBreak/>
              <w:t>miesiące</w:t>
            </w:r>
            <w:r w:rsidRPr="00964EEE">
              <w:t xml:space="preserve"> od dnia wejścia w życie niniejszej dyrektywy] r., a w przypadku art. 46 – do dnia [Urząd Publikacji – proszę wstawić datę = </w:t>
            </w:r>
            <w:r w:rsidRPr="00964EEE">
              <w:rPr>
                <w:b/>
                <w:i/>
              </w:rPr>
              <w:t>12</w:t>
            </w:r>
            <w:r w:rsidRPr="00964EEE">
              <w:t xml:space="preserve"> miesięcy od dnia wejścia w życie niniejszej dyrektywy] r., przepisy usta</w:t>
            </w:r>
            <w:r w:rsidRPr="00964EEE">
              <w:t>wowe, wykonawcze i administracyjne niezbędne do wykonania niniejszej dyrektywy. Niezwłocznie przekazują Komisji tekst tych przepisów.</w:t>
            </w:r>
          </w:p>
        </w:tc>
      </w:tr>
    </w:tbl>
    <w:p w:rsidR="00AE7AC1" w:rsidRPr="00964EEE" w:rsidRDefault="00E97736" w:rsidP="00AE7AC1">
      <w:pPr>
        <w:pStyle w:val="Olang"/>
      </w:pPr>
      <w:r w:rsidRPr="00964EEE">
        <w:lastRenderedPageBreak/>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143</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Eugen Jurzyca</w:t>
      </w:r>
      <w:r w:rsidRPr="00964EEE">
        <w:rPr>
          <w:rStyle w:val="HideTWBExt"/>
          <w:b w:val="0"/>
        </w:rPr>
        <w:t>&lt;/Memb</w:t>
      </w:r>
      <w:r w:rsidRPr="00964EEE">
        <w:rPr>
          <w:rStyle w:val="HideTWBExt"/>
          <w:b w:val="0"/>
        </w:rPr>
        <w:t>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Artykuł 49 – ustęp 2 – akapit 1</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 xml:space="preserve">Stosują one te przepisy od dnia [Urząd Publikacji – proszę wstawić datę = </w:t>
            </w:r>
            <w:r w:rsidRPr="00964EEE">
              <w:rPr>
                <w:b/>
                <w:i/>
              </w:rPr>
              <w:t>18 miesięcy</w:t>
            </w:r>
            <w:r w:rsidRPr="00964EEE">
              <w:t xml:space="preserve"> od dnia wejścia w życie niniejszej dyrektywy] r., a w przypadku art. 46 – od dnia [Urząd Publikacji – proszę wstawić datę = </w:t>
            </w:r>
            <w:r w:rsidRPr="00964EEE">
              <w:rPr>
                <w:b/>
                <w:i/>
              </w:rPr>
              <w:t>6</w:t>
            </w:r>
            <w:r w:rsidRPr="00964EEE">
              <w:t xml:space="preserve"> miesięcy od dnia wejścia w życie niniejszej dyrektywy] r.</w:t>
            </w:r>
          </w:p>
        </w:tc>
        <w:tc>
          <w:tcPr>
            <w:tcW w:w="4876" w:type="dxa"/>
            <w:hideMark/>
          </w:tcPr>
          <w:p w:rsidR="00AE7AC1" w:rsidRPr="00964EEE" w:rsidRDefault="00E97736">
            <w:pPr>
              <w:pStyle w:val="Normal6"/>
              <w:rPr>
                <w:szCs w:val="24"/>
              </w:rPr>
            </w:pPr>
            <w:r w:rsidRPr="00964EEE">
              <w:t>Stosują one te przepisy od dnia [Urząd Publikacji – proszę wstawić datę</w:t>
            </w:r>
            <w:r w:rsidRPr="00964EEE">
              <w:t xml:space="preserve"> = </w:t>
            </w:r>
            <w:r w:rsidRPr="00964EEE">
              <w:rPr>
                <w:b/>
                <w:i/>
              </w:rPr>
              <w:t>24 miesiące</w:t>
            </w:r>
            <w:r w:rsidRPr="00964EEE">
              <w:t xml:space="preserve"> od dnia wejścia w życie niniejszej dyrektywy] r., a w przypadku art. 46 – od dnia [Urząd Publikacji – proszę wstawić datę = </w:t>
            </w:r>
            <w:r w:rsidRPr="00964EEE">
              <w:rPr>
                <w:b/>
                <w:i/>
              </w:rPr>
              <w:t>12</w:t>
            </w:r>
            <w:r w:rsidRPr="00964EEE">
              <w:t xml:space="preserve"> miesięcy od dnia wejścia w życie niniejszej dyrektywy] r.</w:t>
            </w: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w:t>
      </w:r>
      <w:r w:rsidRPr="00964EEE">
        <w:t>a</w:t>
      </w:r>
      <w:r w:rsidRPr="00964EEE">
        <w:tab/>
      </w:r>
      <w:r w:rsidRPr="00964EEE">
        <w:tab/>
      </w:r>
      <w:r w:rsidRPr="00964EEE">
        <w:rPr>
          <w:rStyle w:val="HideTWBExt"/>
          <w:b w:val="0"/>
        </w:rPr>
        <w:t>&lt;NumAm&gt;</w:t>
      </w:r>
      <w:r w:rsidRPr="00964EEE">
        <w:t>144</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Eugen Jurzyca</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Załącznik II – akapit 1</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 xml:space="preserve">Emisja pieniądza </w:t>
            </w:r>
            <w:r w:rsidRPr="00964EEE">
              <w:t>elektronicznego</w:t>
            </w:r>
            <w:r w:rsidRPr="00964EEE">
              <w:rPr>
                <w:b/>
                <w:i/>
              </w:rPr>
              <w:t>, prowadzenie rachunków płatniczych, na których przechowywane są jednostki pieniądza elektronicznego oraz przekazywanie jednostek pieniądza elektronicznego</w:t>
            </w:r>
            <w:r w:rsidRPr="00964EEE">
              <w:t>.</w:t>
            </w:r>
          </w:p>
        </w:tc>
        <w:tc>
          <w:tcPr>
            <w:tcW w:w="4876" w:type="dxa"/>
            <w:hideMark/>
          </w:tcPr>
          <w:p w:rsidR="00AE7AC1" w:rsidRPr="00964EEE" w:rsidRDefault="00E97736">
            <w:pPr>
              <w:pStyle w:val="Normal6"/>
              <w:rPr>
                <w:szCs w:val="24"/>
              </w:rPr>
            </w:pPr>
            <w:r w:rsidRPr="00964EEE">
              <w:t>Emisja pieniądza elektronicznego.</w:t>
            </w:r>
          </w:p>
        </w:tc>
      </w:tr>
    </w:tbl>
    <w:p w:rsidR="00AE7AC1" w:rsidRPr="00964EEE" w:rsidRDefault="00E97736" w:rsidP="00AE7AC1">
      <w:pPr>
        <w:pStyle w:val="Olang"/>
      </w:pPr>
      <w:r w:rsidRPr="00964EEE">
        <w:lastRenderedPageBreak/>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w:t>
      </w:r>
    </w:p>
    <w:p w:rsidR="00AE7AC1" w:rsidRPr="00964EEE" w:rsidRDefault="00E97736" w:rsidP="00AE7AC1">
      <w:pPr>
        <w:pStyle w:val="AMNumberTabs0"/>
        <w:keepNext/>
      </w:pPr>
      <w:r w:rsidRPr="00964EEE">
        <w:rPr>
          <w:rStyle w:val="HideTWBExt"/>
          <w:b w:val="0"/>
        </w:rPr>
        <w:t>&lt;Amend&gt;</w:t>
      </w:r>
      <w:r w:rsidRPr="00964EEE">
        <w:t>Poprawka</w:t>
      </w:r>
      <w:r w:rsidRPr="00964EEE">
        <w:tab/>
      </w:r>
      <w:r w:rsidRPr="00964EEE">
        <w:tab/>
      </w:r>
      <w:r w:rsidRPr="00964EEE">
        <w:rPr>
          <w:rStyle w:val="HideTWBExt"/>
          <w:b w:val="0"/>
        </w:rPr>
        <w:t>&lt;NumAm&gt;</w:t>
      </w:r>
      <w:r w:rsidRPr="00964EEE">
        <w:t>145</w:t>
      </w:r>
      <w:r w:rsidRPr="00964EEE">
        <w:rPr>
          <w:rStyle w:val="HideTWBExt"/>
          <w:b w:val="0"/>
        </w:rPr>
        <w:t>&lt;/NumAm&gt;</w:t>
      </w:r>
    </w:p>
    <w:p w:rsidR="00AE7AC1" w:rsidRPr="00964EEE" w:rsidRDefault="00E97736" w:rsidP="00AE7AC1">
      <w:pPr>
        <w:pStyle w:val="NormalBold"/>
      </w:pPr>
      <w:r w:rsidRPr="00964EEE">
        <w:rPr>
          <w:rStyle w:val="HideTWBExt"/>
          <w:b w:val="0"/>
        </w:rPr>
        <w:t>&lt;RepeatBlock-By&gt;&lt;Members&gt;</w:t>
      </w:r>
      <w:r w:rsidRPr="00964EEE">
        <w:t>Gunnar Beck</w:t>
      </w:r>
      <w:r w:rsidRPr="00964EEE">
        <w:rPr>
          <w:rStyle w:val="HideTWBExt"/>
          <w:b w:val="0"/>
        </w:rPr>
        <w:t>&lt;/Members&gt;</w:t>
      </w:r>
    </w:p>
    <w:p w:rsidR="00AE7AC1" w:rsidRPr="00964EEE" w:rsidRDefault="00E97736" w:rsidP="00AE7AC1">
      <w:r w:rsidRPr="00964EEE">
        <w:rPr>
          <w:rStyle w:val="HideTWBExt"/>
        </w:rPr>
        <w:t>&lt;/RepeatBlock-By&gt;</w:t>
      </w:r>
    </w:p>
    <w:p w:rsidR="00AE7AC1" w:rsidRPr="00964EEE" w:rsidRDefault="00E97736" w:rsidP="00AE7AC1">
      <w:pPr>
        <w:pStyle w:val="NormalBold"/>
        <w:keepNext/>
      </w:pPr>
      <w:r w:rsidRPr="00964EEE">
        <w:rPr>
          <w:rStyle w:val="HideTWBExt"/>
          <w:b w:val="0"/>
        </w:rPr>
        <w:t>&lt;DocAmend&gt;</w:t>
      </w:r>
      <w:r w:rsidRPr="00964EEE">
        <w:t>Wniosek dotyczący dyrektywy</w:t>
      </w:r>
      <w:r w:rsidRPr="00964EEE">
        <w:rPr>
          <w:rStyle w:val="HideTWBExt"/>
          <w:b w:val="0"/>
        </w:rPr>
        <w:t>&lt;/DocAmend&gt;</w:t>
      </w:r>
    </w:p>
    <w:p w:rsidR="00AE7AC1" w:rsidRPr="00964EEE" w:rsidRDefault="00E97736" w:rsidP="00AE7AC1">
      <w:pPr>
        <w:pStyle w:val="NormalBold"/>
      </w:pPr>
      <w:r w:rsidRPr="00964EEE">
        <w:rPr>
          <w:rStyle w:val="HideTWBExt"/>
          <w:b w:val="0"/>
        </w:rPr>
        <w:t>&lt;Article&gt;</w:t>
      </w:r>
      <w:r w:rsidRPr="00964EEE">
        <w:t>Załącznik II – akapit 1</w:t>
      </w:r>
      <w:r w:rsidRPr="00964E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C1D" w:rsidRPr="00964EEE" w:rsidTr="00AE7AC1">
        <w:trPr>
          <w:jc w:val="center"/>
        </w:trPr>
        <w:tc>
          <w:tcPr>
            <w:tcW w:w="9752" w:type="dxa"/>
            <w:gridSpan w:val="2"/>
          </w:tcPr>
          <w:p w:rsidR="00AE7AC1" w:rsidRPr="00964EEE" w:rsidRDefault="00AE7AC1">
            <w:pPr>
              <w:keepNext/>
            </w:pPr>
          </w:p>
        </w:tc>
      </w:tr>
      <w:tr w:rsidR="00CB3C1D" w:rsidRPr="00964EEE" w:rsidTr="00AE7AC1">
        <w:trPr>
          <w:jc w:val="center"/>
        </w:trPr>
        <w:tc>
          <w:tcPr>
            <w:tcW w:w="4876" w:type="dxa"/>
            <w:hideMark/>
          </w:tcPr>
          <w:p w:rsidR="00AE7AC1" w:rsidRPr="00964EEE" w:rsidRDefault="00E97736">
            <w:pPr>
              <w:pStyle w:val="ColumnHeading"/>
              <w:keepNext/>
            </w:pPr>
            <w:r w:rsidRPr="00964EEE">
              <w:t>Tekst proponowany przez Komisję</w:t>
            </w:r>
          </w:p>
        </w:tc>
        <w:tc>
          <w:tcPr>
            <w:tcW w:w="4876" w:type="dxa"/>
            <w:hideMark/>
          </w:tcPr>
          <w:p w:rsidR="00AE7AC1" w:rsidRPr="00964EEE" w:rsidRDefault="00E97736">
            <w:pPr>
              <w:pStyle w:val="ColumnHeading"/>
              <w:keepNext/>
            </w:pPr>
            <w:r w:rsidRPr="00964EEE">
              <w:t>Poprawka</w:t>
            </w:r>
          </w:p>
        </w:tc>
      </w:tr>
      <w:tr w:rsidR="00CB3C1D" w:rsidRPr="00964EEE" w:rsidTr="00AE7AC1">
        <w:trPr>
          <w:jc w:val="center"/>
        </w:trPr>
        <w:tc>
          <w:tcPr>
            <w:tcW w:w="4876" w:type="dxa"/>
            <w:hideMark/>
          </w:tcPr>
          <w:p w:rsidR="00AE7AC1" w:rsidRPr="00964EEE" w:rsidRDefault="00E97736">
            <w:pPr>
              <w:pStyle w:val="Normal6"/>
            </w:pPr>
            <w:r w:rsidRPr="00964EEE">
              <w:t xml:space="preserve">Emisja pieniądza </w:t>
            </w:r>
            <w:r w:rsidRPr="00964EEE">
              <w:t>elektronicznego</w:t>
            </w:r>
            <w:r w:rsidRPr="00964EEE">
              <w:rPr>
                <w:b/>
                <w:i/>
              </w:rPr>
              <w:t>, prowadzenie rachunków płatniczych, na których przechowywane są jednostki pieniądza elektronicznego oraz przekazywanie jednostek pieniądza elektronicznego</w:t>
            </w:r>
            <w:r w:rsidRPr="00964EEE">
              <w:t>.</w:t>
            </w:r>
          </w:p>
        </w:tc>
        <w:tc>
          <w:tcPr>
            <w:tcW w:w="4876" w:type="dxa"/>
            <w:hideMark/>
          </w:tcPr>
          <w:p w:rsidR="00AE7AC1" w:rsidRPr="00964EEE" w:rsidRDefault="00E97736">
            <w:pPr>
              <w:pStyle w:val="Normal6"/>
              <w:rPr>
                <w:szCs w:val="24"/>
              </w:rPr>
            </w:pPr>
            <w:r w:rsidRPr="00964EEE">
              <w:t>Emisja pieniądza elektronicznego.</w:t>
            </w:r>
          </w:p>
        </w:tc>
      </w:tr>
    </w:tbl>
    <w:p w:rsidR="00AE7AC1" w:rsidRPr="00964EEE" w:rsidRDefault="00E97736" w:rsidP="00AE7AC1">
      <w:pPr>
        <w:pStyle w:val="Olang"/>
      </w:pPr>
      <w:r w:rsidRPr="00964EEE">
        <w:t xml:space="preserve">Or. </w:t>
      </w:r>
      <w:r w:rsidRPr="00964EEE">
        <w:rPr>
          <w:rStyle w:val="HideTWBExt"/>
          <w:noProof w:val="0"/>
        </w:rPr>
        <w:t>&lt;Original&gt;</w:t>
      </w:r>
      <w:r w:rsidRPr="00964EEE">
        <w:rPr>
          <w:rStyle w:val="HideTWBInt"/>
        </w:rPr>
        <w:t>{EN}</w:t>
      </w:r>
      <w:r w:rsidRPr="00964EEE">
        <w:t>en</w:t>
      </w:r>
      <w:r w:rsidRPr="00964EEE">
        <w:rPr>
          <w:rStyle w:val="HideTWBExt"/>
          <w:noProof w:val="0"/>
        </w:rPr>
        <w:t>&lt;/Original&gt;</w:t>
      </w:r>
    </w:p>
    <w:p w:rsidR="00AE7AC1" w:rsidRPr="00964EEE" w:rsidRDefault="00E97736" w:rsidP="00AE7AC1">
      <w:r w:rsidRPr="00964EEE">
        <w:rPr>
          <w:rStyle w:val="HideTWBExt"/>
        </w:rPr>
        <w:t>&lt;/Amend&gt;&lt;/RepeatBlock-Amend&gt;</w:t>
      </w:r>
    </w:p>
    <w:p w:rsidR="00AE7AC1" w:rsidRPr="00964EEE" w:rsidRDefault="00AE7AC1" w:rsidP="00AE7AC1"/>
    <w:p w:rsidR="008363E4" w:rsidRPr="00964EEE" w:rsidRDefault="008363E4" w:rsidP="00AE7AC1">
      <w:pPr>
        <w:pStyle w:val="AmNumberTabs"/>
        <w:keepNext/>
      </w:pPr>
    </w:p>
    <w:sectPr w:rsidR="008363E4" w:rsidRPr="00964EEE" w:rsidSect="00964EEE">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964EEE" w:rsidRDefault="00E97736">
      <w:r w:rsidRPr="00964EEE">
        <w:separator/>
      </w:r>
    </w:p>
  </w:endnote>
  <w:endnote w:type="continuationSeparator" w:id="0">
    <w:p w:rsidR="00000000" w:rsidRPr="00964EEE" w:rsidRDefault="00E97736">
      <w:r w:rsidRPr="00964EE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4EEE" w:rsidRPr="00964EEE" w:rsidRDefault="00964EEE" w:rsidP="00964EEE">
    <w:pPr>
      <w:pStyle w:val="EPFooter"/>
    </w:pPr>
    <w:r w:rsidRPr="00964EEE">
      <w:t>PE</w:t>
    </w:r>
    <w:r w:rsidRPr="00964EEE">
      <w:rPr>
        <w:rStyle w:val="HideTWBExt"/>
      </w:rPr>
      <w:t>&lt;NoPE&gt;</w:t>
    </w:r>
    <w:r w:rsidRPr="00964EEE">
      <w:t>757.022</w:t>
    </w:r>
    <w:r w:rsidRPr="00964EEE">
      <w:rPr>
        <w:rStyle w:val="HideTWBExt"/>
      </w:rPr>
      <w:t>&lt;/NoPE&gt;&lt;Version&gt;</w:t>
    </w:r>
    <w:r w:rsidRPr="00964EEE">
      <w:t>v01-00</w:t>
    </w:r>
    <w:r w:rsidRPr="00964EEE">
      <w:rPr>
        <w:rStyle w:val="HideTWBExt"/>
      </w:rPr>
      <w:t>&lt;/Version&gt;</w:t>
    </w:r>
    <w:r w:rsidRPr="00964EEE">
      <w:tab/>
    </w:r>
    <w:r w:rsidRPr="00964EEE">
      <w:fldChar w:fldCharType="begin"/>
    </w:r>
    <w:r w:rsidRPr="00964EEE">
      <w:instrText xml:space="preserve"> PAGE  \* MERGEFORMAT </w:instrText>
    </w:r>
    <w:r w:rsidRPr="00964EEE">
      <w:fldChar w:fldCharType="separate"/>
    </w:r>
    <w:r w:rsidR="00E97736">
      <w:rPr>
        <w:noProof/>
      </w:rPr>
      <w:t>4</w:t>
    </w:r>
    <w:r w:rsidRPr="00964EEE">
      <w:fldChar w:fldCharType="end"/>
    </w:r>
    <w:r w:rsidRPr="00964EEE">
      <w:t>/</w:t>
    </w:r>
    <w:fldSimple w:instr=" NUMPAGES  \* MERGEFORMAT ">
      <w:r w:rsidR="00E97736">
        <w:rPr>
          <w:noProof/>
        </w:rPr>
        <w:t>53</w:t>
      </w:r>
    </w:fldSimple>
    <w:r w:rsidRPr="00964EEE">
      <w:tab/>
    </w:r>
    <w:r w:rsidRPr="00964EEE">
      <w:rPr>
        <w:rStyle w:val="HideTWBExt"/>
      </w:rPr>
      <w:t>&lt;PathFdR&gt;</w:t>
    </w:r>
    <w:r w:rsidRPr="00964EEE">
      <w:t>AM\1291519PL.docx</w:t>
    </w:r>
    <w:r w:rsidRPr="00964EEE">
      <w:rPr>
        <w:rStyle w:val="HideTWBExt"/>
      </w:rPr>
      <w:t>&lt;/PathFdR&gt;</w:t>
    </w:r>
  </w:p>
  <w:p w:rsidR="00F429C5" w:rsidRPr="00964EEE" w:rsidRDefault="00964EEE" w:rsidP="00964EEE">
    <w:pPr>
      <w:pStyle w:val="EPFooter2"/>
    </w:pPr>
    <w:r w:rsidRPr="00964EEE">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4EEE" w:rsidRPr="00964EEE" w:rsidRDefault="00964EEE" w:rsidP="00964EEE">
    <w:pPr>
      <w:pStyle w:val="EPFooter"/>
    </w:pPr>
    <w:r w:rsidRPr="00964EEE">
      <w:rPr>
        <w:rStyle w:val="HideTWBExt"/>
      </w:rPr>
      <w:t>&lt;PathFdR&gt;</w:t>
    </w:r>
    <w:r w:rsidRPr="00964EEE">
      <w:t>AM\1291519PL.docx</w:t>
    </w:r>
    <w:r w:rsidRPr="00964EEE">
      <w:rPr>
        <w:rStyle w:val="HideTWBExt"/>
      </w:rPr>
      <w:t>&lt;/PathFdR&gt;</w:t>
    </w:r>
    <w:r w:rsidRPr="00964EEE">
      <w:tab/>
    </w:r>
    <w:r w:rsidRPr="00964EEE">
      <w:fldChar w:fldCharType="begin"/>
    </w:r>
    <w:r w:rsidRPr="00964EEE">
      <w:instrText xml:space="preserve"> PAGE  \* MERGEFORMAT </w:instrText>
    </w:r>
    <w:r w:rsidRPr="00964EEE">
      <w:fldChar w:fldCharType="separate"/>
    </w:r>
    <w:r w:rsidR="00E97736">
      <w:rPr>
        <w:noProof/>
      </w:rPr>
      <w:t>3</w:t>
    </w:r>
    <w:r w:rsidRPr="00964EEE">
      <w:fldChar w:fldCharType="end"/>
    </w:r>
    <w:r w:rsidRPr="00964EEE">
      <w:t>/</w:t>
    </w:r>
    <w:fldSimple w:instr=" NUMPAGES  \* MERGEFORMAT ">
      <w:r w:rsidR="00E97736">
        <w:rPr>
          <w:noProof/>
        </w:rPr>
        <w:t>53</w:t>
      </w:r>
    </w:fldSimple>
    <w:r w:rsidRPr="00964EEE">
      <w:tab/>
      <w:t>PE</w:t>
    </w:r>
    <w:r w:rsidRPr="00964EEE">
      <w:rPr>
        <w:rStyle w:val="HideTWBExt"/>
      </w:rPr>
      <w:t>&lt;NoPE&gt;</w:t>
    </w:r>
    <w:r w:rsidRPr="00964EEE">
      <w:t>757.022</w:t>
    </w:r>
    <w:r w:rsidRPr="00964EEE">
      <w:rPr>
        <w:rStyle w:val="HideTWBExt"/>
      </w:rPr>
      <w:t>&lt;/NoPE&gt;&lt;Version&gt;</w:t>
    </w:r>
    <w:r w:rsidRPr="00964EEE">
      <w:t>v01-00</w:t>
    </w:r>
    <w:r w:rsidRPr="00964EEE">
      <w:rPr>
        <w:rStyle w:val="HideTWBExt"/>
      </w:rPr>
      <w:t>&lt;/Version&gt;</w:t>
    </w:r>
  </w:p>
  <w:p w:rsidR="00F429C5" w:rsidRPr="00964EEE" w:rsidRDefault="00964EEE" w:rsidP="00964EEE">
    <w:pPr>
      <w:pStyle w:val="EPFooter2"/>
    </w:pPr>
    <w:r w:rsidRPr="00964EEE">
      <w:tab/>
    </w:r>
    <w:r w:rsidRPr="00964EEE">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4EEE" w:rsidRPr="00964EEE" w:rsidRDefault="00964EEE" w:rsidP="00964EEE">
    <w:pPr>
      <w:pStyle w:val="EPFooter"/>
    </w:pPr>
    <w:r w:rsidRPr="00964EEE">
      <w:rPr>
        <w:rStyle w:val="HideTWBExt"/>
      </w:rPr>
      <w:t>&lt;PathFdR&gt;</w:t>
    </w:r>
    <w:r w:rsidRPr="00964EEE">
      <w:t>AM\1291519PL.docx</w:t>
    </w:r>
    <w:r w:rsidRPr="00964EEE">
      <w:rPr>
        <w:rStyle w:val="HideTWBExt"/>
      </w:rPr>
      <w:t>&lt;/PathFdR&gt;</w:t>
    </w:r>
    <w:r w:rsidRPr="00964EEE">
      <w:tab/>
    </w:r>
    <w:r w:rsidRPr="00964EEE">
      <w:tab/>
      <w:t>PE</w:t>
    </w:r>
    <w:r w:rsidRPr="00964EEE">
      <w:rPr>
        <w:rStyle w:val="HideTWBExt"/>
      </w:rPr>
      <w:t>&lt;NoPE&gt;</w:t>
    </w:r>
    <w:r w:rsidRPr="00964EEE">
      <w:t>757.022</w:t>
    </w:r>
    <w:r w:rsidRPr="00964EEE">
      <w:rPr>
        <w:rStyle w:val="HideTWBExt"/>
      </w:rPr>
      <w:t>&lt;/NoPE&gt;&lt;Version&gt;</w:t>
    </w:r>
    <w:r w:rsidRPr="00964EEE">
      <w:t>v01-00</w:t>
    </w:r>
    <w:r w:rsidRPr="00964EEE">
      <w:rPr>
        <w:rStyle w:val="HideTWBExt"/>
      </w:rPr>
      <w:t>&lt;/Version&gt;</w:t>
    </w:r>
  </w:p>
  <w:p w:rsidR="00F429C5" w:rsidRPr="00964EEE" w:rsidRDefault="00964EEE" w:rsidP="00964EEE">
    <w:pPr>
      <w:pStyle w:val="EPFooter2"/>
    </w:pPr>
    <w:r w:rsidRPr="00964EEE">
      <w:t>PL</w:t>
    </w:r>
    <w:r w:rsidRPr="00964EEE">
      <w:tab/>
    </w:r>
    <w:r w:rsidRPr="00964EEE">
      <w:rPr>
        <w:b w:val="0"/>
        <w:i/>
        <w:color w:val="C0C0C0"/>
        <w:sz w:val="22"/>
      </w:rPr>
      <w:t>Zjednoczona w różnorodności</w:t>
    </w:r>
    <w:r w:rsidRPr="00964EEE">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964EEE" w:rsidRDefault="00E97736">
      <w:r w:rsidRPr="00964EEE">
        <w:separator/>
      </w:r>
    </w:p>
  </w:footnote>
  <w:footnote w:type="continuationSeparator" w:id="0">
    <w:p w:rsidR="00000000" w:rsidRPr="00964EEE" w:rsidRDefault="00E97736">
      <w:r w:rsidRPr="00964EE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70D1" w:rsidRDefault="00D770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70D1" w:rsidRDefault="00D770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70D1" w:rsidRDefault="00D770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2"/>
    <w:docVar w:name="CODEMNU" w:val=" 1"/>
    <w:docVar w:name="COMKEY" w:val="ECON"/>
    <w:docVar w:name="CVA" w:val="1"/>
    <w:docVar w:name="DOCCODMNU" w:val=" 2"/>
    <w:docVar w:name="DOCDT" w:val="30/11/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5\fbidi \froman\fcharset238\fprq2 Times New Roman CE;}{\f326\fbidi \froman\fcharset204\fprq2 Times New Roman Cyr;}_x000d__x000a_{\f328\fbidi \froman\fcharset161\fprq2 Times New Roman Greek;}{\f329\fbidi \froman\fcharset162\fprq2 Times New Roman Tur;}{\f330\fbidi \froman\fcharset177\fprq2 Times New Roman (Hebrew);}{\f331\fbidi \froman\fcharset178\fprq2 Times New Roman (Arabic);}_x000d__x000a_{\f332\fbidi \froman\fcharset186\fprq2 Times New Roman Baltic;}{\f333\fbidi \froman\fcharset163\fprq2 Times New Roman (Vietnamese);}{\f335\fbidi \fswiss\fcharset238\fprq2 Arial CE;}{\f336\fbidi \fswiss\fcharset204\fprq2 Arial Cyr;}_x000d__x000a_{\f338\fbidi \fswiss\fcharset161\fprq2 Arial Greek;}{\f339\fbidi \fswiss\fcharset162\fprq2 Arial Tur;}{\f340\fbidi \fswiss\fcharset177\fprq2 Arial (Hebrew);}{\f341\fbidi \fswiss\fcharset178\fprq2 Arial (Arabic);}_x000d__x000a_{\f342\fbidi \fswiss\fcharset186\fprq2 Arial Baltic;}{\f343\fbidi \fswiss\fcharset163\fprq2 Arial (Vietnamese);}{\f665\fbidi \froman\fcharset238\fprq2 Cambria Math CE;}{\f666\fbidi \froman\fcharset204\fprq2 Cambria Math Cyr;}_x000d__x000a_{\f668\fbidi \froman\fcharset161\fprq2 Cambria Math Greek;}{\f669\fbidi \froman\fcharset162\fprq2 Cambria Math Tur;}{\f672\fbidi \froman\fcharset186\fprq2 Cambria Math Baltic;}{\f67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8477482 HideTWBInt;}}{\*\rsidtbl \rsid24658\rsid223860\rsid735077\rsid1718133\rsid2892074\rsid3565327_x000d__x000a_\rsid4666813\rsid6641733\rsid7823322\rsid8477482\rsid9636012\rsid10377208\rsid11215221\rsid11549030\rsid12154954\rsid14382809\rsid14424199\rsid14642498\rsid15204470\rsid15285974\rsid15950462\rsid16324206\rsid16662270}{\mmathPr\mmathFont34\mbrkBin0_x000d__x000a_\mbrkBinSub0\msmallFrac0\mdispDef1\mlMargin0\mrMargin0\mdefJc1\mwrapIndent1440\mintLim0\mnaryLim1}{\info{\author WYSOKINSKA Halina}{\operator WYSOKINSKA Halina}{\creatim\yr2023\mo11\dy27\hr17\min3}{\revtim\yr2023\mo11\dy27\hr17\min3}{\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477482\newtblstyruls\nogrowautofit\usenormstyforlist\noindnmbrts\felnbrelev\nocxsptable\indrlsweleven\noafcnsttbl\afelev\utinl\hwelev\spltpgpar\notcvasp\notbrkcnstfrctbl\notvatxbx\krnprsnet\cachedcolbal _x000d__x000a_\nouicompat \fet0{\*\wgrffmtfilter 013f}\nofeaturethrottle1\ilfomacatclnup0{\*\template C:\\Users\\HWYSOK~1\\AppData\\Local\\Temp\\Blank1.dotx}{\*\ftnsep \ltrpar \pard\plain \ltrpar_x000d__x000a_\ql \li0\ri0\widctlpar\wrapdefault\aspalpha\aspnum\faauto\adjustright\rin0\lin0\itap0 \rtlch\fcs1 \af0\afs20\alang1025 \ltrch\fcs0 \fs24\lang2057\langfe2057\cgrid\langnp2057\langfenp2057 {\rtlch\fcs1 \af0 \ltrch\fcs0 \insrsid14642498 \chftnsep _x000d__x000a_\par }}{\*\ftnsepc \ltrpar \pard\plain \ltrpar\ql \li0\ri0\widctlpar\wrapdefault\aspalpha\aspnum\faauto\adjustright\rin0\lin0\itap0 \rtlch\fcs1 \af0\afs20\alang1025 \ltrch\fcs0 \fs24\lang2057\langfe2057\cgrid\langnp2057\langfenp2057 {\rtlch\fcs1 \af0 _x000d__x000a_\ltrch\fcs0 \insrsid14642498 \chftnsepc _x000d__x000a_\par }}{\*\aftnsep \ltrpar \pard\plain \ltrpar\ql \li0\ri0\widctlpar\wrapdefault\aspalpha\aspnum\faauto\adjustright\rin0\lin0\itap0 \rtlch\fcs1 \af0\afs20\alang1025 \ltrch\fcs0 \fs24\lang2057\langfe2057\cgrid\langnp2057\langfenp2057 {\rtlch\fcs1 \af0 _x000d__x000a_\ltrch\fcs0 \insrsid14642498 \chftnsep _x000d__x000a_\par }}{\*\aftnsepc \ltrpar \pard\plain \ltrpar\ql \li0\ri0\widctlpar\wrapdefault\aspalpha\aspnum\faauto\adjustright\rin0\lin0\itap0 \rtlch\fcs1 \af0\afs20\alang1025 \ltrch\fcs0 \fs24\lang2057\langfe2057\cgrid\langnp2057\langfenp2057 {\rtlch\fcs1 \af0 _x000d__x000a_\ltrch\fcs0 \insrsid1464249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8477482\charrsid6185105 {\*\bkmkstart ReplaceBookmark}#}{\rtlch\fcs1 \af1 \ltrch\fcs0 _x000d__x000a_\cs17\v\f1\fs20\cf15\insrsid8477482\charrsid6185105 &gt;&gt;&gt;CVAR@@AmendA}{\rtlch\fcs1 \af0 \ltrch\fcs0 \insrsid8477482\charrsid6185105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45_x000d__x000a_84494b21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5\fbidi \froman\fcharset238\fprq2 Times New Roman CE;}{\f326\fbidi \froman\fcharset204\fprq2 Times New Roman Cyr;}_x000d__x000a_{\f328\fbidi \froman\fcharset161\fprq2 Times New Roman Greek;}{\f329\fbidi \froman\fcharset162\fprq2 Times New Roman Tur;}{\f330\fbidi \froman\fcharset177\fprq2 Times New Roman (Hebrew);}{\f331\fbidi \froman\fcharset178\fprq2 Times New Roman (Arabic);}_x000d__x000a_{\f332\fbidi \froman\fcharset186\fprq2 Times New Roman Baltic;}{\f333\fbidi \froman\fcharset163\fprq2 Times New Roman (Vietnamese);}{\f335\fbidi \fswiss\fcharset238\fprq2 Arial CE;}{\f336\fbidi \fswiss\fcharset204\fprq2 Arial Cyr;}_x000d__x000a_{\f338\fbidi \fswiss\fcharset161\fprq2 Arial Greek;}{\f339\fbidi \fswiss\fcharset162\fprq2 Arial Tur;}{\f340\fbidi \fswiss\fcharset177\fprq2 Arial (Hebrew);}{\f341\fbidi \fswiss\fcharset178\fprq2 Arial (Arabic);}_x000d__x000a_{\f342\fbidi \fswiss\fcharset186\fprq2 Arial Baltic;}{\f343\fbidi \fswiss\fcharset163\fprq2 Arial (Vietnamese);}{\f665\fbidi \froman\fcharset238\fprq2 Cambria Math CE;}{\f666\fbidi \froman\fcharset204\fprq2 Cambria Math Cyr;}_x000d__x000a_{\f668\fbidi \froman\fcharset161\fprq2 Cambria Math Greek;}{\f669\fbidi \froman\fcharset162\fprq2 Cambria Math Tur;}{\f672\fbidi \froman\fcharset186\fprq2 Cambria Math Baltic;}{\f67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411513 HideTWBExt;}{\*\cs18 \additive \v\f1\fs20\cf15 _x000d__x000a_\spriority0 \styrsid11411513 HideTWBInt;}{\s19\ql \li0\ri0\sa120\nowidctlpar\wrapdefault\aspalpha\aspnum\faauto\adjustright\rin0\lin0\itap0 \rtlch\fcs1 \af0\afs20\alang1025 \ltrch\fcs0 \fs24\lang2057\langfe2057\cgrid\langnp2057\langfenp2057 _x000d__x000a_\sbasedon0 \snext19 \spriority0 \styrsid11411513 Normal6a;}{\s20\ql \li0\ri0\nowidctlpar\wrapdefault\aspalpha\aspnum\faauto\adjustright\rin0\lin0\itap0 \rtlch\fcs1 \af0\afs20\alang1025 \ltrch\fcs0 \b\fs24\lang2057\langfe2057\cgrid\langnp2057\langfenp2057 _x000d__x000a_\sbasedon0 \snext20 \spriority0 \styrsid11411513 NormalBold;}{\s21\qr \li0\ri0\sb240\sa240\nowidctlpar\wrapdefault\aspalpha\aspnum\faauto\adjustright\rin0\lin0\itap0 \rtlch\fcs1 \af0\afs20\alang1025 \ltrch\fcs0 _x000d__x000a_\fs24\lang2057\langfe2057\cgrid\langnp2057\langfenp2057 \sbasedon0 \snext21 \spriority0 \styrsid11411513 AmOrLang;}{\s22\qc \li0\ri0\sa240\nowidctlpar\wrapdefault\aspalpha\aspnum\faauto\adjustright\rin0\lin0\itap0 \rtlch\fcs1 \af0\afs20\alang1025 _x000d__x000a_\ltrch\fcs0 \i\fs24\lang2057\langfe2057\cgrid\langnp2057\langfenp2057 \sbasedon0 \snext22 \spriority0 \styrsid1141151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411513 AmNumberTabs;}}{\*\rsidtbl \rsid24658\rsid223860\rsid735077\rsid1718133\rsid1974774\rsid2892074\rsid3565327\rsid4666813\rsid6641733_x000d__x000a_\rsid7823322\rsid9636012\rsid10377208\rsid11215221\rsid11411513\rsid11549030\rsid12154954\rsid14382809\rsid14424199\rsid15204470\rsid15285974\rsid15950462\rsid16324206\rsid16662270}{\mmathPr\mmathFont34\mbrkBin0\mbrkBinSub0\msmallFrac0\mdispDef1\mlMargin0_x000d__x000a_\mrMargin0\mdefJc1\mwrapIndent1440\mintLim0\mnaryLim1}{\info{\author WYSOKINSKA Halina}{\operator WYSOKINSKA Halina}{\creatim\yr2023\mo11\dy27\hr16\min58}{\revtim\yr2023\mo11\dy27\hr16\min58}{\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411513\newtblstyruls\nogrowautofit\usenormstyforlist\noindnmbrts\felnbrelev\nocxsptable\indrlsweleven\noafcnsttbl\afelev\utinl\hwelev\spltpgpar\notcvasp\notbrkcnstfrctbl\notvatxbx\krnprsnet\cachedcolbal _x000d__x000a_\nouicompat \fet0{\*\wgrffmtfilter 013f}\nofeaturethrottle1\ilfomacatclnup0{\*\template C:\\Users\\HWYSOK~1\\AppData\\Local\\Temp\\Blank1.dotx}{\*\ftnsep \ltrpar \pard\plain \ltrpar_x000d__x000a_\ql \li0\ri0\widctlpar\wrapdefault\aspalpha\aspnum\faauto\adjustright\rin0\lin0\itap0 \rtlch\fcs1 \af0\afs20\alang1025 \ltrch\fcs0 \fs24\lang2057\langfe2057\cgrid\langnp2057\langfenp2057 {\rtlch\fcs1 \af0 \ltrch\fcs0 \insrsid1974774 \chftnsep _x000d__x000a_\par }}{\*\ftnsepc \ltrpar \pard\plain \ltrpar\ql \li0\ri0\widctlpar\wrapdefault\aspalpha\aspnum\faauto\adjustright\rin0\lin0\itap0 \rtlch\fcs1 \af0\afs20\alang1025 \ltrch\fcs0 \fs24\lang2057\langfe2057\cgrid\langnp2057\langfenp2057 {\rtlch\fcs1 \af0 _x000d__x000a_\ltrch\fcs0 \insrsid1974774 \chftnsepc _x000d__x000a_\par }}{\*\aftnsep \ltrpar \pard\plain \ltrpar\ql \li0\ri0\widctlpar\wrapdefault\aspalpha\aspnum\faauto\adjustright\rin0\lin0\itap0 \rtlch\fcs1 \af0\afs20\alang1025 \ltrch\fcs0 \fs24\lang2057\langfe2057\cgrid\langnp2057\langfenp2057 {\rtlch\fcs1 \af0 _x000d__x000a_\ltrch\fcs0 \insrsid1974774 \chftnsep _x000d__x000a_\par }}{\*\aftnsepc \ltrpar \pard\plain \ltrpar\ql \li0\ri0\widctlpar\wrapdefault\aspalpha\aspnum\faauto\adjustright\rin0\lin0\itap0 \rtlch\fcs1 \af0\afs20\alang1025 \ltrch\fcs0 \fs24\lang2057\langfe2057\cgrid\langnp2057\langfenp2057 {\rtlch\fcs1 \af0 _x000d__x000a_\ltrch\fcs0 \insrsid197477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1411513 \rtlch\fcs1 _x000d__x000a_\af0\afs20\alang1025 \ltrch\fcs0 \b\fs24\lang2057\langfe2057\cgrid\langnp2057\langfenp2057 {\rtlch\fcs1 \af0 \ltrch\fcs0 \cs17\b0\v\fs20\cf9\lang1024\langfe1024\loch\af1\hich\af1\dbch\af31501\noproof\insrsid11411513\charrsid6185105 {\*\bkmkstart restartA}_x000d__x000a_\hich\af1\dbch\af31501\loch\f1 &lt;AmendA&gt;}{\rtlch\fcs1 \af0 \ltrch\fcs0 \insrsid11411513\charrsid6185105 Amendment\tab \tab }{\rtlch\fcs1 \af0 \ltrch\fcs0 _x000d__x000a_\cs17\b0\v\fs20\cf9\lang1024\langfe1024\loch\af1\hich\af1\dbch\af31501\noproof\insrsid11411513\charrsid6185105 \hich\af1\dbch\af31501\loch\f1 &lt;NumAmA&gt;}{\rtlch\fcs1 \af0 \ltrch\fcs0 \insrsid11411513\charrsid6185105 #}{\rtlch\fcs1 \af1 \ltrch\fcs0 _x000d__x000a_\cs18\v\f1\fs20\cf15\insrsid11411513\charrsid6185105 ENMIENDA@NRAM@}{\rtlch\fcs1 \af0 \ltrch\fcs0 \insrsid11411513\charrsid6185105 #}{\rtlch\fcs1 \af0 \ltrch\fcs0 _x000d__x000a_\cs17\b0\v\fs20\cf9\lang1024\langfe1024\loch\af1\hich\af1\dbch\af31501\noproof\insrsid11411513\charrsid6185105 \hich\af1\dbch\af31501\loch\f1 &lt;/NumAmA&gt;}{\rtlch\fcs1 \af0 \ltrch\fcs0 \insrsid11411513\charrsid6185105 _x000d__x000a_\par }\pard\plain \ltrpar\s20\ql \li0\ri0\nowidctlpar\wrapdefault\aspalpha\aspnum\faauto\adjustright\rin0\lin0\itap0\pararsid11411513 \rtlch\fcs1 \af0\afs20\alang1025 \ltrch\fcs0 \b\fs24\lang2057\langfe2057\cgrid\langnp2057\langfenp2057 {\rtlch\fcs1 \af0 _x000d__x000a_\ltrch\fcs0 \cs17\b0\v\fs20\cf9\lang1024\langfe1024\loch\af1\hich\af1\dbch\af31501\noproof\insrsid11411513\charrsid6185105 \hich\af1\dbch\af31501\loch\f1 &lt;RepeatBlock-By&gt;}{\rtlch\fcs1 \af0 \ltrch\fcs0 \insrsid11411513\charrsid6185105 #}{\rtlch\fcs1 \af1 _x000d__x000a_\ltrch\fcs0 \cs18\v\f1\fs20\cf15\insrsid11411513\charrsid6185105 (MOD@InsideLoop()}{\rtlch\fcs1 \af0 \ltrch\fcs0 \insrsid11411513\charrsid6185105 ##}{\rtlch\fcs1 \af1 \ltrch\fcs0 \cs18\v\f1\fs20\cf15\insrsid11411513\charrsid6185105 &gt;&gt;&gt;@[ZMEMBERSMSG]@}{_x000d__x000a_\rtlch\fcs1 \af0 \ltrch\fcs0 \insrsid11411513\charrsid6185105 #}{\rtlch\fcs1 \af0 \ltrch\fcs0 \cs17\b0\v\fs20\cf9\lang1024\langfe1024\loch\af1\hich\af1\dbch\af31501\noproof\insrsid11411513\charrsid6185105 \hich\af1\dbch\af31501\loch\f1 &lt;Members&gt;}{_x000d__x000a_\rtlch\fcs1 \af0 \ltrch\fcs0 \insrsid11411513\charrsid6185105 #}{\rtlch\fcs1 \af1 \ltrch\fcs0 \cs18\v\f1\fs20\cf15\insrsid11411513\charrsid6185105 (MOD@InsideLoop(\'a7)}{\rtlch\fcs1 \af0 \ltrch\fcs0 \insrsid11411513\charrsid6185105 #}{\rtlch\fcs1 \af0 _x000d__x000a_\ltrch\fcs0 \cf10\insrsid11411513\charrsid6185105 \u9668\'3f}{\rtlch\fcs1 \af0 \ltrch\fcs0 \insrsid11411513\charrsid6185105 #}{\rtlch\fcs1 \af1 \ltrch\fcs0 \cs18\v\f1\fs20\cf15\insrsid11411513\charrsid6185105 TVTMEMBERS\'a7@MEMBERS@}{\rtlch\fcs1 \af0 _x000d__x000a_\ltrch\fcs0 \insrsid11411513\charrsid6185105 #}{\rtlch\fcs1 \af0 \ltrch\fcs0 \cf10\insrsid11411513\charrsid6185105 \u9658\'3f}{\rtlch\fcs1 \af0 \ltrch\fcs0 _x000d__x000a_\cs17\b0\v\fs20\cf9\lang1024\langfe1024\loch\af1\hich\af1\dbch\af31501\noproof\insrsid11411513\charrsid6185105 \hich\af1\dbch\af31501\loch\f1 &lt;/Members&gt;}{\rtlch\fcs1 \af0 \ltrch\fcs0 \insrsid11411513\charrsid6185105 _x000d__x000a_\par }\pard\plain \ltrpar\ql \li0\ri0\widctlpar\wrapdefault\aspalpha\aspnum\faauto\adjustright\rin0\lin0\itap0\pararsid11411513 \rtlch\fcs1 \af0\afs20\alang1025 \ltrch\fcs0 \fs24\lang2057\langfe2057\cgrid\langnp2057\langfenp2057 {\rtlch\fcs1 \af0 \ltrch\fcs0 _x000d__x000a_\cs17\v\fs20\cf9\lang1024\langfe1024\loch\af1\hich\af1\dbch\af31501\noproof\insrsid11411513\charrsid6185105 \hich\af1\dbch\af31501\loch\f1 &lt;AuNomDe&gt;&lt;OptDel&gt;}{\rtlch\fcs1 \af0 \ltrch\fcs0 \insrsid11411513\charrsid6185105 #}{\rtlch\fcs1 \af1 \ltrch\fcs0 _x000d__x000a_\cs18\v\f1\fs20\cf15\insrsid11411513\charrsid6185105 MNU[ONBEHALFYES][NOTAPP]@CHOICE@}{\rtlch\fcs1 \af0 \ltrch\fcs0 \insrsid11411513\charrsid6185105 #}{\rtlch\fcs1 \af0 \ltrch\fcs0 _x000d__x000a_\cs17\v\fs20\cf9\lang1024\langfe1024\loch\af1\hich\af1\dbch\af31501\noproof\insrsid11411513\charrsid6185105 \hich\af1\dbch\af31501\loch\f1 &lt;/OptDel&gt;&lt;/AuNomDe&gt;}{\rtlch\fcs1 \af0 \ltrch\fcs0 \insrsid11411513\charrsid6185105 _x000d__x000a_\par &lt;&lt;&lt;}{\rtlch\fcs1 \af0 \ltrch\fcs0 \cs17\v\fs20\cf9\lang1024\langfe1024\loch\af1\hich\af1\dbch\af31501\noproof\insrsid11411513\charrsid6185105 \hich\af1\dbch\af31501\loch\f1 &lt;/RepeatBlock-By&gt;}{\rtlch\fcs1 \af0 \ltrch\fcs0 \insrsid11411513\charrsid6185105 _x000d__x000a__x000d__x000a_\par }\pard\plain \ltrpar\s20\ql \li0\ri0\nowidctlpar\wrapdefault\aspalpha\aspnum\faauto\adjustright\rin0\lin0\itap0\pararsid11411513 \rtlch\fcs1 \af0\afs20\alang1025 \ltrch\fcs0 \b\fs24\lang2057\langfe2057\cgrid\langnp2057\langfenp2057 {\rtlch\fcs1 \af0 _x000d__x000a_\ltrch\fcs0 \cs17\b0\v\fs20\cf9\lang1024\langfe1024\loch\af1\hich\af1\dbch\af31501\noproof\insrsid11411513\charrsid6185105 \hich\af1\dbch\af31501\loch\f1 &lt;DocAmend&gt;}{\rtlch\fcs1 \af0 \ltrch\fcs0 \insrsid11411513\charrsid6185105 _x000d__x000a_Draft legislative resolution}{\rtlch\fcs1 \af0 \ltrch\fcs0 \cs17\b0\v\fs20\cf9\lang1024\langfe1024\loch\af1\hich\af1\dbch\af31501\noproof\insrsid11411513\charrsid6185105 \hich\af1\dbch\af31501\loch\f1 &lt;/DocAmend&gt;}{\rtlch\fcs1 \af0 \ltrch\fcs0 _x000d__x000a_\insrsid11411513\charrsid6185105 _x000d__x000a_\par }{\rtlch\fcs1 \af0 \ltrch\fcs0 \cs17\b0\v\fs20\cf9\lang1024\langfe1024\loch\af1\hich\af1\dbch\af31501\noproof\insrsid11411513\charrsid6185105 \hich\af1\dbch\af31501\loch\f1 &lt;Article&gt;}{\rtlch\fcs1 \af0 \ltrch\fcs0 \cf10\insrsid11411513\charrsid6185105 _x000d__x000a_\u9668\'3f}{\rtlch\fcs1 \af0 \ltrch\fcs0 \insrsid11411513\charrsid6185105 #}{\rtlch\fcs1 \af1 \ltrch\fcs0 \cs18\v\f1\fs20\cf15\insrsid11411513\charrsid6185105 TVTRESPART@RESPART@}{\rtlch\fcs1 \af0 \ltrch\fcs0 \insrsid11411513\charrsid6185105 #}{_x000d__x000a_\rtlch\fcs1 \af0 \ltrch\fcs0 \cf10\insrsid11411513\charrsid6185105 \u9658\'3f}{\rtlch\fcs1 \af0 \ltrch\fcs0 \cs17\b0\v\fs20\cf9\lang1024\langfe1024\loch\af1\hich\af1\dbch\af31501\noproof\insrsid11411513\charrsid6185105 \hich\af1\dbch\af31501\loch\f1 _x000d__x000a_&lt;/Article&gt;}{\rtlch\fcs1 \af0 \ltrch\fcs0 \insrsid11411513\charrsid6185105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1411513\charrsid6185105 \cell }\pard\plain \ltrpar\ql \li0\ri0\widctlpar\intbl\wrapdefault\aspalpha\aspnum\faauto\adjustright\rin0\lin0 \rtlch\fcs1 _x000d__x000a_\af0\afs20\alang1025 \ltrch\fcs0 \fs24\lang2057\langfe2057\cgrid\langnp2057\langfenp2057 {\rtlch\fcs1 \af0 \ltrch\fcs0 \insrsid11411513\charrsid6185105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1411513\charrsid6185105 Draft legislative resolution\cell Amendment\cell }\pard\plain \ltrpar\ql \li0\ri0\widctlpar\intbl\wrapdefault\aspalpha\aspnum\faauto\adjustright\rin0\lin0 \rtlch\fcs1 \af0\afs20\alang1025 _x000d__x000a_\ltrch\fcs0 \fs24\lang2057\langfe2057\cgrid\langnp2057\langfenp2057 {\rtlch\fcs1 \af0 \ltrch\fcs0 \insrsid11411513\charrsid6185105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1411513\charrsid6185105 ##\cell ##}{\rtlch\fcs1 \af0\afs24 \ltrch\fcs0 \insrsid11411513\charrsid6185105 \cell }\pard\plain \ltrpar\ql \li0\ri0\widctlpar\intbl\wrapdefault\aspalpha\aspnum\faauto\adjustright\rin0\lin0 \rtlch\fcs1 _x000d__x000a_\af0\afs20\alang1025 \ltrch\fcs0 \fs24\lang2057\langfe2057\cgrid\langnp2057\langfenp2057 {\rtlch\fcs1 \af0 \ltrch\fcs0 \insrsid11411513\charrsid6185105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1411513 \rtlch\fcs1 \af0\afs20\alang1025 \ltrch\fcs0 \fs24\lang2057\langfe2057\cgrid\langnp2057\langfenp2057 {\rtlch\fcs1 \af0 \ltrch\fcs0 _x000d__x000a_\insrsid11411513\charrsid6185105 Or. }{\rtlch\fcs1 \af0 \ltrch\fcs0 \cs17\v\fs20\cf9\lang1024\langfe1024\loch\af1\hich\af1\dbch\af31501\noproof\insrsid11411513\charrsid6185105 \hich\af1\dbch\af31501\loch\f1 &lt;Original&gt;}{\rtlch\fcs1 \af0 \ltrch\fcs0 _x000d__x000a_\insrsid11411513\charrsid6185105 #}{\rtlch\fcs1 \af1 \ltrch\fcs0 \cs18\v\f1\fs20\cf15\insrsid11411513\charrsid6185105 KEY(MAIN/LANGMIN)sh@ORLANGMSG@}{\rtlch\fcs1 \af0 \ltrch\fcs0 \insrsid11411513\charrsid6185105 #}{\rtlch\fcs1 \af0 \ltrch\fcs0 _x000d__x000a_\cs17\v\fs20\cf9\lang1024\langfe1024\loch\af1\hich\af1\dbch\af31501\noproof\insrsid11411513\charrsid6185105 \hich\af1\dbch\af31501\loch\f1 &lt;/Original&gt;}{\rtlch\fcs1 \af0 \ltrch\fcs0 \insrsid11411513\charrsid6185105 _x000d__x000a_\par }\pard\plain \ltrpar\ql \li0\ri0\widctlpar\wrapdefault\aspalpha\aspnum\faauto\adjustright\rin0\lin0\itap0\pararsid11411513 \rtlch\fcs1 \af0\afs20\alang1025 \ltrch\fcs0 \fs24\lang2057\langfe2057\cgrid\langnp2057\langfenp2057 {\rtlch\fcs1 \af0 \ltrch\fcs0 _x000d__x000a_\cs17\v\fs20\cf9\lang1024\langfe1024\loch\af1\hich\af1\dbch\af31501\noproof\insrsid11411513\charrsid6185105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78_x000d__x000a_e98f4a21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5\fbidi \froman\fcharset238\fprq2 Times New Roman CE;}{\f326\fbidi \froman\fcharset204\fprq2 Times New Roman Cyr;}_x000d__x000a_{\f328\fbidi \froman\fcharset161\fprq2 Times New Roman Greek;}{\f329\fbidi \froman\fcharset162\fprq2 Times New Roman Tur;}{\f330\fbidi \froman\fcharset177\fprq2 Times New Roman (Hebrew);}{\f331\fbidi \froman\fcharset178\fprq2 Times New Roman (Arabic);}_x000d__x000a_{\f332\fbidi \froman\fcharset186\fprq2 Times New Roman Baltic;}{\f333\fbidi \froman\fcharset163\fprq2 Times New Roman (Vietnamese);}{\f335\fbidi \fswiss\fcharset238\fprq2 Arial CE;}{\f336\fbidi \fswiss\fcharset204\fprq2 Arial Cyr;}_x000d__x000a_{\f338\fbidi \fswiss\fcharset161\fprq2 Arial Greek;}{\f339\fbidi \fswiss\fcharset162\fprq2 Arial Tur;}{\f340\fbidi \fswiss\fcharset177\fprq2 Arial (Hebrew);}{\f341\fbidi \fswiss\fcharset178\fprq2 Arial (Arabic);}_x000d__x000a_{\f342\fbidi \fswiss\fcharset186\fprq2 Arial Baltic;}{\f343\fbidi \fswiss\fcharset163\fprq2 Arial (Vietnamese);}{\f665\fbidi \froman\fcharset238\fprq2 Cambria Math CE;}{\f666\fbidi \froman\fcharset204\fprq2 Cambria Math Cyr;}_x000d__x000a_{\f668\fbidi \froman\fcharset161\fprq2 Cambria Math Greek;}{\f669\fbidi \froman\fcharset162\fprq2 Cambria Math Tur;}{\f672\fbidi \froman\fcharset186\fprq2 Cambria Math Baltic;}{\f67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855872 HideTWBExt;}{\*\cs18 \additive \v\f1\fs20\cf15 _x000d__x000a_\spriority0 \styrsid8855872 HideTWBInt;}{\s19\ql \li0\ri0\sa120\nowidctlpar\wrapdefault\aspalpha\aspnum\faauto\adjustright\rin0\lin0\itap0 \rtlch\fcs1 \af0\afs20\alang1025 \ltrch\fcs0 \fs24\lang2057\langfe2057\cgrid\langnp2057\langfenp2057 _x000d__x000a_\sbasedon0 \snext19 \spriority0 \styrsid8855872 Normal6a;}{\s20\ql \li0\ri0\nowidctlpar\wrapdefault\aspalpha\aspnum\faauto\adjustright\rin0\lin0\itap0 \rtlch\fcs1 \af0\afs20\alang1025 \ltrch\fcs0 \b\fs24\lang2057\langfe2057\cgrid\langnp2057\langfenp2057 _x000d__x000a_\sbasedon0 \snext20 \spriority0 \styrsid8855872 NormalBold;}{\s21\ql \li0\ri0\sa240\nowidctlpar\wrapdefault\aspalpha\aspnum\faauto\adjustright\rin0\lin0\itap0 \rtlch\fcs1 \af0\afs20\alang1025 \ltrch\fcs0 _x000d__x000a_\i\fs24\lang2057\langfe2057\cgrid\langnp2057\langfenp2057 \sbasedon0 \snext21 \spriority0 \styrsid8855872 AmJustText;}{\s22\qc \li0\ri0\sb240\sa240\nowidctlpar\wrapdefault\aspalpha\aspnum\faauto\adjustright\rin0\lin0\itap0 \rtlch\fcs1 _x000d__x000a_\af0\afs20\alang1025 \ltrch\fcs0 \i\fs24\lang2057\langfe2057\cgrid\langnp2057\langfenp2057 \sbasedon0 \snext22 \spriority0 \styrsid8855872 AmCrossRef;}{_x000d__x000a_\s23\qc \li0\ri0\sb240\sa240\keepn\nowidctlpar\wrapdefault\aspalpha\aspnum\faauto\adjustright\rin0\lin0\itap0 \rtlch\fcs1 \af0\afs20\alang1025 \ltrch\fcs0 \i\fs24\lang2057\langfe2057\cgrid\langnp2057\langfenp2057 _x000d__x000a_\sbasedon0 \snext21 \spriority0 \styrsid8855872 AmJustTitle;}{\s24\qr \li0\ri0\sb240\sa240\nowidctlpar\wrapdefault\aspalpha\aspnum\faauto\adjustright\rin0\lin0\itap0 \rtlch\fcs1 \af0\afs20\alang1025 \ltrch\fcs0 _x000d__x000a_\fs24\lang2057\langfe2057\cgrid\langnp2057\langfenp2057 \sbasedon0 \snext24 \spriority0 \styrsid8855872 AmOrLang;}{\s25\qc \li0\ri0\sa240\nowidctlpar\wrapdefault\aspalpha\aspnum\faauto\adjustright\rin0\lin0\itap0 \rtlch\fcs1 \af0\afs20\alang1025 _x000d__x000a_\ltrch\fcs0 \i\fs24\lang2057\langfe2057\cgrid\langnp2057\langfenp2057 \sbasedon0 \snext25 \spriority0 \styrsid885587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855872 AmNumberTabs;}}{\*\rsidtbl \rsid24658\rsid223860\rsid735077\rsid1718133\rsid2892074\rsid3565327\rsid4666813\rsid6641733\rsid7823322_x000d__x000a_\rsid8855872\rsid9636012\rsid10377208\rsid11215221\rsid11549030\rsid12154954\rsid12856302\rsid14382809\rsid14424199\rsid15204470\rsid15285974\rsid15950462\rsid16324206\rsid16662270}{\mmathPr\mmathFont34\mbrkBin0\mbrkBinSub0\msmallFrac0\mdispDef1\mlMargin0_x000d__x000a_\mrMargin0\mdefJc1\mwrapIndent1440\mintLim0\mnaryLim1}{\info{\author WYSOKINSKA Halina}{\operator WYSOKINSKA Halina}{\creatim\yr2023\mo11\dy27\hr16\min58}{\revtim\yr2023\mo11\dy27\hr16\min58}{\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855872\newtblstyruls\nogrowautofit\usenormstyforlist\noindnmbrts\felnbrelev\nocxsptable\indrlsweleven\noafcnsttbl\afelev\utinl\hwelev\spltpgpar\notcvasp\notbrkcnstfrctbl\notvatxbx\krnprsnet\cachedcolbal _x000d__x000a_\nouicompat \fet0{\*\wgrffmtfilter 013f}\nofeaturethrottle1\ilfomacatclnup0{\*\template C:\\Users\\HWYSOK~1\\AppData\\Local\\Temp\\Blank1.dotx}{\*\ftnsep \ltrpar \pard\plain \ltrpar_x000d__x000a_\ql \li0\ri0\widctlpar\wrapdefault\aspalpha\aspnum\faauto\adjustright\rin0\lin0\itap0 \rtlch\fcs1 \af0\afs20\alang1025 \ltrch\fcs0 \fs24\lang2057\langfe2057\cgrid\langnp2057\langfenp2057 {\rtlch\fcs1 \af0 \ltrch\fcs0 \insrsid12856302 \chftnsep _x000d__x000a_\par }}{\*\ftnsepc \ltrpar \pard\plain \ltrpar\ql \li0\ri0\widctlpar\wrapdefault\aspalpha\aspnum\faauto\adjustright\rin0\lin0\itap0 \rtlch\fcs1 \af0\afs20\alang1025 \ltrch\fcs0 \fs24\lang2057\langfe2057\cgrid\langnp2057\langfenp2057 {\rtlch\fcs1 \af0 _x000d__x000a_\ltrch\fcs0 \insrsid12856302 \chftnsepc _x000d__x000a_\par }}{\*\aftnsep \ltrpar \pard\plain \ltrpar\ql \li0\ri0\widctlpar\wrapdefault\aspalpha\aspnum\faauto\adjustright\rin0\lin0\itap0 \rtlch\fcs1 \af0\afs20\alang1025 \ltrch\fcs0 \fs24\lang2057\langfe2057\cgrid\langnp2057\langfenp2057 {\rtlch\fcs1 \af0 _x000d__x000a_\ltrch\fcs0 \insrsid12856302 \chftnsep _x000d__x000a_\par }}{\*\aftnsepc \ltrpar \pard\plain \ltrpar\ql \li0\ri0\widctlpar\wrapdefault\aspalpha\aspnum\faauto\adjustright\rin0\lin0\itap0 \rtlch\fcs1 \af0\afs20\alang1025 \ltrch\fcs0 \fs24\lang2057\langfe2057\cgrid\langnp2057\langfenp2057 {\rtlch\fcs1 \af0 _x000d__x000a_\ltrch\fcs0 \insrsid128563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855872 \rtlch\fcs1 _x000d__x000a_\af0\afs20\alang1025 \ltrch\fcs0 \b\fs24\lang2057\langfe2057\cgrid\langnp2057\langfenp2057 {\rtlch\fcs1 \af0 \ltrch\fcs0 \cs17\b0\v\fs20\cf9\lang1024\langfe1024\loch\af1\hich\af1\dbch\af31501\noproof\insrsid8855872\charrsid6185105 {\*\bkmkstart restartB}_x000d__x000a_\hich\af1\dbch\af31501\loch\f1 &lt;AmendB&gt;}{\rtlch\fcs1 \af0 \ltrch\fcs0 \insrsid8855872\charrsid6185105 Amendment\tab \tab }{\rtlch\fcs1 \af0 \ltrch\fcs0 _x000d__x000a_\cs17\b0\v\fs20\cf9\lang1024\langfe1024\loch\af1\hich\af1\dbch\af31501\noproof\insrsid8855872\charrsid6185105 \hich\af1\dbch\af31501\loch\f1 &lt;NumAmB&gt;}{\rtlch\fcs1 \af0 \ltrch\fcs0 \insrsid8855872\charrsid6185105 #}{\rtlch\fcs1 \af1 \ltrch\fcs0 _x000d__x000a_\cs18\v\f1\fs20\cf15\insrsid8855872\charrsid6185105 ENMIENDA@NRAM@}{\rtlch\fcs1 \af0 \ltrch\fcs0 \insrsid8855872\charrsid6185105 #}{\rtlch\fcs1 \af0 \ltrch\fcs0 _x000d__x000a_\cs17\b0\v\fs20\cf9\lang1024\langfe1024\loch\af1\hich\af1\dbch\af31501\noproof\insrsid8855872\charrsid6185105 \hich\af1\dbch\af31501\loch\f1 &lt;/NumAmB&gt;}{\rtlch\fcs1 \af0 \ltrch\fcs0 \insrsid8855872\charrsid6185105 _x000d__x000a_\par }\pard\plain \ltrpar\s20\ql \li0\ri0\nowidctlpar\wrapdefault\aspalpha\aspnum\faauto\adjustright\rin0\lin0\itap0\pararsid8855872 \rtlch\fcs1 \af0\afs20\alang1025 \ltrch\fcs0 \b\fs24\lang2057\langfe2057\cgrid\langnp2057\langfenp2057 {\rtlch\fcs1 \af0 _x000d__x000a_\ltrch\fcs0 \cs17\b0\v\fs20\cf9\lang1024\langfe1024\loch\af1\hich\af1\dbch\af31501\noproof\insrsid8855872\charrsid6185105 \hich\af1\dbch\af31501\loch\f1 &lt;RepeatBlock-By&gt;}{\rtlch\fcs1 \af0 \ltrch\fcs0 \insrsid8855872\charrsid6185105 #}{\rtlch\fcs1 \af1 _x000d__x000a_\ltrch\fcs0 \cs18\v\f1\fs20\cf15\insrsid8855872\charrsid6185105 (MOD@InsideLoop()}{\rtlch\fcs1 \af0 \ltrch\fcs0 \insrsid8855872\charrsid6185105 ##}{\rtlch\fcs1 \af1 \ltrch\fcs0 \cs18\v\f1\fs20\cf15\insrsid8855872\charrsid6185105 &gt;&gt;&gt;@[ZMEMBERSMSG]@}{_x000d__x000a_\rtlch\fcs1 \af0 \ltrch\fcs0 \insrsid8855872\charrsid6185105 #}{\rtlch\fcs1 \af0 \ltrch\fcs0 \cs17\b0\v\fs20\cf9\lang1024\langfe1024\loch\af1\hich\af1\dbch\af31501\noproof\insrsid8855872\charrsid6185105 \hich\af1\dbch\af31501\loch\f1 &lt;Members&gt;}{_x000d__x000a_\rtlch\fcs1 \af0 \ltrch\fcs0 \insrsid8855872\charrsid6185105 #}{\rtlch\fcs1 \af1 \ltrch\fcs0 \cs18\v\f1\fs20\cf15\insrsid8855872\charrsid6185105 (MOD@InsideLoop(\'a7)}{\rtlch\fcs1 \af0 \ltrch\fcs0 \insrsid8855872\charrsid6185105 #}{\rtlch\fcs1 \af0 _x000d__x000a_\ltrch\fcs0 \cf10\insrsid8855872\charrsid6185105 \u9668\'3f}{\rtlch\fcs1 \af0 \ltrch\fcs0 \insrsid8855872\charrsid6185105 #}{\rtlch\fcs1 \af1 \ltrch\fcs0 \cs18\v\f1\fs20\cf15\insrsid8855872\charrsid6185105 TVTMEMBERS\'a7@MEMBERS@}{\rtlch\fcs1 \af0 _x000d__x000a_\ltrch\fcs0 \insrsid8855872\charrsid6185105 #}{\rtlch\fcs1 \af0 \ltrch\fcs0 \cf10\insrsid8855872\charrsid6185105 \u9658\'3f}{\rtlch\fcs1 \af0 \ltrch\fcs0 _x000d__x000a_\cs17\b0\v\fs20\cf9\lang1024\langfe1024\loch\af1\hich\af1\dbch\af31501\noproof\insrsid8855872\charrsid6185105 \hich\af1\dbch\af31501\loch\f1 &lt;/Members&gt;}{\rtlch\fcs1 \af0 \ltrch\fcs0 \insrsid8855872\charrsid6185105 _x000d__x000a_\par }\pard\plain \ltrpar\ql \li0\ri0\widctlpar\wrapdefault\aspalpha\aspnum\faauto\adjustright\rin0\lin0\itap0\pararsid8855872 \rtlch\fcs1 \af0\afs20\alang1025 \ltrch\fcs0 \fs24\lang2057\langfe2057\cgrid\langnp2057\langfenp2057 {\rtlch\fcs1 \af0 \ltrch\fcs0 _x000d__x000a_\cs17\v\fs20\cf9\lang1024\langfe1024\loch\af1\hich\af1\dbch\af31501\noproof\insrsid8855872\charrsid6185105 \hich\af1\dbch\af31501\loch\f1 &lt;AuNomDe&gt;&lt;OptDel&gt;}{\rtlch\fcs1 \af0 \ltrch\fcs0 \insrsid8855872\charrsid6185105 #}{\rtlch\fcs1 \af1 \ltrch\fcs0 _x000d__x000a_\cs18\v\f1\fs20\cf15\insrsid8855872\charrsid6185105 MNU[ONBEHALFYES][NOTAPP]@CHOICE@}{\rtlch\fcs1 \af0 \ltrch\fcs0 \insrsid8855872\charrsid6185105 #}{\rtlch\fcs1 \af0 \ltrch\fcs0 _x000d__x000a_\cs17\v\fs20\cf9\lang1024\langfe1024\loch\af1\hich\af1\dbch\af31501\noproof\insrsid8855872\charrsid6185105 \hich\af1\dbch\af31501\loch\f1 &lt;/OptDel&gt;&lt;/AuNomDe&gt;}{\rtlch\fcs1 \af0 \ltrch\fcs0 \insrsid8855872\charrsid6185105 _x000d__x000a_\par &lt;&lt;&lt;}{\rtlch\fcs1 \af0 \ltrch\fcs0 \cs17\v\fs20\cf9\lang1024\langfe1024\loch\af1\hich\af1\dbch\af31501\noproof\insrsid8855872\charrsid6185105 \hich\af1\dbch\af31501\loch\f1 &lt;/RepeatBlock-By&gt;}{\rtlch\fcs1 \af0 \ltrch\fcs0 \insrsid8855872\charrsid6185105 _x000d__x000a__x000d__x000a_\par }\pard\plain \ltrpar\s20\ql \li0\ri0\nowidctlpar\wrapdefault\aspalpha\aspnum\faauto\adjustright\rin0\lin0\itap0\pararsid8855872 \rtlch\fcs1 \af0\afs20\alang1025 \ltrch\fcs0 \b\fs24\lang2057\langfe2057\cgrid\langnp2057\langfenp2057 {\rtlch\fcs1 \af0 _x000d__x000a_\ltrch\fcs0 \cs17\b0\v\fs20\cf9\lang1024\langfe1024\loch\af1\hich\af1\dbch\af31501\noproof\insrsid8855872\charrsid6185105 \hich\af1\dbch\af31501\loch\f1 &lt;DocAmend&gt;}{\rtlch\fcs1 \af0 \ltrch\fcs0 \insrsid8855872\charrsid6185105 #}{\rtlch\fcs1 \af1 _x000d__x000a_\ltrch\fcs0 \cs18\v\f1\fs20\cf15\insrsid8855872\charrsid6185105 MNU[OPTPROPOSALCOD][OPTPROPOSALCNS][OPTPROPOSALNLE]@CHOICE@CODEMNU}{\rtlch\fcs1 \af0 \ltrch\fcs0 \insrsid8855872\charrsid6185105 #}{\rtlch\fcs1 \af0 \ltrch\fcs0 _x000d__x000a_\cs17\b0\v\fs20\cf9\lang1024\langfe1024\loch\af1\hich\af1\dbch\af31501\noproof\insrsid8855872\charrsid6185105 \hich\af1\dbch\af31501\loch\f1 &lt;/DocAmend&gt;}{\rtlch\fcs1 \af0 \ltrch\fcs0 \insrsid8855872\charrsid6185105 _x000d__x000a_\par }\pard \ltrpar\s20\ql \li0\ri0\keepn\nowidctlpar\wrapdefault\aspalpha\aspnum\faauto\adjustright\rin0\lin0\itap0\pararsid8855872 {\rtlch\fcs1 \af0 \ltrch\fcs0 _x000d__x000a_\cs17\b0\v\fs20\cf9\lang1024\langfe1024\loch\af1\hich\af1\dbch\af31501\noproof\insrsid8855872\charrsid6185105 \hich\af1\dbch\af31501\loch\f1 &lt;Article&gt;}{\rtlch\fcs1 \af0 \ltrch\fcs0 \insrsid8855872\charrsid6185105 #}{\rtlch\fcs1 \af1 \ltrch\fcs0 _x000d__x000a_\cs18\v\f1\fs20\cf15\insrsid8855872\charrsid6185105 MNU[AMACTPARTYES][AMACTPARTNO]@CHOICE@AMACTMNU}{\rtlch\fcs1 \af0 \ltrch\fcs0 \insrsid8855872\charrsid6185105 #}{\rtlch\fcs1 \af0 \ltrch\fcs0 _x000d__x000a_\cs17\b0\v\fs20\cf9\lang1024\langfe1024\loch\af1\hich\af1\dbch\af31501\noproof\insrsid8855872\charrsid6185105 \hich\af1\dbch\af31501\loch\f1 &lt;/Article&gt;}{\rtlch\fcs1 \af0 \ltrch\fcs0 \insrsid8855872\charrsid6185105 _x000d__x000a_\par }\pard\plain \ltrpar\ql \li0\ri0\keepn\widctlpar\wrapdefault\aspalpha\aspnum\faauto\adjustright\rin0\lin0\itap0\pararsid8855872 \rtlch\fcs1 \af0\afs20\alang1025 \ltrch\fcs0 \fs24\lang2057\langfe2057\cgrid\langnp2057\langfenp2057 {\rtlch\fcs1 \af0 _x000d__x000a_\ltrch\fcs0 \cs17\v\fs20\cf9\lang1024\langfe1024\loch\af1\hich\af1\dbch\af31501\noproof\insrsid8855872\charrsid6185105 \hich\af1\dbch\af31501\loch\f1 &lt;DocAmend2&gt;&lt;OptDel&gt;}{\rtlch\fcs1 \af0 \ltrch\fcs0 \insrsid8855872\charrsid6185105 #}{\rtlch\fcs1 \af1 _x000d__x000a_\ltrch\fcs0 \cs18\v\f1\fs20\cf15\insrsid8855872\charrsid6185105 MNU[OPTNRACTYES][NOTAPP]@CHOICE@AMACTMNU}{\rtlch\fcs1 \af0 \ltrch\fcs0 \insrsid8855872\charrsid6185105 #}{\rtlch\fcs1 \af0 \ltrch\fcs0 _x000d__x000a_\cs17\v\fs20\cf9\lang1024\langfe1024\loch\af1\hich\af1\dbch\af31501\noproof\insrsid8855872\charrsid6185105 \hich\af1\dbch\af31501\loch\f1 &lt;/OptDel&gt;&lt;/DocAmend2&gt;}{\rtlch\fcs1 \af0 \ltrch\fcs0 \insrsid8855872\charrsid6185105 _x000d__x000a_\par }\pard \ltrpar\ql \li0\ri0\widctlpar\wrapdefault\aspalpha\aspnum\faauto\adjustright\rin0\lin0\itap0\pararsid8855872 {\rtlch\fcs1 \af0 \ltrch\fcs0 \cs17\v\fs20\cf9\lang1024\langfe1024\loch\af1\hich\af1\dbch\af31501\noproof\insrsid8855872\charrsid6185105 _x000d__x000a_\hich\af1\dbch\af31501\loch\f1 &lt;Article2&gt;&lt;OptDel&gt;}{\rtlch\fcs1 \af0 \ltrch\fcs0 \insrsid8855872\charrsid6185105 #}{\rtlch\fcs1 \af1 \ltrch\fcs0 \cs18\v\f1\fs20\cf15\insrsid8855872\charrsid6185105 MNU[OPTACTPARTYES][NOTAPP]@CHOICE@AMACTMNU}{\rtlch\fcs1 _x000d__x000a_\af0 \ltrch\fcs0 \insrsid8855872\charrsid6185105 #}{\rtlch\fcs1 \af0 \ltrch\fcs0 \cs17\v\fs20\cf9\lang1024\langfe1024\loch\af1\hich\af1\dbch\af31501\noproof\insrsid8855872\charrsid6185105 \hich\af1\dbch\af31501\loch\f1 &lt;/OptDel&gt;&lt;/Article2&gt;}{\rtlch\fcs1 _x000d__x000a_\af0 \ltrch\fcs0 \insrsid8855872\charrsid6185105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8855872\charrsid6185105 \cell }\pard\plain \ltrpar\ql \li0\ri0\widctlpar\intbl\wrapdefault\aspalpha\aspnum\faauto\adjustright\rin0\lin0 \rtlch\fcs1 _x000d__x000a_\af0\afs20\alang1025 \ltrch\fcs0 \fs24\lang2057\langfe2057\cgrid\langnp2057\langfenp2057 {\rtlch\fcs1 \af0 \ltrch\fcs0 \insrsid8855872\charrsid6185105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8855872\charrsid6185105 #}{\rtlch\fcs1 \af1 \ltrch\fcs0 \cs18\v\f1\fs20\cf15\insrsid8855872\charrsid6185105 MNU[OPTLEFTAMACT][LEFTPROP]@CHOICE@AMACTMNU}{_x000d__x000a_\rtlch\fcs1 \af0 \ltrch\fcs0 \insrsid8855872\charrsid6185105 #\cell Amendment\cell }\pard\plain \ltrpar\ql \li0\ri0\widctlpar\intbl\wrapdefault\aspalpha\aspnum\faauto\adjustright\rin0\lin0 \rtlch\fcs1 \af0\afs20\alang1025 \ltrch\fcs0 _x000d__x000a_\fs24\lang2057\langfe2057\cgrid\langnp2057\langfenp2057 {\rtlch\fcs1 \af0 \ltrch\fcs0 \insrsid8855872\charrsid6185105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8855872\charrsid6185105 ##\cell ##}{\rtlch\fcs1 \af0\afs24 \ltrch\fcs0 \insrsid8855872\charrsid6185105 \cell }\pard\plain \ltrpar\ql \li0\ri0\widctlpar\intbl\wrapdefault\aspalpha\aspnum\faauto\adjustright\rin0\lin0 \rtlch\fcs1 _x000d__x000a_\af0\afs20\alang1025 \ltrch\fcs0 \fs24\lang2057\langfe2057\cgrid\langnp2057\langfenp2057 {\rtlch\fcs1 \af0 \ltrch\fcs0 \insrsid8855872\charrsid6185105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855872 \rtlch\fcs1 \af0\afs20\alang1025 \ltrch\fcs0 \fs24\lang2057\langfe2057\cgrid\langnp2057\langfenp2057 {\rtlch\fcs1 \af0 \ltrch\fcs0 _x000d__x000a_\insrsid8855872\charrsid6185105 Or. }{\rtlch\fcs1 \af0 \ltrch\fcs0 \cs17\v\fs20\cf9\lang1024\langfe1024\loch\af1\hich\af1\dbch\af31501\noproof\insrsid8855872\charrsid6185105 \hich\af1\dbch\af31501\loch\f1 &lt;Original&gt;}{\rtlch\fcs1 \af0 \ltrch\fcs0 _x000d__x000a_\insrsid8855872\charrsid6185105 #}{\rtlch\fcs1 \af1 \ltrch\fcs0 \cs18\v\f1\fs20\cf15\insrsid8855872\charrsid6185105 KEY(MAIN/LANGMIN)sh@ORLANGMSG@}{\rtlch\fcs1 \af0 \ltrch\fcs0 \insrsid8855872\charrsid6185105 #}{\rtlch\fcs1 \af0 \ltrch\fcs0 _x000d__x000a_\cs17\v\fs20\cf9\lang1024\langfe1024\loch\af1\hich\af1\dbch\af31501\noproof\insrsid8855872\charrsid6185105 \hich\af1\dbch\af31501\loch\f1 &lt;/Original&gt;}{\rtlch\fcs1 \af0 \ltrch\fcs0 \insrsid8855872\charrsid6185105 _x000d__x000a_\par }\pard\plain \ltrpar\s22\qc \li0\ri0\sb240\sa240\nowidctlpar\wrapdefault\aspalpha\aspnum\faauto\adjustright\rin0\lin0\itap0\pararsid8855872 \rtlch\fcs1 \af0\afs20\alang1025 \ltrch\fcs0 \i\fs24\lang2057\langfe2057\cgrid\langnp2057\langfenp2057 {_x000d__x000a_\rtlch\fcs1 \af0 \ltrch\fcs0 \cs17\i0\v\fs20\cf9\lang1024\langfe1024\loch\af1\hich\af1\dbch\af31501\noproof\insrsid8855872\charrsid6185105 \hich\af1\dbch\af31501\loch\f1 &lt;OptDel&gt;}{\rtlch\fcs1 \af0 \ltrch\fcs0 \insrsid8855872\charrsid6185105 #}{_x000d__x000a_\rtlch\fcs1 \af1 \ltrch\fcs0 \cs18\v\f1\fs20\cf15\insrsid8855872\charrsid6185105 MNU[CROSSREFNO][CROSSREFYES]@CHOICE@}{\rtlch\fcs1 \af0 \ltrch\fcs0 \insrsid8855872\charrsid6185105 #}{\rtlch\fcs1 \af0 \ltrch\fcs0 _x000d__x000a_\cs17\i0\v\fs20\cf9\lang1024\langfe1024\loch\af1\hich\af1\dbch\af31501\noproof\insrsid8855872\charrsid6185105 \hich\af1\dbch\af31501\loch\f1 &lt;/OptDel&gt;}{\rtlch\fcs1 \af0 \ltrch\fcs0 \insrsid8855872\charrsid6185105 _x000d__x000a_\par }\pard\plain \ltrpar\s23\qc \li0\ri0\sb240\sa240\keepn\nowidctlpar\wrapdefault\aspalpha\aspnum\faauto\adjustright\rin0\lin0\itap0\pararsid8855872 \rtlch\fcs1 \af0\afs20\alang1025 \ltrch\fcs0 \i\fs24\lang2057\langfe2057\cgrid\langnp2057\langfenp2057 {_x000d__x000a_\rtlch\fcs1 \af0 \ltrch\fcs0 \cs17\i0\v\fs20\cf9\lang1024\langfe1024\loch\af1\hich\af1\dbch\af31501\noproof\insrsid8855872\charrsid6185105 \hich\af1\dbch\af31501\loch\f1 &lt;TitreJust&gt;}{\rtlch\fcs1 \af0 \ltrch\fcs0 \insrsid8855872\charrsid6185105 _x000d__x000a_Justification}{\rtlch\fcs1 \af0 \ltrch\fcs0 \cs17\i0\v\fs20\cf9\lang1024\langfe1024\loch\af1\hich\af1\dbch\af31501\noproof\insrsid8855872\charrsid6185105 \hich\af1\dbch\af31501\loch\f1 &lt;/TitreJust&gt;}{\rtlch\fcs1 \af0 \ltrch\fcs0 _x000d__x000a_\insrsid8855872\charrsid6185105 _x000d__x000a_\par }\pard\plain \ltrpar\s21\ql \li0\ri0\sa240\nowidctlpar\wrapdefault\aspalpha\aspnum\faauto\adjustright\rin0\lin0\itap0\pararsid8855872 \rtlch\fcs1 \af0\afs20\alang1025 \ltrch\fcs0 \i\fs24\lang2057\langfe2057\cgrid\langnp2057\langfenp2057 {\rtlch\fcs1 \af0 _x000d__x000a_\ltrch\fcs0 \cs17\i0\v\fs20\cf9\lang1024\langfe1024\loch\af1\hich\af1\dbch\af31501\noproof\insrsid8855872\charrsid6185105 \hich\af1\dbch\af31501\loch\f1 &lt;OptDelPrev&gt;}{\rtlch\fcs1 \af0 \ltrch\fcs0 \insrsid8855872\charrsid6185105 #}{\rtlch\fcs1 \af1 _x000d__x000a_\ltrch\fcs0 \cs18\v\f1\fs20\cf15\insrsid8855872\charrsid6185105 MNU[TEXTJUSTYES][TEXTJUSTNO]@CHOICE@}{\rtlch\fcs1 \af0 \ltrch\fcs0 \insrsid8855872\charrsid6185105 #}{\rtlch\fcs1 \af0 \ltrch\fcs0 _x000d__x000a_\cs17\i0\v\fs20\cf9\lang1024\langfe1024\loch\af1\hich\af1\dbch\af31501\noproof\insrsid8855872\charrsid6185105 \hich\af1\dbch\af31501\loch\f1 &lt;/OptDelPrev&gt;}{\rtlch\fcs1 \af0 \ltrch\fcs0 \insrsid8855872\charrsid6185105 _x000d__x000a_\par }\pard\plain \ltrpar\ql \li0\ri0\widctlpar\wrapdefault\aspalpha\aspnum\faauto\adjustright\rin0\lin0\itap0\pararsid8855872 \rtlch\fcs1 \af0\afs20\alang1025 \ltrch\fcs0 \fs24\lang2057\langfe2057\cgrid\langnp2057\langfenp2057 {\rtlch\fcs1 \af0 \ltrch\fcs0 _x000d__x000a_\cs17\v\fs20\cf9\lang1024\langfe1024\loch\af1\hich\af1\dbch\af31501\noproof\insrsid8855872\charrsid6185105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d0_x000d__x000a_6a964a21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5\fbidi \froman\fcharset238\fprq2 Times New Roman CE;}{\f326\fbidi \froman\fcharset204\fprq2 Times New Roman Cyr;}_x000d__x000a_{\f328\fbidi \froman\fcharset161\fprq2 Times New Roman Greek;}{\f329\fbidi \froman\fcharset162\fprq2 Times New Roman Tur;}{\f330\fbidi \froman\fcharset177\fprq2 Times New Roman (Hebrew);}{\f331\fbidi \froman\fcharset178\fprq2 Times New Roman (Arabic);}_x000d__x000a_{\f332\fbidi \froman\fcharset186\fprq2 Times New Roman Baltic;}{\f333\fbidi \froman\fcharset163\fprq2 Times New Roman (Vietnamese);}{\f335\fbidi \fswiss\fcharset238\fprq2 Arial CE;}{\f336\fbidi \fswiss\fcharset204\fprq2 Arial Cyr;}_x000d__x000a_{\f338\fbidi \fswiss\fcharset161\fprq2 Arial Greek;}{\f339\fbidi \fswiss\fcharset162\fprq2 Arial Tur;}{\f340\fbidi \fswiss\fcharset177\fprq2 Arial (Hebrew);}{\f341\fbidi \fswiss\fcharset178\fprq2 Arial (Arabic);}_x000d__x000a_{\f342\fbidi \fswiss\fcharset186\fprq2 Arial Baltic;}{\f343\fbidi \fswiss\fcharset163\fprq2 Arial (Vietnamese);}{\f665\fbidi \froman\fcharset238\fprq2 Cambria Math CE;}{\f666\fbidi \froman\fcharset204\fprq2 Cambria Math Cyr;}_x000d__x000a_{\f668\fbidi \froman\fcharset161\fprq2 Cambria Math Greek;}{\f669\fbidi \froman\fcharset162\fprq2 Cambria Math Tur;}{\f672\fbidi \froman\fcharset186\fprq2 Cambria Math Baltic;}{\f67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208449 HideTWBExt;}{\*\cs18 \additive \v\f1\fs20\cf15 _x000d__x000a_\spriority0 \styrsid12208449 HideTWBInt;}{\s19\ql \li0\ri0\sa120\nowidctlpar\wrapdefault\aspalpha\aspnum\faauto\adjustright\rin0\lin0\itap0 \rtlch\fcs1 \af0\afs20\alang1025 \ltrch\fcs0 \fs24\lang2057\langfe2057\cgrid\langnp2057\langfenp2057 _x000d__x000a_\sbasedon0 \snext19 \spriority0 \styrsid12208449 Normal6a;}{\s20\ql \li0\ri0\nowidctlpar\wrapdefault\aspalpha\aspnum\faauto\adjustright\rin0\lin0\itap0 \rtlch\fcs1 \af0\afs20\alang1025 \ltrch\fcs0 \b\fs24\lang2057\langfe2057\cgrid\langnp2057\langfenp2057 _x000d__x000a_\sbasedon0 \snext20 \spriority0 \styrsid12208449 NormalBold;}{\s21\ql \li0\ri0\sa240\nowidctlpar\wrapdefault\aspalpha\aspnum\faauto\adjustright\rin0\lin0\itap0 \rtlch\fcs1 \af0\afs20\alang1025 \ltrch\fcs0 _x000d__x000a_\i\fs24\lang2057\langfe2057\cgrid\langnp2057\langfenp2057 \sbasedon0 \snext21 \spriority0 \styrsid12208449 AmJustText;}{\s22\qc \li0\ri0\sb240\sa240\nowidctlpar\wrapdefault\aspalpha\aspnum\faauto\adjustright\rin0\lin0\itap0 \rtlch\fcs1 _x000d__x000a_\af0\afs20\alang1025 \ltrch\fcs0 \i\fs24\lang2057\langfe2057\cgrid\langnp2057\langfenp2057 \sbasedon0 \snext22 \spriority0 \styrsid12208449 AmCrossRef;}{_x000d__x000a_\s23\qc \li0\ri0\sb240\sa240\keepn\nowidctlpar\wrapdefault\aspalpha\aspnum\faauto\adjustright\rin0\lin0\itap0 \rtlch\fcs1 \af0\afs20\alang1025 \ltrch\fcs0 \i\fs24\lang2057\langfe2057\cgrid\langnp2057\langfenp2057 _x000d__x000a_\sbasedon0 \snext21 \spriority0 \styrsid12208449 AmJustTitle;}{\s24\qr \li0\ri0\sb240\sa240\nowidctlpar\wrapdefault\aspalpha\aspnum\faauto\adjustright\rin0\lin0\itap0 \rtlch\fcs1 \af0\afs20\alang1025 \ltrch\fcs0 _x000d__x000a_\fs24\lang2057\langfe2057\cgrid\langnp2057\langfenp2057 \sbasedon0 \snext24 \spriority0 \styrsid12208449 AmOrLang;}{\s25\qc \li0\ri0\sa240\nowidctlpar\wrapdefault\aspalpha\aspnum\faauto\adjustright\rin0\lin0\itap0 \rtlch\fcs1 \af0\afs20\alang1025 _x000d__x000a_\ltrch\fcs0 \i\fs24\lang2057\langfe2057\cgrid\langnp2057\langfenp2057 \sbasedon0 \snext25 \spriority0 \styrsid1220844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208449 AmNumberTabs;}}{\*\rsidtbl \rsid24658\rsid223860\rsid735077\rsid1718133\rsid2039946\rsid2892074\rsid3565327\rsid4666813\rsid6641733_x000d__x000a_\rsid7823322\rsid9636012\rsid10377208\rsid11215221\rsid11549030\rsid12154954\rsid12208449\rsid14382809\rsid14424199\rsid15204470\rsid15285974\rsid15950462\rsid16324206\rsid16662270}{\mmathPr\mmathFont34\mbrkBin0\mbrkBinSub0\msmallFrac0\mdispDef1\mlMargin0_x000d__x000a_\mrMargin0\mdefJc1\mwrapIndent1440\mintLim0\mnaryLim1}{\info{\author WYSOKINSKA Halina}{\operator WYSOKINSKA Halina}{\creatim\yr2023\mo11\dy27\hr17\min3}{\revtim\yr2023\mo11\dy27\hr17\min3}{\version1}{\edmins0}{\nofpages1}{\nofwords130}{\nofchars745}_x000d__x000a_{\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208449\newtblstyruls\nogrowautofit\usenormstyforlist\noindnmbrts\felnbrelev\nocxsptable\indrlsweleven\noafcnsttbl\afelev\utinl\hwelev\spltpgpar\notcvasp\notbrkcnstfrctbl\notvatxbx\krnprsnet\cachedcolbal _x000d__x000a_\nouicompat \fet0{\*\wgrffmtfilter 013f}\nofeaturethrottle1\ilfomacatclnup0{\*\template C:\\Users\\HWYSOK~1\\AppData\\Local\\Temp\\Blank1.dotx}{\*\ftnsep \ltrpar \pard\plain \ltrpar_x000d__x000a_\ql \li0\ri0\widctlpar\wrapdefault\aspalpha\aspnum\faauto\adjustright\rin0\lin0\itap0 \rtlch\fcs1 \af0\afs20\alang1025 \ltrch\fcs0 \fs24\lang2057\langfe2057\cgrid\langnp2057\langfenp2057 {\rtlch\fcs1 \af0 \ltrch\fcs0 \insrsid2039946 \chftnsep _x000d__x000a_\par }}{\*\ftnsepc \ltrpar \pard\plain \ltrpar\ql \li0\ri0\widctlpar\wrapdefault\aspalpha\aspnum\faauto\adjustright\rin0\lin0\itap0 \rtlch\fcs1 \af0\afs20\alang1025 \ltrch\fcs0 \fs24\lang2057\langfe2057\cgrid\langnp2057\langfenp2057 {\rtlch\fcs1 \af0 _x000d__x000a_\ltrch\fcs0 \insrsid2039946 \chftnsepc _x000d__x000a_\par }}{\*\aftnsep \ltrpar \pard\plain \ltrpar\ql \li0\ri0\widctlpar\wrapdefault\aspalpha\aspnum\faauto\adjustright\rin0\lin0\itap0 \rtlch\fcs1 \af0\afs20\alang1025 \ltrch\fcs0 \fs24\lang2057\langfe2057\cgrid\langnp2057\langfenp2057 {\rtlch\fcs1 \af0 _x000d__x000a_\ltrch\fcs0 \insrsid2039946 \chftnsep _x000d__x000a_\par }}{\*\aftnsepc \ltrpar \pard\plain \ltrpar\ql \li0\ri0\widctlpar\wrapdefault\aspalpha\aspnum\faauto\adjustright\rin0\lin0\itap0 \rtlch\fcs1 \af0\afs20\alang1025 \ltrch\fcs0 \fs24\lang2057\langfe2057\cgrid\langnp2057\langfenp2057 {\rtlch\fcs1 \af0 _x000d__x000a_\ltrch\fcs0 \insrsid203994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208449 \rtlch\fcs1 _x000d__x000a_\af0\afs20\alang1025 \ltrch\fcs0 \b\fs24\lang2057\langfe2057\cgrid\langnp2057\langfenp2057 {\rtlch\fcs1 \af0 \ltrch\fcs0 \cs17\b0\v\fs20\cf9\lang1024\langfe1024\loch\af1\hich\af1\dbch\af31501\noproof\insrsid12208449\charrsid6185105 {\*\bkmkstart restart}_x000d__x000a_\hich\af1\dbch\af31501\loch\f1 &lt;}{\rtlch\fcs1 \af0 \ltrch\fcs0 \cs17\b0\v\fs20\cf9\lang1024\langfe1024\loch\af1\hich\af1\dbch\af31501\noproof\insrsid12208449 \hich\af1\dbch\af31501\loch\f1 Amend}{\rtlch\fcs1 \af0 \ltrch\fcs0 _x000d__x000a_\cs17\b0\v\fs20\cf9\lang1024\langfe1024\loch\af1\hich\af1\dbch\af31501\noproof\insrsid12208449\charrsid6185105 \hich\af1\dbch\af31501\loch\f1 &gt;}{\rtlch\fcs1 \af0 \ltrch\fcs0 \insrsid12208449\charrsid6185105 Amendment\tab \tab }{\rtlch\fcs1 \af0 _x000d__x000a_\ltrch\fcs0 \cs17\b0\v\fs20\cf9\lang1024\langfe1024\loch\af1\hich\af1\dbch\af31501\noproof\insrsid12208449\charrsid6185105 \hich\af1\dbch\af31501\loch\f1 &lt;}{\rtlch\fcs1 \af0 \ltrch\fcs0 _x000d__x000a_\cs17\b0\v\fs20\cf9\lang1024\langfe1024\loch\af1\hich\af1\dbch\af31501\noproof\insrsid12208449 \hich\af1\dbch\af31501\loch\f1 NumAm&gt;}{\rtlch\fcs1 \af0 \ltrch\fcs0 \insrsid12208449\charrsid6185105 #}{\rtlch\fcs1 \af1 \ltrch\fcs0 _x000d__x000a_\cs18\v\f1\fs20\cf15\insrsid12208449\charrsid6185105 ENMIENDA@NRAM@}{\rtlch\fcs1 \af0 \ltrch\fcs0 \insrsid12208449\charrsid6185105 #}{\rtlch\fcs1 \af0 \ltrch\fcs0 _x000d__x000a_\cs17\b0\v\fs20\cf9\lang1024\langfe1024\loch\af1\hich\af1\dbch\af31501\noproof\insrsid12208449\charrsid6185105 \hich\af1\dbch\af31501\loch\f1 &lt;/}{\rtlch\fcs1 \af0 \ltrch\fcs0 _x000d__x000a_\cs17\b0\v\fs20\cf9\lang1024\langfe1024\loch\af1\hich\af1\dbch\af31501\noproof\insrsid12208449 \hich\af1\dbch\af31501\loch\f1 NumAm&gt;}{\rtlch\fcs1 \af0 \ltrch\fcs0 \insrsid12208449\charrsid6185105 _x000d__x000a_\par }\pard\plain \ltrpar\s20\ql \li0\ri0\nowidctlpar\wrapdefault\aspalpha\aspnum\faauto\adjustright\rin0\lin0\itap0\pararsid12208449 \rtlch\fcs1 \af0\afs20\alang1025 \ltrch\fcs0 \b\fs24\lang2057\langfe2057\cgrid\langnp2057\langfenp2057 {\rtlch\fcs1 \af0 _x000d__x000a_\ltrch\fcs0 \cs17\b0\v\fs20\cf9\lang1024\langfe1024\loch\af1\hich\af1\dbch\af31501\noproof\insrsid12208449\charrsid6185105 \hich\af1\dbch\af31501\loch\f1 &lt;\hich\af1\dbch\af31501\loch\f1 RepeatBlock-By&gt;}{\rtlch\fcs1 \af0 \ltrch\fcs0 _x000d__x000a_\insrsid12208449\charrsid6185105 #}{\rtlch\fcs1 \af1 \ltrch\fcs0 \cs18\v\f1\fs20\cf15\insrsid12208449\charrsid6185105 (MOD@InsideLoop()}{\rtlch\fcs1 \af0 \ltrch\fcs0 \insrsid12208449\charrsid6185105 ##}{\rtlch\fcs1 \af1 \ltrch\fcs0 _x000d__x000a_\cs18\v\f1\fs20\cf15\insrsid12208449\charrsid6185105 &gt;&gt;&gt;@[ZMEMBERSMSG]@}{\rtlch\fcs1 \af0 \ltrch\fcs0 \insrsid12208449\charrsid6185105 #}{\rtlch\fcs1 \af0 \ltrch\fcs0 _x000d__x000a_\cs17\b0\v\fs20\cf9\lang1024\langfe1024\loch\af1\hich\af1\dbch\af31501\noproof\insrsid12208449\charrsid6185105 \hich\af1\dbch\af31501\loch\f1 &lt;Members&gt;}{\rtlch\fcs1 \af0 \ltrch\fcs0 \insrsid12208449\charrsid6185105 #}{\rtlch\fcs1 \af1 \ltrch\fcs0 _x000d__x000a_\cs18\v\f1\fs20\cf15\insrsid12208449\charrsid6185105 (MOD@InsideLoop(\'a7)}{\rtlch\fcs1 \af0 \ltrch\fcs0 \insrsid12208449\charrsid6185105 #}{\rtlch\fcs1 \af0 \ltrch\fcs0 \cf10\insrsid12208449\charrsid8212090 \u9668\'3f}{\rtlch\fcs1 \af0 \ltrch\fcs0 _x000d__x000a_\insrsid12208449\charrsid6185105 #}{\rtlch\fcs1 \af1 \ltrch\fcs0 \cs18\v\f1\fs20\cf15\insrsid12208449\charrsid6185105 TVTMEMBERS\'a7@MEMBERS@}{\rtlch\fcs1 \af0 \ltrch\fcs0 \insrsid12208449\charrsid6185105 #}{\rtlch\fcs1 \af0 \ltrch\fcs0 _x000d__x000a_\cf10\insrsid12208449\charrsid8212090 \u9658\'3f}{\rtlch\fcs1 \af0 \ltrch\fcs0 \cs17\b0\v\fs20\cf9\lang1024\langfe1024\loch\af1\hich\af1\dbch\af31501\noproof\insrsid12208449\charrsid6185105 \hich\af1\dbch\af31501\loch\f1 &lt;/Members&gt;}{\rtlch\fcs1 \af0 _x000d__x000a_\ltrch\fcs0 \insrsid12208449\charrsid6185105 _x000d__x000a_\par }\pard\plain \ltrpar\ql \li0\ri0\widctlpar\wrapdefault\aspalpha\aspnum\faauto\adjustright\rin0\lin0\itap0\pararsid12208449 \rtlch\fcs1 \af0\afs20\alang1025 \ltrch\fcs0 \fs24\lang2057\langfe2057\cgrid\langnp2057\langfenp2057 {\rtlch\fcs1 \af0 \ltrch\fcs0 _x000d__x000a_\cs17\v\fs20\cf9\lang1024\langfe1024\loch\af1\hich\af1\dbch\af31501\noproof\insrsid12208449\charrsid6185105 \hich\af1\dbch\af31501\loch\f1 &lt;AuNomDe&gt;&lt;OptDel&gt;}{\rtlch\fcs1 \af0 \ltrch\fcs0 \insrsid12208449\charrsid6185105 #}{\rtlch\fcs1 \af1 \ltrch\fcs0 _x000d__x000a_\cs18\v\f1\fs20\cf15\insrsid12208449\charrsid6185105 MNU[ONBEHALFYES][NOTAPP]@CHOICE@}{\rtlch\fcs1 \af0 \ltrch\fcs0 \insrsid12208449\charrsid6185105 #}{\rtlch\fcs1 \af0 \ltrch\fcs0 _x000d__x000a_\cs17\v\fs20\cf9\lang1024\langfe1024\loch\af1\hich\af1\dbch\af31501\noproof\insrsid12208449\charrsid6185105 \hich\af1\dbch\af31501\loch\f1 &lt;/OptDel&gt;&lt;/AuNomDe&gt;}{\rtlch\fcs1 \af0 \ltrch\fcs0 \insrsid12208449\charrsid6185105 _x000d__x000a_\par &lt;&lt;&lt;}{\rtlch\fcs1 \af0 \ltrch\fcs0 \cs17\v\fs20\cf9\lang1024\langfe1024\loch\af1\hich\af1\dbch\af31501\noproof\insrsid12208449\charrsid6185105 \hich\af1\dbch\af31501\loch\f1 &lt;/RepeatBlock-By&gt;}{\rtlch\fcs1 \af0 \ltrch\fcs0 \insrsid12208449\charrsid6185105 _x000d__x000a__x000d__x000a_\par }\pard\plain \ltrpar\s20\ql \li0\ri0\nowidctlpar\wrapdefault\aspalpha\aspnum\faauto\adjustright\rin0\lin0\itap0\pararsid12208449 \rtlch\fcs1 \af0\afs20\alang1025 \ltrch\fcs0 \b\fs24\lang2057\langfe2057\cgrid\langnp2057\langfenp2057 {\rtlch\fcs1 \af0 _x000d__x000a_\ltrch\fcs0 \cs17\b0\v\fs20\cf9\lang1024\langfe1024\loch\af1\hich\af1\dbch\af31501\noproof\insrsid12208449\charrsid6185105 \hich\af1\dbch\af31501\loch\f1 &lt;DocAmend&gt;}{\rtlch\fcs1 \af0 \ltrch\fcs0 \insrsid12208449\charrsid6185105 #}{\rtlch\fcs1 \af1 _x000d__x000a_\ltrch\fcs0 \cs18\v\f1\fs20\cf15\insrsid12208449\charrsid6185105 MNU[OPTPROPOSALCOD][OPTPROPOSALCNS][OPTPROPOSALNLE]@CHOICE@CODEMNU}{\rtlch\fcs1 \af0 \ltrch\fcs0 \insrsid12208449\charrsid6185105 #}{\rtlch\fcs1 \af0 \ltrch\fcs0 _x000d__x000a_\cs17\b0\v\fs20\cf9\lang1024\langfe1024\loch\af1\hich\af1\dbch\af31501\noproof\insrsid12208449\charrsid6185105 \hich\af1\dbch\af31501\loch\f1 &lt;/DocAmend&gt;}{\rtlch\fcs1 \af0 \ltrch\fcs0 \insrsid12208449\charrsid6185105 _x000d__x000a_\par }\pard \ltrpar\s20\ql \li0\ri0\keepn\nowidctlpar\wrapdefault\aspalpha\aspnum\faauto\adjustright\rin0\lin0\itap0\pararsid12208449 {\rtlch\fcs1 \af0 \ltrch\fcs0 _x000d__x000a_\cs17\b0\v\fs20\cf9\lang1024\langfe1024\loch\af1\hich\af1\dbch\af31501\noproof\insrsid12208449\charrsid6185105 \hich\af1\dbch\af31501\loch\f1 &lt;Article&gt;}{\rtlch\fcs1 \af0 \ltrch\fcs0 \insrsid12208449\charrsid6185105 #}{\rtlch\fcs1 \af1 \ltrch\fcs0 _x000d__x000a_\cs18\v\f1\fs20\cf15\insrsid12208449\charrsid6185105 MNU[AMACTPARTYES][AMACTPARTNO]@CHOICE@AMACTMNU}{\rtlch\fcs1 \af0 \ltrch\fcs0 \insrsid12208449\charrsid6185105 #}{\rtlch\fcs1 \af0 \ltrch\fcs0 _x000d__x000a_\cs17\b0\v\fs20\cf9\lang1024\langfe1024\loch\af1\hich\af1\dbch\af31501\noproof\insrsid12208449\charrsid6185105 \hich\af1\dbch\af31501\loch\f1 &lt;/Article&gt;}{\rtlch\fcs1 \af0 \ltrch\fcs0 \insrsid12208449\charrsid6185105 _x000d__x000a_\par }\pard\plain \ltrpar\ql \li0\ri0\keepn\widctlpar\wrapdefault\aspalpha\aspnum\faauto\adjustright\rin0\lin0\itap0\pararsid12208449 \rtlch\fcs1 \af0\afs20\alang1025 \ltrch\fcs0 \fs24\lang2057\langfe2057\cgrid\langnp2057\langfenp2057 {\rtlch\fcs1 \af0 _x000d__x000a_\ltrch\fcs0 \cs17\v\fs20\cf9\lang1024\langfe1024\loch\af1\hich\af1\dbch\af31501\noproof\insrsid12208449\charrsid6185105 \hich\af1\dbch\af31501\loch\f1 &lt;DocAmend2&gt;&lt;OptDel&gt;}{\rtlch\fcs1 \af0 \ltrch\fcs0 \insrsid12208449\charrsid6185105 #}{\rtlch\fcs1 \af1 _x000d__x000a_\ltrch\fcs0 \cs18\v\f1\fs20\cf15\insrsid12208449\charrsid6185105 MNU[OPTNRACTYES][NOTAPP]@CHOICE@AMACTMNU}{\rtlch\fcs1 \af0 \ltrch\fcs0 \insrsid12208449\charrsid6185105 #}{\rtlch\fcs1 \af0 \ltrch\fcs0 _x000d__x000a_\cs17\v\fs20\cf9\lang1024\langfe1024\loch\af1\hich\af1\dbch\af31501\noproof\insrsid12208449\charrsid6185105 \hich\af1\dbch\af31501\loch\f1 &lt;/OptDel&gt;&lt;/DocAmend2&gt;}{\rtlch\fcs1 \af0 \ltrch\fcs0 \insrsid12208449\charrsid6185105 _x000d__x000a_\par }\pard \ltrpar\ql \li0\ri0\widctlpar\wrapdefault\aspalpha\aspnum\faauto\adjustright\rin0\lin0\itap0\pararsid12208449 {\rtlch\fcs1 \af0 \ltrch\fcs0 \cs17\v\fs20\cf9\lang1024\langfe1024\loch\af1\hich\af1\dbch\af31501\noproof\insrsid12208449\charrsid6185105 _x000d__x000a_\hich\af1\dbch\af31501\loch\f1 &lt;Article2&gt;&lt;OptDel&gt;}{\rtlch\fcs1 \af0 \ltrch\fcs0 \insrsid12208449\charrsid6185105 #}{\rtlch\fcs1 \af1 \ltrch\fcs0 \cs18\v\f1\fs20\cf15\insrsid12208449\charrsid6185105 MNU[OPTACTPARTYES][NOTAPP]@CHOICE@AMACTMNU}{\rtlch\fcs1 _x000d__x000a_\af0 \ltrch\fcs0 \insrsid12208449\charrsid6185105 #}{\rtlch\fcs1 \af0 \ltrch\fcs0 \cs17\v\fs20\cf9\lang1024\langfe1024\loch\af1\hich\af1\dbch\af31501\noproof\insrsid12208449\charrsid6185105 \hich\af1\dbch\af31501\loch\f1 &lt;/OptDel&gt;&lt;/Article2&gt;}{\rtlch\fcs1 _x000d__x000a_\af0 \ltrch\fcs0 \insrsid12208449\charrsid6185105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2208449\charrsid6185105 \cell }\pard\plain \ltrpar\ql \li0\ri0\widctlpar\intbl\wrapdefault\aspalpha\aspnum\faauto\adjustright\rin0\lin0 \rtlch\fcs1 _x000d__x000a_\af0\afs20\alang1025 \ltrch\fcs0 \fs24\lang2057\langfe2057\cgrid\langnp2057\langfenp2057 {\rtlch\fcs1 \af0 \ltrch\fcs0 \insrsid12208449\charrsid6185105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2208449\charrsid6185105 #}{\rtlch\fcs1 \af1 \ltrch\fcs0 \cs18\v\f1\fs20\cf15\insrsid12208449\charrsid6185105 MNU[OPTLEFTAMACT][LEFTPROP]@CHOICE@AMACTMNU}{_x000d__x000a_\rtlch\fcs1 \af0 \ltrch\fcs0 \insrsid12208449\charrsid6185105 #\cell Amendment\cell }\pard\plain \ltrpar\ql \li0\ri0\widctlpar\intbl\wrapdefault\aspalpha\aspnum\faauto\adjustright\rin0\lin0 \rtlch\fcs1 \af0\afs20\alang1025 \ltrch\fcs0 _x000d__x000a_\fs24\lang2057\langfe2057\cgrid\langnp2057\langfenp2057 {\rtlch\fcs1 \af0 \ltrch\fcs0 \insrsid12208449\charrsid6185105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2208449\charrsid6185105 ##\cell ##}{\rtlch\fcs1 \af0\afs24 \ltrch\fcs0 \insrsid12208449\charrsid6185105 \cell }\pard\plain \ltrpar\ql \li0\ri0\widctlpar\intbl\wrapdefault\aspalpha\aspnum\faauto\adjustright\rin0\lin0 \rtlch\fcs1 _x000d__x000a_\af0\afs20\alang1025 \ltrch\fcs0 \fs24\lang2057\langfe2057\cgrid\langnp2057\langfenp2057 {\rtlch\fcs1 \af0 \ltrch\fcs0 \insrsid12208449\charrsid6185105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2208449 \rtlch\fcs1 \af0\afs20\alang1025 \ltrch\fcs0 \fs24\lang2057\langfe2057\cgrid\langnp2057\langfenp2057 {\rtlch\fcs1 \af0 \ltrch\fcs0 _x000d__x000a_\insrsid12208449\charrsid6185105 Or. }{\rtlch\fcs1 \af0 \ltrch\fcs0 \cs17\v\fs20\cf9\lang1024\langfe1024\loch\af1\hich\af1\dbch\af31501\noproof\insrsid12208449\charrsid6185105 \hich\af1\dbch\af31501\loch\f1 &lt;Original&gt;}{\rtlch\fcs1 \af0 \ltrch\fcs0 _x000d__x000a_\insrsid12208449\charrsid6185105 #}{\rtlch\fcs1 \af1 \ltrch\fcs0 \cs18\v\f1\fs20\cf15\insrsid12208449\charrsid6185105 KEY(MAIN/LANGMIN)sh@ORLANGMSG@}{\rtlch\fcs1 \af0 \ltrch\fcs0 \insrsid12208449\charrsid6185105 #}{\rtlch\fcs1 \af0 \ltrch\fcs0 _x000d__x000a_\cs17\v\fs20\cf9\lang1024\langfe1024\loch\af1\hich\af1\dbch\af31501\noproof\insrsid12208449\charrsid6185105 \hich\af1\dbch\af31501\loch\f1 &lt;/Original&gt;}{\rtlch\fcs1 \af0 \ltrch\fcs0 \insrsid12208449\charrsid6185105 _x000d__x000a_\par }\pard\plain \ltrpar\s22\qc \li0\ri0\sb240\sa240\nowidctlpar\wrapdefault\aspalpha\aspnum\faauto\adjustright\rin0\lin0\itap0\pararsid12208449 \rtlch\fcs1 \af0\afs20\alang1025 \ltrch\fcs0 \i\fs24\lang2057\langfe2057\cgrid\langnp2057\langfenp2057 {_x000d__x000a_\rtlch\fcs1 \af0 \ltrch\fcs0 \cs17\i0\v\fs20\cf9\lang1024\langfe1024\loch\af1\hich\af1\dbch\af31501\noproof\insrsid12208449\charrsid6185105 \hich\af1\dbch\af31501\loch\f1 &lt;OptDel&gt;}{\rtlch\fcs1 \af0 \ltrch\fcs0 \insrsid12208449\charrsid6185105 #}{_x000d__x000a_\rtlch\fcs1 \af1 \ltrch\fcs0 \cs18\v\f1\fs20\cf15\insrsid12208449\charrsid6185105 MNU[CROSSREFNO][CROSSREFYES]@CHOICE@}{\rtlch\fcs1 \af0 \ltrch\fcs0 \insrsid12208449\charrsid6185105 #}{\rtlch\fcs1 \af0 \ltrch\fcs0 _x000d__x000a_\cs17\i0\v\fs20\cf9\lang1024\langfe1024\loch\af1\hich\af1\dbch\af31501\noproof\insrsid12208449\charrsid6185105 \hich\af1\dbch\af31501\loch\f1 &lt;/OptDel&gt;}{\rtlch\fcs1 \af0 \ltrch\fcs0 \insrsid12208449\charrsid6185105 _x000d__x000a_\par }\pard\plain \ltrpar\s23\qc \li0\ri0\sb240\sa240\keepn\nowidctlpar\wrapdefault\aspalpha\aspnum\faauto\adjustright\rin0\lin0\itap0\pararsid12208449 \rtlch\fcs1 \af0\afs20\alang1025 \ltrch\fcs0 \i\fs24\lang2057\langfe2057\cgrid\langnp2057\langfenp2057 {_x000d__x000a_\rtlch\fcs1 \af0 \ltrch\fcs0 \cs17\i0\v\fs20\cf9\lang1024\langfe1024\loch\af1\hich\af1\dbch\af31501\noproof\insrsid12208449\charrsid6185105 \hich\af1\dbch\af31501\loch\f1 &lt;TitreJust&gt;}{\rtlch\fcs1 \af0 \ltrch\fcs0 \insrsid12208449\charrsid6185105 _x000d__x000a_Justification}{\rtlch\fcs1 \af0 \ltrch\fcs0 \cs17\i0\v\fs20\cf9\lang1024\langfe1024\loch\af1\hich\af1\dbch\af31501\noproof\insrsid12208449\charrsid6185105 \hich\af1\dbch\af31501\loch\f1 &lt;/TitreJust&gt;}{\rtlch\fcs1 \af0 \ltrch\fcs0 _x000d__x000a_\insrsid12208449\charrsid6185105 _x000d__x000a_\par }\pard\plain \ltrpar\s21\ql \li0\ri0\sa240\nowidctlpar\wrapdefault\aspalpha\aspnum\faauto\adjustright\rin0\lin0\itap0\pararsid12208449 \rtlch\fcs1 \af0\afs20\alang1025 \ltrch\fcs0 \i\fs24\lang2057\langfe2057\cgrid\langnp2057\langfenp2057 {\rtlch\fcs1 _x000d__x000a_\af0 \ltrch\fcs0 \cs17\i0\v\fs20\cf9\lang1024\langfe1024\loch\af1\hich\af1\dbch\af31501\noproof\insrsid12208449\charrsid6185105 \hich\af1\dbch\af31501\loch\f1 &lt;OptDelPrev&gt;}{\rtlch\fcs1 \af0 \ltrch\fcs0 \insrsid12208449\charrsid6185105 #}{\rtlch\fcs1 \af1 _x000d__x000a_\ltrch\fcs0 \cs18\v\f1\fs20\cf15\insrsid12208449\charrsid6185105 MNU[TEXTJUSTYES][TEXTJUSTNO]@CHOICE@}{\rtlch\fcs1 \af0 \ltrch\fcs0 \insrsid12208449\charrsid6185105 #}{\rtlch\fcs1 \af0 \ltrch\fcs0 _x000d__x000a_\cs17\i0\v\fs20\cf9\lang1024\langfe1024\loch\af1\hich\af1\dbch\af31501\noproof\insrsid12208449\charrsid6185105 \hich\af1\dbch\af31501\loch\f1 &lt;/OptDelPrev&gt;}{\rtlch\fcs1 \af0 \ltrch\fcs0 \insrsid12208449\charrsid6185105 _x000d__x000a_\par }\pard\plain \ltrpar\ql \li0\ri0\widctlpar\wrapdefault\aspalpha\aspnum\faauto\adjustright\rin0\lin0\itap0\pararsid12208449 \rtlch\fcs1 \af0\afs20\alang1025 \ltrch\fcs0 \fs24\lang2057\langfe2057\cgrid\langnp2057\langfenp2057 {\rtlch\fcs1 \af0 \ltrch\fcs0 _x000d__x000a_\cs17\v\fs20\cf9\lang1024\langfe1024\loch\af1\hich\af1\dbch\af31501\noproof\insrsid12208449\charrsid6185105 \hich\af1\dbch\af31501\loch\f1 &lt;/}{\rtlch\fcs1 \af0 \ltrch\fcs0 _x000d__x000a_\cs17\v\fs20\cf9\lang1024\langfe1024\loch\af1\hich\af1\dbch\af31501\noproof\insrsid12208449 \hich\af1\dbch\af31501\loch\f1 Amend}{\rtlch\fcs1 \af0 \ltrch\fcs0 _x000d__x000a_\cs17\v\fs20\cf9\lang1024\langfe1024\loch\af1\hich\af1\dbch\af31501\noproof\insrsid12208449\charrsid6185105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f_x000d__x000a_554a4b21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91"/>
    <w:docVar w:name="TVTAMPART" w:val="cccccc"/>
    <w:docVar w:name="TVTMEMBERS1" w:val="xxxxxx"/>
    <w:docVar w:name="TXTAUTHOR" w:val="Luděk Niedermayer"/>
    <w:docVar w:name="TXTLANGUE" w:val="PL"/>
    <w:docVar w:name="TXTLANGUEMIN" w:val="pl"/>
    <w:docVar w:name="TXTNRAM" w:val="1"/>
    <w:docVar w:name="TXTNRC" w:val="0218/2023"/>
    <w:docVar w:name="TXTNRCOM" w:val="(2023)0366"/>
    <w:docVar w:name="TXTNRFIRSTAM" w:val="56"/>
    <w:docVar w:name="TXTNRLASTAM" w:val="145"/>
    <w:docVar w:name="TXTNRPE" w:val="757.022"/>
    <w:docVar w:name="TXTNRPE2" w:val="753.780"/>
    <w:docVar w:name="TXTNRPROC" w:val="2023/0111"/>
    <w:docVar w:name="TXTPEorAP" w:val="PE"/>
    <w:docVar w:name="TXTROUTE" w:val="AM\1291519PL.docx"/>
    <w:docVar w:name="TXTTITLE" w:val="Proposal for a Directive of the European Parliament and of the Council on payment services and electronic money services in the Internal Market amending Directive 98/26/EC and repealing Directives 2015/2366/EU and 2009/110/EC"/>
    <w:docVar w:name="TXTVERSION" w:val="01-00"/>
    <w:docVar w:name="TXTVERSION2" w:val="01-00"/>
  </w:docVars>
  <w:rsids>
    <w:rsidRoot w:val="005E6091"/>
    <w:rsid w:val="000111BD"/>
    <w:rsid w:val="00073830"/>
    <w:rsid w:val="00075DBE"/>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E0AAC"/>
    <w:rsid w:val="004E1C4C"/>
    <w:rsid w:val="004F03F0"/>
    <w:rsid w:val="004F2903"/>
    <w:rsid w:val="005246D8"/>
    <w:rsid w:val="00547F73"/>
    <w:rsid w:val="00557617"/>
    <w:rsid w:val="00571479"/>
    <w:rsid w:val="005A7205"/>
    <w:rsid w:val="005A7EB4"/>
    <w:rsid w:val="005B32E3"/>
    <w:rsid w:val="005E50C2"/>
    <w:rsid w:val="005E6091"/>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C71DE"/>
    <w:rsid w:val="007D4E7A"/>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64EEE"/>
    <w:rsid w:val="00966038"/>
    <w:rsid w:val="009A65D8"/>
    <w:rsid w:val="009B0305"/>
    <w:rsid w:val="009C45E4"/>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E7AC1"/>
    <w:rsid w:val="00AF25FC"/>
    <w:rsid w:val="00AF2819"/>
    <w:rsid w:val="00B0638A"/>
    <w:rsid w:val="00B10564"/>
    <w:rsid w:val="00B238D1"/>
    <w:rsid w:val="00B41B4D"/>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85E4E"/>
    <w:rsid w:val="00C92798"/>
    <w:rsid w:val="00CB34F1"/>
    <w:rsid w:val="00CB3C1D"/>
    <w:rsid w:val="00CB7B07"/>
    <w:rsid w:val="00CC3983"/>
    <w:rsid w:val="00D00CC7"/>
    <w:rsid w:val="00D100D1"/>
    <w:rsid w:val="00D14FCE"/>
    <w:rsid w:val="00D15308"/>
    <w:rsid w:val="00D1583C"/>
    <w:rsid w:val="00D15D1E"/>
    <w:rsid w:val="00D42398"/>
    <w:rsid w:val="00D44842"/>
    <w:rsid w:val="00D5652E"/>
    <w:rsid w:val="00D677D5"/>
    <w:rsid w:val="00D755F1"/>
    <w:rsid w:val="00D767AC"/>
    <w:rsid w:val="00D770D1"/>
    <w:rsid w:val="00D82FCC"/>
    <w:rsid w:val="00D87B31"/>
    <w:rsid w:val="00DB429F"/>
    <w:rsid w:val="00DB65C2"/>
    <w:rsid w:val="00DC4160"/>
    <w:rsid w:val="00DC6A1B"/>
    <w:rsid w:val="00DE672F"/>
    <w:rsid w:val="00E15A86"/>
    <w:rsid w:val="00E25DC5"/>
    <w:rsid w:val="00E44BB0"/>
    <w:rsid w:val="00E471BE"/>
    <w:rsid w:val="00E57F50"/>
    <w:rsid w:val="00E660E2"/>
    <w:rsid w:val="00E97736"/>
    <w:rsid w:val="00EA25AE"/>
    <w:rsid w:val="00EB3A71"/>
    <w:rsid w:val="00EE011D"/>
    <w:rsid w:val="00EE3E0D"/>
    <w:rsid w:val="00EF03A3"/>
    <w:rsid w:val="00EF11AD"/>
    <w:rsid w:val="00F27170"/>
    <w:rsid w:val="00F37168"/>
    <w:rsid w:val="00F429C5"/>
    <w:rsid w:val="00F459F7"/>
    <w:rsid w:val="00F92B49"/>
    <w:rsid w:val="00FA192C"/>
    <w:rsid w:val="00FC1B08"/>
    <w:rsid w:val="00FD05BD"/>
    <w:rsid w:val="00FD675F"/>
    <w:rsid w:val="00FE03B4"/>
    <w:rsid w:val="00FF792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3ED8C6"/>
  <w15:chartTrackingRefBased/>
  <w15:docId w15:val="{308B44E6-309A-4D7F-8481-F2868B3E5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AE7AC1"/>
    <w:pPr>
      <w:widowControl/>
      <w:spacing w:before="100" w:beforeAutospacing="1" w:after="100" w:afterAutospacing="1"/>
    </w:pPr>
    <w:rPr>
      <w:szCs w:val="24"/>
    </w:rPr>
  </w:style>
  <w:style w:type="paragraph" w:styleId="Footer">
    <w:name w:val="footer"/>
    <w:link w:val="FooterChar"/>
    <w:semiHidden/>
    <w:unhideWhenUsed/>
    <w:rsid w:val="00AE7AC1"/>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AE7AC1"/>
    <w:rPr>
      <w:sz w:val="22"/>
    </w:rPr>
  </w:style>
  <w:style w:type="character" w:customStyle="1" w:styleId="Normal12Char">
    <w:name w:val="Normal12 Char"/>
    <w:link w:val="Normal12"/>
    <w:locked/>
    <w:rsid w:val="00AE7AC1"/>
    <w:rPr>
      <w:noProof/>
      <w:sz w:val="24"/>
    </w:rPr>
  </w:style>
  <w:style w:type="paragraph" w:customStyle="1" w:styleId="Normal12">
    <w:name w:val="Normal12"/>
    <w:basedOn w:val="Normal"/>
    <w:link w:val="Normal12Char"/>
    <w:rsid w:val="00AE7AC1"/>
    <w:pPr>
      <w:spacing w:after="240"/>
    </w:pPr>
    <w:rPr>
      <w:noProof/>
    </w:rPr>
  </w:style>
  <w:style w:type="paragraph" w:customStyle="1" w:styleId="CommitteeAM">
    <w:name w:val="CommitteeAM"/>
    <w:basedOn w:val="Normal"/>
    <w:rsid w:val="00AE7AC1"/>
    <w:pPr>
      <w:spacing w:before="240" w:after="600"/>
      <w:jc w:val="center"/>
    </w:pPr>
    <w:rPr>
      <w:i/>
    </w:rPr>
  </w:style>
  <w:style w:type="paragraph" w:customStyle="1" w:styleId="ZDateAM">
    <w:name w:val="ZDateAM"/>
    <w:basedOn w:val="Normal"/>
    <w:rsid w:val="00AE7AC1"/>
    <w:pPr>
      <w:tabs>
        <w:tab w:val="right" w:pos="9356"/>
      </w:tabs>
      <w:spacing w:after="480"/>
    </w:pPr>
    <w:rPr>
      <w:noProof/>
    </w:rPr>
  </w:style>
  <w:style w:type="paragraph" w:customStyle="1" w:styleId="ProjRap">
    <w:name w:val="ProjRap"/>
    <w:basedOn w:val="Normal"/>
    <w:rsid w:val="00AE7AC1"/>
    <w:pPr>
      <w:tabs>
        <w:tab w:val="right" w:pos="9356"/>
      </w:tabs>
    </w:pPr>
    <w:rPr>
      <w:b/>
      <w:noProof/>
    </w:rPr>
  </w:style>
  <w:style w:type="paragraph" w:customStyle="1" w:styleId="PELeft">
    <w:name w:val="PELeft"/>
    <w:basedOn w:val="Normal"/>
    <w:rsid w:val="00AE7AC1"/>
    <w:pPr>
      <w:spacing w:before="40" w:after="40"/>
    </w:pPr>
    <w:rPr>
      <w:rFonts w:ascii="Arial" w:hAnsi="Arial" w:cs="Arial"/>
      <w:sz w:val="22"/>
      <w:szCs w:val="22"/>
    </w:rPr>
  </w:style>
  <w:style w:type="paragraph" w:customStyle="1" w:styleId="PERight">
    <w:name w:val="PERight"/>
    <w:basedOn w:val="Normal"/>
    <w:next w:val="Normal"/>
    <w:rsid w:val="00AE7AC1"/>
    <w:pPr>
      <w:jc w:val="right"/>
    </w:pPr>
    <w:rPr>
      <w:rFonts w:ascii="Arial" w:hAnsi="Arial" w:cs="Arial"/>
      <w:sz w:val="22"/>
      <w:szCs w:val="22"/>
    </w:rPr>
  </w:style>
  <w:style w:type="character" w:customStyle="1" w:styleId="Normal6Char">
    <w:name w:val="Normal6 Char"/>
    <w:link w:val="Normal6"/>
    <w:locked/>
    <w:rsid w:val="00AE7AC1"/>
    <w:rPr>
      <w:sz w:val="24"/>
      <w:lang w:val="pl-PL"/>
    </w:rPr>
  </w:style>
  <w:style w:type="paragraph" w:customStyle="1" w:styleId="Normal6">
    <w:name w:val="Normal6"/>
    <w:basedOn w:val="Normal"/>
    <w:link w:val="Normal6Char"/>
    <w:rsid w:val="00AE7AC1"/>
    <w:pPr>
      <w:spacing w:after="120"/>
    </w:pPr>
  </w:style>
  <w:style w:type="character" w:customStyle="1" w:styleId="NormalBoldChar">
    <w:name w:val="NormalBold Char"/>
    <w:link w:val="NormalBold"/>
    <w:locked/>
    <w:rsid w:val="00AE7AC1"/>
    <w:rPr>
      <w:b/>
      <w:sz w:val="24"/>
    </w:rPr>
  </w:style>
  <w:style w:type="paragraph" w:customStyle="1" w:styleId="Normal12Italic">
    <w:name w:val="Normal12Italic"/>
    <w:basedOn w:val="Normal12"/>
    <w:rsid w:val="00AE7AC1"/>
    <w:rPr>
      <w:i/>
    </w:rPr>
  </w:style>
  <w:style w:type="paragraph" w:customStyle="1" w:styleId="JustificationTitle">
    <w:name w:val="JustificationTitle"/>
    <w:basedOn w:val="Normal"/>
    <w:next w:val="Normal12"/>
    <w:rsid w:val="00AE7AC1"/>
    <w:pPr>
      <w:keepNext/>
      <w:spacing w:before="240" w:after="240"/>
      <w:jc w:val="center"/>
    </w:pPr>
    <w:rPr>
      <w:i/>
      <w:noProof/>
    </w:rPr>
  </w:style>
  <w:style w:type="paragraph" w:customStyle="1" w:styleId="Olang">
    <w:name w:val="Olang"/>
    <w:basedOn w:val="Normal"/>
    <w:rsid w:val="00AE7AC1"/>
    <w:pPr>
      <w:spacing w:before="240" w:after="240"/>
      <w:jc w:val="right"/>
    </w:pPr>
    <w:rPr>
      <w:noProof/>
      <w:szCs w:val="24"/>
    </w:rPr>
  </w:style>
  <w:style w:type="paragraph" w:customStyle="1" w:styleId="ColumnHeading">
    <w:name w:val="ColumnHeading"/>
    <w:basedOn w:val="Normal"/>
    <w:rsid w:val="00AE7AC1"/>
    <w:pPr>
      <w:spacing w:after="240"/>
      <w:jc w:val="center"/>
    </w:pPr>
    <w:rPr>
      <w:i/>
    </w:rPr>
  </w:style>
  <w:style w:type="paragraph" w:customStyle="1" w:styleId="AMNumberTabs0">
    <w:name w:val="AMNumberTabs"/>
    <w:basedOn w:val="Normal"/>
    <w:rsid w:val="00AE7AC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E7AC1"/>
    <w:pPr>
      <w:spacing w:before="240"/>
    </w:pPr>
    <w:rPr>
      <w:b/>
    </w:rPr>
  </w:style>
  <w:style w:type="paragraph" w:customStyle="1" w:styleId="CrossRef">
    <w:name w:val="CrossRef"/>
    <w:basedOn w:val="Normal"/>
    <w:rsid w:val="00AE7AC1"/>
    <w:pPr>
      <w:spacing w:before="240"/>
      <w:jc w:val="center"/>
    </w:pPr>
    <w:rPr>
      <w:i/>
    </w:rPr>
  </w:style>
  <w:style w:type="paragraph" w:customStyle="1" w:styleId="Footer2">
    <w:name w:val="Footer2"/>
    <w:basedOn w:val="Normal12"/>
    <w:rsid w:val="00AE7AC1"/>
    <w:pPr>
      <w:tabs>
        <w:tab w:val="center" w:pos="4535"/>
        <w:tab w:val="right" w:pos="9923"/>
      </w:tabs>
      <w:spacing w:line="480" w:lineRule="auto"/>
      <w:ind w:left="-851"/>
    </w:pPr>
    <w:rPr>
      <w:rFonts w:ascii="Arial" w:cs="Arial"/>
      <w:b/>
      <w:sz w:val="48"/>
    </w:rPr>
  </w:style>
  <w:style w:type="character" w:customStyle="1" w:styleId="Footer2Middle">
    <w:name w:val="Footer2Middle"/>
    <w:rsid w:val="00AE7AC1"/>
    <w:rPr>
      <w:rFonts w:ascii="Arial" w:hAnsi="Arial" w:cs="Arial" w:hint="default"/>
      <w:b w:val="0"/>
      <w:bCs w:val="0"/>
      <w:i/>
      <w:iCs w:val="0"/>
      <w:color w:val="C0C0C0"/>
      <w:sz w:val="22"/>
    </w:rPr>
  </w:style>
  <w:style w:type="paragraph" w:customStyle="1" w:styleId="EntPE">
    <w:name w:val="EntPE"/>
    <w:basedOn w:val="Normal12"/>
    <w:rsid w:val="00AE7AC1"/>
    <w:pPr>
      <w:jc w:val="center"/>
    </w:pPr>
    <w:rPr>
      <w:noProof w:val="0"/>
      <w:sz w:val="56"/>
    </w:rPr>
  </w:style>
  <w:style w:type="paragraph" w:styleId="BalloonText">
    <w:name w:val="Balloon Text"/>
    <w:basedOn w:val="Normal"/>
    <w:link w:val="BalloonTextChar"/>
    <w:semiHidden/>
    <w:unhideWhenUsed/>
    <w:rsid w:val="00FF7922"/>
    <w:rPr>
      <w:rFonts w:ascii="Segoe UI" w:hAnsi="Segoe UI" w:cs="Segoe UI"/>
      <w:sz w:val="18"/>
      <w:szCs w:val="18"/>
    </w:rPr>
  </w:style>
  <w:style w:type="character" w:customStyle="1" w:styleId="BalloonTextChar">
    <w:name w:val="Balloon Text Char"/>
    <w:basedOn w:val="DefaultParagraphFont"/>
    <w:link w:val="BalloonText"/>
    <w:semiHidden/>
    <w:rsid w:val="00FF792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11925</Words>
  <Characters>92181</Characters>
  <Application>Microsoft Office Word</Application>
  <DocSecurity>0</DocSecurity>
  <Lines>3687</Lines>
  <Paragraphs>1169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102937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2024-01-10T10:59:00Z</dcterms:created>
  <dcterms:modified xsi:type="dcterms:W3CDTF">2024-01-10T10:59:00Z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1291519</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9.16.1 Build [20230920]</vt:lpwstr>
  </property>
  <property fmtid="{D5CDD505-2E9C-101B-9397-08002B2CF9AE}" pid="9" name="FooterPath">
    <vt:lpwstr>AM\1291519PL.docx</vt:lpwstr>
  </property>
  <property fmtid="{D5CDD505-2E9C-101B-9397-08002B2CF9AE}" pid="10" name="LastEdited with">
    <vt:lpwstr>9.17.0 Build [20231101]</vt:lpwstr>
  </property>
  <property fmtid="{D5CDD505-2E9C-101B-9397-08002B2CF9AE}" pid="11" name="PE number">
    <vt:lpwstr>757.022</vt:lpwstr>
  </property>
  <property fmtid="{D5CDD505-2E9C-101B-9397-08002B2CF9AE}" pid="12" name="SDLStudio">
    <vt:lpwstr/>
  </property>
  <property fmtid="{D5CDD505-2E9C-101B-9397-08002B2CF9AE}" pid="13" name="SendToEpades">
    <vt:lpwstr>OK - 2023/12/04 14:28</vt:lpwstr>
  </property>
  <property fmtid="{D5CDD505-2E9C-101B-9397-08002B2CF9AE}" pid="14" name="Bookout">
    <vt:lpwstr>OK - 2024/01/10 11:52</vt:lpwstr>
  </property>
</Properties>
</file>