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85AB2" w:rsidRPr="00A80DA9" w:rsidTr="00796D98">
        <w:trPr>
          <w:trHeight w:hRule="exact" w:val="1418"/>
        </w:trPr>
        <w:tc>
          <w:tcPr>
            <w:tcW w:w="6804" w:type="dxa"/>
            <w:shd w:val="clear" w:color="auto" w:fill="auto"/>
            <w:vAlign w:val="center"/>
          </w:tcPr>
          <w:p w:rsidR="00BE5062" w:rsidRPr="00A80DA9" w:rsidRDefault="008507C9" w:rsidP="00796D98">
            <w:pPr>
              <w:pStyle w:val="EPName"/>
            </w:pPr>
            <w:r w:rsidRPr="00A80DA9">
              <w:t>Europa-Parlamentet</w:t>
            </w:r>
          </w:p>
          <w:p w:rsidR="00BE5062" w:rsidRPr="00A80DA9" w:rsidRDefault="008507C9" w:rsidP="00415144">
            <w:pPr>
              <w:pStyle w:val="EPTerm"/>
            </w:pPr>
            <w:r w:rsidRPr="00A80DA9">
              <w:t>2019-2024</w:t>
            </w:r>
          </w:p>
        </w:tc>
        <w:tc>
          <w:tcPr>
            <w:tcW w:w="2268" w:type="dxa"/>
            <w:shd w:val="clear" w:color="auto" w:fill="auto"/>
          </w:tcPr>
          <w:p w:rsidR="00BE5062" w:rsidRPr="00A80DA9" w:rsidRDefault="008507C9" w:rsidP="00796D98">
            <w:pPr>
              <w:pStyle w:val="EPLogo"/>
            </w:pPr>
            <w:r w:rsidRPr="00A80D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80DA9" w:rsidRDefault="000E7234" w:rsidP="000E7234">
      <w:pPr>
        <w:pStyle w:val="LineTop"/>
      </w:pPr>
    </w:p>
    <w:p w:rsidR="000E7234" w:rsidRPr="00A80DA9" w:rsidRDefault="008507C9" w:rsidP="000E7234">
      <w:pPr>
        <w:pStyle w:val="EPBody"/>
      </w:pPr>
      <w:r w:rsidRPr="00A80DA9">
        <w:rPr>
          <w:rStyle w:val="HideTWBExt"/>
        </w:rPr>
        <w:t>&lt;</w:t>
      </w:r>
      <w:r w:rsidRPr="00A80DA9">
        <w:rPr>
          <w:rStyle w:val="HideTWBExt"/>
          <w:i w:val="0"/>
        </w:rPr>
        <w:t>Commission</w:t>
      </w:r>
      <w:r w:rsidRPr="00A80DA9">
        <w:rPr>
          <w:rStyle w:val="HideTWBExt"/>
        </w:rPr>
        <w:t>&gt;</w:t>
      </w:r>
      <w:r w:rsidRPr="00A80DA9">
        <w:rPr>
          <w:rStyle w:val="HideTWBInt"/>
          <w:color w:val="auto"/>
        </w:rPr>
        <w:t>{ECON}</w:t>
      </w:r>
      <w:r w:rsidRPr="00A80DA9">
        <w:t>Økonomi- og Valutaudvalget</w:t>
      </w:r>
      <w:r w:rsidRPr="00A80DA9">
        <w:rPr>
          <w:rStyle w:val="HideTWBExt"/>
        </w:rPr>
        <w:t>&lt;/</w:t>
      </w:r>
      <w:r w:rsidRPr="00A80DA9">
        <w:rPr>
          <w:rStyle w:val="HideTWBExt"/>
          <w:i w:val="0"/>
        </w:rPr>
        <w:t>Commission</w:t>
      </w:r>
      <w:r w:rsidRPr="00A80DA9">
        <w:rPr>
          <w:rStyle w:val="HideTWBExt"/>
        </w:rPr>
        <w:t>&gt;</w:t>
      </w:r>
    </w:p>
    <w:p w:rsidR="000E7234" w:rsidRPr="00A80DA9" w:rsidRDefault="000E7234" w:rsidP="000E7234">
      <w:pPr>
        <w:pStyle w:val="LineBottom"/>
      </w:pPr>
    </w:p>
    <w:p w:rsidR="00B85286" w:rsidRPr="00A80DA9" w:rsidRDefault="008507C9">
      <w:pPr>
        <w:pStyle w:val="CoverReference"/>
      </w:pPr>
      <w:r w:rsidRPr="00A80DA9">
        <w:rPr>
          <w:rStyle w:val="HideTWBExt"/>
          <w:b w:val="0"/>
        </w:rPr>
        <w:t>&lt;RefProc&gt;</w:t>
      </w:r>
      <w:r w:rsidRPr="00A80DA9">
        <w:t>2023/0210</w:t>
      </w:r>
      <w:r w:rsidRPr="00A80DA9">
        <w:rPr>
          <w:rStyle w:val="HideTWBExt"/>
          <w:b w:val="0"/>
        </w:rPr>
        <w:t>&lt;/RefProc&gt;&lt;RefTypeProc&gt;</w:t>
      </w:r>
      <w:r w:rsidRPr="00A80DA9">
        <w:t>(COD)</w:t>
      </w:r>
      <w:r w:rsidRPr="00A80DA9">
        <w:rPr>
          <w:rStyle w:val="HideTWBExt"/>
          <w:b w:val="0"/>
        </w:rPr>
        <w:t>&lt;/RefTypeProc&gt;</w:t>
      </w:r>
    </w:p>
    <w:p w:rsidR="00B85286" w:rsidRPr="00A80DA9" w:rsidRDefault="008507C9">
      <w:pPr>
        <w:pStyle w:val="CoverDate"/>
      </w:pPr>
      <w:r w:rsidRPr="00A80DA9">
        <w:rPr>
          <w:rStyle w:val="HideTWBExt"/>
        </w:rPr>
        <w:t>&lt;Date&gt;</w:t>
      </w:r>
      <w:r w:rsidRPr="00A80DA9">
        <w:rPr>
          <w:rStyle w:val="HideTWBInt"/>
          <w:color w:val="auto"/>
        </w:rPr>
        <w:t>{04/12/2023}</w:t>
      </w:r>
      <w:r w:rsidRPr="00A80DA9">
        <w:t>4.12.2023</w:t>
      </w:r>
      <w:r w:rsidRPr="00A80DA9">
        <w:rPr>
          <w:rStyle w:val="HideTWBExt"/>
        </w:rPr>
        <w:t>&lt;/Date&gt;</w:t>
      </w:r>
    </w:p>
    <w:p w:rsidR="009B0305" w:rsidRPr="00A80DA9" w:rsidRDefault="008507C9" w:rsidP="009B0305">
      <w:pPr>
        <w:pStyle w:val="CoverDocType"/>
      </w:pPr>
      <w:r w:rsidRPr="00A80DA9">
        <w:rPr>
          <w:rStyle w:val="HideTWBExt"/>
          <w:b w:val="0"/>
        </w:rPr>
        <w:t>&lt;TypeAM&gt;</w:t>
      </w:r>
      <w:r w:rsidRPr="00A80DA9">
        <w:t>ÆNDRINGSFORSLAG</w:t>
      </w:r>
      <w:r w:rsidRPr="00A80DA9">
        <w:rPr>
          <w:rStyle w:val="HideTWBExt"/>
          <w:b w:val="0"/>
        </w:rPr>
        <w:t>&lt;/TypeAM&gt;</w:t>
      </w:r>
    </w:p>
    <w:p w:rsidR="00B85286" w:rsidRPr="00A80DA9" w:rsidRDefault="008507C9" w:rsidP="001C2054">
      <w:pPr>
        <w:pStyle w:val="CoverDocType24a"/>
      </w:pPr>
      <w:r w:rsidRPr="00A80DA9">
        <w:rPr>
          <w:rStyle w:val="HideTWBExt"/>
          <w:b w:val="0"/>
        </w:rPr>
        <w:t>&lt;RangeAM&gt;</w:t>
      </w:r>
      <w:r w:rsidRPr="00A80DA9">
        <w:t>91 - 340</w:t>
      </w:r>
      <w:r w:rsidRPr="00A80DA9">
        <w:rPr>
          <w:rStyle w:val="HideTWBExt"/>
          <w:b w:val="0"/>
        </w:rPr>
        <w:t>&lt;/RangeAM&gt;</w:t>
      </w:r>
    </w:p>
    <w:p w:rsidR="001C2054" w:rsidRPr="00A80DA9" w:rsidRDefault="008507C9" w:rsidP="00A93F8C">
      <w:pPr>
        <w:pStyle w:val="CoverBold"/>
      </w:pPr>
      <w:r w:rsidRPr="00A80DA9">
        <w:rPr>
          <w:rStyle w:val="HideTWBExt"/>
          <w:b w:val="0"/>
        </w:rPr>
        <w:t>&lt;TitreType&gt;</w:t>
      </w:r>
      <w:r w:rsidRPr="00A80DA9">
        <w:t>Udkast til betænkning</w:t>
      </w:r>
      <w:r w:rsidRPr="00A80DA9">
        <w:rPr>
          <w:rStyle w:val="HideTWBExt"/>
          <w:b w:val="0"/>
        </w:rPr>
        <w:t>&lt;/TitreType&gt;</w:t>
      </w:r>
    </w:p>
    <w:p w:rsidR="00B85286" w:rsidRPr="00A80DA9" w:rsidRDefault="008507C9" w:rsidP="00A93F8C">
      <w:pPr>
        <w:pStyle w:val="CoverBold"/>
      </w:pPr>
      <w:r w:rsidRPr="00A80DA9">
        <w:rPr>
          <w:rStyle w:val="HideTWBExt"/>
          <w:b w:val="0"/>
        </w:rPr>
        <w:t>&lt;Rapporteur&gt;</w:t>
      </w:r>
      <w:r w:rsidRPr="00A80DA9">
        <w:t>Marek Belka</w:t>
      </w:r>
      <w:r w:rsidRPr="00A80DA9">
        <w:rPr>
          <w:rStyle w:val="HideTWBExt"/>
          <w:b w:val="0"/>
        </w:rPr>
        <w:t>&lt;/Rapporteur&gt;</w:t>
      </w:r>
    </w:p>
    <w:p w:rsidR="00B85286" w:rsidRPr="00A80DA9" w:rsidRDefault="008507C9">
      <w:pPr>
        <w:pStyle w:val="CoverNormal24a"/>
      </w:pPr>
      <w:r w:rsidRPr="00A80DA9">
        <w:rPr>
          <w:rStyle w:val="HideTWBExt"/>
        </w:rPr>
        <w:t>&lt;DocRefPE&gt;</w:t>
      </w:r>
      <w:r w:rsidRPr="00A80DA9">
        <w:t>(PE755.995v01-00)</w:t>
      </w:r>
      <w:r w:rsidRPr="00A80DA9">
        <w:rPr>
          <w:rStyle w:val="HideTWBExt"/>
        </w:rPr>
        <w:t>&lt;/DocRefPE&gt;</w:t>
      </w:r>
    </w:p>
    <w:p w:rsidR="00415144" w:rsidRPr="00A80DA9" w:rsidRDefault="008507C9" w:rsidP="00415144">
      <w:pPr>
        <w:pStyle w:val="CoverNormal"/>
      </w:pPr>
      <w:r w:rsidRPr="00A80DA9">
        <w:rPr>
          <w:rStyle w:val="HideTWBExt"/>
        </w:rPr>
        <w:t>&lt;Titre&gt;</w:t>
      </w:r>
      <w:r w:rsidRPr="00A80DA9">
        <w:t>Forslag til Europa-Parlamentets og Rådets forordning om betalingstjenester i det indre marked og om ændring af forordning (EU) nr. 1093/2010</w:t>
      </w:r>
    </w:p>
    <w:p w:rsidR="00B85286" w:rsidRPr="00A80DA9" w:rsidRDefault="008507C9">
      <w:pPr>
        <w:pStyle w:val="CoverNormal24a"/>
      </w:pPr>
      <w:r w:rsidRPr="00A80DA9">
        <w:rPr>
          <w:rStyle w:val="HideTWBExt"/>
        </w:rPr>
        <w:t>&lt;/Titre&gt;</w:t>
      </w:r>
    </w:p>
    <w:p w:rsidR="006337D4" w:rsidRPr="00A80DA9" w:rsidRDefault="008507C9" w:rsidP="006337D4">
      <w:pPr>
        <w:pStyle w:val="CoverNormal"/>
      </w:pPr>
      <w:r w:rsidRPr="00A80DA9">
        <w:rPr>
          <w:rStyle w:val="HideTWBExt"/>
        </w:rPr>
        <w:t>&lt;DocAmend&gt;</w:t>
      </w:r>
      <w:r w:rsidRPr="00A80DA9">
        <w:t>Forslag til forordning</w:t>
      </w:r>
      <w:r w:rsidRPr="00A80DA9">
        <w:rPr>
          <w:rStyle w:val="HideTWBExt"/>
        </w:rPr>
        <w:t>&lt;/DocAmend&gt;</w:t>
      </w:r>
    </w:p>
    <w:p w:rsidR="00B85286" w:rsidRPr="00A80DA9" w:rsidRDefault="008507C9">
      <w:pPr>
        <w:pStyle w:val="CoverNormal24a"/>
      </w:pPr>
      <w:r w:rsidRPr="00A80DA9">
        <w:rPr>
          <w:rStyle w:val="HideTWBExt"/>
        </w:rPr>
        <w:t>&lt;DocRef&gt;</w:t>
      </w:r>
      <w:r w:rsidRPr="00A80DA9">
        <w:t>(COM(2023)0367 – C9</w:t>
      </w:r>
      <w:r w:rsidRPr="00A80DA9">
        <w:noBreakHyphen/>
        <w:t>0217/2023 – 2023/0210(COD))</w:t>
      </w:r>
      <w:r w:rsidRPr="00A80DA9">
        <w:rPr>
          <w:rStyle w:val="HideTWBExt"/>
        </w:rPr>
        <w:t>&lt;/DocRef&gt;</w:t>
      </w:r>
    </w:p>
    <w:p w:rsidR="00B85286" w:rsidRPr="00A80DA9" w:rsidRDefault="008507C9" w:rsidP="00E660E2">
      <w:pPr>
        <w:widowControl/>
        <w:tabs>
          <w:tab w:val="center" w:pos="4677"/>
        </w:tabs>
      </w:pPr>
      <w:r w:rsidRPr="00A80DA9">
        <w:br w:type="page"/>
      </w:r>
      <w:r w:rsidRPr="00A80DA9">
        <w:lastRenderedPageBreak/>
        <w:t>AM_Com_LegReport</w:t>
      </w:r>
    </w:p>
    <w:p w:rsidR="0047667D" w:rsidRPr="00A80DA9" w:rsidRDefault="008507C9" w:rsidP="0047667D">
      <w:pPr>
        <w:pStyle w:val="AMNumberTabs0"/>
        <w:keepNext/>
      </w:pPr>
      <w:r w:rsidRPr="00A80DA9">
        <w:br w:type="page"/>
      </w:r>
      <w:r w:rsidRPr="00A80DA9">
        <w:rPr>
          <w:rStyle w:val="HideTWBExt"/>
          <w:b w:val="0"/>
        </w:rPr>
        <w:lastRenderedPageBreak/>
        <w:t>&lt;RepeatBlock-Amend&gt;&lt;Amend&gt;</w:t>
      </w:r>
      <w:r w:rsidRPr="00A80DA9">
        <w:t>Ændringsforslag</w:t>
      </w:r>
      <w:r w:rsidRPr="00A80DA9">
        <w:tab/>
      </w:r>
      <w:r w:rsidRPr="00A80DA9">
        <w:tab/>
      </w:r>
      <w:r w:rsidRPr="00A80DA9">
        <w:rPr>
          <w:rStyle w:val="HideTWBExt"/>
          <w:b w:val="0"/>
        </w:rPr>
        <w:t>&lt;NumAm&gt;</w:t>
      </w:r>
      <w:r w:rsidRPr="00A80DA9">
        <w:t>91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(10)</w:t>
            </w:r>
            <w:r w:rsidRPr="00A80DA9">
              <w:tab/>
              <w:t>For yderligere at forbedre adgangen til kontanter, hvilket er en prioritet for Kommissionen, bør de forretningsdrivende have mulighed for i fysiske butikker at tilbyde kontanttjenester, også uden en kunde foretager et køb, uden at skulle indhente tilladelse fra en betalingstjenesteudbyder eller være agent for et betalingsinstitut. Disse kontanttjenester bør dog være omfattet af forpligtelsen til at oplyse om eventuelle gebyrer, der opkræves fra kunden. Disse tjenester bør leveres af detailhandlere på frivillig basis og bør afhænge af, om detailhandleren har kontanter til rådighed.</w:t>
            </w:r>
          </w:p>
        </w:tc>
        <w:tc>
          <w:tcPr>
            <w:tcW w:w="4876" w:type="dxa"/>
            <w:hideMark/>
          </w:tcPr>
          <w:p w:rsidR="0047667D" w:rsidRPr="00A80DA9" w:rsidRDefault="008507C9">
            <w:pPr>
              <w:pStyle w:val="Normal6"/>
              <w:rPr>
                <w:szCs w:val="24"/>
              </w:rPr>
            </w:pPr>
            <w:r w:rsidRPr="00A80DA9">
              <w:t xml:space="preserve"> </w:t>
            </w:r>
            <w:r w:rsidRPr="00A80DA9">
              <w:tab/>
            </w:r>
            <w:r w:rsidRPr="00A80DA9">
              <w:rPr>
                <w:i/>
                <w:iCs/>
              </w:rPr>
              <w:t>(Vedrører ikke den danske tekst)</w:t>
            </w:r>
            <w:r>
              <w:t xml:space="preserve"> </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92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(13)</w:t>
            </w:r>
            <w:r w:rsidRPr="00A80DA9">
              <w:tab/>
              <w:t>For at vurdere, om et begrænset netværk bør udelukkes fra anvendelsesområdet, bør den geografiske placering af acceptpunkterne for et sådant netværk samt antallet af acceptpunkter tages i betragtning. Instrumenter til specifikke formål bør kun give indehaveren mulighed for at erhverve varer eller tjenesteydelser i udstederens fysiske lokaler, mens brug i en onlinebutik ikke bør være omfattet af begrebet "udstederens lokaler". Instrumenter til specifikke formål bør, afhængigt af den respektive kontraktordning, omfatte kort, der kun kan anvendes i en bestemt kæde af butikker eller et bestemt indkøbscenter, brændstofkort, medlemskort, kort til offentlig transport, parkeringsbilletter</w:t>
            </w:r>
            <w:r w:rsidRPr="00A80DA9">
              <w:rPr>
                <w:b/>
                <w:i/>
              </w:rPr>
              <w:t>, spisebilletter</w:t>
            </w:r>
            <w:r w:rsidRPr="00A80DA9">
              <w:t xml:space="preserve"> eller vouchere til specifikke tjenesteydelser, som kan være underlagt en specifik skatte- eller arbejdsretlig ramme, der har til formål at fremme anvendelsen af sådanne instrumenter for at opfylde målene i den sociale lovgivning, såsom børnepasningsvouchere eller økologiske vouchere. Instrumenter til specifikke formål bør også omfatte elektroniske pengebaserede instrumenter, når de opfylder kravene i denne undtagelse. Betalingsinstrumenter, der kan anvendes til køb i butikker tilhørende børsnoterede handlende, bør ikke udelukkes, da sådanne instrumenter typisk er udformet til et netværk af tjenesteudbydere, som er i konstant vækst.</w:t>
            </w:r>
          </w:p>
        </w:tc>
        <w:tc>
          <w:tcPr>
            <w:tcW w:w="4876" w:type="dxa"/>
            <w:hideMark/>
          </w:tcPr>
          <w:p w:rsidR="0047667D" w:rsidRPr="00A80DA9" w:rsidRDefault="008507C9">
            <w:pPr>
              <w:pStyle w:val="Normal6"/>
              <w:rPr>
                <w:szCs w:val="24"/>
              </w:rPr>
            </w:pPr>
            <w:r w:rsidRPr="00A80DA9">
              <w:t>(13)</w:t>
            </w:r>
            <w:r w:rsidRPr="00A80DA9">
              <w:tab/>
              <w:t>For at vurdere, om et begrænset netværk bør udelukkes fra anvendelsesområdet, bør den geografiske placering af acceptpunkterne for et sådant netværk samt antallet af acceptpunkter tages i betragtning. Instrumenter til specifikke formål bør kun give indehaveren mulighed for at erhverve varer eller tjenesteydelser i udstederens fysiske lokaler, mens brug i en onlinebutik ikke bør være omfattet af begrebet "udstederens lokaler". Instrumenter til specifikke formål bør, afhængigt af den respektive kontraktordning, omfatte kort, der kun kan anvendes i en bestemt kæde af butikker eller et bestemt indkøbscenter, brændstofkort, medlemskort, kort til offentlig transport, parkeringsbilletter eller vouchere til specifikke tjenesteydelser, som kan være underlagt en specifik skatte- eller arbejdsretlig ramme, der har til formål at fremme anvendelsen af sådanne instrumenter for at opfylde målene i den sociale lovgivning, såsom børnepasningsvouchere eller økologiske vouchere. Instrumenter til specifikke formål bør også omfatte elektroniske pengebaserede instrumenter, når de opfylder kravene i denne undtagelse. Betalingsinstrumenter, der kan anvendes til køb i butikker tilhørende børsnoterede handlende, bør ikke udelukkes, da sådanne instrumenter typisk er udformet til et netværk af tjenesteudbydere, som er i konstant vækst.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93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15</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(15)</w:t>
            </w:r>
            <w:r w:rsidRPr="00A80DA9">
              <w:tab/>
              <w:t xml:space="preserve">Det fælles eurobetalingsområde (SEPA) har lettet oprettelse af fælleseuropæiske "betalingsfabrikker" og "opkrævningsfabrikker", som muliggør centralisering af betalingstransaktioner inden for samme koncern. I denne henseende bør betalingstransaktioner mellem en modervirksomhed og dens dattervirksomheder eller mellem dattervirksomheder af samme modervirksomhed, der leveres af en betalingstjenesteudbyder, som tilhører samme koncern, undtages fra denne forordnings anvendelsesområde. En modervirksomheds eller dens dattervirksomheds samling af betalingsordrer på vegne af koncernen </w:t>
            </w:r>
            <w:r w:rsidRPr="00A80DA9">
              <w:rPr>
                <w:b/>
                <w:i/>
              </w:rPr>
              <w:t>med henblik på videresendelse til en anden betalingstjenesteudbyder</w:t>
            </w:r>
            <w:r w:rsidRPr="00A80DA9">
              <w:t xml:space="preserve"> bør ikke betragtes som en betalingstjeneste.</w:t>
            </w:r>
          </w:p>
        </w:tc>
        <w:tc>
          <w:tcPr>
            <w:tcW w:w="4876" w:type="dxa"/>
            <w:hideMark/>
          </w:tcPr>
          <w:p w:rsidR="0047667D" w:rsidRPr="00A80DA9" w:rsidRDefault="008507C9">
            <w:pPr>
              <w:pStyle w:val="Normal6"/>
              <w:rPr>
                <w:szCs w:val="24"/>
              </w:rPr>
            </w:pPr>
            <w:r w:rsidRPr="00A80DA9">
              <w:t>(15)</w:t>
            </w:r>
            <w:r w:rsidRPr="00A80DA9">
              <w:tab/>
              <w:t xml:space="preserve">Det fælles eurobetalingsområde (SEPA) har lettet oprettelse af fælleseuropæiske "betalingsfabrikker" og "opkrævningsfabrikker", som muliggør centralisering af betalingstransaktioner inden for samme koncern. I denne henseende bør betalingstransaktioner mellem en modervirksomhed og dens dattervirksomheder eller mellem dattervirksomheder af samme modervirksomhed, der leveres af en betalingstjenesteudbyder, som tilhører samme koncern, undtages fra denne forordnings anvendelsesområde. En modervirksomheds eller dens dattervirksomheds samling af betalingsordrer </w:t>
            </w:r>
            <w:r w:rsidRPr="00A80DA9">
              <w:rPr>
                <w:b/>
                <w:i/>
              </w:rPr>
              <w:t>og modtagelse af midler</w:t>
            </w:r>
            <w:r w:rsidRPr="00A80DA9">
              <w:t xml:space="preserve"> på vegne af </w:t>
            </w:r>
            <w:r w:rsidRPr="00A80DA9">
              <w:rPr>
                <w:b/>
                <w:i/>
              </w:rPr>
              <w:t>enheder i</w:t>
            </w:r>
            <w:r w:rsidRPr="00A80DA9">
              <w:t xml:space="preserve"> koncernen bør ikke betragtes som en betalingstjeneste.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94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17</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(17)</w:t>
            </w:r>
            <w:r w:rsidRPr="00A80DA9">
              <w:tab/>
              <w:t>Tekniske tjenester udgør ikke betalingstjenester som sådan, da udbydere af tekniske tjenester ikke på noget tidspunkt kommer i besiddelse af de midler, der skal overføres. De bør derfor udelukkes fra definitionen af betalingstjenester. Disse tjenester bør dog være underlagt visse krav, f.eks. om ansvar for manglende støtte til anvendelse af stærk kundeautentifikation</w:t>
            </w:r>
            <w:r w:rsidRPr="00A80DA9">
              <w:rPr>
                <w:b/>
                <w:i/>
              </w:rPr>
              <w:t xml:space="preserve"> eller kravet om at indgå outsourcingaftaler med betalingstjenesteudbydere, hvis udbydere af tekniske tjenester skal levere og verificere elementerne af stærk kundeautentifikation</w:t>
            </w:r>
            <w:r w:rsidRPr="00A80DA9">
              <w:t xml:space="preserve">. </w:t>
            </w:r>
            <w:r w:rsidRPr="00A80DA9">
              <w:rPr>
                <w:b/>
                <w:i/>
              </w:rPr>
              <w:t>Der bør også være krav om opsigelsesgebyrer for rammeaftaler, hvor betalingstjenester udbydes sammen med tekniske tjenester.</w:t>
            </w:r>
          </w:p>
        </w:tc>
        <w:tc>
          <w:tcPr>
            <w:tcW w:w="4876" w:type="dxa"/>
            <w:hideMark/>
          </w:tcPr>
          <w:p w:rsidR="0047667D" w:rsidRPr="00A80DA9" w:rsidRDefault="008507C9">
            <w:pPr>
              <w:pStyle w:val="Normal6"/>
              <w:rPr>
                <w:szCs w:val="24"/>
              </w:rPr>
            </w:pPr>
            <w:r w:rsidRPr="00A80DA9">
              <w:t>(17)</w:t>
            </w:r>
            <w:r w:rsidRPr="00A80DA9">
              <w:tab/>
              <w:t>Tekniske tjenester udgør ikke betalingstjenester som sådan, da udbydere af tekniske tjenester ikke på noget tidspunkt kommer i besiddelse af de midler, der skal overføres. De bør derfor udelukkes fra definitionen af betalingstjenester. Disse tjenester bør dog være underlagt visse krav, f.eks. om ansvar for manglende støtte til anvendelse af stærk kundeautentifikation.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95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24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(24)</w:t>
            </w:r>
            <w:r w:rsidRPr="00A80DA9">
              <w:tab/>
              <w:t>Såkaldte digitale "pass-through-tegnebøger", der indebærer tokenisering af et eksisterende betalingsinstrument, f.eks. et betalingskort, skal betragtes som tekniske tjenester og bør derfor udelukkes fra definitionen af betalingsinstrument, da en token efter Kommissionens opfattelse ikke i sig selv kan betragtes som et betalingsinstrument, men snarere som en "betalingsapplikation" som omhandlet i artikel 2, stk. 21, i Europa-Parlamentets og Rådets forordning (EU) 2015/751</w:t>
            </w:r>
            <w:r w:rsidRPr="00A80DA9">
              <w:rPr>
                <w:vertAlign w:val="superscript"/>
              </w:rPr>
              <w:t>39</w:t>
            </w:r>
            <w:r w:rsidRPr="00A80DA9">
              <w:t>. Visse andre kategorier af digitale tegnebøger, nemlig forudbetalte elektroniske tegnebøger såsom "staged-tegnebøger", hvor brugerne kan lagre penge til fremtidige onlinetransaktioner, bør dog betragtes som et betalingsinstrument og udstedelsen af dem som en betalingstjeneste.</w:t>
            </w:r>
          </w:p>
        </w:tc>
        <w:tc>
          <w:tcPr>
            <w:tcW w:w="4876" w:type="dxa"/>
            <w:hideMark/>
          </w:tcPr>
          <w:p w:rsidR="0047667D" w:rsidRPr="00A80DA9" w:rsidRDefault="008507C9">
            <w:pPr>
              <w:pStyle w:val="Normal6"/>
              <w:rPr>
                <w:szCs w:val="24"/>
              </w:rPr>
            </w:pPr>
            <w:r w:rsidRPr="00A80DA9">
              <w:t>(24)</w:t>
            </w:r>
            <w:r w:rsidRPr="00A80DA9">
              <w:tab/>
              <w:t>Såkaldte digitale "pass-through-tegnebøger", der indebærer tokenisering af et eksisterende betalingsinstrument, f.eks. et betalingskort, skal betragtes som tekniske tjenester og bør derfor udelukkes fra definitionen af betalingsinstrument, da en token efter Kommissionens opfattelse ikke i sig selv kan betragtes som et betalingsinstrument, men snarere som en "betalingsapplikation" som omhandlet i artikel 2, stk. 21, i Europa-Parlamentets og Rådets forordning (EU) 2015/751</w:t>
            </w:r>
            <w:r w:rsidRPr="00A80DA9">
              <w:rPr>
                <w:vertAlign w:val="superscript"/>
              </w:rPr>
              <w:t>39</w:t>
            </w:r>
            <w:r w:rsidRPr="00A80DA9">
              <w:t>. Visse andre kategorier af digitale tegnebøger, nemlig forudbetalte elektroniske tegnebøger såsom "staged-tegnebøger", hvor brugerne kan lagre penge til fremtidige onlinetransaktioner, bør dog betragtes som et betalingsinstrument og udstedelsen af dem som en betalingstjeneste</w:t>
            </w:r>
            <w:r w:rsidRPr="00A80DA9">
              <w:rPr>
                <w:b/>
                <w:i/>
              </w:rPr>
              <w:t>, medmindre sådanne instrumenter kun udstedes for at opfylde kravene i artikel 70, stk. 2 og 3, i forordning (EU) 2023/1114 (MiCA-forordningen)</w:t>
            </w:r>
            <w:r w:rsidRPr="00A80DA9">
              <w:t>.</w:t>
            </w:r>
          </w:p>
        </w:tc>
      </w:tr>
      <w:tr w:rsidR="00285AB2" w:rsidRPr="00A80DA9" w:rsidTr="0047667D">
        <w:trPr>
          <w:jc w:val="center"/>
        </w:trPr>
        <w:tc>
          <w:tcPr>
            <w:tcW w:w="4876" w:type="dxa"/>
            <w:hideMark/>
          </w:tcPr>
          <w:p w:rsidR="0047667D" w:rsidRPr="00A80DA9" w:rsidRDefault="008507C9">
            <w:pPr>
              <w:pStyle w:val="Normal6"/>
            </w:pPr>
            <w:r w:rsidRPr="00A80DA9">
              <w:t>__________________</w:t>
            </w:r>
          </w:p>
        </w:tc>
        <w:tc>
          <w:tcPr>
            <w:tcW w:w="4876" w:type="dxa"/>
            <w:hideMark/>
          </w:tcPr>
          <w:p w:rsidR="0047667D" w:rsidRPr="00A80DA9" w:rsidRDefault="008507C9">
            <w:pPr>
              <w:pStyle w:val="Normal6"/>
              <w:rPr>
                <w:szCs w:val="24"/>
              </w:rPr>
            </w:pPr>
            <w:r w:rsidRPr="00A80DA9">
              <w:t>__________________</w:t>
            </w:r>
          </w:p>
        </w:tc>
      </w:tr>
      <w:tr w:rsidR="00285AB2" w:rsidRPr="00A80DA9" w:rsidTr="0047667D">
        <w:trPr>
          <w:jc w:val="center"/>
        </w:trPr>
        <w:tc>
          <w:tcPr>
            <w:tcW w:w="4876" w:type="dxa"/>
            <w:hideMark/>
          </w:tcPr>
          <w:p w:rsidR="0047667D" w:rsidRPr="00A80DA9" w:rsidRDefault="008507C9">
            <w:pPr>
              <w:pStyle w:val="Normal6"/>
            </w:pPr>
            <w:r w:rsidRPr="00A80DA9">
              <w:rPr>
                <w:vertAlign w:val="superscript"/>
              </w:rPr>
              <w:t>39</w:t>
            </w:r>
            <w:r w:rsidRPr="00A80DA9">
              <w:t xml:space="preserve"> Europa-Parlamentets og Rådets forordning (EU) 2015/751 af 29. april 2015 om interbankgebyrer for kortbaserede betalingstransaktioner (EUT L 123 af 19.5.2015, s. 1).</w:t>
            </w:r>
          </w:p>
        </w:tc>
        <w:tc>
          <w:tcPr>
            <w:tcW w:w="4876" w:type="dxa"/>
            <w:hideMark/>
          </w:tcPr>
          <w:p w:rsidR="0047667D" w:rsidRPr="00A80DA9" w:rsidRDefault="008507C9">
            <w:pPr>
              <w:pStyle w:val="Normal6"/>
              <w:rPr>
                <w:szCs w:val="24"/>
              </w:rPr>
            </w:pPr>
            <w:r w:rsidRPr="00A80DA9">
              <w:rPr>
                <w:vertAlign w:val="superscript"/>
              </w:rPr>
              <w:t>39</w:t>
            </w:r>
            <w:r w:rsidRPr="00A80DA9">
              <w:t xml:space="preserve"> Europa-Parlamentets og Rådets forordning (EU) 2015/751 af 29. april 2015 om interbankgebyrer for kortbaserede betalingstransaktioner (EUT L 123 af 19.5.2015, s. 1).</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96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28</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(28)</w:t>
            </w:r>
            <w:r w:rsidRPr="00A80DA9">
              <w:tab/>
              <w:t xml:space="preserve">Definitionen af midler bør omfatte </w:t>
            </w:r>
            <w:r w:rsidRPr="00A80DA9">
              <w:rPr>
                <w:b/>
                <w:i/>
              </w:rPr>
              <w:t>alle former for</w:t>
            </w:r>
            <w:r w:rsidRPr="00A80DA9">
              <w:t xml:space="preserve"> centralbankpenge, der udstedes til detailbrug, </w:t>
            </w:r>
            <w:r w:rsidRPr="00A80DA9">
              <w:rPr>
                <w:b/>
                <w:i/>
              </w:rPr>
              <w:t>herunder</w:t>
            </w:r>
            <w:r w:rsidRPr="00A80DA9">
              <w:t xml:space="preserve"> sedler og mønter, og </w:t>
            </w:r>
            <w:r w:rsidRPr="00A80DA9">
              <w:rPr>
                <w:b/>
                <w:i/>
              </w:rPr>
              <w:t>eventuelle fremtidige digitale centralbankpenge,</w:t>
            </w:r>
            <w:r w:rsidRPr="00A80DA9">
              <w:t xml:space="preserve"> e-penge og kommercielle bankpenge. Centralbankpenge, der er udstedt til brug mellem centralbanken og forretningsbankerne, dvs. til engrossalg, bør ikke være omfattet.</w:t>
            </w:r>
          </w:p>
        </w:tc>
        <w:tc>
          <w:tcPr>
            <w:tcW w:w="4876" w:type="dxa"/>
            <w:hideMark/>
          </w:tcPr>
          <w:p w:rsidR="0047667D" w:rsidRPr="00A80DA9" w:rsidRDefault="008507C9">
            <w:pPr>
              <w:pStyle w:val="Normal6"/>
              <w:rPr>
                <w:szCs w:val="24"/>
              </w:rPr>
            </w:pPr>
            <w:r w:rsidRPr="00A80DA9">
              <w:t>(28)</w:t>
            </w:r>
            <w:r w:rsidRPr="00A80DA9">
              <w:tab/>
              <w:t xml:space="preserve">Definitionen af midler bør omfatte centralbankpenge, der udstedes til detailbrug, </w:t>
            </w:r>
            <w:r w:rsidRPr="00A80DA9">
              <w:rPr>
                <w:b/>
                <w:i/>
              </w:rPr>
              <w:t>bl.a.</w:t>
            </w:r>
            <w:r w:rsidRPr="00A80DA9">
              <w:t xml:space="preserve"> sedler og mønter, og e-penge og kommercielle bankpenge. Centralbankpenge, der er udstedt til brug mellem centralbanken og forretningsbankerne, dvs. til engrossalg, bør ikke være omfattet.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97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28</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(28)</w:t>
            </w:r>
            <w:r w:rsidRPr="00A80DA9">
              <w:tab/>
              <w:t xml:space="preserve">Definitionen af midler bør omfatte alle former for </w:t>
            </w:r>
            <w:r w:rsidRPr="00A80DA9">
              <w:rPr>
                <w:b/>
                <w:i/>
              </w:rPr>
              <w:t>centralbankpenge</w:t>
            </w:r>
            <w:r w:rsidRPr="00A80DA9">
              <w:t>, der udstedes til detailbrug, herunder sedler og mønter</w:t>
            </w:r>
            <w:r w:rsidRPr="00A80DA9">
              <w:rPr>
                <w:b/>
                <w:i/>
              </w:rPr>
              <w:t>, og eventuelle fremtidige digitale centralbankpenge</w:t>
            </w:r>
            <w:r w:rsidRPr="00A80DA9">
              <w:t>, e-penge og kommercielle bankpenge. Centralbankpenge, der er udstedt til brug mellem centralbanken og forretningsbankerne, dvs. til engrossalg, bør ikke være omfattet.</w:t>
            </w:r>
          </w:p>
        </w:tc>
        <w:tc>
          <w:tcPr>
            <w:tcW w:w="4876" w:type="dxa"/>
            <w:hideMark/>
          </w:tcPr>
          <w:p w:rsidR="0047667D" w:rsidRPr="00A80DA9" w:rsidRDefault="008507C9">
            <w:pPr>
              <w:pStyle w:val="Normal6"/>
              <w:rPr>
                <w:szCs w:val="24"/>
              </w:rPr>
            </w:pPr>
            <w:r w:rsidRPr="00A80DA9">
              <w:t>(28)</w:t>
            </w:r>
            <w:r w:rsidRPr="00A80DA9">
              <w:tab/>
              <w:t xml:space="preserve">Definitionen af midler bør omfatte alle former for </w:t>
            </w:r>
            <w:r w:rsidRPr="00A80DA9">
              <w:rPr>
                <w:b/>
                <w:i/>
              </w:rPr>
              <w:t>penge</w:t>
            </w:r>
            <w:r w:rsidRPr="00A80DA9">
              <w:t>, der udstedes til detailbrug, herunder sedler og mønter, e-penge</w:t>
            </w:r>
            <w:r w:rsidRPr="00A80DA9">
              <w:rPr>
                <w:b/>
                <w:i/>
              </w:rPr>
              <w:t>, aktivbaserede tokens</w:t>
            </w:r>
            <w:r w:rsidRPr="00A80DA9">
              <w:t xml:space="preserve"> og kommercielle bankpenge. Centralbankpenge, der er udstedt til brug mellem centralbanken og forretningsbankerne, dvs. til engrossalg, bør ikke være omfattet.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98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29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(29)</w:t>
            </w:r>
            <w:r w:rsidRPr="00A80DA9">
              <w:tab/>
              <w:t>Forordning (EU) 2023/1114 af 31. maj 2023 om markeder for kryptoaktiver fastsætter, at elektroniske pengetokens anses for at være elektroniske penge. Elektroniske pengetokens er derfor som elektroniske penge omfattet af definitionen af midler i denne forordning.</w:t>
            </w:r>
          </w:p>
        </w:tc>
        <w:tc>
          <w:tcPr>
            <w:tcW w:w="4876" w:type="dxa"/>
            <w:hideMark/>
          </w:tcPr>
          <w:p w:rsidR="0047667D" w:rsidRPr="00A80DA9" w:rsidRDefault="008507C9">
            <w:pPr>
              <w:pStyle w:val="Normal6"/>
              <w:rPr>
                <w:szCs w:val="24"/>
              </w:rPr>
            </w:pPr>
            <w:r w:rsidRPr="00A80DA9">
              <w:t>(29)</w:t>
            </w:r>
            <w:r w:rsidRPr="00A80DA9">
              <w:tab/>
              <w:t xml:space="preserve">Forordning (EU) 2023/1114 af 31. maj 2023 om markeder for kryptoaktiver fastsætter, at elektroniske pengetokens </w:t>
            </w:r>
            <w:r w:rsidRPr="00A80DA9">
              <w:rPr>
                <w:b/>
                <w:i/>
              </w:rPr>
              <w:t>og aktivbaserede tokens</w:t>
            </w:r>
            <w:r w:rsidRPr="00A80DA9">
              <w:t xml:space="preserve"> anses for at være elektroniske penge. Elektroniske pengetokens </w:t>
            </w:r>
            <w:r w:rsidRPr="00A80DA9">
              <w:rPr>
                <w:b/>
                <w:i/>
              </w:rPr>
              <w:t>og aktivbaserede tokens</w:t>
            </w:r>
            <w:r w:rsidRPr="00A80DA9">
              <w:t xml:space="preserve"> er derfor som elektroniske penge omfattet af definitionen af midler i denne forordning.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99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29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(29)</w:t>
            </w:r>
            <w:r w:rsidRPr="00A80DA9">
              <w:tab/>
              <w:t>Forordning (EU) 2023/1114 af 31. maj 2023 om markeder for kryptoaktiver fastsætter, at elektroniske pengetokens anses for at være elektroniske penge.</w:t>
            </w:r>
            <w:r w:rsidRPr="00A80DA9">
              <w:rPr>
                <w:b/>
                <w:i/>
              </w:rPr>
              <w:t xml:space="preserve"> Elektroniske pengetokens er derfor som elektroniske penge omfattet af definitionen af midler i</w:t>
            </w:r>
            <w:r w:rsidRPr="00A80DA9">
              <w:t xml:space="preserve"> denne </w:t>
            </w:r>
            <w:r w:rsidRPr="00A80DA9">
              <w:rPr>
                <w:b/>
                <w:i/>
              </w:rPr>
              <w:t>forordning</w:t>
            </w:r>
            <w:r w:rsidRPr="00A80DA9">
              <w:t>.</w:t>
            </w:r>
          </w:p>
        </w:tc>
        <w:tc>
          <w:tcPr>
            <w:tcW w:w="4876" w:type="dxa"/>
            <w:hideMark/>
          </w:tcPr>
          <w:p w:rsidR="0047667D" w:rsidRPr="00A80DA9" w:rsidRDefault="008507C9">
            <w:pPr>
              <w:pStyle w:val="Normal6"/>
              <w:rPr>
                <w:szCs w:val="24"/>
              </w:rPr>
            </w:pPr>
            <w:r w:rsidRPr="00A80DA9">
              <w:t>(29)</w:t>
            </w:r>
            <w:r w:rsidRPr="00A80DA9">
              <w:tab/>
              <w:t xml:space="preserve">Forordning (EU) 2023/1114 af 31. maj 2023 om markeder for kryptoaktiver fastsætter, at elektroniske pengetokens anses for at være elektroniske </w:t>
            </w:r>
            <w:r w:rsidRPr="00A80DA9">
              <w:rPr>
                <w:b/>
                <w:i/>
              </w:rPr>
              <w:t>med henblik på denne forordning</w:t>
            </w:r>
            <w:r w:rsidRPr="00A80DA9">
              <w:t>.</w:t>
            </w:r>
            <w:r w:rsidRPr="00A80DA9">
              <w:rPr>
                <w:b/>
                <w:i/>
              </w:rPr>
              <w:t xml:space="preserve"> For at undgå overlappende krav er det vigtigt, at bestemmelserne i denne forordning klart angiver, hvor elektroniske pengetokens</w:t>
            </w:r>
            <w:r w:rsidRPr="00A80DA9">
              <w:t xml:space="preserve"> </w:t>
            </w:r>
            <w:r w:rsidRPr="00A80DA9">
              <w:rPr>
                <w:b/>
                <w:i/>
              </w:rPr>
              <w:t>bør være omfattet af</w:t>
            </w:r>
            <w:r w:rsidRPr="00A80DA9">
              <w:t xml:space="preserve"> denne </w:t>
            </w:r>
            <w:r w:rsidRPr="00A80DA9">
              <w:rPr>
                <w:b/>
                <w:i/>
              </w:rPr>
              <w:t>forordnings bestemmelser</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31 a (ny)</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(31a)</w:t>
            </w:r>
            <w:r w:rsidRPr="00A80DA9">
              <w:rPr>
                <w:b/>
                <w:i/>
              </w:rPr>
              <w:tab/>
              <w:t>Ved behandling af digitale betalinger online eller offline er det vigtigt, at udstedende betalingstjenesteudbydere får adgang til Near Field Communication-teknologi (NFC) på mobile enheder. Disse komponenter omfatter navnlig, men ikke udelukkende, NFC-antenner og de såkaldte sikre elementer på mobile enheder (f.eks.: Universal Integrated Circuit Card (UICC), indbygget SE (eSE) og microSD osv.). Derfor er det nødvendigt at sikre, at når der er behov for at levere betalingstjenester, vil fabrikanter af originaludstyr til mobile enheder eller udbydere af elektroniske kommunikationstjenester ikke nægte adgangen til NFC-antenner og sikre elementer. For også at sikre dette i den digitale økonomi bør udstedende betalingstjenesteudbydere have tilladelse til at lagre software på relevante mobile enheders hardware for at gøre transaktionerne teknisk mulige både online og offline. Med henblik på dette bør fabrikanter af originaludstyr til mobile enheder og udbydere af elektroniske kommunikationstjenester være forpligtede til at give adgang til alle hardware- og softwarekomponenter på rimelige og ikkediskriminerende vilkår, når dette er nødvendigt for online- og offlinetransaktioner. I alle tilfælde bør sådanne erhvervsdrivende være forpligtede til at stille tilstrækkelig kapacitet til rådighed på relevante hardware- og softwarefunktioner i mobile enheder med henblik på behandling af online betalingstransaktioner og til lagring af midler på mobile enheder til offline betalingstransaktioner. Denne forpligtelse bør være med forbehold af artikel 6, stk. 7, i forordning (EU) 2022/1925, som forpligter gatekeepere til at give gratis effektiv interoperabilitet med og adgang med henblik på interoperabilitet til styresystemet, hardware og softwarefunktioner på mobile enheder, som er tilgængelige for eksisterende og nye digitale betalingsformer.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39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(39)</w:t>
            </w:r>
            <w:r w:rsidRPr="00A80DA9">
              <w:tab/>
              <w:t>Da forbrugere og virksomheder ikke er i samme sårbare situation, har de ikke behov for det samme beskyttelsesniveau. Mens det er vigtigt at sikre forbrugerrettigheder ved bestemmelser, der ikke kan fraviges ved aftale, er det rimeligt at give virksomheder og organisationer mulighed for at indgå andre aftaler, når de ikke har at gøre med forbrugere. Mikrovirksomheder som defineret i Kommissionens henstilling 2003/361/EF</w:t>
            </w:r>
            <w:r w:rsidRPr="00A80DA9">
              <w:rPr>
                <w:vertAlign w:val="superscript"/>
              </w:rPr>
              <w:t>44</w:t>
            </w:r>
            <w:r w:rsidRPr="00A80DA9">
              <w:t xml:space="preserve"> kan behandles på samme måde som forbrugere. Visse regler bør altid finde anvendelse, uanset brugerens status.</w:t>
            </w:r>
          </w:p>
        </w:tc>
        <w:tc>
          <w:tcPr>
            <w:tcW w:w="4876" w:type="dxa"/>
            <w:hideMark/>
          </w:tcPr>
          <w:p w:rsidR="0047667D" w:rsidRPr="00A80DA9" w:rsidRDefault="008507C9">
            <w:pPr>
              <w:pStyle w:val="Normal6"/>
              <w:rPr>
                <w:szCs w:val="24"/>
              </w:rPr>
            </w:pPr>
            <w:r w:rsidRPr="00A80DA9">
              <w:t>(39)</w:t>
            </w:r>
            <w:r w:rsidRPr="00A80DA9">
              <w:tab/>
              <w:t xml:space="preserve">Da forbrugere og virksomheder ikke er i samme sårbare situation, har de ikke behov for det samme beskyttelsesniveau. Mens det er vigtigt at sikre forbrugerrettigheder ved bestemmelser, der ikke kan fraviges ved aftale, er det rimeligt at give virksomheder og organisationer mulighed for at indgå andre aftaler, når de ikke har at gøre med forbrugere. </w:t>
            </w:r>
            <w:r w:rsidRPr="00A80DA9">
              <w:rPr>
                <w:b/>
                <w:i/>
              </w:rPr>
              <w:t>Dette kan omfatte anvendelse af stærk kundeautentifikation.</w:t>
            </w:r>
            <w:r w:rsidRPr="00A80DA9">
              <w:t xml:space="preserve"> Mikrovirksomheder som defineret i Kommissionens henstilling 2003/361/EF</w:t>
            </w:r>
            <w:r w:rsidRPr="00A80DA9">
              <w:rPr>
                <w:vertAlign w:val="superscript"/>
              </w:rPr>
              <w:t>44</w:t>
            </w:r>
            <w:r w:rsidRPr="00A80DA9">
              <w:t xml:space="preserve"> kan behandles på samme måde som forbrugere. Visse regler bør altid finde anvendelse, uanset brugerens status.</w:t>
            </w:r>
          </w:p>
        </w:tc>
      </w:tr>
      <w:tr w:rsidR="00285AB2" w:rsidRPr="00A80DA9" w:rsidTr="0047667D">
        <w:trPr>
          <w:jc w:val="center"/>
        </w:trPr>
        <w:tc>
          <w:tcPr>
            <w:tcW w:w="4876" w:type="dxa"/>
            <w:hideMark/>
          </w:tcPr>
          <w:p w:rsidR="0047667D" w:rsidRPr="00A80DA9" w:rsidRDefault="008507C9">
            <w:pPr>
              <w:pStyle w:val="Normal6"/>
            </w:pPr>
            <w:r w:rsidRPr="00A80DA9">
              <w:t>__________________</w:t>
            </w:r>
          </w:p>
        </w:tc>
        <w:tc>
          <w:tcPr>
            <w:tcW w:w="4876" w:type="dxa"/>
            <w:hideMark/>
          </w:tcPr>
          <w:p w:rsidR="0047667D" w:rsidRPr="00A80DA9" w:rsidRDefault="008507C9">
            <w:pPr>
              <w:pStyle w:val="Normal6"/>
              <w:rPr>
                <w:szCs w:val="24"/>
              </w:rPr>
            </w:pPr>
            <w:r w:rsidRPr="00A80DA9">
              <w:t>__________________</w:t>
            </w:r>
          </w:p>
        </w:tc>
      </w:tr>
      <w:tr w:rsidR="00285AB2" w:rsidRPr="00A80DA9" w:rsidTr="0047667D">
        <w:trPr>
          <w:jc w:val="center"/>
        </w:trPr>
        <w:tc>
          <w:tcPr>
            <w:tcW w:w="4876" w:type="dxa"/>
            <w:hideMark/>
          </w:tcPr>
          <w:p w:rsidR="0047667D" w:rsidRPr="00A80DA9" w:rsidRDefault="008507C9">
            <w:pPr>
              <w:pStyle w:val="Normal6"/>
            </w:pPr>
            <w:r w:rsidRPr="00A80DA9">
              <w:rPr>
                <w:vertAlign w:val="superscript"/>
              </w:rPr>
              <w:t>44</w:t>
            </w:r>
            <w:r w:rsidRPr="00A80DA9">
              <w:t xml:space="preserve"> EUT L 124 af 20.5.2003, s. 36.</w:t>
            </w:r>
          </w:p>
        </w:tc>
        <w:tc>
          <w:tcPr>
            <w:tcW w:w="4876" w:type="dxa"/>
            <w:hideMark/>
          </w:tcPr>
          <w:p w:rsidR="0047667D" w:rsidRPr="00A80DA9" w:rsidRDefault="008507C9">
            <w:pPr>
              <w:pStyle w:val="Normal6"/>
              <w:rPr>
                <w:szCs w:val="24"/>
              </w:rPr>
            </w:pPr>
            <w:r w:rsidRPr="00A80DA9">
              <w:rPr>
                <w:vertAlign w:val="superscript"/>
              </w:rPr>
              <w:t>44</w:t>
            </w:r>
            <w:r w:rsidRPr="00A80DA9">
              <w:t xml:space="preserve"> EUT L 124 af 20.5.2003, s. 36.</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Regler for stærk kundeautentifikation – og undtagelser fra dem – bør tilpasses virksomhedens situation. Det vil f.eks. ofte være mere relevant for betaleren at bevise, hvem deres arbejdsgiver er, end hvem de selv er. Dette bør afspejles i sikkerhedsfaktorerne. Desuden varierer en erhvervsbrugers interaktion med en betalingstjenesteudbyders grænseflade fra den, der gør sig gældende for en betalingstjenestebruger, der logger ind på en bankkonto (i et erhvervsmiljø, hvor denne interaktion finder sted). Det er mindre risikabelt og kræver ikke så hyppig fornyet autentifikation som for en individuel betalingstjenestebruger.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40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(40)</w:t>
            </w:r>
            <w:r w:rsidRPr="00A80DA9">
              <w:tab/>
              <w:t>For at opretholde et højt forbrugerbeskyttelsesniveau bør forbrugerne have ret til gratis at modtage oplysninger om servicevilkår og -priser, inden de bindes af en betalingstjenesteaftale. For at gøre det muligt for forbrugerne at sammenligne de tjenester og betingelser, der tilbydes af betalingstjenesteudbydere, og i tilfælde af en tvist at kontrollere deres aftalemæssige rettigheder og forpligtelser, bør forbrugerne have mulighed for at anmode om disse oplysninger og rammeaftalen på papir, gratis og når som helst under kontraktforholdet.</w:t>
            </w:r>
          </w:p>
        </w:tc>
        <w:tc>
          <w:tcPr>
            <w:tcW w:w="4876" w:type="dxa"/>
            <w:hideMark/>
          </w:tcPr>
          <w:p w:rsidR="0047667D" w:rsidRPr="00A80DA9" w:rsidRDefault="008507C9">
            <w:pPr>
              <w:pStyle w:val="Normal6"/>
              <w:rPr>
                <w:szCs w:val="24"/>
              </w:rPr>
            </w:pPr>
            <w:r w:rsidRPr="00A80DA9">
              <w:tab/>
            </w:r>
            <w:r w:rsidRPr="00A80DA9">
              <w:rPr>
                <w:i/>
                <w:iCs/>
              </w:rPr>
              <w:t>(Vedrører ikke den danske tekst)</w:t>
            </w:r>
            <w:r>
              <w:t xml:space="preserve"> </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45</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(45)</w:t>
            </w:r>
            <w:r w:rsidRPr="00A80DA9">
              <w:tab/>
              <w:t xml:space="preserve">For at kunne træffe et informeret valg bør betalingstjenestebrugere kunne sammenligne pengeautomatgebyrer med andre udbyderes gebyrer. For at øge gennemsigtigheden af pengeautomatgebyrer for brugerne af betalingstjenester bør udbyderne af betalingstjenester give brugerne af betalingstjenester oplysninger om alle gældende gebyrer </w:t>
            </w:r>
            <w:r w:rsidRPr="00A80DA9">
              <w:rPr>
                <w:b/>
                <w:i/>
              </w:rPr>
              <w:t>for indenlandske</w:t>
            </w:r>
            <w:r w:rsidRPr="00A80DA9">
              <w:t xml:space="preserve"> hævninger i pengeautomater i forskellige situationer, afhængigt af den pengeautomat, som brugerne af betalingstjenester hæver kontanter fra.</w:t>
            </w:r>
          </w:p>
        </w:tc>
        <w:tc>
          <w:tcPr>
            <w:tcW w:w="4876" w:type="dxa"/>
            <w:hideMark/>
          </w:tcPr>
          <w:p w:rsidR="0047667D" w:rsidRPr="00A80DA9" w:rsidRDefault="008507C9">
            <w:pPr>
              <w:pStyle w:val="Normal6"/>
              <w:rPr>
                <w:szCs w:val="24"/>
              </w:rPr>
            </w:pPr>
            <w:r w:rsidRPr="00A80DA9">
              <w:t>(45)</w:t>
            </w:r>
            <w:r w:rsidRPr="00A80DA9">
              <w:tab/>
              <w:t xml:space="preserve">For at kunne træffe et informeret valg bør betalingstjenestebrugere kunne sammenligne pengeautomatgebyrer med andre udbyderes gebyrer. </w:t>
            </w:r>
            <w:r w:rsidRPr="00A80DA9">
              <w:rPr>
                <w:b/>
                <w:i/>
              </w:rPr>
              <w:t xml:space="preserve">Som et overordnet princip bør indenlandske pengeautomater, der ikke betragtes som pengeautomater, som ikke servicerer betalingskonti, ikke opkræve gebyrer for forbrugeres kontanthævninger. </w:t>
            </w:r>
            <w:r w:rsidRPr="00A80DA9">
              <w:t xml:space="preserve">For at øge gennemsigtigheden af pengeautomatgebyrer for brugerne af betalingstjenester bør udbyderne af betalingstjenester </w:t>
            </w:r>
            <w:r w:rsidRPr="00A80DA9">
              <w:rPr>
                <w:b/>
                <w:i/>
              </w:rPr>
              <w:t>desuden</w:t>
            </w:r>
            <w:r w:rsidRPr="00A80DA9">
              <w:t xml:space="preserve"> give brugerne af betalingstjenester oplysninger om alle gældende gebyrer </w:t>
            </w:r>
            <w:r w:rsidRPr="00A80DA9">
              <w:rPr>
                <w:b/>
                <w:i/>
              </w:rPr>
              <w:t>ved initiering af en transaktion for</w:t>
            </w:r>
            <w:r w:rsidRPr="00A80DA9">
              <w:t xml:space="preserve"> hævninger i pengeautomater </w:t>
            </w:r>
            <w:r w:rsidRPr="00A80DA9">
              <w:rPr>
                <w:b/>
                <w:i/>
              </w:rPr>
              <w:t>i EU</w:t>
            </w:r>
            <w:r w:rsidRPr="00A80DA9">
              <w:t xml:space="preserve"> i forskellige situationer, afhængigt af den pengeautomat, som brugerne af betalingstjenester hæver kontanter fra.</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50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(50)</w:t>
            </w:r>
            <w:r w:rsidRPr="00A80DA9">
              <w:tab/>
              <w:t xml:space="preserve">For at opnå sammenlignelighed bør de skønnede vekselgebyrer for kreditoverførsler og pengeoverførsler, der foretages inden for Unionen og fra Unionen til et tredjeland, udtrykkes på samme måde, dvs. som en avance i procent af de senest tilgængelige </w:t>
            </w:r>
            <w:r w:rsidRPr="00A80DA9">
              <w:rPr>
                <w:b/>
                <w:i/>
              </w:rPr>
              <w:t>euroreferencekurser</w:t>
            </w:r>
            <w:r w:rsidRPr="00A80DA9">
              <w:t xml:space="preserve"> udstedt af </w:t>
            </w:r>
            <w:r w:rsidRPr="00A80DA9">
              <w:rPr>
                <w:b/>
                <w:i/>
              </w:rPr>
              <w:t>Den Europæiske Centralbank (ECB)</w:t>
            </w:r>
            <w:r w:rsidRPr="00A80DA9">
              <w:t>. Når der henvises til "gebyrer" i denne forordning, bør det også omfatte gebyrer for "valutaomregning", hvor det er relevant.</w:t>
            </w:r>
          </w:p>
        </w:tc>
        <w:tc>
          <w:tcPr>
            <w:tcW w:w="4876" w:type="dxa"/>
            <w:hideMark/>
          </w:tcPr>
          <w:p w:rsidR="0047667D" w:rsidRPr="00A80DA9" w:rsidRDefault="008507C9">
            <w:pPr>
              <w:pStyle w:val="Normal6"/>
              <w:rPr>
                <w:szCs w:val="24"/>
              </w:rPr>
            </w:pPr>
            <w:r w:rsidRPr="00A80DA9">
              <w:t>(50)</w:t>
            </w:r>
            <w:r w:rsidRPr="00A80DA9">
              <w:tab/>
              <w:t xml:space="preserve">For at opnå sammenlignelighed bør de skønnede vekselgebyrer for kreditoverførsler og pengeoverførsler, der foretages inden for Unionen og fra Unionen til et tredjeland, udtrykkes på samme måde, dvs. som en avance i procent af de senest tilgængelige </w:t>
            </w:r>
            <w:r w:rsidRPr="00A80DA9">
              <w:rPr>
                <w:b/>
                <w:i/>
              </w:rPr>
              <w:t>gældende referencekurser</w:t>
            </w:r>
            <w:r w:rsidRPr="00A80DA9">
              <w:t xml:space="preserve"> udstedt af </w:t>
            </w:r>
            <w:r w:rsidRPr="00A80DA9">
              <w:rPr>
                <w:b/>
                <w:i/>
              </w:rPr>
              <w:t>den relevante centralbank, og det resulterende vekselgebyr angivet som et pengebeløb i den valuta, som kunden anvender til at initiere valutaomregningen</w:t>
            </w:r>
            <w:r w:rsidRPr="00A80DA9">
              <w:t>. Når der henvises til "gebyrer" i denne forordning, bør det også omfatte gebyrer for "valutaomregning", hvor det er relevant.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Erik Poulsen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50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(50)</w:t>
            </w:r>
            <w:r w:rsidRPr="00A80DA9">
              <w:tab/>
              <w:t xml:space="preserve">For at opnå sammenlignelighed bør de skønnede vekselgebyrer for kreditoverførsler og pengeoverførsler, der foretages inden for Unionen og fra Unionen til et tredjeland, udtrykkes på samme måde, dvs. som </w:t>
            </w:r>
            <w:r w:rsidRPr="00A80DA9">
              <w:rPr>
                <w:b/>
                <w:i/>
              </w:rPr>
              <w:t>en</w:t>
            </w:r>
            <w:r w:rsidRPr="00A80DA9">
              <w:t xml:space="preserve"> avance </w:t>
            </w:r>
            <w:r w:rsidRPr="00A80DA9">
              <w:rPr>
                <w:b/>
                <w:i/>
              </w:rPr>
              <w:t>i procent af de senest tilgængelige euroreferencekurser udstedt af Den Europæiske Centralbank (ECB)</w:t>
            </w:r>
            <w:r w:rsidRPr="00A80DA9">
              <w:t>. Når der henvises til "gebyrer" i denne forordning, bør det også omfatte gebyrer for "valutaomregning", hvor det er relevant.</w:t>
            </w:r>
          </w:p>
        </w:tc>
        <w:tc>
          <w:tcPr>
            <w:tcW w:w="4876" w:type="dxa"/>
            <w:hideMark/>
          </w:tcPr>
          <w:p w:rsidR="0047667D" w:rsidRPr="00A80DA9" w:rsidRDefault="008507C9">
            <w:pPr>
              <w:pStyle w:val="Normal6"/>
              <w:rPr>
                <w:szCs w:val="24"/>
              </w:rPr>
            </w:pPr>
            <w:r w:rsidRPr="00A80DA9">
              <w:t>(50)</w:t>
            </w:r>
            <w:r w:rsidRPr="00A80DA9">
              <w:tab/>
              <w:t xml:space="preserve">For at opnå sammenlignelighed bør de skønnede vekselgebyrer for kreditoverførsler og pengeoverførsler, der foretages inden for Unionen og fra Unionen til et tredjeland, udtrykkes på samme måde, dvs. som </w:t>
            </w:r>
            <w:r w:rsidRPr="00A80DA9">
              <w:rPr>
                <w:b/>
                <w:i/>
              </w:rPr>
              <w:t>et gebyr i den valuta, i hvilken transaktionen er initieret. Dette vekselgebyr består af enhver</w:t>
            </w:r>
            <w:r w:rsidRPr="00A80DA9">
              <w:t xml:space="preserve"> avance over </w:t>
            </w:r>
            <w:r w:rsidRPr="00A80DA9">
              <w:rPr>
                <w:b/>
                <w:i/>
              </w:rPr>
              <w:t>midtmarkedskursen, som tilbydes af neutrale, uafhængige og troværdige udbydere, udtrykt som en pengeværdi</w:t>
            </w:r>
            <w:r w:rsidRPr="00A80DA9">
              <w:t>. Når der henvises til "gebyrer" i denne forordning, bør det også omfatte gebyrer for "valutaomregning", hvor det er relevant.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52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(52)</w:t>
            </w:r>
            <w:r w:rsidRPr="00A80DA9">
              <w:tab/>
              <w:t>Et brugergebyr er et gebyr, som de erhvervsdrivende opkræver af forbrugerne, og som lægges oven i den ønskede pris for varer og tjenesteydelser, når forbrugeren anvender en bestemt betalingsmetode. En af årsagerne til opkrævning af brugergebyrer er at dirigere forbrugerne til billigere eller mere effektive betalingsinstrumenter og dermed fremme konkurrencen mellem alternative betalingsmetoder. Under den ordning, der blev indført ved direktiv (EU) 2015/2366, blev betalingsmodtagere forhindret i at opkræve gebyrer for brug af betalingsinstrumenter, for hvilke interbankgebyrerne er reguleret i henhold til kapitel II i forordning (EU) 2015/751, dvs. for forbrugerdebet- og kreditkort udstedt i henhold til kortordninger med fire parter, og for de betalingstjenester, som Europa-Parlamentets og Rådets forordning (EU) nr. 260/2012</w:t>
            </w:r>
            <w:r w:rsidRPr="00A80DA9">
              <w:rPr>
                <w:vertAlign w:val="superscript"/>
              </w:rPr>
              <w:t>45</w:t>
            </w:r>
            <w:r w:rsidRPr="00A80DA9">
              <w:t xml:space="preserve"> finder anvendelse på, dvs. kreditoverførsler og direkte debiteringer i euro i Unionen. I henhold til direktiv (EU) 2015/2366 fik medlemsstaterne mulighed for yderligere at forbyde eller begrænse betalingsmodtagerens ret til at opkræve gebyrer under hensyntagen til behovet for at tilskynde til konkurrence og fremme brugen af effektive betalingsinstrumenter.</w:t>
            </w:r>
          </w:p>
        </w:tc>
        <w:tc>
          <w:tcPr>
            <w:tcW w:w="4876" w:type="dxa"/>
            <w:hideMark/>
          </w:tcPr>
          <w:p w:rsidR="0047667D" w:rsidRPr="00A80DA9" w:rsidRDefault="008507C9">
            <w:pPr>
              <w:pStyle w:val="Normal6"/>
              <w:rPr>
                <w:szCs w:val="24"/>
              </w:rPr>
            </w:pPr>
            <w:r w:rsidRPr="00A80DA9">
              <w:t>(52)</w:t>
            </w:r>
            <w:r w:rsidRPr="00A80DA9">
              <w:tab/>
              <w:t>Et brugergebyr er et gebyr, som de erhvervsdrivende opkræver af forbrugerne, og som lægges oven i den ønskede pris for varer og tjenesteydelser, når forbrugeren anvender en bestemt betalingsmetode. En af årsagerne til opkrævning af brugergebyrer er at dirigere forbrugerne til billigere eller mere effektive betalingsinstrumenter og dermed fremme konkurrencen mellem alternative betalingsmetoder. Under den ordning, der blev indført ved direktiv (EU) 2015/2366, blev betalingsmodtagere forhindret i at opkræve gebyrer for brug af betalingsinstrumenter, for hvilke interbankgebyrerne er reguleret i henhold til kapitel II i forordning (EU) 2015/751, dvs. for forbrugerdebet- og kreditkort udstedt i henhold til kortordninger med fire parter, og for de betalingstjenester, som Europa-Parlamentets og Rådets forordning (EU) nr. 260/2012</w:t>
            </w:r>
            <w:r w:rsidRPr="00A80DA9">
              <w:rPr>
                <w:vertAlign w:val="superscript"/>
              </w:rPr>
              <w:t>45</w:t>
            </w:r>
            <w:r w:rsidRPr="00A80DA9">
              <w:t xml:space="preserve"> finder anvendelse på, dvs. kreditoverførsler og direkte debiteringer i euro i Unionen. I henhold til direktiv (EU) 2015/2366 fik medlemsstaterne mulighed for yderligere at forbyde eller begrænse betalingsmodtagerens ret til at opkræve gebyrer under hensyntagen til behovet for at tilskynde til konkurrence og fremme brugen af effektive betalingsinstrumenter. </w:t>
            </w:r>
            <w:r w:rsidRPr="00A80DA9">
              <w:rPr>
                <w:b/>
                <w:i/>
              </w:rPr>
              <w:t>Det er nødvendigt at harmonisere denne fremgangsmåde for at fremme lige vilkår i Unionen og dermed indføre et fuldstændigt forbud mod opkrævning af brugergebyrer over hele Unionen.</w:t>
            </w:r>
          </w:p>
        </w:tc>
      </w:tr>
      <w:tr w:rsidR="00285AB2" w:rsidRPr="00A80DA9" w:rsidTr="0047667D">
        <w:trPr>
          <w:jc w:val="center"/>
        </w:trPr>
        <w:tc>
          <w:tcPr>
            <w:tcW w:w="4876" w:type="dxa"/>
            <w:hideMark/>
          </w:tcPr>
          <w:p w:rsidR="0047667D" w:rsidRPr="00A80DA9" w:rsidRDefault="008507C9">
            <w:pPr>
              <w:pStyle w:val="Normal6"/>
            </w:pPr>
            <w:r w:rsidRPr="00A80DA9">
              <w:t>__________________</w:t>
            </w:r>
          </w:p>
        </w:tc>
        <w:tc>
          <w:tcPr>
            <w:tcW w:w="4876" w:type="dxa"/>
            <w:hideMark/>
          </w:tcPr>
          <w:p w:rsidR="0047667D" w:rsidRPr="00A80DA9" w:rsidRDefault="008507C9">
            <w:pPr>
              <w:pStyle w:val="Normal6"/>
              <w:rPr>
                <w:szCs w:val="24"/>
              </w:rPr>
            </w:pPr>
            <w:r w:rsidRPr="00A80DA9">
              <w:t>__________________</w:t>
            </w:r>
          </w:p>
        </w:tc>
      </w:tr>
      <w:tr w:rsidR="00285AB2" w:rsidRPr="00A80DA9" w:rsidTr="0047667D">
        <w:trPr>
          <w:jc w:val="center"/>
        </w:trPr>
        <w:tc>
          <w:tcPr>
            <w:tcW w:w="4876" w:type="dxa"/>
            <w:hideMark/>
          </w:tcPr>
          <w:p w:rsidR="0047667D" w:rsidRPr="00A80DA9" w:rsidRDefault="008507C9">
            <w:pPr>
              <w:pStyle w:val="Normal6"/>
            </w:pPr>
            <w:r w:rsidRPr="00A80DA9">
              <w:rPr>
                <w:vertAlign w:val="superscript"/>
              </w:rPr>
              <w:t>45</w:t>
            </w:r>
            <w:r w:rsidRPr="00A80DA9">
              <w:t xml:space="preserve"> Europa-Parlamentets og Rådets forordning (EU) nr. 260/2012 af 14. marts 2012 om tekniske og forretningsmæssige krav til kreditoverførsler og direkte debiteringer i euro og om ændring af forordning (EF) nr. 924/2009 (EUT L 94 af 30.3.2012, s. 22).</w:t>
            </w:r>
          </w:p>
        </w:tc>
        <w:tc>
          <w:tcPr>
            <w:tcW w:w="4876" w:type="dxa"/>
            <w:hideMark/>
          </w:tcPr>
          <w:p w:rsidR="0047667D" w:rsidRPr="00A80DA9" w:rsidRDefault="008507C9">
            <w:pPr>
              <w:pStyle w:val="Normal6"/>
              <w:rPr>
                <w:szCs w:val="24"/>
              </w:rPr>
            </w:pPr>
            <w:r w:rsidRPr="00A80DA9">
              <w:rPr>
                <w:vertAlign w:val="superscript"/>
              </w:rPr>
              <w:t>45</w:t>
            </w:r>
            <w:r w:rsidRPr="00A80DA9">
              <w:t xml:space="preserve"> Europa-Parlamentets og Rådets forordning (EU) nr. 260/2012 af 14. marts 2012 om tekniske og forretningsmæssige krav til kreditoverførsler og direkte debiteringer i euro og om ændring af forordning (EF) nr. 924/2009 (EUT L 94 af 30.3.2012, s. 22).</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53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(53)</w:t>
            </w:r>
            <w:r w:rsidRPr="00A80DA9">
              <w:tab/>
            </w:r>
            <w:r w:rsidRPr="00A80DA9">
              <w:rPr>
                <w:b/>
                <w:i/>
              </w:rPr>
              <w:t>Den dokumentation, der er indsamlet i forbindelse med revisionen af direktiv (EU) 2015/2366, viser, at de nuværende regler om gebyrer er hensigtsmæssige og har haft en positiv virkning. Der er ikke noget tvingende behov for yderligere tilpasning af gebyrpraksis mellem medlemsstaterne, da det eksisterende forbud mod opkrævning af brugergebyrer allerede gælder for en meget stor del af betalingerne i Unionen. Det anslås, at 95 % af kortbetalingerne er omfattet af det eksisterende forbud mod opkrævning af brugergebyrer. Når der pålægges et brugergebyr, er det desuden begrænset til den erhvervsdrivendes faktiske omkostninger.</w:t>
            </w:r>
            <w:r w:rsidRPr="00A80DA9">
              <w:t xml:space="preserve"> Ved sin revision af direktiv (EU) 2015/2366 identificerede Kommissionen </w:t>
            </w:r>
            <w:r w:rsidRPr="00A80DA9">
              <w:rPr>
                <w:b/>
                <w:i/>
              </w:rPr>
              <w:t>imidlertid</w:t>
            </w:r>
            <w:r w:rsidRPr="00A80DA9">
              <w:t xml:space="preserve"> forskellige fortolkninger af de betalingsinstrumenter, der er omfattet af forbuddet mod opkrævning af brugergebyrer. Det er derfor nødvendigt udtrykkeligt at udvide forbuddet mod opkrævning af brugergebyrer til alle kreditoverførsler og direkte debiteringer og ikke kun til dem, der er omfattet af forordning (EU) nr. 260/2012, som det var tilfældet i henhold til direktiv (EU) 2015/2366.</w:t>
            </w:r>
          </w:p>
        </w:tc>
        <w:tc>
          <w:tcPr>
            <w:tcW w:w="4876" w:type="dxa"/>
            <w:hideMark/>
          </w:tcPr>
          <w:p w:rsidR="0047667D" w:rsidRPr="00A80DA9" w:rsidRDefault="008507C9">
            <w:pPr>
              <w:pStyle w:val="Normal6"/>
              <w:rPr>
                <w:szCs w:val="24"/>
              </w:rPr>
            </w:pPr>
            <w:r w:rsidRPr="00A80DA9">
              <w:t>(53)</w:t>
            </w:r>
            <w:r w:rsidRPr="00A80DA9">
              <w:tab/>
              <w:t xml:space="preserve">Ved sin revision af direktiv (EU) 2015/2366 identificerede Kommissionen </w:t>
            </w:r>
            <w:r w:rsidRPr="00A80DA9">
              <w:rPr>
                <w:b/>
                <w:i/>
              </w:rPr>
              <w:t>en manglende harmonisering, der giver mulighed for opkrævning af brugergebyrer for betalingsinstrumenter og</w:t>
            </w:r>
            <w:r w:rsidRPr="00A80DA9">
              <w:t xml:space="preserve"> forskellige fortolkninger af de betalingsinstrumenter, der er omfattet af forbuddet mod opkrævning af brugergebyrer. Det er derfor nødvendigt udtrykkeligt at udvide forbuddet mod opkrævning af brugergebyrer til alle kreditoverførsler og direkte debiteringer og ikke kun til dem, der er omfattet af forordning (EU) nr. 260/2012, som det var tilfældet i henhold til direktiv (EU) 2015/2366.</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53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(53)</w:t>
            </w:r>
            <w:r w:rsidRPr="00A80DA9">
              <w:tab/>
            </w:r>
            <w:r w:rsidRPr="00A80DA9">
              <w:rPr>
                <w:b/>
                <w:i/>
              </w:rPr>
              <w:t>Den dokumentation, der er indsamlet i forbindelse med revisionen af direktiv (EU) 2015/2366, viser, at de nuværende regler om gebyrer er hensigtsmæssige og har haft en positiv virkning. Der er ikke noget tvingende behov for yderligere tilpasning af gebyrpraksis mellem medlemsstaterne, da det eksisterende forbud mod opkrævning af brugergebyrer allerede gælder for en meget stor del af betalingerne i Unionen. Det anslås, at 95 % af kortbetalingerne er omfattet af det eksisterende forbud mod opkrævning af brugergebyrer. Når der pålægges et brugergebyr, er det desuden begrænset til den erhvervsdrivendes faktiske omkostninger.</w:t>
            </w:r>
            <w:r w:rsidRPr="00A80DA9">
              <w:t xml:space="preserve"> Ved sin revision af direktiv (EU) 2015/2366 identificerede Kommissionen </w:t>
            </w:r>
            <w:r w:rsidRPr="00A80DA9">
              <w:rPr>
                <w:b/>
                <w:i/>
              </w:rPr>
              <w:t>imidlertid</w:t>
            </w:r>
            <w:r w:rsidRPr="00A80DA9">
              <w:t xml:space="preserve"> forskellige fortolkninger af de betalingsinstrumenter, der er omfattet af forbuddet mod opkrævning af brugergebyrer. Det er derfor nødvendigt udtrykkeligt at udvide forbuddet mod opkrævning af brugergebyrer til alle </w:t>
            </w:r>
            <w:r w:rsidRPr="00A80DA9">
              <w:rPr>
                <w:b/>
                <w:i/>
              </w:rPr>
              <w:t>kreditoverførsler og direkte debiteringer og ikke kun til dem, der er omfattet af forordning (EU) nr. 260/2012, som det var tilfældet i henhold til direktiv (EU) 2015/2366</w:t>
            </w:r>
            <w:r w:rsidRPr="00A80DA9">
              <w:t>.</w:t>
            </w:r>
          </w:p>
        </w:tc>
        <w:tc>
          <w:tcPr>
            <w:tcW w:w="4876" w:type="dxa"/>
            <w:hideMark/>
          </w:tcPr>
          <w:p w:rsidR="0047667D" w:rsidRPr="00A80DA9" w:rsidRDefault="008507C9">
            <w:pPr>
              <w:pStyle w:val="Normal6"/>
              <w:rPr>
                <w:szCs w:val="24"/>
              </w:rPr>
            </w:pPr>
            <w:r w:rsidRPr="00A80DA9">
              <w:t>(53)</w:t>
            </w:r>
            <w:r w:rsidRPr="00A80DA9">
              <w:tab/>
              <w:t xml:space="preserve">Ved sin revision af direktiv (EU) 2015/2366 identificerede Kommissionen </w:t>
            </w:r>
            <w:r w:rsidRPr="00A80DA9">
              <w:rPr>
                <w:b/>
                <w:i/>
              </w:rPr>
              <w:t>en manglende harmonisering af tilladelser til opkrævning af brugergebyrer for betalingsinstrumenter, der ikke er omfattet af forordning (EU) 2015/751, og</w:t>
            </w:r>
            <w:r w:rsidRPr="00A80DA9">
              <w:t xml:space="preserve"> forskellige fortolkninger af de betalingsinstrumenter, der er omfattet af forbuddet mod opkrævning af brugergebyrer. Det er derfor nødvendigt udtrykkeligt at udvide forbuddet mod opkrævning af brugergebyrer til alle </w:t>
            </w:r>
            <w:r w:rsidRPr="00A80DA9">
              <w:rPr>
                <w:b/>
                <w:i/>
              </w:rPr>
              <w:t>betalingsinstrumenter</w:t>
            </w:r>
            <w:r w:rsidRPr="00A80DA9">
              <w:t>.</w:t>
            </w:r>
            <w:r w:rsidRPr="00A80DA9">
              <w:rPr>
                <w:b/>
                <w:i/>
              </w:rPr>
              <w:t xml:space="preserve"> Dette vil bidrage til at sikre forbrugernes tillid til betalingstjenester og mindske manglen på harmonisering mellem medlemsstaterne.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Et af resultaterne af det andet betalingstjenestedirektiv har været opsplitningen af reglerne for opkrævning af brugergebyrer, der varierer fra medlemsstat til medlemsstat. Opkrævning af brugergebyrer er skadeligt for forbrugerne, fordi det giver de handlende mulighed for at opkræve et supplerende og ofte uigennemsigtigt gebyr af dem uden at levere merværdi til forbrugerne. Ved tvinge forbrugerne til at "betale for at betale" mindskes forbrugernes mulighed for at vælge deres foretrukne betalingsmetode, og det medfører en reguleringsmæssig ulempe for nye deltagere på betalingsmarkedet. Det bidrager også til at vildlede forbrugerne vedrørende den reelle pris for varer og tjenesteydelser.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109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53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(53)</w:t>
            </w:r>
            <w:r w:rsidRPr="00A80DA9">
              <w:tab/>
            </w:r>
            <w:r w:rsidRPr="00A80DA9">
              <w:rPr>
                <w:b/>
                <w:i/>
              </w:rPr>
              <w:t>Den dokumentation, der er indsamlet i forbindelse med revisionen af direktiv (EU) 2015/2366, viser, at de nuværende regler om gebyrer er hensigtsmæssige og har haft en positiv virkning.</w:t>
            </w:r>
            <w:r w:rsidRPr="00A80DA9">
              <w:t xml:space="preserve"> Der er </w:t>
            </w:r>
            <w:r w:rsidRPr="00A80DA9">
              <w:rPr>
                <w:b/>
                <w:i/>
              </w:rPr>
              <w:t>ikke noget tvingende</w:t>
            </w:r>
            <w:r w:rsidRPr="00A80DA9">
              <w:t xml:space="preserve"> behov for yderligere tilpasning af gebyrpraksis mellem medlemsstaterne, da det eksisterende forbud mod opkrævning af brugergebyrer </w:t>
            </w:r>
            <w:r w:rsidRPr="00A80DA9">
              <w:rPr>
                <w:b/>
                <w:i/>
              </w:rPr>
              <w:t>allerede gælder for en meget stor del af betalingerne</w:t>
            </w:r>
            <w:r w:rsidRPr="00A80DA9">
              <w:t xml:space="preserve"> i Unionen. Det anslås, at 95 % af kortbetalingerne er omfattet af det eksisterende forbud mod opkrævning af brugergebyrer. Når der pålægges et brugergebyr, er det </w:t>
            </w:r>
            <w:r w:rsidRPr="00A80DA9">
              <w:rPr>
                <w:b/>
                <w:i/>
              </w:rPr>
              <w:t>desuden</w:t>
            </w:r>
            <w:r w:rsidRPr="00A80DA9">
              <w:t xml:space="preserve"> begrænset til den erhvervsdrivendes faktiske omkostninger. Ved sin revision af direktiv (EU) 2015/2366 identificerede Kommissionen </w:t>
            </w:r>
            <w:r w:rsidRPr="00A80DA9">
              <w:rPr>
                <w:b/>
                <w:i/>
              </w:rPr>
              <w:t>imidlertid</w:t>
            </w:r>
            <w:r w:rsidRPr="00A80DA9">
              <w:t xml:space="preserve"> forskellige fortolkninger af de betalingsinstrumenter, der er omfattet af forbuddet mod opkrævning af brugergebyrer. Det er derfor nødvendigt udtrykkeligt at udvide forbuddet mod opkrævning af brugergebyrer til alle kreditoverførsler og direkte debiteringer og ikke kun til dem, der er omfattet af forordning (EU) nr. 260/2012, som det var tilfældet i henhold til direktiv (EU) 2015/2366.</w:t>
            </w:r>
          </w:p>
        </w:tc>
        <w:tc>
          <w:tcPr>
            <w:tcW w:w="4876" w:type="dxa"/>
            <w:hideMark/>
          </w:tcPr>
          <w:p w:rsidR="0047667D" w:rsidRPr="00A80DA9" w:rsidRDefault="008507C9">
            <w:pPr>
              <w:pStyle w:val="Normal6"/>
              <w:rPr>
                <w:szCs w:val="24"/>
              </w:rPr>
            </w:pPr>
            <w:r w:rsidRPr="00A80DA9">
              <w:t>(53)</w:t>
            </w:r>
            <w:r w:rsidRPr="00A80DA9">
              <w:tab/>
              <w:t xml:space="preserve">Der er behov for yderligere tilpasning af gebyrpraksis mellem medlemsstaterne, da det eksisterende forbud mod opkrævning af brugergebyrer </w:t>
            </w:r>
            <w:r w:rsidRPr="00A80DA9">
              <w:rPr>
                <w:b/>
                <w:i/>
              </w:rPr>
              <w:t>ikke gælder ensartet for alle betalinger</w:t>
            </w:r>
            <w:r w:rsidRPr="00A80DA9">
              <w:t xml:space="preserve"> i Unionen. Det anslås, at 95 % af kortbetalingerne er omfattet af det eksisterende forbud mod opkrævning af brugergebyrer. Når der pålægges et brugergebyr, er det begrænset til den erhvervsdrivendes faktiske omkostninger. Ved sin revision af direktiv (EU) 2015/2366 identificerede Kommissionen forskellige fortolkninger af de betalingsinstrumenter, der er omfattet af forbuddet mod opkrævning af brugergebyrer. Det er derfor nødvendigt udtrykkeligt at udvide forbuddet mod opkrævning af brugergebyrer til alle </w:t>
            </w:r>
            <w:r w:rsidRPr="00A80DA9">
              <w:rPr>
                <w:b/>
                <w:i/>
              </w:rPr>
              <w:t>betalingsinstrumenter, herunder</w:t>
            </w:r>
            <w:r w:rsidRPr="00A80DA9">
              <w:t xml:space="preserve"> kreditoverførsler og direkte debiteringer og ikke kun til dem, der er omfattet af forordning (EU) nr. 260/2012, som det var tilfældet i henhold til direktiv (EU) 2015/2366.</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54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(54)</w:t>
            </w:r>
            <w:r w:rsidRPr="00A80DA9">
              <w:tab/>
              <w:t xml:space="preserve">Kontooplysningstjenester og betalingsinitieringstjenester, ofte samlet kendt som "open banking-tjenester", er betalingstjenester, der involverer adgang til en betalingstjenestebrugers data for betalingstjenesteudbydere, der ikke opbevarer kontohaverens midler eller fører en betalingskonto. Kontooplysningstjenester gør det muligt på betalingstjenestebrugerens anmodning at aggregere en brugersdata med forskellige kontoførende betalingstjenesteudbydere på ét enkelt sted. Betalingsinitieringstjenester </w:t>
            </w:r>
            <w:r w:rsidRPr="00A80DA9">
              <w:rPr>
                <w:b/>
                <w:bCs/>
                <w:i/>
                <w:iCs/>
              </w:rPr>
              <w:t>gør</w:t>
            </w:r>
            <w:r w:rsidRPr="00A80DA9">
              <w:t xml:space="preserve"> det muligt at initiere en betaling fra brugerens konto, f.eks. en kreditoverførsel eller en direkte debitering, på en bekvem måde for brugeren og betalingsmodtageren uden brug af et instrument såsom et betalingskort.</w:t>
            </w:r>
          </w:p>
        </w:tc>
        <w:tc>
          <w:tcPr>
            <w:tcW w:w="4876" w:type="dxa"/>
            <w:hideMark/>
          </w:tcPr>
          <w:p w:rsidR="0047667D" w:rsidRPr="00A80DA9" w:rsidRDefault="008507C9">
            <w:pPr>
              <w:pStyle w:val="Normal6"/>
              <w:rPr>
                <w:szCs w:val="24"/>
              </w:rPr>
            </w:pPr>
            <w:r w:rsidRPr="00A80DA9">
              <w:t>(54)</w:t>
            </w:r>
            <w:r w:rsidRPr="00A80DA9">
              <w:tab/>
              <w:t xml:space="preserve">Kontooplysningstjenester og betalingsinitieringstjenester, ofte samlet kendt som "open banking-tjenester", er betalingstjenester, der involverer adgang til en betalingstjenestebrugers data for betalingstjenesteudbydere, der ikke opbevarer kontohaverens midler eller fører en betalingskonto. Kontooplysningstjenester gør det muligt på betalingstjenestebrugerens anmodning at aggregere en brugersdata med forskellige kontoførende betalingstjenesteudbydere på ét enkelt sted. Betalingsinitieringstjenester </w:t>
            </w:r>
            <w:r w:rsidRPr="00A80DA9">
              <w:rPr>
                <w:b/>
                <w:i/>
              </w:rPr>
              <w:t>kan gøre</w:t>
            </w:r>
            <w:r w:rsidRPr="00A80DA9">
              <w:t xml:space="preserve"> det muligt at initiere en betaling fra brugerens konto, f.eks. en kreditoverførsel eller en direkte debitering, på en bekvem måde for brugeren og betalingsmodtageren uden brug af et instrument såsom et betalingskort.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57</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(57)</w:t>
            </w:r>
            <w:r w:rsidRPr="00A80DA9">
              <w:tab/>
              <w:t>For at sikre et højt sikkerhedsniveau i forbindelse med dataadgang og -udveksling bør adgangen til betalingskonti og dataene deri, med forbehold af særlige omstændigheder, gives til konto- og betalingsinitieringstjenesteudbydere via en grænseflade</w:t>
            </w:r>
            <w:r w:rsidRPr="00A80DA9">
              <w:rPr>
                <w:b/>
                <w:i/>
              </w:rPr>
              <w:t>, der er udformet og dedikeret til "open banking"-formål</w:t>
            </w:r>
            <w:r w:rsidRPr="00A80DA9">
              <w:t xml:space="preserve">, såsom en API. Med henblik herpå bør den kontoførende betalingstjenesteudbyder etablere en sikker kommunikation med kontooplysnings- og betalingsinitieringstjenesteudbydere. For at undgå enhver usikkerhed med hensyn til, hvem der har adgang til betalingstjenestebrugerens data, bør </w:t>
            </w:r>
            <w:r w:rsidRPr="00A80DA9">
              <w:rPr>
                <w:b/>
                <w:i/>
              </w:rPr>
              <w:t>den særlige grænseflade</w:t>
            </w:r>
            <w:r w:rsidRPr="00A80DA9">
              <w:t xml:space="preserve"> gøre det muligt for kontooplysnings- og betalingsinitieringstjenesteudbydere at identificere sig over for den kontoførende betalingstjenesteudbyder og at forlade sig på alle de autentifikationsprocedurer, som den kontoførende betalingstjenesteudbyder stiller til rådighed for betalingstjenestebrugeren. Kontooplysnings- og betalingsinitieringstjenesteudbydere bør som hovedregel </w:t>
            </w:r>
            <w:r w:rsidRPr="00A80DA9">
              <w:rPr>
                <w:b/>
                <w:i/>
              </w:rPr>
              <w:t>anvende den grænseflade, der er dedikeret til deres adgang, og bør derfor</w:t>
            </w:r>
            <w:r w:rsidRPr="00A80DA9">
              <w:t xml:space="preserve"> ikke anvende en kontoførende betalingstjenesteudbyders kundegrænseflade med henblik på dataadgang, undtagen i tilfælde af svigt eller manglende tilgængelighed af </w:t>
            </w:r>
            <w:r w:rsidRPr="00A80DA9">
              <w:rPr>
                <w:b/>
                <w:i/>
              </w:rPr>
              <w:t>den dedikerede grænseflade</w:t>
            </w:r>
            <w:r w:rsidRPr="00A80DA9">
              <w:t xml:space="preserve"> på de betingelser, der er fastsat i denne forordning. Under sådanne omstændigheder vil deres forretningskontinuitet blive bragt i fare, hvis de ikke har adgang til de data, som de har fået tilladelse til. Det er absolut nødvendigt, at kontooplysnings- og betalingsinitieringstjenesteudbydere til enhver tid kan få adgang til de data, der er nødvendige for, at de kan servicere deres kunder.</w:t>
            </w:r>
          </w:p>
        </w:tc>
        <w:tc>
          <w:tcPr>
            <w:tcW w:w="4876" w:type="dxa"/>
            <w:hideMark/>
          </w:tcPr>
          <w:p w:rsidR="0047667D" w:rsidRPr="00A80DA9" w:rsidRDefault="008507C9">
            <w:pPr>
              <w:pStyle w:val="Normal6"/>
              <w:rPr>
                <w:szCs w:val="24"/>
              </w:rPr>
            </w:pPr>
            <w:r w:rsidRPr="00A80DA9">
              <w:t>(57)</w:t>
            </w:r>
            <w:r w:rsidRPr="00A80DA9">
              <w:tab/>
              <w:t xml:space="preserve">For at sikre et højt sikkerhedsniveau i forbindelse med dataadgang og -udveksling bør adgangen til betalingskonti og dataene deri, med forbehold af særlige omstændigheder, gives til konto- og betalingsinitieringstjenesteudbydere via en grænseflade, såsom en API. Med henblik herpå bør den kontoførende betalingstjenesteudbyder etablere en sikker kommunikation med kontooplysnings- og betalingsinitieringstjenesteudbydere. For at undgå enhver usikkerhed med hensyn til, hvem der har adgang til betalingstjenestebrugerens data, bør </w:t>
            </w:r>
            <w:r w:rsidRPr="00A80DA9">
              <w:rPr>
                <w:b/>
                <w:bCs/>
                <w:i/>
                <w:iCs/>
              </w:rPr>
              <w:t>grænsefladen</w:t>
            </w:r>
            <w:r w:rsidRPr="00A80DA9">
              <w:t xml:space="preserve"> gøre det muligt for kontooplysnings- og betalingsinitieringstjenesteudbydere at identificere sig over for den kontoførende betalingstjenesteudbyder og at forlade sig på alle de autentifikationsprocedurer, som den kontoførende betalingstjenesteudbyder stiller til rådighed for betalingstjenestebrugeren. Kontooplysnings- og betalingsinitieringstjenesteudbydere bør som hovedregel ikke anvende en kontoførende betalingstjenesteudbyders kundegrænseflade med henblik på dataadgang, undtagen i tilfælde af svigt eller manglende tilgængelighed af </w:t>
            </w:r>
            <w:r w:rsidRPr="00A80DA9">
              <w:rPr>
                <w:b/>
                <w:bCs/>
                <w:i/>
                <w:iCs/>
              </w:rPr>
              <w:t>grænsefladen</w:t>
            </w:r>
            <w:r w:rsidRPr="00A80DA9">
              <w:t xml:space="preserve"> på de betingelser, der er fastsat i denne forordning. Under sådanne omstændigheder vil deres forretningskontinuitet blive bragt i fare, hvis de ikke har adgang til de data, som de har fået tilladelse til. Det er absolut nødvendigt, at kontooplysnings- og betalingsinitieringstjenesteudbydere til enhver tid kan få adgang til de data, der er nødvendige for, at de kan servicere deres kunder.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I hele teksten anvendes udtrykket "dedikeret grænseflade" eller "særlig grænseflade", men ordene "dedikeret" og "særlig" bør udgå.</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64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(64)</w:t>
            </w:r>
            <w:r w:rsidRPr="00A80DA9">
              <w:tab/>
              <w:t xml:space="preserve">I forbindelse med betalingsinitieringstjenester bør den kontoførende betalingstjenesteudbyder give betalingsinitieringstjenesteudbyderen alle tilgængelige oplysninger om gennemførelsen af betalingstransaktionen </w:t>
            </w:r>
            <w:r w:rsidRPr="00A80DA9">
              <w:rPr>
                <w:b/>
                <w:i/>
              </w:rPr>
              <w:t>umiddelbart</w:t>
            </w:r>
            <w:r w:rsidRPr="00A80DA9">
              <w:t xml:space="preserve"> efter </w:t>
            </w:r>
            <w:r w:rsidRPr="00A80DA9">
              <w:rPr>
                <w:b/>
                <w:i/>
              </w:rPr>
              <w:t>modtagelsen</w:t>
            </w:r>
            <w:r w:rsidRPr="00A80DA9">
              <w:t xml:space="preserve"> af betalingsordren. Nogle gange får den kontoførende betalingstjenesteudbyder flere oplysninger, efter at denne har modtaget betalingsordren, men før den har gennemført betalingstransaktionen. Hvis det er relevant for betalingsordren og gennemførelsen af betalingstransaktionen, bør den kontoførende betalingstjenesteudbyder give disse oplysninger til betalingsinitieringstjenesteudbyderen. Betalingsinitieringstjenesteudbyderen bør have adgang til de oplysninger, der er nødvendige for at vurdere risikoen for, at den initierede transaktion ikke gennemføres. Disse oplysninger er nødvendige for, at betalingsinitieringstjenesteudbyderen kan tilbyde en betalingsmodtager, på hvis vegne den initierer transaktionen, en tjeneste, hvis kvalitet kan konkurrere med andre elektroniske betalingsmidler, som betalingsmodtageren har adgang til, herunder betalingskort.</w:t>
            </w:r>
          </w:p>
        </w:tc>
        <w:tc>
          <w:tcPr>
            <w:tcW w:w="4876" w:type="dxa"/>
            <w:hideMark/>
          </w:tcPr>
          <w:p w:rsidR="0047667D" w:rsidRPr="00A80DA9" w:rsidRDefault="008507C9">
            <w:pPr>
              <w:pStyle w:val="Normal6"/>
              <w:rPr>
                <w:szCs w:val="24"/>
              </w:rPr>
            </w:pPr>
            <w:r w:rsidRPr="00A80DA9">
              <w:t>(64)</w:t>
            </w:r>
            <w:r w:rsidRPr="00A80DA9">
              <w:tab/>
              <w:t xml:space="preserve">I forbindelse med betalingsinitieringstjenester bør den kontoførende betalingstjenesteudbyder give betalingsinitieringstjenesteudbyderen alle tilgængelige oplysninger om gennemførelsen af betalingstransaktionen </w:t>
            </w:r>
            <w:r w:rsidRPr="00A80DA9">
              <w:rPr>
                <w:b/>
                <w:i/>
              </w:rPr>
              <w:t>før og</w:t>
            </w:r>
            <w:r w:rsidRPr="00A80DA9">
              <w:t xml:space="preserve"> efter </w:t>
            </w:r>
            <w:r w:rsidRPr="00A80DA9">
              <w:rPr>
                <w:b/>
                <w:i/>
              </w:rPr>
              <w:t>initieringen</w:t>
            </w:r>
            <w:r w:rsidRPr="00A80DA9">
              <w:t xml:space="preserve"> af betalingsordren. Nogle gange får den kontoførende betalingstjenesteudbyder flere oplysninger, efter at denne har modtaget betalingsordren, men før den har gennemført betalingstransaktionen. Hvis det er relevant for betalingsordren og gennemførelsen af betalingstransaktionen, bør den kontoførende betalingstjenesteudbyder give disse oplysninger til betalingsinitieringstjenesteudbyderen. Betalingsinitieringstjenesteudbyderen bør have adgang til de oplysninger, der er nødvendige for at vurdere risikoen for, at den initierede transaktion ikke gennemføres. Disse oplysninger er nødvendige for, at betalingsinitieringstjenesteudbyderen kan tilbyde en betalingsmodtager, på hvis vegne den initierer transaktionen, en tjeneste, hvis kvalitet kan konkurrere med andre elektroniske betalingsmidler, som betalingsmodtageren har adgang til, herunder betalingskort.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66</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(66)</w:t>
            </w:r>
            <w:r w:rsidRPr="00A80DA9">
              <w:tab/>
              <w:t>Revisionen af direktiv (EU) 2015/2366 har vist, at kontooplysnings- og betalingsinitieringstjenesteudbydere stadig er udsat for mange uberettigede hindringer på trods af det opnåede harmoniseringsniveau og forbuddet mod sådanne hindringer i henhold til artikel 32, stk. 3, i Kommissionens delegerede forordning (EU) 2018/389</w:t>
            </w:r>
            <w:r w:rsidRPr="00A80DA9">
              <w:rPr>
                <w:vertAlign w:val="superscript"/>
              </w:rPr>
              <w:t>47</w:t>
            </w:r>
            <w:r w:rsidRPr="00A80DA9">
              <w:t xml:space="preserve">. Disse hindringer hæmmer stadig i betydelig grad det fulde potentiale for open banking i Unionen. Disse hindringer indberettes regelmæssigt af kontooplysnings- og betalingsinitieringstjenesteudbydere til tilsynsmyndigheder, reguleringsmyndigheder og Kommissionen. De blev analyseret af EBA i deres udtalelse fra juni 2020 </w:t>
            </w:r>
            <w:r w:rsidRPr="00A80DA9">
              <w:rPr>
                <w:b/>
                <w:i/>
              </w:rPr>
              <w:t>om "Hindringer for levering af tredjepartsudbydertjenester under betalingstjenestedirektivet"</w:t>
            </w:r>
            <w:r w:rsidRPr="00A80DA9">
              <w:t>. Trods præciserende bestræbelser er der stadig stor usikkerhed på markedet og hos tilsynsmyndighederne om, hvad der udgør en "forbudt hindring" for regulerede open banking-tjenester. Det er derfor absolut nødvendigt at opstille en klar og ikke-udtømmende liste over sådanne forbudte open banking-hindringer, navnlig på grundlag af det arbejde, som EBA har udført.</w:t>
            </w:r>
          </w:p>
        </w:tc>
        <w:tc>
          <w:tcPr>
            <w:tcW w:w="4876" w:type="dxa"/>
            <w:hideMark/>
          </w:tcPr>
          <w:p w:rsidR="0047667D" w:rsidRPr="00A80DA9" w:rsidRDefault="008507C9">
            <w:pPr>
              <w:pStyle w:val="Normal6"/>
              <w:rPr>
                <w:szCs w:val="24"/>
              </w:rPr>
            </w:pPr>
            <w:r w:rsidRPr="00A80DA9">
              <w:t>(66)</w:t>
            </w:r>
            <w:r w:rsidRPr="00A80DA9">
              <w:tab/>
              <w:t>Revisionen af direktiv (EU) 2015/2366 har vist, at kontooplysnings- og betalingsinitieringstjenesteudbydere stadig er udsat for mange uberettigede hindringer på trods af det opnåede harmoniseringsniveau og forbuddet mod sådanne hindringer i henhold til artikel 32, stk. 3, i Kommissionens delegerede forordning (EU) 2018/389</w:t>
            </w:r>
            <w:r w:rsidRPr="00A80DA9">
              <w:rPr>
                <w:vertAlign w:val="superscript"/>
              </w:rPr>
              <w:t>47</w:t>
            </w:r>
            <w:r w:rsidRPr="00A80DA9">
              <w:t xml:space="preserve">. Disse hindringer hæmmer stadig i betydelig grad det fulde potentiale for open banking i Unionen. Disse hindringer indberettes regelmæssigt af kontooplysnings- og betalingsinitieringstjenesteudbydere til tilsynsmyndigheder, reguleringsmyndigheder og Kommissionen. De blev analyseret af EBA i deres udtalelse fra juni 2020 </w:t>
            </w:r>
            <w:r w:rsidRPr="00A80DA9">
              <w:rPr>
                <w:b/>
                <w:bCs/>
                <w:i/>
                <w:iCs/>
              </w:rPr>
              <w:t>med titlen "Opinion of the European Banking Authority on obstacles under Article 32(3) of the RTS on SCA and CSC"</w:t>
            </w:r>
            <w:r w:rsidRPr="00A80DA9">
              <w:t>. Trods præciserende bestræbelser er der stadig stor usikkerhed på markedet og hos tilsynsmyndighederne om, hvad der udgør en "forbudt hindring" for regulerede open banking-tjenester. Det er derfor absolut nødvendigt at opstille en klar og ikke-udtømmende liste over sådanne forbudte open banking-hindringer, navnlig på grundlag af det arbejde, som EBA har udført.</w:t>
            </w:r>
          </w:p>
        </w:tc>
      </w:tr>
      <w:tr w:rsidR="00285AB2" w:rsidRPr="00A80DA9" w:rsidTr="0047667D">
        <w:trPr>
          <w:jc w:val="center"/>
        </w:trPr>
        <w:tc>
          <w:tcPr>
            <w:tcW w:w="4876" w:type="dxa"/>
            <w:hideMark/>
          </w:tcPr>
          <w:p w:rsidR="0047667D" w:rsidRPr="00A80DA9" w:rsidRDefault="008507C9">
            <w:pPr>
              <w:pStyle w:val="Normal6"/>
            </w:pPr>
            <w:r w:rsidRPr="00A80DA9">
              <w:t>__________________</w:t>
            </w:r>
          </w:p>
        </w:tc>
        <w:tc>
          <w:tcPr>
            <w:tcW w:w="4876" w:type="dxa"/>
            <w:hideMark/>
          </w:tcPr>
          <w:p w:rsidR="0047667D" w:rsidRPr="00A80DA9" w:rsidRDefault="008507C9">
            <w:pPr>
              <w:pStyle w:val="Normal6"/>
              <w:rPr>
                <w:szCs w:val="24"/>
              </w:rPr>
            </w:pPr>
            <w:r w:rsidRPr="00A80DA9">
              <w:t>__________________</w:t>
            </w:r>
          </w:p>
        </w:tc>
      </w:tr>
      <w:tr w:rsidR="00285AB2" w:rsidRPr="00A80DA9" w:rsidTr="0047667D">
        <w:trPr>
          <w:jc w:val="center"/>
        </w:trPr>
        <w:tc>
          <w:tcPr>
            <w:tcW w:w="4876" w:type="dxa"/>
            <w:hideMark/>
          </w:tcPr>
          <w:p w:rsidR="0047667D" w:rsidRPr="00A80DA9" w:rsidRDefault="008507C9">
            <w:pPr>
              <w:pStyle w:val="Normal6"/>
            </w:pPr>
            <w:r w:rsidRPr="00A80DA9">
              <w:rPr>
                <w:vertAlign w:val="superscript"/>
              </w:rPr>
              <w:t>47</w:t>
            </w:r>
            <w:r w:rsidRPr="00A80DA9">
              <w:t xml:space="preserve"> Kommissionens delegerede forordning (EU) 2018/389 af 27. november 2017 om supplerende regler til Europa-Parlamentets og Rådets direktiv (EU) 2015/2366 for så vidt angår reguleringsmæssige tekniske standarder for stærk kundeautentifikation og fælles og sikre åbne standarder for kommunikation (EUT L 69 af 13.3.2018, s. 23).</w:t>
            </w:r>
          </w:p>
        </w:tc>
        <w:tc>
          <w:tcPr>
            <w:tcW w:w="4876" w:type="dxa"/>
            <w:hideMark/>
          </w:tcPr>
          <w:p w:rsidR="0047667D" w:rsidRPr="00A80DA9" w:rsidRDefault="008507C9">
            <w:pPr>
              <w:pStyle w:val="Normal6"/>
              <w:rPr>
                <w:szCs w:val="24"/>
              </w:rPr>
            </w:pPr>
            <w:r w:rsidRPr="00A80DA9">
              <w:rPr>
                <w:vertAlign w:val="superscript"/>
              </w:rPr>
              <w:t>47</w:t>
            </w:r>
            <w:r w:rsidRPr="00A80DA9">
              <w:t xml:space="preserve"> Kommissionens delegerede forordning (EU) 2018/389 af 27. november 2017 om supplerende regler til Europa-Parlamentets og Rådets direktiv (EU) 2015/2366 for så vidt angår reguleringsmæssige tekniske standarder for stærk kundeautentifikation og fælles og sikre åbne standarder for kommunikation (EUT L 69 af 13.3.2018, s. 23).</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70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(70)</w:t>
            </w:r>
            <w:r w:rsidRPr="00A80DA9">
              <w:tab/>
              <w:t xml:space="preserve">Sikkerhed i forbindelse med kreditoverførsler er afgørende for at øge betalingstjenestebrugernes tillid til sådanne tjenester og sikre, at de anvendes. Betalere, der har til hensigt at sende en kreditoverførsel til en bestemt betalingsmodtager, kan som følge af svig eller fejl angive en entydig identifikationskode, der ikke svarer til en konto, som den pågældende betalingsmodtager har. For at bidrage til at mindske svig og fejl bør betalingstjenestebrugerne nyde godt af en tjeneste, der kan kontrollere, om der er uoverensstemmelse mellem betalingsmodtagerens entydige identifikationskode og navnet </w:t>
            </w:r>
            <w:r w:rsidRPr="00A80DA9">
              <w:rPr>
                <w:b/>
                <w:i/>
              </w:rPr>
              <w:t>på</w:t>
            </w:r>
            <w:r w:rsidRPr="00A80DA9">
              <w:t xml:space="preserve"> betalingsmodtageren, som betaleren har angivet, og, hvis sådanne uoverensstemmelser opdages, underrette betaleren herom. Sådanne tjenester har i de lande, hvor de findes, haft en betydelig positiv indvirkning på omfanget af svig og fejl. I betragtning af denne tjenestes betydning for forebyggelsen af svig og fejl bør en sådan tjeneste være gratis tilgængelig for forbrugerne. For at undgå unødige gnidninger eller forsinkelser i behandlingen af transaktionen bør betalerens betalingstjenesteudbyder give en sådan underretning inden for højst få sekunder fra det tidspunkt, hvor betaleren har indtastet betalingsmodtagerens oplysninger. For at gøre det muligt for betaleren at beslutte, om den påtænkte transaktion skal gennemføres, bør betalerens betalingstjenesteudbyder give en sådan underretning, inden betaleren godkender transaktionen. Visse initieringsløsninger for kreditoverførsler kan være tilgængelige for betalere, der gør det muligt for dem at afgive en betalingsordre uden selv at indsætte den entydige identifikationskode. I stedet stilles sådanne dataelementer til rådighed af udbyderen af den pågældende initieringsløsning. I sådanne tilfælde er der ikke behov for en tjeneste, der kontrollerer overensstemmelsen mellem den entydige identifikationskode og betalingsmodtagerens navn, da risikoen for svig eller fejl er væsentligt reduceret.</w:t>
            </w:r>
          </w:p>
        </w:tc>
        <w:tc>
          <w:tcPr>
            <w:tcW w:w="4876" w:type="dxa"/>
            <w:hideMark/>
          </w:tcPr>
          <w:p w:rsidR="0047667D" w:rsidRPr="00A80DA9" w:rsidRDefault="008507C9">
            <w:pPr>
              <w:pStyle w:val="Normal6"/>
              <w:rPr>
                <w:szCs w:val="24"/>
              </w:rPr>
            </w:pPr>
            <w:r w:rsidRPr="00A80DA9">
              <w:t>(70)</w:t>
            </w:r>
            <w:r w:rsidRPr="00A80DA9">
              <w:tab/>
              <w:t xml:space="preserve">Sikkerhed i forbindelse med kreditoverførsler er afgørende for at øge betalingstjenestebrugernes tillid til sådanne tjenester og sikre, at de anvendes. Betalere, der har til hensigt at sende en kreditoverførsel til en bestemt betalingsmodtager, kan som følge af svig eller fejl angive en entydig identifikationskode, der ikke svarer til en konto, som den pågældende betalingsmodtager har. For at bidrage til at mindske svig og fejl bør betalingstjenestebrugerne nyde godt af en tjeneste, der kan kontrollere, om der er uoverensstemmelse mellem betalingsmodtagerens entydige identifikationskode og navnet </w:t>
            </w:r>
            <w:r w:rsidRPr="00A80DA9">
              <w:rPr>
                <w:b/>
                <w:i/>
              </w:rPr>
              <w:t>eller en anden identifikationskode såsom et momsnummer, en unik europæisk identifikator som omhandlet i artikel 16, stk. 1, andet afsnit, i direktiv (EU) 2017/1132 eller en LEI (identifikator for juridiske enheder), som utvetydigt identificerer</w:t>
            </w:r>
            <w:r w:rsidRPr="00A80DA9">
              <w:t xml:space="preserve"> betalingsmodtageren, som betaleren har angivet, og, hvis sådanne uoverensstemmelser opdages, underrette betaleren herom. Sådanne tjenester har i de lande, hvor de findes, haft en betydelig positiv indvirkning på omfanget af svig og fejl. I betragtning af denne tjenestes betydning for forebyggelsen af svig og fejl bør en sådan tjeneste være gratis tilgængelig for forbrugerne. For at undgå unødige gnidninger eller forsinkelser i behandlingen af transaktionen bør betalerens betalingstjenesteudbyder give en sådan underretning inden for højst få sekunder fra det tidspunkt, hvor betaleren har indtastet betalingsmodtagerens oplysninger. For at gøre det muligt for betaleren at beslutte, om den påtænkte transaktion skal gennemføres, bør betalerens betalingstjenesteudbyder give en sådan underretning, inden betaleren godkender transaktionen. Visse initieringsløsninger for kreditoverførsler kan være tilgængelige for betalere, der gør det muligt for dem at afgive en betalingsordre uden selv at indsætte den entydige identifikationskode. I stedet stilles sådanne dataelementer til rådighed af udbyderen af den pågældende initieringsløsning. I sådanne tilfælde er der ikke behov for en tjeneste, der kontrollerer overensstemmelsen mellem den entydige identifikationskode og betalingsmodtagerens navn, da risikoen for svig eller fejl er væsentligt reduceret.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71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(71)</w:t>
            </w:r>
            <w:r w:rsidRPr="00A80DA9">
              <w:tab/>
              <w:t>Forordning (EU) XXX om ændring af forordning (EU) nr. 260/2012 indeholder bestemmelser om en tjeneste, der kontrollerer overensstemmelsen mellem den entydige identifikationskode og betalingsmodtagerens navn, og som skal tilbydes brugere af straksoverførsler i euro. For at opnå en sammenhængende ramme for alle kreditoverførsler og samtidig undgå unødige overlapninger bør den kontroltjeneste, der er omhandlet i nærværende forordning, kun finde anvendelse på kreditoverførsler, der ikke er omfattet af forordning (EU) XXX om ændring af forordning (EU) nr. 260/2012.</w:t>
            </w:r>
          </w:p>
        </w:tc>
        <w:tc>
          <w:tcPr>
            <w:tcW w:w="4876" w:type="dxa"/>
            <w:hideMark/>
          </w:tcPr>
          <w:p w:rsidR="0047667D" w:rsidRPr="00A80DA9" w:rsidRDefault="008507C9">
            <w:pPr>
              <w:pStyle w:val="Normal6"/>
              <w:rPr>
                <w:szCs w:val="24"/>
              </w:rPr>
            </w:pPr>
            <w:r w:rsidRPr="00A80DA9">
              <w:t>(71)</w:t>
            </w:r>
            <w:r w:rsidRPr="00A80DA9">
              <w:tab/>
              <w:t xml:space="preserve">Forordning (EU) XXX om ændring af forordning (EU) nr. 260/2012 indeholder bestemmelser om en tjeneste, der kontrollerer overensstemmelsen mellem den entydige identifikationskode og betalingsmodtagerens navn </w:t>
            </w:r>
            <w:r w:rsidRPr="00A80DA9">
              <w:rPr>
                <w:b/>
                <w:i/>
              </w:rPr>
              <w:t>eller en anden identifikationskode</w:t>
            </w:r>
            <w:r w:rsidRPr="00A80DA9">
              <w:t>, og som skal tilbydes brugere af straksoverførsler i euro. For at opnå en sammenhængende ramme for alle kreditoverførsler og samtidig undgå unødige overlapninger bør den kontroltjeneste, der er omhandlet i nærværende forordning, kun finde anvendelse på kreditoverførsler, der ikke er omfattet af forordning (EU) XXX om ændring af forordning (EU) nr. 260/2012.</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77</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(77)</w:t>
            </w:r>
            <w:r w:rsidRPr="00A80DA9">
              <w:tab/>
              <w:t xml:space="preserve">I tilfælde af en uautoriseret betalingstransaktion bør betalingstjenesteudbyderen straks tilbagebetale transaktionsbeløbet til betaleren. Hvis der imidlertid er stor mistanke om en uautoriseret transaktion som følge af betalerens svigagtige adfærd, og hvis mistanken er baseret på objektive grunde, som betalingstjenesteudbyderen har meddelt den relevante nationale myndighed, bør udbyderen af betalingstjenester kunne foretage en undersøgelse, inden betaleren tilbagebetales. Betalingstjenesteudbyderen bør inden for </w:t>
            </w:r>
            <w:r w:rsidRPr="00A80DA9">
              <w:rPr>
                <w:b/>
                <w:i/>
              </w:rPr>
              <w:t>10</w:t>
            </w:r>
            <w:r w:rsidRPr="00A80DA9">
              <w:t xml:space="preserve"> arbejdsdage efter at have konstateret eller være blevet underrettet om transaktionen enten tilbagebetale betaleren beløbet for den uautoriserede betalingstransaktion eller oplyse betaleren om årsagerne til og dokumentationen for at afvise tilbagebetalingen og angive, hvilke organer betaleren kan henvende sig til, hvis betaleren ikke accepterer de anførte årsager. For at forhindre, at betaleren stilles ugunstigt, bør valørdatoen for kreditering ikke være senere end den dato, hvor beløbet blev debiteret. For at tilskynde betalingstjenestebrugeren til snarest muligt at underrette betalingstjenesteudbyderen om et eventuelt tyveri eller tab af et betalingsinstrument og således mindske risikoen for uautoriserede betalingstransaktioner bør brugeren kun hæfte for et begrænset beløb, medmindre betalingstjenestebrugeren har handlet svigagtigt eller groft forsømmeligt. I denne sammenhæng synes et beløb på 50 EUR at være tilstrækkeligt for at sikre en harmoniseret og omfattende brugerbeskyttelse i Unionen. Der bør ikke pålægges ansvar, hvis betaleren ikke er i stand til at opdage tabet, tyveriet eller den uberettigede tilegnelse af betalingsinstrumentet. Når en betalingstjenestebruger har meddelt udbyderen af betalingstjenester, at hans betalingsinstrument kan være misbrugt, bør betalingstjenestebrugeren ikke længere skulle dække tab som følge af uautoriseret brug af instrumentet. Betalingstjenesteudbydere bør være ansvarlige for den tekniske sikkerhed af deres egne produkter.</w:t>
            </w:r>
          </w:p>
        </w:tc>
        <w:tc>
          <w:tcPr>
            <w:tcW w:w="4876" w:type="dxa"/>
            <w:hideMark/>
          </w:tcPr>
          <w:p w:rsidR="0047667D" w:rsidRPr="00A80DA9" w:rsidRDefault="008507C9">
            <w:pPr>
              <w:pStyle w:val="Normal6"/>
              <w:rPr>
                <w:szCs w:val="24"/>
              </w:rPr>
            </w:pPr>
            <w:r w:rsidRPr="00A80DA9">
              <w:t>(77)</w:t>
            </w:r>
            <w:r w:rsidRPr="00A80DA9">
              <w:tab/>
              <w:t xml:space="preserve">I tilfælde af en uautoriseret betalingstransaktion bør betalingstjenesteudbyderen straks tilbagebetale transaktionsbeløbet til betaleren. Hvis der imidlertid er stor mistanke om en uautoriseret transaktion som følge af betalerens svigagtige adfærd, og hvis mistanken er baseret på objektive grunde, som betalingstjenesteudbyderen har meddelt den relevante nationale myndighed, bør udbyderen af betalingstjenester kunne foretage en undersøgelse, inden betaleren tilbagebetales. Betalingstjenesteudbyderen bør inden for </w:t>
            </w:r>
            <w:r w:rsidRPr="00A80DA9">
              <w:rPr>
                <w:b/>
                <w:i/>
              </w:rPr>
              <w:t>20</w:t>
            </w:r>
            <w:r w:rsidRPr="00A80DA9">
              <w:t xml:space="preserve"> arbejdsdage efter at have konstateret eller være blevet underrettet om transaktionen enten tilbagebetale betaleren beløbet for den uautoriserede betalingstransaktion eller oplyse betaleren om årsagerne til og dokumentationen for at afvise tilbagebetalingen og angive, hvilke organer betaleren kan henvende sig til, hvis betaleren ikke accepterer de anførte årsager. For at forhindre, at betaleren stilles ugunstigt, bør valørdatoen for kreditering ikke være senere end den dato, hvor beløbet blev debiteret. For at tilskynde betalingstjenestebrugeren til snarest muligt at underrette betalingstjenesteudbyderen om et eventuelt tyveri eller tab af et betalingsinstrument og således mindske risikoen for uautoriserede betalingstransaktioner bør brugeren kun hæfte for et begrænset beløb, medmindre betalingstjenestebrugeren har handlet svigagtigt eller groft forsømmeligt. I denne sammenhæng synes et beløb på 50 EUR at være tilstrækkeligt for at sikre en harmoniseret og omfattende brugerbeskyttelse i Unionen. Der bør ikke pålægges ansvar, hvis betaleren ikke er i stand til at opdage tabet, tyveriet eller den uberettigede tilegnelse af betalingsinstrumentet. Når en betalingstjenestebruger har meddelt udbyderen af betalingstjenester, at hans betalingsinstrument kan være misbrugt, bør betalingstjenestebrugeren ikke længere skulle dække tab som følge af uautoriseret brug af instrumentet. Betalingstjenesteudbydere bør være ansvarlige for den tekniske sikkerhed af deres egne produkter.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78</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(78)</w:t>
            </w:r>
            <w:r w:rsidRPr="00A80DA9">
              <w:tab/>
              <w:t>Bestemmelser om erstatningsansvar i tilfælde af godkendte kreditoverførsler, hvor der var en ukorrekt anvendelse eller funktionsfejl i tjenesten, der afslørede uoverensstemmelser mellem en betalingsmodtagers navn og entydige identifikationskode, ville skabe de rette incitamenter for betalingstjenesteudbyderne til at levere en fuldt fungerende tjeneste med det formål at mindske risikoen for misinformerede betalingstilladelser. Hvis betaleren beslutter at gøre brug af en sådan tjeneste, bør betalerens udbyder af betalingstjenester holdes ansvarlig for det fulde overførselsbeløb i tilfælde, hvor denne udbyder af betalingstjenester undlod at underrette betaleren om en uoverensstemmelse mellem den entydige identifikationskode og navnet på den betalingsmodtager, som betaleren har oplyst, selv om den burde have gjort det, hvis den havde fungeret korrekt, og denne undladelse har påført betaleren økonomisk skade. Hvis betalerens betalingstjenesteudbyders ansvar kan tilskrives betalingsmodtagerens udbyder af betalingstjenester, bør betalingsmodtagerens udbyder af betalingstjenester kompensere betalerens udbyder af betalingstjenester for den lidte økonomiske skade.</w:t>
            </w:r>
          </w:p>
        </w:tc>
        <w:tc>
          <w:tcPr>
            <w:tcW w:w="4876" w:type="dxa"/>
            <w:hideMark/>
          </w:tcPr>
          <w:p w:rsidR="0047667D" w:rsidRPr="00A80DA9" w:rsidRDefault="008507C9">
            <w:pPr>
              <w:pStyle w:val="Normal6"/>
              <w:rPr>
                <w:szCs w:val="24"/>
              </w:rPr>
            </w:pPr>
            <w:r w:rsidRPr="00A80DA9">
              <w:t>(78)</w:t>
            </w:r>
            <w:r w:rsidRPr="00A80DA9">
              <w:tab/>
              <w:t xml:space="preserve">Bestemmelser om erstatningsansvar i tilfælde af godkendte kreditoverførsler, hvor der var en ukorrekt anvendelse eller funktionsfejl i tjenesten, der afslørede uoverensstemmelser mellem en betalingsmodtagers navn </w:t>
            </w:r>
            <w:r w:rsidRPr="00A80DA9">
              <w:rPr>
                <w:b/>
                <w:i/>
              </w:rPr>
              <w:t>eller en anden identifikationskode</w:t>
            </w:r>
            <w:r w:rsidRPr="00A80DA9">
              <w:t xml:space="preserve"> og entydige identifikationskode, ville skabe de rette incitamenter for betalingstjenesteudbyderne til at levere en fuldt fungerende tjeneste med det formål at mindske risikoen for misinformerede betalingstilladelser. Hvis betaleren beslutter at gøre brug af en sådan tjeneste, bør betalerens udbyder af betalingstjenester holdes ansvarlig for det fulde overførselsbeløb i tilfælde, hvor denne udbyder af betalingstjenester undlod at underrette betaleren om en uoverensstemmelse mellem den entydige identifikationskode og navnet på den betalingsmodtager, som betaleren har oplyst, selv om den burde have gjort det, hvis den havde fungeret korrekt, og denne undladelse har påført betaleren økonomisk skade. Hvis betalerens betalingstjenesteudbyders ansvar kan tilskrives betalingsmodtagerens udbyder af betalingstjenester, bør betalingsmodtagerens udbyder af betalingstjenester kompensere betalerens udbyder af betalingstjenester for den lidte økonomiske skade.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79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(79)</w:t>
            </w:r>
            <w:r w:rsidRPr="00A80DA9">
              <w:tab/>
            </w:r>
            <w:r w:rsidRPr="00A80DA9">
              <w:rPr>
                <w:b/>
                <w:i/>
              </w:rPr>
              <w:t>Forbrugerne</w:t>
            </w:r>
            <w:r w:rsidRPr="00A80DA9">
              <w:t xml:space="preserve"> bør beskyttes tilstrækkeligt i forbindelse med </w:t>
            </w:r>
            <w:r w:rsidRPr="00A80DA9">
              <w:rPr>
                <w:b/>
                <w:i/>
              </w:rPr>
              <w:t>visse svigagtige betalingstransaktioner, som de har givet tilladelse til uden at vide, at disse transaktioner var svigagtige</w:t>
            </w:r>
            <w:r w:rsidRPr="00A80DA9">
              <w:t>. Antallet af "social engineering"-sager</w:t>
            </w:r>
            <w:r w:rsidRPr="00A80DA9">
              <w:rPr>
                <w:b/>
                <w:i/>
              </w:rPr>
              <w:t>, hvor forbrugere vildledes til at godkende en betalingstransaktion til en svindler,</w:t>
            </w:r>
            <w:r w:rsidRPr="00A80DA9">
              <w:t xml:space="preserve"> er steget markant i de senere år. "Spoofing"-tilfælde, hvor svindlere foregiver at være </w:t>
            </w:r>
            <w:r w:rsidRPr="00A80DA9">
              <w:rPr>
                <w:b/>
                <w:i/>
              </w:rPr>
              <w:t>ansatte</w:t>
            </w:r>
            <w:r w:rsidRPr="00A80DA9">
              <w:t xml:space="preserve"> hos en kundes betalingstjenesteudbyder og misbruger betalingstjenesteudbyderens navn, postadresse eller telefonnummer til at vinde kundernes tillid og få dem til at udføre visse handlinger, bliver desværre mere udbredt i Unionen. Disse nye former for "spoofing"-svig udvisker forskellen i direktiv (EU) 2015/2366 mellem autoriserede og uautoriserede transaktioner. </w:t>
            </w:r>
            <w:r w:rsidRPr="00A80DA9">
              <w:rPr>
                <w:b/>
                <w:i/>
              </w:rPr>
              <w:t>De midler, hvormed samtykket kan antages at være givet, bliver også mere komplekse at identificere, da svindlere kan tage kontrol over hele samtykke- og autentifikationsprocessen, herunder den stærke kundeautentifikation.</w:t>
            </w:r>
            <w:r w:rsidRPr="00A80DA9">
              <w:t xml:space="preserve"> Der bør tages behørigt hensyn til de betingelser, hvorunder kunden </w:t>
            </w:r>
            <w:r w:rsidRPr="00A80DA9">
              <w:rPr>
                <w:b/>
                <w:i/>
              </w:rPr>
              <w:t>godkendte en transaktion ved at give</w:t>
            </w:r>
            <w:r w:rsidRPr="00A80DA9">
              <w:t xml:space="preserve"> sin tilladelse </w:t>
            </w:r>
            <w:r w:rsidRPr="00A80DA9">
              <w:rPr>
                <w:b/>
                <w:i/>
              </w:rPr>
              <w:t>hertil</w:t>
            </w:r>
            <w:r w:rsidRPr="00A80DA9">
              <w:t xml:space="preserve">, herunder af domstolene, for at kvalificere en transaktion som autoriseret eller uautoriseret. </w:t>
            </w:r>
            <w:r w:rsidRPr="00A80DA9">
              <w:rPr>
                <w:b/>
                <w:i/>
              </w:rPr>
              <w:t>En transaktion</w:t>
            </w:r>
            <w:r w:rsidRPr="00A80DA9">
              <w:t xml:space="preserve"> </w:t>
            </w:r>
            <w:r w:rsidRPr="00A80DA9">
              <w:rPr>
                <w:b/>
                <w:i/>
              </w:rPr>
              <w:t>kan ganske vist være blevet</w:t>
            </w:r>
            <w:r w:rsidRPr="00A80DA9">
              <w:t xml:space="preserve"> godkendt </w:t>
            </w:r>
            <w:r w:rsidRPr="00A80DA9">
              <w:rPr>
                <w:b/>
                <w:i/>
              </w:rPr>
              <w:t>under omstændigheder, hvor en sådan tilladelse blev givet på manipulerede præmisser, der påvirkede godkendelsens integritet. Det er derfor ikke længere muligt, som det var tilfældet i direktiv (EU) 2015/2366, at begrænse tilbagebetalinger til uautoriserede transaktioner. Det ville imidlertid være uforholdsmæssigt og økonomisk meget dyrt for betalingstjenesteudbyderne at åbne enhver svigagtig transaktion, hvad enten de er autoriserede eller uautoriserede, for en systematisk ret til tilbagebetaling. Det kan også medføre moralsk risiko og mindske kundens årvågenhed.</w:t>
            </w:r>
          </w:p>
        </w:tc>
        <w:tc>
          <w:tcPr>
            <w:tcW w:w="4876" w:type="dxa"/>
            <w:hideMark/>
          </w:tcPr>
          <w:p w:rsidR="0047667D" w:rsidRPr="00A80DA9" w:rsidRDefault="008507C9" w:rsidP="00796D98">
            <w:pPr>
              <w:pStyle w:val="Normal6"/>
              <w:rPr>
                <w:szCs w:val="24"/>
              </w:rPr>
            </w:pPr>
            <w:r w:rsidRPr="00A80DA9">
              <w:t>(79)</w:t>
            </w:r>
            <w:r w:rsidRPr="00A80DA9">
              <w:tab/>
            </w:r>
            <w:r w:rsidRPr="00A80DA9">
              <w:rPr>
                <w:b/>
                <w:i/>
              </w:rPr>
              <w:t>Betalingstjenestebrugere</w:t>
            </w:r>
            <w:r w:rsidRPr="00A80DA9">
              <w:t xml:space="preserve"> bør beskyttes tilstrækkeligt i forbindelse med </w:t>
            </w:r>
            <w:r w:rsidRPr="00A80DA9">
              <w:rPr>
                <w:b/>
                <w:i/>
              </w:rPr>
              <w:t>såkaldt "social engineering"-bedrageri, hvor bedrageren manipulerer</w:t>
            </w:r>
            <w:r w:rsidRPr="00A80DA9">
              <w:t xml:space="preserve"> </w:t>
            </w:r>
            <w:r w:rsidRPr="00A80DA9">
              <w:rPr>
                <w:b/>
                <w:i/>
              </w:rPr>
              <w:t>betalingstjenestebrugeren til at udføre en bestemt handling såsom at initiere en betalingstransaktion eller til at overdrage sine sikkerhedsoplysninger til bedragerne</w:t>
            </w:r>
            <w:r w:rsidRPr="00A80DA9">
              <w:t xml:space="preserve">. Antallet af </w:t>
            </w:r>
            <w:r w:rsidRPr="00A80DA9">
              <w:rPr>
                <w:b/>
                <w:i/>
              </w:rPr>
              <w:t>denne type</w:t>
            </w:r>
            <w:r w:rsidRPr="00A80DA9">
              <w:t xml:space="preserve"> "social engineering"-sager er steget markant i de senere år. "Spoofing"-tilfælde, hvor svindlere foregiver at være </w:t>
            </w:r>
            <w:r w:rsidRPr="00A80DA9">
              <w:rPr>
                <w:b/>
                <w:i/>
              </w:rPr>
              <w:t>en legitim betalingsmodtager eller en medarbejder</w:t>
            </w:r>
            <w:r w:rsidRPr="00A80DA9">
              <w:t xml:space="preserve"> hos en kundes betalingstjenesteudbyder og misbruger </w:t>
            </w:r>
            <w:r w:rsidRPr="00A80DA9">
              <w:rPr>
                <w:b/>
                <w:i/>
              </w:rPr>
              <w:t>den pågældende persons eller</w:t>
            </w:r>
            <w:r w:rsidRPr="00A80DA9">
              <w:t xml:space="preserve"> betalingstjenesteudbyderens navn, postadresse eller telefonnummer til at vinde kundernes tillid og få dem til at udføre visse handlinger, bliver desværre mere udbredt i Unionen. Disse nye former for "spoofing"-svig udvisker forskellen i direktiv (EU) 2015/2366 mellem autoriserede og uautoriserede transaktioner. Der bør tages behørigt hensyn til de betingelser, hvorunder kunden </w:t>
            </w:r>
            <w:r w:rsidRPr="00A80DA9">
              <w:rPr>
                <w:b/>
                <w:i/>
              </w:rPr>
              <w:t>gav</w:t>
            </w:r>
            <w:r w:rsidRPr="00A80DA9">
              <w:t xml:space="preserve"> sin tilladelse </w:t>
            </w:r>
            <w:r w:rsidRPr="00A80DA9">
              <w:rPr>
                <w:b/>
                <w:i/>
              </w:rPr>
              <w:t>til at gennemføre en betaling</w:t>
            </w:r>
            <w:r w:rsidRPr="00A80DA9">
              <w:t xml:space="preserve">, herunder af domstolene, for at kvalificere en transaktion som autoriseret eller uautoriseret. </w:t>
            </w:r>
            <w:r w:rsidRPr="00A80DA9">
              <w:rPr>
                <w:b/>
                <w:i/>
              </w:rPr>
              <w:t>Når kunden nægter at have givet tilladelse til en betaling, bør brugen af betalerens personlige sikkerhedsoplysninger til at autentificere en betaling, herunder, hvor det er relevant, anvendelse af stærk kundeautentifikation, derfor ikke i sig selv være tilstrækkeligt til at bevise, at betalingstransaktionen</w:t>
            </w:r>
            <w:r w:rsidRPr="00A80DA9">
              <w:t xml:space="preserve"> </w:t>
            </w:r>
            <w:r w:rsidRPr="00A80DA9">
              <w:rPr>
                <w:b/>
                <w:i/>
              </w:rPr>
              <w:t>blev</w:t>
            </w:r>
            <w:r w:rsidRPr="00A80DA9">
              <w:t xml:space="preserve"> godkendt </w:t>
            </w:r>
            <w:r w:rsidRPr="00A80DA9">
              <w:rPr>
                <w:b/>
                <w:i/>
              </w:rPr>
              <w:t xml:space="preserve">af betaleren. </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119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79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(79)</w:t>
            </w:r>
            <w:r w:rsidRPr="00A80DA9">
              <w:tab/>
              <w:t>Forbrugerne bør beskyttes tilstrækkeligt i forbindelse med visse svigagtige betalingstransaktioner, som de har givet tilladelse til uden at vide, at disse transaktioner var svigagtige. Antallet af "social engineering"-sager, hvor forbrugere vildledes til at godkende en betalingstransaktion til en svindler, er steget markant i de senere år. "Spoofing"-tilfælde, hvor svindlere foregiver at være ansatte hos en kundes betalingstjenesteudbyder og misbruger betalingstjenesteudbyderens navn, postadresse eller telefonnummer til at vinde kundernes tillid og få dem til at udføre visse handlinger, bliver desværre mere udbredt i Unionen. Disse nye former for "spoofing"-svig udvisker forskellen i direktiv (EU) 2015/2366 mellem autoriserede og uautoriserede transaktioner. De midler, hvormed samtykket kan antages at være givet, bliver også mere komplekse at identificere, da svindlere kan tage kontrol over hele samtykke- og autentifikationsprocessen, herunder den stærke kundeautentifikation. Der bør tages behørigt hensyn til de betingelser, hvorunder kunden godkendte en transaktion ved at give sin tilladelse hertil, herunder af domstolene, for at kvalificere en transaktion som autoriseret eller uautoriseret. En transaktion kan ganske vist være blevet godkendt under omstændigheder, hvor en sådan tilladelse blev givet på manipulerede præmisser, der påvirkede godkendelsens integritet. Det er derfor ikke længere muligt, som det var tilfældet i direktiv (EU) 2015/2366, at begrænse tilbagebetalinger til uautoriserede transaktioner. Det ville imidlertid være uforholdsmæssigt og økonomisk meget dyrt for betalingstjenesteudbyderne at åbne enhver svigagtig transaktion, hvad enten de er autoriserede eller uautoriserede, for en systematisk ret til tilbagebetaling. Det kan også medføre moralsk risiko og mindske kundens årvågenhed.</w:t>
            </w:r>
          </w:p>
        </w:tc>
        <w:tc>
          <w:tcPr>
            <w:tcW w:w="4876" w:type="dxa"/>
            <w:hideMark/>
          </w:tcPr>
          <w:p w:rsidR="0047667D" w:rsidRPr="00A80DA9" w:rsidRDefault="008507C9">
            <w:pPr>
              <w:pStyle w:val="Normal6"/>
              <w:rPr>
                <w:szCs w:val="24"/>
              </w:rPr>
            </w:pPr>
            <w:r w:rsidRPr="00A80DA9">
              <w:t>(79)</w:t>
            </w:r>
            <w:r w:rsidRPr="00A80DA9">
              <w:tab/>
              <w:t>Forbrugerne bør beskyttes tilstrækkeligt i forbindelse med visse svigagtige betalingstransaktioner, som de har givet tilladelse til uden at vide, at disse transaktioner var svigagtige. Antallet af "social engineering"-sager, hvor forbrugere vildledes til at godkende en betalingstransaktion til en svindler, er steget markant i de senere år. "Spoofing"-tilfælde, hvor svindlere foregiver at være ansatte hos en kundes betalingstjenesteudbyder</w:t>
            </w:r>
            <w:r w:rsidRPr="00A80DA9">
              <w:rPr>
                <w:b/>
                <w:i/>
              </w:rPr>
              <w:t>, eller en relevant enhed, som kunden med rimelighed kunne kæde sammen med en pålidelig kilde såsom en centralbank eller en statslig myndighed,</w:t>
            </w:r>
            <w:r w:rsidRPr="00A80DA9">
              <w:t xml:space="preserve"> og misbruger betalingstjenesteudbyderens navn, postadresse eller telefonnummer til at vinde kundernes tillid og få dem til at udføre visse handlinger, bliver desværre mere udbredt i Unionen. Disse nye former for "spoofing"-svig udvisker forskellen i direktiv (EU) 2015/2366 mellem autoriserede og uautoriserede transaktioner. De midler, hvormed samtykket kan antages at være givet, bliver også mere komplekse at identificere, da svindlere kan tage kontrol over hele samtykke- og autentifikationsprocessen, herunder den stærke kundeautentifikation. Der bør tages behørigt hensyn til de betingelser, hvorunder kunden godkendte en transaktion ved at give sin tilladelse hertil, herunder af domstolene, for at kvalificere en transaktion som autoriseret eller uautoriseret. En transaktion kan ganske vist være blevet godkendt under omstændigheder, hvor en sådan tilladelse blev givet på manipulerede præmisser, der påvirkede godkendelsens integritet. Det er derfor ikke længere muligt, som det var tilfældet i direktiv (EU) 2015/2366, at begrænse tilbagebetalinger til uautoriserede transaktioner. Det ville imidlertid være uforholdsmæssigt og økonomisk meget dyrt for betalingstjenesteudbyderne at åbne enhver svigagtig transaktion, hvad enten de er autoriserede eller uautoriserede, for en systematisk ret til tilbagebetaling. Det kan også medføre moralsk risiko og mindske kundens årvågenhed.</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79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(79)</w:t>
            </w:r>
            <w:r w:rsidRPr="00A80DA9">
              <w:tab/>
              <w:t xml:space="preserve">Forbrugerne bør beskyttes tilstrækkeligt i forbindelse med visse svigagtige betalingstransaktioner, som de har givet tilladelse til uden at vide, at disse transaktioner var svigagtige. Antallet af "social engineering"-sager, hvor forbrugere vildledes til at godkende en betalingstransaktion til en svindler, er steget markant i de senere år. "Spoofing"-tilfælde, hvor svindlere foregiver at være ansatte hos en kundes betalingstjenesteudbyder og misbruger betalingstjenesteudbyderens navn, </w:t>
            </w:r>
            <w:r w:rsidRPr="00A80DA9">
              <w:rPr>
                <w:b/>
                <w:i/>
              </w:rPr>
              <w:t>postadresse</w:t>
            </w:r>
            <w:r w:rsidRPr="00A80DA9">
              <w:t xml:space="preserve"> eller telefonnummer til at vinde kundernes tillid og få dem til at udføre visse handlinger, bliver desværre mere udbredt i Unionen. Disse nye former for "spoofing"-svig udvisker forskellen i direktiv (EU) 2015/2366 mellem autoriserede og uautoriserede transaktioner. De midler, hvormed </w:t>
            </w:r>
            <w:r w:rsidRPr="00A80DA9">
              <w:rPr>
                <w:b/>
                <w:i/>
              </w:rPr>
              <w:t>samtykket</w:t>
            </w:r>
            <w:r w:rsidRPr="00A80DA9">
              <w:t xml:space="preserve"> kan antages at være givet, bliver også mere komplekse at identificere, da svindlere kan tage kontrol over hele </w:t>
            </w:r>
            <w:r w:rsidRPr="00A80DA9">
              <w:rPr>
                <w:b/>
                <w:i/>
              </w:rPr>
              <w:t>samtykke-</w:t>
            </w:r>
            <w:r w:rsidRPr="00A80DA9">
              <w:t xml:space="preserve"> og autentifikationsprocessen, herunder den stærke kundeautentifikation. Der bør tages behørigt hensyn til de betingelser, hvorunder kunden godkendte en transaktion ved at give sin tilladelse hertil, herunder af domstolene, for at kvalificere en transaktion som autoriseret eller uautoriseret. En transaktion kan ganske vist være blevet godkendt under omstændigheder, hvor en sådan tilladelse blev givet på </w:t>
            </w:r>
            <w:r w:rsidRPr="00A80DA9">
              <w:rPr>
                <w:b/>
                <w:i/>
              </w:rPr>
              <w:t>manipulerede præmisser</w:t>
            </w:r>
            <w:r w:rsidRPr="00A80DA9">
              <w:t>, der påvirkede godkendelsens integritet. Det er derfor ikke længere muligt, som det var tilfældet i direktiv (EU) 2015/2366, at begrænse tilbagebetalinger til uautoriserede transaktioner. Det ville imidlertid være uforholdsmæssigt og økonomisk meget dyrt for betalingstjenesteudbyderne at åbne enhver svigagtig transaktion, hvad enten de er autoriserede eller uautoriserede, for en systematisk ret til tilbagebetaling. Det kan også medføre moralsk risiko og mindske kundens årvågenhed.</w:t>
            </w:r>
          </w:p>
        </w:tc>
        <w:tc>
          <w:tcPr>
            <w:tcW w:w="4876" w:type="dxa"/>
            <w:hideMark/>
          </w:tcPr>
          <w:p w:rsidR="0047667D" w:rsidRPr="00A80DA9" w:rsidRDefault="008507C9">
            <w:pPr>
              <w:pStyle w:val="Normal6"/>
              <w:rPr>
                <w:szCs w:val="24"/>
              </w:rPr>
            </w:pPr>
            <w:r w:rsidRPr="00A80DA9">
              <w:t>(79)</w:t>
            </w:r>
            <w:r w:rsidRPr="00A80DA9">
              <w:tab/>
              <w:t xml:space="preserve">Forbrugerne bør beskyttes tilstrækkeligt i forbindelse med visse svigagtige betalingstransaktioner, som de har givet tilladelse til uden at vide, at disse transaktioner var svigagtige. Antallet af "social engineering"-sager, hvor forbrugere vildledes til at godkende en betalingstransaktion til en svindler, er steget markant i de senere år. "Spoofing"-tilfælde, hvor svindlere foregiver at være ansatte hos en kundes betalingstjenesteudbyder og misbruger betalingstjenesteudbyderens navn, </w:t>
            </w:r>
            <w:r w:rsidRPr="00A80DA9">
              <w:rPr>
                <w:b/>
                <w:i/>
              </w:rPr>
              <w:t>e-mailadresse</w:t>
            </w:r>
            <w:r w:rsidRPr="00A80DA9">
              <w:t xml:space="preserve"> eller telefonnummer til at vinde kundernes tillid og få dem til at udføre visse handlinger, bliver desværre mere udbredt i Unionen. Disse nye former for "spoofing"-svig </w:t>
            </w:r>
            <w:r w:rsidRPr="00A80DA9">
              <w:rPr>
                <w:b/>
                <w:i/>
              </w:rPr>
              <w:t>eller svig, hvor nogen udgiver sig for en anden,</w:t>
            </w:r>
            <w:r w:rsidRPr="00A80DA9">
              <w:t xml:space="preserve"> udvisker forskellen i direktiv (EU) 2015/2366 mellem autoriserede og uautoriserede transaktioner. De midler, hvormed </w:t>
            </w:r>
            <w:r w:rsidRPr="00A80DA9">
              <w:rPr>
                <w:b/>
                <w:i/>
              </w:rPr>
              <w:t>tilladelsen</w:t>
            </w:r>
            <w:r w:rsidRPr="00A80DA9">
              <w:t xml:space="preserve"> kan antages at være givet, bliver også mere komplekse at identificere, da svindlere kan tage kontrol over hele </w:t>
            </w:r>
            <w:r w:rsidRPr="00A80DA9">
              <w:rPr>
                <w:b/>
                <w:i/>
              </w:rPr>
              <w:t>tilladelses-</w:t>
            </w:r>
            <w:r w:rsidRPr="00A80DA9">
              <w:t xml:space="preserve"> og autentifikationsprocessen, herunder den stærke kundeautentifikation. Der bør tages behørigt hensyn til de betingelser, hvorunder kunden godkendte en transaktion ved at give sin tilladelse hertil, herunder af domstolene, for at kvalificere en transaktion som autoriseret eller uautoriseret. En transaktion kan ganske vist være blevet godkendt under omstændigheder, hvor en sådan tilladelse blev givet på </w:t>
            </w:r>
            <w:r w:rsidRPr="00A80DA9">
              <w:rPr>
                <w:b/>
                <w:i/>
              </w:rPr>
              <w:t>grundlag af manipulation</w:t>
            </w:r>
            <w:r w:rsidRPr="00A80DA9">
              <w:t>, der påvirkede godkendelsens integritet. Det er derfor ikke længere muligt, som det var tilfældet i direktiv (EU) 2015/2366, at begrænse tilbagebetalinger til uautoriserede transaktioner. Det ville imidlertid være uforholdsmæssigt og økonomisk meget dyrt for betalingstjenesteudbyderne at åbne enhver svigagtig transaktion, hvad enten de er autoriserede eller uautoriserede, for en systematisk ret til tilbagebetaling. Det kan også medføre moralsk risiko og mindske kundens årvågenhed.</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80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(80)</w:t>
            </w:r>
            <w:r w:rsidRPr="00A80DA9">
              <w:tab/>
            </w:r>
            <w:r w:rsidRPr="00A80DA9">
              <w:rPr>
                <w:b/>
                <w:i/>
              </w:rPr>
              <w:t xml:space="preserve">Betalingstjenesteudbydere kan også betragtes som ofre for "spoofing"-sager, da deres oplysninger blev misbrugt. </w:t>
            </w:r>
            <w:r w:rsidRPr="00A80DA9">
              <w:t xml:space="preserve">Betalingstjenesteudbydere har </w:t>
            </w:r>
            <w:r w:rsidRPr="00A80DA9">
              <w:rPr>
                <w:b/>
                <w:i/>
              </w:rPr>
              <w:t>imidlertid</w:t>
            </w:r>
            <w:r w:rsidRPr="00A80DA9">
              <w:t xml:space="preserve"> flere midler end forbrugerne til at sætte en stopper for </w:t>
            </w:r>
            <w:r w:rsidRPr="00A80DA9">
              <w:rPr>
                <w:b/>
                <w:i/>
              </w:rPr>
              <w:t>disse</w:t>
            </w:r>
            <w:r w:rsidRPr="00A80DA9">
              <w:t xml:space="preserve"> tilfælde af </w:t>
            </w:r>
            <w:r w:rsidRPr="00A80DA9">
              <w:rPr>
                <w:b/>
                <w:i/>
              </w:rPr>
              <w:t>svig</w:t>
            </w:r>
            <w:r w:rsidRPr="00A80DA9">
              <w:t xml:space="preserve"> gennem passende forebyggelse og solide tekniske sikkerhedsforanstaltninger, der er udviklet i samarbejde med udbydere af elektroniske kommunikationstjenester såsom mobilnetoperatører, internetplatforme osv. Tilfælde af svindel i form af at udgive sig for at være en bankmedarbejder påvirker bankens gode omdømme, banksektoren som helhed og kan forårsage betydelige økonomiske skader for EU's forbrugere, hvilket påvirker deres tillid til elektroniske betalinger og til banksystemet. En forbruger i god tro, som har været offer for en sådan "spoofing"-svindel, hvor svindlere udgiver sig for at være ansatte hos en kundes betalingstjenesteudbyder og misbruger betalingstjenesteudbyderens navn, postadresse eller telefonnummer, bør derfor have ret til at få refunderet det fulde beløb for den svigagtige betalingstransaktion fra betalingstjenesteudbyderen, medmindre betaleren har handlet svigagtigt eller med "grov uagtsomhed". Så snart forbrugeren bliver opmærksom på, at vedkommende har været offer for denne form for "spoofing"-svindel, bør forbrugeren uden unødig forsinkelse anmelde hændelsen til politiet, helst via onlineklageprocedurer, hvis sådanne stilles til rådighed af politiet, og til sin betalingstjenesteudbyder og fremlægge al nødvendig dokumentation. Der bør ikke ydes refusion, hvis disse proceduremæssige betingelser ikke er opfyldt.</w:t>
            </w:r>
          </w:p>
        </w:tc>
        <w:tc>
          <w:tcPr>
            <w:tcW w:w="4876" w:type="dxa"/>
            <w:hideMark/>
          </w:tcPr>
          <w:p w:rsidR="0047667D" w:rsidRPr="00A80DA9" w:rsidRDefault="008507C9">
            <w:pPr>
              <w:pStyle w:val="Normal6"/>
              <w:rPr>
                <w:szCs w:val="24"/>
              </w:rPr>
            </w:pPr>
            <w:r w:rsidRPr="00A80DA9">
              <w:t>(80)</w:t>
            </w:r>
            <w:r w:rsidRPr="00A80DA9">
              <w:tab/>
              <w:t xml:space="preserve">Betalingstjenesteudbydere har flere midler end forbrugerne til at sætte en stopper for tilfælde af </w:t>
            </w:r>
            <w:r w:rsidRPr="00A80DA9">
              <w:rPr>
                <w:b/>
                <w:i/>
              </w:rPr>
              <w:t>"spoofing", hvor bedrageren udgiver sig for at være en medarbejder hos betalingstjenesteudbyderen og misbruger betalingstjenesteudbyderens navn, e-mailadresse eller telefonnummer til at narre kunderne til at udføre bestemte handlinger</w:t>
            </w:r>
            <w:r w:rsidRPr="00A80DA9">
              <w:t>, gennem passende forebyggelse og solide tekniske sikkerhedsforanstaltninger, der er udviklet i samarbejde med udbydere af elektroniske kommunikationstjenester såsom mobilnetoperatører, internetplatforme osv</w:t>
            </w:r>
            <w:r w:rsidRPr="00A80DA9">
              <w:rPr>
                <w:b/>
                <w:i/>
              </w:rPr>
              <w:t>. Disse elektroniske kommunikationstjenester bør være forpligtet til at samarbejde med betalingstjenesteudbyderne i bekæmpelsen af svig. Gør de ikke det, skal de i fællesskab holdes ansvarlige i tilfælde af svig</w:t>
            </w:r>
            <w:r w:rsidRPr="00A80DA9">
              <w:t>. Tilfælde af svindel i form af at udgive sig for at være en bankmedarbejder påvirker bankens gode omdømme, banksektoren som helhed og kan forårsage betydelige økonomiske skader for EU's forbrugere, hvilket påvirker deres tillid til elektroniske betalinger og til banksystemet. En forbruger i god tro, som har været offer for en sådan "spoofing"-svindel, hvor svindlere udgiver sig for at være ansatte hos en kundes betalingstjenesteudbyder og misbruger betalingstjenesteudbyderens navn, postadresse eller telefonnummer, bør derfor have ret til at få refunderet det fulde beløb for den svigagtige betalingstransaktion fra betalingstjenesteudbyderen, medmindre betaleren har handlet svigagtigt eller med "grov uagtsomhed". Så snart forbrugeren bliver opmærksom på, at vedkommende har været offer for denne form for "spoofing"-svindel, bør forbrugeren uden unødig forsinkelse anmelde hændelsen til politiet, helst via onlineklageprocedurer, hvis sådanne stilles til rådighed af politiet, og til sin betalingstjenesteudbyder og fremlægge al nødvendig dokumentation. Der bør ikke ydes refusion, hvis disse proceduremæssige betingelser ikke er opfyldt.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81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(81)</w:t>
            </w:r>
            <w:r w:rsidRPr="00A80DA9">
              <w:tab/>
              <w:t>I betragtning af deres forpligtelser til at beskytte deres tjenesters sikkerhed i overensstemmelse med Europa-Parlamentets og Rådets direktiv 2002/58/EF</w:t>
            </w:r>
            <w:r w:rsidRPr="00A80DA9">
              <w:rPr>
                <w:b/>
                <w:i/>
                <w:vertAlign w:val="superscript"/>
              </w:rPr>
              <w:t>49</w:t>
            </w:r>
            <w:r w:rsidRPr="00A80DA9">
              <w:t xml:space="preserve"> har udbydere af elektroniske kommunikationstjenester mulighed for at bidrage til den kollektive kamp mod "spoofing"-svindel. Derfor, og uden at det berører de forpligtelser, der er fastsat i den nationale lovgivning til gennemførelse af nævnte direktiv, bør udbydere af elektroniske kommunikationstjenester samarbejde med udbydere af betalingstjenester med henblik på at forebygge yderligere forekomster af denne type svig, herunder ved at handle hurtigt for at sikre, at der er indført passende organisatoriske og tekniske foranstaltninger til beskyttelse af kommunikationssikkerheden og -fortroligheden i overensstemmelse med direktiv 2002/58/EF. Ethvert krav </w:t>
            </w:r>
            <w:r w:rsidRPr="00A80DA9">
              <w:rPr>
                <w:b/>
                <w:i/>
              </w:rPr>
              <w:t>fra en betalingstjenesteudbyder</w:t>
            </w:r>
            <w:r w:rsidRPr="00A80DA9">
              <w:t xml:space="preserve"> mod andre udbydere, såsom udbydere af elektroniske kommunikationstjenester, for økonomisk skade, der er forvoldt i forbindelse med denne form for svig, bør fremsættes i overensstemmelse med </w:t>
            </w:r>
            <w:r w:rsidRPr="00A80DA9">
              <w:rPr>
                <w:b/>
                <w:i/>
              </w:rPr>
              <w:t>national lovgivning</w:t>
            </w:r>
            <w:r w:rsidRPr="00A80DA9">
              <w:t>.</w:t>
            </w:r>
          </w:p>
        </w:tc>
        <w:tc>
          <w:tcPr>
            <w:tcW w:w="4876" w:type="dxa"/>
            <w:hideMark/>
          </w:tcPr>
          <w:p w:rsidR="0047667D" w:rsidRPr="00A80DA9" w:rsidRDefault="008507C9">
            <w:pPr>
              <w:pStyle w:val="Normal6"/>
              <w:rPr>
                <w:szCs w:val="24"/>
              </w:rPr>
            </w:pPr>
            <w:r w:rsidRPr="00A80DA9">
              <w:t>(81)</w:t>
            </w:r>
            <w:r w:rsidRPr="00A80DA9">
              <w:tab/>
              <w:t xml:space="preserve">I betragtning af deres forpligtelser til at beskytte deres tjenesters sikkerhed i overensstemmelse med Europa-Parlamentets og Rådets direktiv 2002/58/EF har udbydere af elektroniske kommunikationstjenester mulighed for at bidrage til den kollektive kamp mod "spoofing"-svindel. Derfor, og uden at det berører de forpligtelser, der er fastsat i den nationale lovgivning til gennemførelse af nævnte direktiv, bør udbydere af elektroniske kommunikationstjenester </w:t>
            </w:r>
            <w:r w:rsidRPr="00A80DA9">
              <w:rPr>
                <w:b/>
                <w:i/>
              </w:rPr>
              <w:t>også, hvor det er relevant, have det samme ansvar som betalingstjenesteudbyderne og</w:t>
            </w:r>
            <w:r w:rsidRPr="00A80DA9">
              <w:t xml:space="preserve"> samarbejde med udbydere af betalingstjenester med henblik på at forebygge yderligere forekomster af denne type svig, herunder ved at handle hurtigt for at sikre, at der er indført passende organisatoriske og tekniske foranstaltninger til beskyttelse af kommunikationssikkerheden og -fortroligheden i overensstemmelse med direktiv 2002/58/EF. Ethvert krav </w:t>
            </w:r>
            <w:r w:rsidRPr="00A80DA9">
              <w:rPr>
                <w:b/>
                <w:i/>
              </w:rPr>
              <w:t>som følge af svig</w:t>
            </w:r>
            <w:r w:rsidRPr="00A80DA9">
              <w:t xml:space="preserve"> mod andre udbydere, såsom udbydere af elektroniske kommunikationstjenester </w:t>
            </w:r>
            <w:r w:rsidRPr="00A80DA9">
              <w:rPr>
                <w:b/>
                <w:i/>
              </w:rPr>
              <w:t>eller onlineplatforme</w:t>
            </w:r>
            <w:r w:rsidRPr="00A80DA9">
              <w:t xml:space="preserve">, for økonomisk skade, der er forvoldt i forbindelse med denne form for svig, bør fremsættes i overensstemmelse med </w:t>
            </w:r>
            <w:r w:rsidRPr="00A80DA9">
              <w:rPr>
                <w:b/>
                <w:i/>
              </w:rPr>
              <w:t>denne forordning</w:t>
            </w:r>
            <w:r w:rsidRPr="00A80DA9">
              <w:t xml:space="preserve">. </w:t>
            </w:r>
          </w:p>
        </w:tc>
      </w:tr>
      <w:tr w:rsidR="00285AB2" w:rsidRPr="00A80DA9" w:rsidTr="0047667D">
        <w:trPr>
          <w:jc w:val="center"/>
        </w:trPr>
        <w:tc>
          <w:tcPr>
            <w:tcW w:w="4876" w:type="dxa"/>
            <w:hideMark/>
          </w:tcPr>
          <w:p w:rsidR="0047667D" w:rsidRPr="00A80DA9" w:rsidRDefault="008507C9">
            <w:pPr>
              <w:pStyle w:val="Normal6"/>
            </w:pPr>
            <w:r w:rsidRPr="00A80DA9">
              <w:t>__________________</w:t>
            </w:r>
          </w:p>
        </w:tc>
        <w:tc>
          <w:tcPr>
            <w:tcW w:w="4876" w:type="dxa"/>
            <w:hideMark/>
          </w:tcPr>
          <w:p w:rsidR="0047667D" w:rsidRPr="00A80DA9" w:rsidRDefault="008507C9">
            <w:pPr>
              <w:pStyle w:val="Normal6"/>
              <w:rPr>
                <w:szCs w:val="24"/>
              </w:rPr>
            </w:pPr>
            <w:r w:rsidRPr="00A80DA9">
              <w:t>__________________</w:t>
            </w:r>
          </w:p>
        </w:tc>
      </w:tr>
      <w:tr w:rsidR="00285AB2" w:rsidRPr="00A80DA9" w:rsidTr="0047667D">
        <w:trPr>
          <w:jc w:val="center"/>
        </w:trPr>
        <w:tc>
          <w:tcPr>
            <w:tcW w:w="4876" w:type="dxa"/>
            <w:hideMark/>
          </w:tcPr>
          <w:p w:rsidR="0047667D" w:rsidRPr="00A80DA9" w:rsidRDefault="008507C9">
            <w:pPr>
              <w:pStyle w:val="Normal6"/>
            </w:pPr>
            <w:r w:rsidRPr="00A80DA9">
              <w:rPr>
                <w:b/>
                <w:bCs/>
                <w:i/>
                <w:iCs/>
                <w:vertAlign w:val="superscript"/>
              </w:rPr>
              <w:t>49</w:t>
            </w:r>
            <w:r w:rsidRPr="00A80DA9">
              <w:rPr>
                <w:b/>
                <w:bCs/>
                <w:i/>
                <w:iCs/>
              </w:rPr>
              <w:t xml:space="preserve"> Europa-Parlamentets og Rådets direktiv 2002/58/EF af 12. juli 2002 om behandling af personoplysninger og beskyttelse af privatlivets fred i den elektroniske kommunikationssektor (EFT L 201 af 31.7.2002, s. 37).</w:t>
            </w:r>
          </w:p>
        </w:tc>
        <w:tc>
          <w:tcPr>
            <w:tcW w:w="4876" w:type="dxa"/>
            <w:hideMark/>
          </w:tcPr>
          <w:p w:rsidR="0047667D" w:rsidRPr="00A80DA9" w:rsidRDefault="008507C9">
            <w:pPr>
              <w:pStyle w:val="Normal6"/>
              <w:rPr>
                <w:szCs w:val="24"/>
              </w:rPr>
            </w:pPr>
            <w:r w:rsidRPr="00A80DA9">
              <w:t xml:space="preserve"> </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81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(81)</w:t>
            </w:r>
            <w:r w:rsidRPr="00A80DA9">
              <w:tab/>
              <w:t>I betragtning af deres forpligtelser til at beskytte deres tjenesters sikkerhed i overensstemmelse med Europa-Parlamentets og Rådets direktiv 2002/58/EF</w:t>
            </w:r>
            <w:r w:rsidRPr="00A80DA9">
              <w:rPr>
                <w:vertAlign w:val="superscript"/>
              </w:rPr>
              <w:t>49</w:t>
            </w:r>
            <w:r w:rsidRPr="00A80DA9">
              <w:t xml:space="preserve"> har udbydere af elektroniske kommunikationstjenester mulighed for at bidrage til den kollektive kamp mod "spoofing"-svindel. Derfor, og uden at det berører de forpligtelser, der er fastsat i den nationale lovgivning til gennemførelse af nævnte direktiv, bør udbydere af elektroniske kommunikationstjenester samarbejde med udbydere af betalingstjenester med henblik på at forebygge yderligere forekomster af denne type svig, herunder ved at handle hurtigt for at sikre, at der er indført passende organisatoriske og tekniske foranstaltninger til beskyttelse af kommunikationssikkerheden og -fortroligheden i overensstemmelse med direktiv 2002/58/EF. Ethvert krav fra en betalingstjenesteudbyder mod andre udbydere, såsom udbydere af elektroniske kommunikationstjenester, for økonomisk skade, der er forvoldt i forbindelse med denne form for svig, bør fremsættes i overensstemmelse med national lovgivning.</w:t>
            </w:r>
          </w:p>
        </w:tc>
        <w:tc>
          <w:tcPr>
            <w:tcW w:w="4876" w:type="dxa"/>
            <w:hideMark/>
          </w:tcPr>
          <w:p w:rsidR="0047667D" w:rsidRPr="00A80DA9" w:rsidRDefault="008507C9">
            <w:pPr>
              <w:pStyle w:val="Normal6"/>
              <w:rPr>
                <w:szCs w:val="24"/>
              </w:rPr>
            </w:pPr>
            <w:r w:rsidRPr="00A80DA9">
              <w:t>(81)</w:t>
            </w:r>
            <w:r w:rsidRPr="00A80DA9">
              <w:tab/>
              <w:t>I betragtning af deres forpligtelser til at beskytte deres tjenesters sikkerhed i overensstemmelse med Europa-Parlamentets og Rådets direktiv 2002/58/EF</w:t>
            </w:r>
            <w:r w:rsidRPr="00A80DA9">
              <w:rPr>
                <w:vertAlign w:val="superscript"/>
              </w:rPr>
              <w:t>49</w:t>
            </w:r>
            <w:r w:rsidRPr="00A80DA9">
              <w:t xml:space="preserve"> har udbydere af elektroniske kommunikationstjenester mulighed for at bidrage til den kollektive kamp mod "spoofing"-svindel. Derfor, og uden at det berører de forpligtelser, der er fastsat i den nationale lovgivning til gennemførelse af nævnte direktiv, bør udbydere af elektroniske kommunikationstjenester samarbejde med udbydere af betalingstjenester med henblik på at forebygge yderligere forekomster af denne type svig, herunder ved at handle hurtigt for at sikre, at der er indført passende organisatoriske og tekniske foranstaltninger til beskyttelse af kommunikationssikkerheden og -fortroligheden i overensstemmelse med direktiv 2002/58/EF. Ethvert krav fra en betalingstjenesteudbyder mod andre udbydere, såsom udbydere af elektroniske kommunikationstjenester, for økonomisk skade, der er forvoldt i forbindelse med denne form for svig, bør fremsættes i overensstemmelse med national lovgivning. </w:t>
            </w:r>
            <w:r w:rsidRPr="00A80DA9">
              <w:rPr>
                <w:b/>
                <w:i/>
              </w:rPr>
              <w:t>Udbydere af elektroniske kommunikationstjenester kan ikke stilles til ansvar for betalingssvig begået af tredjepart.</w:t>
            </w:r>
          </w:p>
        </w:tc>
      </w:tr>
      <w:tr w:rsidR="00285AB2" w:rsidRPr="00A80DA9" w:rsidTr="0047667D">
        <w:trPr>
          <w:jc w:val="center"/>
        </w:trPr>
        <w:tc>
          <w:tcPr>
            <w:tcW w:w="4876" w:type="dxa"/>
            <w:hideMark/>
          </w:tcPr>
          <w:p w:rsidR="0047667D" w:rsidRPr="00A80DA9" w:rsidRDefault="008507C9">
            <w:pPr>
              <w:pStyle w:val="Normal6"/>
            </w:pPr>
            <w:r w:rsidRPr="00A80DA9">
              <w:t>__________________</w:t>
            </w:r>
          </w:p>
        </w:tc>
        <w:tc>
          <w:tcPr>
            <w:tcW w:w="4876" w:type="dxa"/>
            <w:hideMark/>
          </w:tcPr>
          <w:p w:rsidR="0047667D" w:rsidRPr="00A80DA9" w:rsidRDefault="008507C9">
            <w:pPr>
              <w:pStyle w:val="Normal6"/>
              <w:rPr>
                <w:szCs w:val="24"/>
              </w:rPr>
            </w:pPr>
            <w:r w:rsidRPr="00A80DA9">
              <w:t>__________________</w:t>
            </w:r>
          </w:p>
        </w:tc>
      </w:tr>
      <w:tr w:rsidR="00285AB2" w:rsidRPr="00A80DA9" w:rsidTr="0047667D">
        <w:trPr>
          <w:jc w:val="center"/>
        </w:trPr>
        <w:tc>
          <w:tcPr>
            <w:tcW w:w="4876" w:type="dxa"/>
            <w:hideMark/>
          </w:tcPr>
          <w:p w:rsidR="0047667D" w:rsidRPr="00A80DA9" w:rsidRDefault="008507C9">
            <w:pPr>
              <w:pStyle w:val="Normal6"/>
            </w:pPr>
            <w:r w:rsidRPr="00A80DA9">
              <w:rPr>
                <w:vertAlign w:val="superscript"/>
              </w:rPr>
              <w:t>49</w:t>
            </w:r>
            <w:r w:rsidRPr="00A80DA9">
              <w:t xml:space="preserve"> Europa-Parlamentets og Rådets direktiv 2002/58/EF af 12. juli 2002 om behandling af personoplysninger og beskyttelse af privatlivets fred i den elektroniske kommunikationssektor (EFT L 201 af 31.7.2002, s. 37).</w:t>
            </w:r>
          </w:p>
        </w:tc>
        <w:tc>
          <w:tcPr>
            <w:tcW w:w="4876" w:type="dxa"/>
            <w:hideMark/>
          </w:tcPr>
          <w:p w:rsidR="0047667D" w:rsidRPr="00A80DA9" w:rsidRDefault="008507C9">
            <w:pPr>
              <w:pStyle w:val="Normal6"/>
              <w:rPr>
                <w:szCs w:val="24"/>
              </w:rPr>
            </w:pPr>
            <w:r w:rsidRPr="00A80DA9">
              <w:rPr>
                <w:vertAlign w:val="superscript"/>
              </w:rPr>
              <w:t>49</w:t>
            </w:r>
            <w:r w:rsidRPr="00A80DA9">
              <w:t xml:space="preserve"> Europa-Parlamentets og Rådets direktiv 2002/58/EF af 12. juli 2002 om behandling af personoplysninger og beskyttelse af privatlivets fred i den elektroniske kommunikationssektor (EFT L 201 af 31.7.2002, s. 37).</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81 a (ny)</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(81a)</w:t>
            </w:r>
            <w:r w:rsidRPr="00A80DA9">
              <w:rPr>
                <w:b/>
                <w:i/>
              </w:rPr>
              <w:tab/>
              <w:t>Onlineplatforme kan også bidrage til at øge antallet af tilfælde af svig. De bør derfor og med forbehold af deres forpligtelser i henhold til forordning (EU) 2022/2065 være ansvarlige, når svigen er opstået som et direkte resultat af, at bedragerne har benyttet deres platform til at bedrage forbrugerne.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82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(82)</w:t>
            </w:r>
            <w:r w:rsidRPr="00A80DA9">
              <w:tab/>
              <w:t xml:space="preserve">For at vurdere eventuel forsømmelse eller grov forsømmelse fra betalingstjenestebrugerens side bør der tages hensyn til alle omstændigheder. </w:t>
            </w:r>
            <w:r w:rsidRPr="00A80DA9">
              <w:rPr>
                <w:b/>
                <w:i/>
              </w:rPr>
              <w:t>Beviset for og graden af den påståede forsømmelse</w:t>
            </w:r>
            <w:r w:rsidRPr="00A80DA9">
              <w:t xml:space="preserve"> bør </w:t>
            </w:r>
            <w:r w:rsidRPr="00A80DA9">
              <w:rPr>
                <w:b/>
                <w:i/>
              </w:rPr>
              <w:t>generelt vurderes i henhold til national ret</w:t>
            </w:r>
            <w:r w:rsidRPr="00A80DA9">
              <w:t>.</w:t>
            </w:r>
            <w:r w:rsidRPr="00A80DA9">
              <w:rPr>
                <w:b/>
                <w:i/>
              </w:rPr>
              <w:t xml:space="preserve"> </w:t>
            </w:r>
            <w:r w:rsidRPr="00A80DA9">
              <w:t xml:space="preserve">Selv om begrebet uagtsomhed indebærer en tilsidesættelse af omsorgspligten, bør der ved "grov uagtsomhed" forstås mere end blot uagtsomhed, der involverer adfærd, der udviser en betydelig grad af skødesløshed, for eksempel opbevaring af de legitimationsoplysninger, der bruges til at godkende en betalingstransaktion, ved siden af betalingsinstrumentet i et format, der er åbent og let at opdage for tredjeparter. Det faktum, at en forbruger allerede har modtaget en tilbagebetaling fra en betalingstjenesteudbyder efter at være blevet offer for svig ved at nogen har udgivet sig for at være </w:t>
            </w:r>
            <w:r w:rsidRPr="00A80DA9">
              <w:rPr>
                <w:b/>
                <w:i/>
              </w:rPr>
              <w:t>bankansat</w:t>
            </w:r>
            <w:r w:rsidRPr="00A80DA9">
              <w:t xml:space="preserve">, og indgiver endnu et tilbagebetalingskrav </w:t>
            </w:r>
            <w:r w:rsidRPr="00A80DA9">
              <w:rPr>
                <w:b/>
                <w:i/>
              </w:rPr>
              <w:t>til den samme betalingstjenesteudbyder</w:t>
            </w:r>
            <w:r w:rsidRPr="00A80DA9">
              <w:t xml:space="preserve"> efter igen at være blevet offer for den samme type svig, kan betragtes som "grov uagtsomhed", da det kan indikere en høj grad af uforsigtighed fra brugeren, som burde have været mere opmærksom efter allerede at have været offer for den samme svigagtige fremgangsmåde.</w:t>
            </w:r>
          </w:p>
        </w:tc>
        <w:tc>
          <w:tcPr>
            <w:tcW w:w="4876" w:type="dxa"/>
            <w:hideMark/>
          </w:tcPr>
          <w:p w:rsidR="0047667D" w:rsidRPr="00A80DA9" w:rsidRDefault="008507C9">
            <w:pPr>
              <w:pStyle w:val="Normal6"/>
              <w:rPr>
                <w:szCs w:val="24"/>
              </w:rPr>
            </w:pPr>
            <w:r w:rsidRPr="00A80DA9">
              <w:t>(82)</w:t>
            </w:r>
            <w:r w:rsidRPr="00A80DA9">
              <w:tab/>
              <w:t xml:space="preserve">For at vurdere eventuel forsømmelse eller grov forsømmelse fra betalingstjenestebrugerens side bør der tages hensyn til alle omstændigheder. </w:t>
            </w:r>
            <w:r w:rsidRPr="00A80DA9">
              <w:rPr>
                <w:b/>
                <w:i/>
              </w:rPr>
              <w:t>Når en betalingstjenestebruger f.eks. bliver offer for "social engineering"-svig,</w:t>
            </w:r>
            <w:r w:rsidRPr="00A80DA9">
              <w:t xml:space="preserve"> bør </w:t>
            </w:r>
            <w:r w:rsidRPr="00A80DA9">
              <w:rPr>
                <w:b/>
                <w:i/>
              </w:rPr>
              <w:t>der ved vurderingen af, om betalingstjenestebrugeren har handlet groft uagtsomt, tages</w:t>
            </w:r>
            <w:r w:rsidRPr="00A80DA9">
              <w:t xml:space="preserve"> </w:t>
            </w:r>
            <w:r w:rsidRPr="00A80DA9">
              <w:rPr>
                <w:b/>
                <w:i/>
              </w:rPr>
              <w:t>højde for alle relevante faktorer, herunder, men ikke begrænset til svigens kompleksitet</w:t>
            </w:r>
            <w:r w:rsidRPr="00A80DA9">
              <w:t xml:space="preserve">, </w:t>
            </w:r>
            <w:r w:rsidRPr="00A80DA9">
              <w:rPr>
                <w:b/>
                <w:i/>
              </w:rPr>
              <w:t>betalingstjenestebrugerens personlige forhold, om denne havde rimelig grund til at antage, at han/hun foretog en betaling til en legitim betalingsmodtager, og om betalingstjenesteudbyderen kunne have truffet yderligere forholdsregler for at forhindre, at der forekom svig.</w:t>
            </w:r>
            <w:r w:rsidRPr="00A80DA9">
              <w:t xml:space="preserve"> Selv om begrebet uagtsomhed indebærer en tilsidesættelse af omsorgspligten, bør der ved "grov uagtsomhed" forstås mere end blot uagtsomhed, der involverer adfærd, der udviser en betydelig grad af skødesløshed, for eksempel </w:t>
            </w:r>
            <w:r w:rsidRPr="00A80DA9">
              <w:rPr>
                <w:b/>
                <w:i/>
              </w:rPr>
              <w:t>ved at foretage en betaling til en bedrager uden at have rimelig grund til at tro, at den betalingsmodtager, som betalingen var tiltænkt, er legitim, eller</w:t>
            </w:r>
            <w:r w:rsidRPr="00A80DA9">
              <w:t xml:space="preserve"> opbevaring af de legitimationsoplysninger, der bruges til at godkende en betalingstransaktion, ved siden af betalingsinstrumentet i et format, der er åbent og let at opdage for tredjeparter. Det faktum, at en forbruger allerede har modtaget en tilbagebetaling fra en betalingstjenesteudbyder efter at være blevet offer for svig ved at nogen har udgivet sig for at være </w:t>
            </w:r>
            <w:r w:rsidRPr="00A80DA9">
              <w:rPr>
                <w:b/>
                <w:i/>
              </w:rPr>
              <w:t>en anden</w:t>
            </w:r>
            <w:r w:rsidRPr="00A80DA9">
              <w:t>, og indgiver endnu et tilbagebetalingskrav efter igen at være blevet offer for den samme type svig, kan betragtes som "grov uagtsomhed", da det kan indikere en høj grad af uforsigtighed fra brugeren, som burde have været mere opmærksom efter allerede at have været offer for den samme svigagtige fremgangsmåde.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Manuel García-Margallo y Marfil</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82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(82)</w:t>
            </w:r>
            <w:r w:rsidRPr="00A80DA9">
              <w:tab/>
              <w:t xml:space="preserve">For at vurdere eventuel forsømmelse eller grov forsømmelse fra betalingstjenestebrugerens side bør der tages hensyn til alle omstændigheder. Beviset for og graden af den påståede forsømmelse bør generelt vurderes i henhold til national ret. Selv om begrebet uagtsomhed indebærer en tilsidesættelse af omsorgspligten, bør der ved "grov uagtsomhed" forstås mere end blot uagtsomhed, der involverer adfærd, der udviser en betydelig grad af skødesløshed, for eksempel opbevaring af de legitimationsoplysninger, der bruges til at godkende en betalingstransaktion, ved siden af betalingsinstrumentet i et format, der er åbent og let at opdage for tredjeparter. </w:t>
            </w:r>
            <w:r w:rsidRPr="00A80DA9">
              <w:rPr>
                <w:b/>
                <w:i/>
              </w:rPr>
              <w:t>Det faktum, at en forbruger allerede har modtaget en tilbagebetaling fra en betalingstjenesteudbyder efter at være blevet offer for svig ved at nogen har udgivet sig for at være bankansat, og indgiver endnu et tilbagebetalingskrav til den samme betalingstjenesteudbyder efter igen at være blevet offer for den samme type svig, kan betragtes som "grov uagtsomhed", da det kan indikere en høj grad af uforsigtighed fra brugeren, som burde have været mere opmærksom efter allerede at have været offer for den samme svigagtige fremgangsmåde.</w:t>
            </w:r>
          </w:p>
        </w:tc>
        <w:tc>
          <w:tcPr>
            <w:tcW w:w="4876" w:type="dxa"/>
            <w:hideMark/>
          </w:tcPr>
          <w:p w:rsidR="0047667D" w:rsidRPr="00A80DA9" w:rsidRDefault="008507C9">
            <w:pPr>
              <w:pStyle w:val="Normal6"/>
              <w:rPr>
                <w:szCs w:val="24"/>
              </w:rPr>
            </w:pPr>
            <w:r w:rsidRPr="00A80DA9">
              <w:t>(82)</w:t>
            </w:r>
            <w:r w:rsidRPr="00A80DA9">
              <w:tab/>
              <w:t>For at vurdere eventuel forsømmelse eller grov forsømmelse fra betalingstjenestebrugerens side bør der tages hensyn til alle omstændigheder. Beviset for og graden af den påståede forsømmelse bør generelt vurderes i henhold til national ret. Selv om begrebet uagtsomhed indebærer en tilsidesættelse af omsorgspligten, bør der ved "grov uagtsomhed" forstås mere end blot uagtsomhed, der involverer adfærd, der udviser en betydelig grad af skødesløshed, for eksempel opbevaring af de legitimationsoplysninger, der bruges til at godkende en betalingstransaktion, ved siden af betalingsinstrumentet i et format, der er åbent og let at opdage for tredjeparter.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82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(82)</w:t>
            </w:r>
            <w:r w:rsidRPr="00A80DA9">
              <w:tab/>
              <w:t>For at vurdere eventuel forsømmelse eller grov forsømmelse fra betalingstjenestebrugerens side bør der tages hensyn til alle omstændigheder. Beviset for og graden af den påståede forsømmelse bør generelt vurderes i henhold til national ret. Selv om begrebet uagtsomhed indebærer en tilsidesættelse af omsorgspligten, bør der ved "grov uagtsomhed" forstås mere end blot uagtsomhed, der involverer adfærd, der udviser en betydelig grad af skødesløshed, for eksempel opbevaring af de legitimationsoplysninger, der bruges til at godkende en betalingstransaktion, ved siden af betalingsinstrumentet i et format, der er åbent og let at opdage for tredjeparter. Det faktum, at en forbruger allerede har modtaget en tilbagebetaling fra en betalingstjenesteudbyder efter at være blevet offer for svig ved at nogen har udgivet sig for at være bankansat, og indgiver endnu et tilbagebetalingskrav til den samme betalingstjenesteudbyder efter igen at være blevet offer for den samme type svig, kan betragtes som "grov uagtsomhed", da det kan indikere en høj grad af uforsigtighed fra brugeren, som burde have været mere opmærksom efter allerede at have været offer for den samme svigagtige fremgangsmåde.</w:t>
            </w:r>
          </w:p>
        </w:tc>
        <w:tc>
          <w:tcPr>
            <w:tcW w:w="4876" w:type="dxa"/>
            <w:hideMark/>
          </w:tcPr>
          <w:p w:rsidR="0047667D" w:rsidRPr="00A80DA9" w:rsidRDefault="008507C9">
            <w:pPr>
              <w:pStyle w:val="Normal6"/>
              <w:rPr>
                <w:szCs w:val="24"/>
              </w:rPr>
            </w:pPr>
            <w:r w:rsidRPr="00A80DA9">
              <w:t>(82)</w:t>
            </w:r>
            <w:r w:rsidRPr="00A80DA9">
              <w:tab/>
              <w:t>For at vurdere eventuel forsømmelse eller grov forsømmelse fra betalingstjenestebrugerens side bør der tages hensyn til alle omstændigheder. Beviset for og graden af den påståede forsømmelse bør generelt vurderes i henhold til national ret. Selv om begrebet uagtsomhed indebærer en tilsidesættelse af omsorgspligten, bør der ved "grov uagtsomhed" forstås mere end blot uagtsomhed, der involverer adfærd, der udviser en betydelig grad af skødesløshed, for eksempel opbevaring af de legitimationsoplysninger, der bruges til at godkende en betalingstransaktion, ved siden af betalingsinstrumentet i et format, der er åbent og let at opdage for tredjeparter</w:t>
            </w:r>
            <w:r w:rsidRPr="00A80DA9">
              <w:rPr>
                <w:b/>
                <w:i/>
              </w:rPr>
              <w:t>, usikker håndtering af sikkerhedskoder, debetkort eller en enhed, der anvendes til at opnå adgang til banken, at overtale banken til at ophæve spærringen efter en advarsel om svig efter rådgivning fra en ukendt tredjepart, overførsel af penge til udenlandske konti under mistænkelige omstændigheder eller åbning af en eller flere tegnebøger til kryptovaluta efter rådgivning fra en ukendt tredjepart</w:t>
            </w:r>
            <w:r w:rsidRPr="00A80DA9">
              <w:t>. Det faktum, at en forbruger allerede har modtaget en tilbagebetaling fra en betalingstjenesteudbyder efter at være blevet offer for svig ved at nogen har udgivet sig for at være bankansat, og indgiver endnu et tilbagebetalingskrav til den samme betalingstjenesteudbyder efter igen at være blevet offer for den samme type svig, kan betragtes som "grov uagtsomhed", da det kan indikere en høj grad af uforsigtighed fra brugeren, som burde have været mere opmærksom efter allerede at have været offer for den samme svigagtige fremgangsmåde.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82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(82)</w:t>
            </w:r>
            <w:r w:rsidRPr="00A80DA9">
              <w:tab/>
              <w:t>For at vurdere eventuel forsømmelse eller grov forsømmelse fra betalingstjenestebrugerens side bør der tages hensyn til alle omstændigheder. Beviset for og graden af den påståede forsømmelse bør generelt vurderes i henhold til national ret. Selv om begrebet uagtsomhed indebærer en tilsidesættelse af omsorgspligten, bør der ved "grov uagtsomhed" forstås mere end blot uagtsomhed, der involverer adfærd, der udviser en betydelig grad af skødesløshed, for eksempel opbevaring af de legitimationsoplysninger, der bruges til at godkende en betalingstransaktion, ved siden af betalingsinstrumentet i et format, der er åbent og let at opdage for tredjeparter. Det faktum, at en forbruger allerede har modtaget en tilbagebetaling fra en betalingstjenesteudbyder efter at være blevet offer for svig ved at nogen har udgivet sig for at være bankansat, og indgiver endnu et tilbagebetalingskrav til den samme betalingstjenesteudbyder efter igen at være blevet offer for den samme type svig, kan betragtes som "grov uagtsomhed", da det kan indikere en høj grad af uforsigtighed fra brugeren, som burde have været mere opmærksom efter allerede at have været offer for den samme svigagtige fremgangsmåde.</w:t>
            </w:r>
          </w:p>
        </w:tc>
        <w:tc>
          <w:tcPr>
            <w:tcW w:w="4876" w:type="dxa"/>
            <w:hideMark/>
          </w:tcPr>
          <w:p w:rsidR="0047667D" w:rsidRPr="00A80DA9" w:rsidRDefault="008507C9">
            <w:pPr>
              <w:pStyle w:val="Normal6"/>
              <w:rPr>
                <w:szCs w:val="24"/>
              </w:rPr>
            </w:pPr>
            <w:r w:rsidRPr="00A80DA9">
              <w:t>(82)</w:t>
            </w:r>
            <w:r w:rsidRPr="00A80DA9">
              <w:tab/>
              <w:t xml:space="preserve">For at vurdere eventuel forsømmelse eller grov forsømmelse fra betalingstjenestebrugerens side bør der tages hensyn til alle omstændigheder. Beviset for og graden af den påståede forsømmelse bør generelt vurderes i henhold til national ret. Selv om begrebet uagtsomhed indebærer en tilsidesættelse af omsorgspligten, bør der ved "grov uagtsomhed" forstås mere end blot uagtsomhed, der involverer adfærd, der udviser en betydelig grad af skødesløshed, for eksempel opbevaring af de legitimationsoplysninger, der bruges til at godkende en betalingstransaktion, ved siden af betalingsinstrumentet i et format, der er åbent og let at opdage for tredjeparter. Det faktum, at en forbruger allerede har modtaget en tilbagebetaling fra en betalingstjenesteudbyder efter at være blevet offer for svig ved at nogen har udgivet sig for at være </w:t>
            </w:r>
            <w:r w:rsidRPr="00A80DA9">
              <w:rPr>
                <w:b/>
                <w:i/>
              </w:rPr>
              <w:t>en medarbejder ved en institution, som kunden har tillid til, f.eks. en</w:t>
            </w:r>
            <w:r w:rsidRPr="00A80DA9">
              <w:t xml:space="preserve"> bankansat, og indgiver endnu et tilbagebetalingskrav til den samme betalingstjenesteudbyder efter igen at være blevet offer for den samme type svig, kan betragtes som "grov uagtsomhed", da det kan indikere en høj grad af uforsigtighed fra brugeren, som burde have været mere opmærksom efter allerede at have været offer for den samme svigagtige fremgangsmåde.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129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82 a (ny)</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(82a)</w:t>
            </w:r>
            <w:r w:rsidRPr="00A80DA9">
              <w:rPr>
                <w:b/>
                <w:i/>
              </w:rPr>
              <w:tab/>
              <w:t>I lyset af de forskellige fortolkninger af begrebet "grov forsømmelse" rundt om i Unionen bør EBA udstede retningslinjer til medlemsstaterne om, hvordan dette begreb skal defineres.</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98</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(98)</w:t>
            </w:r>
            <w:r w:rsidRPr="00A80DA9">
              <w:tab/>
              <w:t>Som det anerkendes i Kommissionens meddelelse om en detailbetalingsstrategi for EU, er det af stor offentlig interesse, at EU's betalingsmarkeder fungerer godt. Derfor bør betalingstjenesteudbydere og operatører af betalingssystemer, når det er nødvendigt i forbindelse med denne forordning for at udbyde betalingstjenester og for at overholde denne forordning, kunne behandle særlige kategorier af personoplysninger som defineret i artikel 9, stk. 1, i forordning (EU) 2016/679 og artikel 10, stk. 1, i forordning (EU) 2018/1725. Hvis der behandles særlige kategorier af personoplysninger, bør betalingstjenesteudbydere og operatører af betalingssystemer gennemføre passende tekniske og organisatoriske foranstaltninger for at beskytte fysiske personers grundlæggende rettigheder og frihedsrettigheder. Disse foranstaltninger bør omfatte tekniske begrænsninger for videreanvendelsen af data og anvendelsen af de nyeste sikkerheds- og privatlivsbevarende foranstaltninger, herunder pseudonymisering, eller kryptering for at sikre overholdelse af principperne om formålsbegrænsning, dataminimering og lagringsbegrænsning som fastsat i forordning (EU) 2016/679. Betalingstjenesteudbyderne og betalingssystemerne bør også gennemføre specifikke organisatoriske foranstaltninger, herunder uddannelse i behandling af sådanne data, begrænsning af adgangen til særlige kategorier af oplysninger og registrering af en sådan adgang.</w:t>
            </w:r>
          </w:p>
        </w:tc>
        <w:tc>
          <w:tcPr>
            <w:tcW w:w="4876" w:type="dxa"/>
            <w:hideMark/>
          </w:tcPr>
          <w:p w:rsidR="0047667D" w:rsidRPr="00A80DA9" w:rsidRDefault="008507C9">
            <w:pPr>
              <w:pStyle w:val="Normal6"/>
              <w:rPr>
                <w:szCs w:val="24"/>
              </w:rPr>
            </w:pPr>
            <w:r w:rsidRPr="00A80DA9">
              <w:t>(98)</w:t>
            </w:r>
            <w:r w:rsidRPr="00A80DA9">
              <w:tab/>
              <w:t>Som det anerkendes i Kommissionens meddelelse om en detailbetalingsstrategi for EU, er det af stor offentlig interesse, at EU's betalingsmarkeder fungerer godt. Derfor bør betalingstjenesteudbydere og operatører af betalingssystemer, når det er nødvendigt i forbindelse med denne forordning for at udbyde betalingstjenester og for at overholde denne forordning, kunne behandle særlige kategorier af personoplysninger som defineret i artikel 9, stk. 1, i forordning (EU) 2016/679 og artikel 10, stk. 1, i forordning (EU) 2018/1725. Hvis der behandles særlige kategorier af personoplysninger, bør betalingstjenesteudbydere og operatører af betalingssystemer gennemføre passende tekniske og organisatoriske foranstaltninger for at beskytte fysiske personers grundlæggende rettigheder og frihedsrettigheder. Disse foranstaltninger bør omfatte tekniske begrænsninger for videreanvendelsen af data og anvendelsen af de nyeste sikkerheds- og privatlivsbevarende foranstaltninger, herunder</w:t>
            </w:r>
            <w:r w:rsidRPr="00A80DA9">
              <w:rPr>
                <w:b/>
                <w:i/>
              </w:rPr>
              <w:t>, men ikke begrænset til,</w:t>
            </w:r>
            <w:r w:rsidRPr="00A80DA9">
              <w:t xml:space="preserve"> pseudonymisering, eller kryptering for at sikre overholdelse af principperne om formålsbegrænsning, dataminimering og lagringsbegrænsning som fastsat i forordning (EU) 2016/679. Betalingstjenesteudbyderne og betalingssystemerne bør også gennemføre specifikke organisatoriske foranstaltninger, herunder uddannelse i behandling af sådanne data, begrænsning af adgangen til særlige kategorier af oplysninger og registrering af en sådan adgang.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98</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(98)</w:t>
            </w:r>
            <w:r w:rsidRPr="00A80DA9">
              <w:tab/>
              <w:t xml:space="preserve">Som det anerkendes i Kommissionens meddelelse om en detailbetalingsstrategi for EU, er det af stor offentlig interesse, at EU's betalingsmarkeder fungerer godt. Derfor bør betalingstjenesteudbydere og operatører af betalingssystemer, når det er nødvendigt i forbindelse med denne forordning for at udbyde betalingstjenester og for at overholde denne forordning, kunne behandle særlige kategorier af personoplysninger som defineret i artikel 9, stk. 1, i forordning (EU) 2016/679 og artikel 10, stk. 1, i forordning (EU) 2018/1725. Hvis der behandles særlige kategorier af personoplysninger, bør betalingstjenesteudbydere og operatører af betalingssystemer gennemføre passende tekniske og organisatoriske foranstaltninger for at beskytte fysiske personers grundlæggende rettigheder og frihedsrettigheder. Disse foranstaltninger bør omfatte tekniske begrænsninger for videreanvendelsen af data og anvendelsen af de nyeste sikkerheds- og privatlivsbevarende foranstaltninger, herunder pseudonymisering, eller kryptering for at sikre overholdelse af principperne om formålsbegrænsning, dataminimering og lagringsbegrænsning som fastsat i forordning (EU) 2016/679. Betalingstjenesteudbyderne og </w:t>
            </w:r>
            <w:r w:rsidRPr="00A80DA9">
              <w:rPr>
                <w:b/>
                <w:i/>
              </w:rPr>
              <w:t>betalingssystemerne</w:t>
            </w:r>
            <w:r w:rsidRPr="00A80DA9">
              <w:t xml:space="preserve"> bør også gennemføre specifikke organisatoriske foranstaltninger, herunder uddannelse i behandling af sådanne data, begrænsning af adgangen til særlige kategorier af oplysninger og registrering af en sådan adgang.</w:t>
            </w:r>
          </w:p>
        </w:tc>
        <w:tc>
          <w:tcPr>
            <w:tcW w:w="4876" w:type="dxa"/>
            <w:hideMark/>
          </w:tcPr>
          <w:p w:rsidR="0047667D" w:rsidRPr="00A80DA9" w:rsidRDefault="008507C9">
            <w:pPr>
              <w:pStyle w:val="Normal6"/>
              <w:rPr>
                <w:szCs w:val="24"/>
              </w:rPr>
            </w:pPr>
            <w:r w:rsidRPr="00A80DA9">
              <w:t>(98)</w:t>
            </w:r>
            <w:r w:rsidRPr="00A80DA9">
              <w:tab/>
              <w:t xml:space="preserve">Som det anerkendes i Kommissionens meddelelse om en detailbetalingsstrategi for EU, er det af stor offentlig interesse, at EU's betalingsmarkeder fungerer godt. Derfor bør betalingstjenesteudbydere og operatører af betalingssystemer, når det er nødvendigt i forbindelse med denne forordning for at udbyde betalingstjenester og for at overholde denne forordning, kunne behandle særlige kategorier af personoplysninger som defineret i artikel 9, stk. 1, i forordning (EU) 2016/679 og artikel 10, stk. 1, i forordning (EU) 2018/1725. Hvis der behandles særlige kategorier af personoplysninger, bør betalingstjenesteudbydere og operatører af betalingssystemer gennemføre passende tekniske og organisatoriske foranstaltninger for at beskytte fysiske personers grundlæggende rettigheder og frihedsrettigheder. Disse foranstaltninger bør omfatte tekniske begrænsninger for videreanvendelsen af data og anvendelsen af de nyeste sikkerheds- og privatlivsbevarende foranstaltninger, herunder pseudonymisering, eller kryptering for at sikre overholdelse af principperne om formålsbegrænsning, dataminimering og lagringsbegrænsning som fastsat i forordning (EU) 2016/679. Betalingstjenesteudbyderne og </w:t>
            </w:r>
            <w:r w:rsidRPr="00A80DA9">
              <w:rPr>
                <w:b/>
                <w:i/>
              </w:rPr>
              <w:t>betalingssystemoperatørerne</w:t>
            </w:r>
            <w:r w:rsidRPr="00A80DA9">
              <w:t xml:space="preserve"> bør også gennemføre specifikke organisatoriske foranstaltninger, herunder uddannelse i behandling af sådanne data, begrænsning af adgangen til særlige kategorier af oplysninger og registrering af en sådan adgang.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(100)</w:t>
            </w:r>
            <w:r w:rsidRPr="00A80DA9">
              <w:tab/>
              <w:t>Svindlere går ofte efter de mest sårbare personer i vores samfund. Rettidig afsløring af svigagtige betalingstransaktioner er afgørende, og overvågning af transaktioner spiller en vigtig rolle i forbindelse med denne afsløring. Det er derfor hensigtsmæssigt at kræve, at betalingstjenesteudbydere har indført mekanismer til overvågning af transaktioner, der afspejler disse mekanismers afgørende bidrag til forebyggelse af svig, og som går videre end den beskyttelse, som stærk kundeautentifikation giver i forbindelse med betalingstransaktioner, herunder transaktioner, der involverer betalingsinitieringstjenester.</w:t>
            </w:r>
          </w:p>
        </w:tc>
        <w:tc>
          <w:tcPr>
            <w:tcW w:w="4876" w:type="dxa"/>
            <w:hideMark/>
          </w:tcPr>
          <w:p w:rsidR="0047667D" w:rsidRPr="00A80DA9" w:rsidRDefault="008507C9">
            <w:pPr>
              <w:pStyle w:val="Normal6"/>
              <w:rPr>
                <w:szCs w:val="24"/>
              </w:rPr>
            </w:pPr>
            <w:r w:rsidRPr="00A80DA9">
              <w:t>(100)</w:t>
            </w:r>
            <w:r w:rsidRPr="00A80DA9">
              <w:tab/>
              <w:t>Svindlere går ofte efter de mest sårbare personer i vores samfund. Rettidig afsløring af svigagtige betalingstransaktioner er afgørende, og overvågning af transaktioner spiller en vigtig rolle i forbindelse med denne afsløring. Det er derfor hensigtsmæssigt at kræve, at betalingstjenesteudbydere har indført mekanismer til overvågning af transaktioner, der afspejler disse mekanismers afgørende bidrag til forebyggelse af svig, og som går videre end den beskyttelse, som stærk kundeautentifikation giver i forbindelse med betalingstransaktioner, herunder transaktioner, der involverer betalingsinitieringstjenester.</w:t>
            </w:r>
            <w:r w:rsidRPr="00A80DA9">
              <w:rPr>
                <w:b/>
                <w:i/>
              </w:rPr>
              <w:t xml:space="preserve"> Når betalingstjenesteudbyderne ikke har indført passende mekanismer til at forhindre svig, bør de holdes ansvarlige for dækning af de tab, som betalingstjenestebrugerne har lidt som følge af svig.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(100)</w:t>
            </w:r>
            <w:r w:rsidRPr="00A80DA9">
              <w:tab/>
              <w:t>Svindlere går ofte efter de mest sårbare personer i vores samfund. Rettidig afsløring af svigagtige betalingstransaktioner er afgørende, og overvågning af transaktioner spiller en vigtig rolle i forbindelse med denne afsløring. Det er derfor hensigtsmæssigt at kræve, at betalingstjenesteudbydere har indført mekanismer til overvågning af transaktioner, der afspejler disse mekanismers afgørende bidrag til forebyggelse af svig, og som går videre end den beskyttelse, som stærk kundeautentifikation giver i forbindelse med betalingstransaktioner, herunder transaktioner, der involverer betalingsinitieringstjenester.</w:t>
            </w:r>
          </w:p>
        </w:tc>
        <w:tc>
          <w:tcPr>
            <w:tcW w:w="4876" w:type="dxa"/>
            <w:hideMark/>
          </w:tcPr>
          <w:p w:rsidR="0047667D" w:rsidRPr="00A80DA9" w:rsidRDefault="008507C9">
            <w:pPr>
              <w:pStyle w:val="Normal6"/>
              <w:rPr>
                <w:szCs w:val="24"/>
              </w:rPr>
            </w:pPr>
            <w:r w:rsidRPr="00A80DA9">
              <w:tab/>
            </w:r>
            <w:r w:rsidRPr="00A80DA9">
              <w:rPr>
                <w:i/>
                <w:iCs/>
              </w:rPr>
              <w:t>(Vedrører ikke den danske tekst)</w:t>
            </w:r>
            <w:r>
              <w:t xml:space="preserve"> </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(103)</w:t>
            </w:r>
            <w:r w:rsidRPr="00A80DA9">
              <w:tab/>
              <w:t xml:space="preserve">Svig i forbindelse med kreditoverførsler er i sagens natur tilpasningsdygtig og omfatter en åben mangfoldighed af praksisser og teknikker, herunder tyveri af autentifikationsoplysninger, manipulation af fakturaer og social manipulation. For at kunne forhindre stadig nye former for svig bør overvågningen af transaktioner derfor løbende forbedres, idet der gøres fuld brug af teknologi såsom kunstig intelligens. Ofte har en betalingstjenesteudbyder ikke det fulde billede af alle komponenter, der kan føre til rettidig afsløring af svig. Det kan dog gøres mere effektivt med en større mængde oplysninger om potentielt svigagtige aktiviteter fra andre betalingstjenesteudbydere. Det bør derfor være </w:t>
            </w:r>
            <w:r w:rsidRPr="00A80DA9">
              <w:rPr>
                <w:b/>
                <w:i/>
              </w:rPr>
              <w:t>muligt</w:t>
            </w:r>
            <w:r w:rsidRPr="00A80DA9">
              <w:t xml:space="preserve"> at udveksle alle relevante oplysninger mellem betalingstjenesteudbydere. For bedre at afsløre svigagtige betalingstransaktioner og beskytte deres kunder bør betalingstjenesteudbydere med henblik på overvågning af transaktioner gøre brug af data om betalingssvig, der deles af andre betalingstjenesteudbydere på multilateralt grundlag såsom særlige IT-platforme baseret på ordninger for udveksling af oplysninger. For at forbedre beskyttelsen af betalere mod svig i forbindelse med kreditoverførsler bør betalingstjenesteudbydere kunne forlade sig på så omfattende og ajourførte oplysninger som muligt, navnlig ved i fællesskab at anvende oplysninger om entydige identifikationskoder, manipulationsteknikker og andre omstændigheder i forbindelse med svigagtige kreditoverførsler, der identificeres individuelt af hver enkelt betalingstjenesteudbyder. Inden betalingstjenesteudbydere indgår en aftale om udveksling af oplysninger, bør de foretage en konsekvensanalyse vedrørende databeskyttelse i overensstemmelse med artikel 35 i forordning (EU) 2016/679. Hvis konsekvensanalysen vedrørende databeskyttelse viser, at behandlingen i mangel af garantier, sikkerhedsforanstaltninger og mekanismer til at mindske risikoen vil medføre en høj risiko for fysiske personers rettigheder og frihedsrettigheder, bør betalingstjenesteudbyderne høre den relevante databeskyttelsesmyndighed i overensstemmelse med artikel 36 i forordning (EU) 2016/679. Der bør ikke kræves en ny konsekvensanalyse, når en betalingstjenesteudbyder tilslutter sig en eksisterende informationsudvekslingsordning, for hvilken der allerede er foretaget en konsekvensanalyse vedrørende databeskyttelse. Informationsudvekslingsordningen bør fastsætte tekniske og organisatoriske foranstaltninger til beskyttelse af personoplysninger. Den bør fastlægge roller og ansvarsområder i henhold til databeskyttelseslovgivningen, herunder i tilfælde af fælles dataansvarlige, for alle betalingstjenesteudbydere.</w:t>
            </w:r>
          </w:p>
        </w:tc>
        <w:tc>
          <w:tcPr>
            <w:tcW w:w="4876" w:type="dxa"/>
            <w:hideMark/>
          </w:tcPr>
          <w:p w:rsidR="0047667D" w:rsidRPr="00A80DA9" w:rsidRDefault="008507C9">
            <w:pPr>
              <w:pStyle w:val="Normal6"/>
              <w:rPr>
                <w:szCs w:val="24"/>
              </w:rPr>
            </w:pPr>
            <w:r w:rsidRPr="00A80DA9">
              <w:t>(103)</w:t>
            </w:r>
            <w:r w:rsidRPr="00A80DA9">
              <w:tab/>
              <w:t xml:space="preserve">Svig i forbindelse med kreditoverførsler er i sagens natur tilpasningsdygtig og omfatter en åben mangfoldighed af praksisser og teknikker, herunder tyveri af autentifikationsoplysninger, manipulation af fakturaer og social manipulation. For at kunne forhindre stadig nye former for svig bør overvågningen af transaktioner derfor løbende forbedres, idet der gøres fuld brug af teknologi såsom kunstig intelligens. Ofte har en betalingstjenesteudbyder ikke det fulde billede af alle komponenter, der kan føre til rettidig afsløring af svig. Det kan dog gøres mere effektivt med en større mængde oplysninger om potentielt svigagtige aktiviteter fra andre betalingstjenesteudbydere. Det bør derfor være </w:t>
            </w:r>
            <w:r w:rsidRPr="00A80DA9">
              <w:rPr>
                <w:b/>
                <w:i/>
              </w:rPr>
              <w:t>obligatorisk</w:t>
            </w:r>
            <w:r w:rsidRPr="00A80DA9">
              <w:t xml:space="preserve"> at udveksle alle relevante oplysninger mellem betalingstjenesteudbydere. For bedre at afsløre svigagtige betalingstransaktioner og beskytte deres kunder bør betalingstjenesteudbydere med henblik på overvågning af transaktioner gøre brug af data om betalingssvig, der deles af andre betalingstjenesteudbydere på multilateralt grundlag såsom særlige IT-platforme baseret på ordninger for udveksling af oplysninger. For at forbedre beskyttelsen af betalere mod svig i forbindelse med kreditoverførsler bør betalingstjenesteudbydere kunne forlade sig på så omfattende og ajourførte oplysninger som muligt, navnlig ved i fællesskab at anvende oplysninger om entydige identifikationskoder, manipulationsteknikker og andre omstændigheder i forbindelse med svigagtige kreditoverførsler, der identificeres individuelt af hver enkelt betalingstjenesteudbyder. Inden betalingstjenesteudbydere indgår en aftale om udveksling af oplysninger, bør de foretage en konsekvensanalyse vedrørende databeskyttelse i overensstemmelse med artikel 35 i forordning (EU) 2016/679. Hvis konsekvensanalysen vedrørende databeskyttelse viser, at behandlingen i mangel af garantier, sikkerhedsforanstaltninger og mekanismer til at mindske risikoen vil medføre en høj risiko for fysiske personers rettigheder og frihedsrettigheder, bør betalingstjenesteudbyderne høre den relevante databeskyttelsesmyndighed i overensstemmelse med artikel 36 i forordning (EU) 2016/679. Der bør ikke kræves en ny konsekvensanalyse, når en betalingstjenesteudbyder tilslutter sig en eksisterende informationsudvekslingsordning, for hvilken der allerede er foretaget en konsekvensanalyse vedrørende databeskyttelse. Informationsudvekslingsordningen bør fastsætte tekniske og organisatoriske foranstaltninger til beskyttelse af personoplysninger. Den bør fastlægge roller og ansvarsområder i henhold til databeskyttelseslovgivningen, herunder i tilfælde af fælles dataansvarlige, for alle betalingstjenesteudbydere.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(104)</w:t>
            </w:r>
            <w:r w:rsidRPr="00A80DA9">
              <w:rPr>
                <w:b/>
                <w:i/>
              </w:rPr>
              <w:tab/>
              <w:t>Med henblik på udveksling af personoplysninger med andre betalingstjenesteudbydere, der er omfattet af informationsudvekslingsordninger, bør "entydig identifikationskode" forstås som en henvisning til "IBAN" som defineret i artikel 2, nr. 15), i forordning (EU) nr. 260/2012.</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(104)</w:t>
            </w:r>
            <w:r w:rsidRPr="00A80DA9">
              <w:tab/>
              <w:t>Med henblik på udveksling af personoplysninger med andre betalingstjenesteudbydere, der er omfattet af informationsudvekslingsordninger, bør "entydig identifikationskode" forstås som en henvisning til "IBAN" som defineret i artikel 2, nr. 15), i forordning (EU) nr. 260/2012.</w:t>
            </w:r>
          </w:p>
        </w:tc>
        <w:tc>
          <w:tcPr>
            <w:tcW w:w="4876" w:type="dxa"/>
            <w:hideMark/>
          </w:tcPr>
          <w:p w:rsidR="0047667D" w:rsidRPr="00A80DA9" w:rsidRDefault="008507C9">
            <w:pPr>
              <w:pStyle w:val="Normal6"/>
              <w:rPr>
                <w:szCs w:val="24"/>
              </w:rPr>
            </w:pPr>
            <w:r w:rsidRPr="00A80DA9">
              <w:t>(104)</w:t>
            </w:r>
            <w:r w:rsidRPr="00A80DA9">
              <w:tab/>
              <w:t xml:space="preserve">Med henblik på udveksling af personoplysninger med andre betalingstjenesteudbydere, der er omfattet af informationsudvekslingsordninger, bør "entydig identifikationskode" forstås som en henvisning til "IBAN" som defineret i artikel 2, nr. 15), i forordning (EU) nr. 260/2012. </w:t>
            </w:r>
            <w:r w:rsidRPr="00A80DA9">
              <w:rPr>
                <w:b/>
                <w:i/>
              </w:rPr>
              <w:t>Den entydige identifikationskode verificeres for alle kreditoverførsler og ikke kun for kreditoverførsler i euro.</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107 a (ny)</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(107a)</w:t>
            </w:r>
            <w:r w:rsidRPr="00A80DA9">
              <w:rPr>
                <w:b/>
                <w:i/>
              </w:rPr>
              <w:tab/>
              <w:t>For at forbrugerne kan få gavn af en fortsat stærk kundeautentifikation, og dette fortsat kan være et effektivt redskab i bekæmpelsen af svig med elektroniske betalinger, er det hensigtsmæssigt, at anvendelsen af stærk kundeautentifikation er risikobaseret og resultatorienteret. Desuden bør reglerne for stærk kundeautentifikation sikre tilstrækkelig fleksibilitet til innovation inden for betalingssektoren, herunder ved udvikling af nye løsninger til stærk kundeautentifikation.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108</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(108)</w:t>
            </w:r>
            <w:r w:rsidRPr="00A80DA9">
              <w:tab/>
              <w:t xml:space="preserve">Stærk kundeautentifikation bør ikke omgås, navnlig ved uberettiget påberåbelse af undtagelser fra stærk kundeautentifikation. </w:t>
            </w:r>
            <w:r w:rsidRPr="00A80DA9">
              <w:rPr>
                <w:b/>
                <w:bCs/>
                <w:i/>
                <w:iCs/>
              </w:rPr>
              <w:t>Der</w:t>
            </w:r>
            <w:r w:rsidRPr="00A80DA9">
              <w:t xml:space="preserve"> bør </w:t>
            </w:r>
            <w:r w:rsidRPr="00A80DA9">
              <w:rPr>
                <w:b/>
                <w:bCs/>
                <w:i/>
                <w:iCs/>
              </w:rPr>
              <w:t>indføres</w:t>
            </w:r>
            <w:r w:rsidRPr="00A80DA9">
              <w:t xml:space="preserve"> klare definitioner af transaktioner initieret af handlende (MIT'er) og af postordresalg eller telefonsalg (MOTO'er), da disse begreber, som kan anvendes som begrundelse for ikke at anvende stærk kundeautentifikation, forstås og anvendes forskelligt og er genstand for misbrug. For så vidt angår MIT'er bør der anvendes stærk kundeautentifikation ved oprettelsen af det oprindelige mandat, uden at der er behov for at anvende stærk kundeautentifikation i forbindelse med efterfølgende betalingstransaktioner initieret af handlende. Med hensyn til MOTO'er bør kun initiering af betalingstransaktioner — ikke deres gennemførelse — være ikkedigitale, for at en transaktion kan betragtes som en MOTO og derfor ikke være omfattet af forpligtelsen til at anvende stærk kundeautentifikation. Betalingstransaktioner, der er baseret på papirbaserede betalingsordrer, postordrer eller telefonordrer afgivet af betaleren, bør dog stadig indebære sikkerhedskrav og kontrol foretaget af betalerens betalingstjenesteudbyder, der gør det muligt at autentificere betalingstransaktionen. Stærk kundeautentifikation bør heller ikke omgås ved hjælp af praksis, herunder anvendelse af en indløser, der er etableret uden for EU, for at undslippe kravene om stærk kundeautentifikation.</w:t>
            </w:r>
          </w:p>
        </w:tc>
        <w:tc>
          <w:tcPr>
            <w:tcW w:w="4876" w:type="dxa"/>
            <w:hideMark/>
          </w:tcPr>
          <w:p w:rsidR="0047667D" w:rsidRPr="00A80DA9" w:rsidRDefault="008507C9">
            <w:pPr>
              <w:pStyle w:val="Normal6"/>
              <w:rPr>
                <w:szCs w:val="24"/>
              </w:rPr>
            </w:pPr>
            <w:r w:rsidRPr="00A80DA9">
              <w:t>(108)</w:t>
            </w:r>
            <w:r w:rsidRPr="00A80DA9">
              <w:tab/>
              <w:t xml:space="preserve">Stærk kundeautentifikation bør ikke omgås, navnlig ved uberettiget påberåbelse af undtagelser fra stærk kundeautentifikation. </w:t>
            </w:r>
            <w:r w:rsidRPr="00A80DA9">
              <w:rPr>
                <w:b/>
                <w:i/>
              </w:rPr>
              <w:t>EBA</w:t>
            </w:r>
            <w:r w:rsidRPr="00A80DA9">
              <w:t xml:space="preserve"> bør </w:t>
            </w:r>
            <w:r w:rsidRPr="00A80DA9">
              <w:rPr>
                <w:b/>
                <w:i/>
              </w:rPr>
              <w:t>indføre</w:t>
            </w:r>
            <w:r w:rsidRPr="00A80DA9">
              <w:t xml:space="preserve"> klare definitioner af transaktioner initieret af handlende (MIT'er) og af postordresalg eller telefonsalg (MOTO'er), da disse begreber, som kan anvendes som begrundelse for ikke at anvende stærk kundeautentifikation, forstås og anvendes forskelligt og er genstand for misbrug. For så vidt angår MIT'er bør der anvendes stærk kundeautentifikation ved oprettelsen af det oprindelige mandat, uden at der er behov for at anvende stærk kundeautentifikation i forbindelse med efterfølgende betalingstransaktioner initieret af handlende. Med hensyn til MOTO'er bør kun initiering af betalingstransaktioner — ikke deres gennemførelse — være ikkedigitale, for at en transaktion kan betragtes som en MOTO og derfor ikke være omfattet af forpligtelsen til at anvende stærk kundeautentifikation. Betalingstransaktioner, der er baseret på papirbaserede betalingsordrer, postordrer eller telefonordrer afgivet af betaleren, bør dog stadig indebære sikkerhedskrav og kontrol foretaget af betalerens betalingstjenesteudbyder, der gør det muligt at autentificere betalingstransaktionen. Stærk kundeautentifikation bør heller ikke omgås ved hjælp af praksis, herunder anvendelse af en indløser, der er etableret uden for EU, for at undslippe kravene om stærk kundeautentifikation.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Der er ikke nogen definition af MOTO'er og MIT'er i den lovgivningsmæssige tekst. Derfor bør det være EBA, der fastsætter en klar definition.</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139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(109)</w:t>
            </w:r>
            <w:r w:rsidRPr="00A80DA9">
              <w:tab/>
              <w:t xml:space="preserve">Da den betalingstjenesteudbyder, der bør anvende stærk kundeautentifikation, er den betalingstjenesteudbyder, der udsteder de personaliserede sikkerhedsoplysninger, bør betalingstransaktioner, der ikke initieres af betaleren, men kun af betalingsmodtageren, ikke være underlagt stærk kundeautentifikation, i det omfang disse transaktioner initieres uden nogen interaktion eller involvering af betaleren. </w:t>
            </w:r>
            <w:r w:rsidRPr="00A80DA9">
              <w:rPr>
                <w:b/>
                <w:i/>
              </w:rPr>
              <w:t>Den lovgivningsmæssige tilgang til MIT'er og direkte debiteringer, der begge er transaktioner, der initieres af betalingsmodtageren, bør tilpasses og nyde godt af de samme forbrugerbeskyttelsesforanstaltninger, herunder tilbagebetaling.</w:t>
            </w:r>
          </w:p>
        </w:tc>
        <w:tc>
          <w:tcPr>
            <w:tcW w:w="4876" w:type="dxa"/>
            <w:hideMark/>
          </w:tcPr>
          <w:p w:rsidR="0047667D" w:rsidRPr="00A80DA9" w:rsidRDefault="008507C9">
            <w:pPr>
              <w:pStyle w:val="Normal6"/>
              <w:rPr>
                <w:szCs w:val="24"/>
              </w:rPr>
            </w:pPr>
            <w:r w:rsidRPr="00A80DA9">
              <w:t>(109)</w:t>
            </w:r>
            <w:r w:rsidRPr="00A80DA9">
              <w:tab/>
              <w:t>Da den betalingstjenesteudbyder, der bør anvende stærk kundeautentifikation, er den betalingstjenesteudbyder, der udsteder de personaliserede sikkerhedsoplysninger, bør betalingstransaktioner, der ikke initieres af betaleren, men kun af betalingsmodtageren, ikke være underlagt stærk kundeautentifikation, i det omfang disse transaktioner initieres uden nogen interaktion eller involvering af betaleren.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109 a (ny)</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(109a)</w:t>
            </w:r>
            <w:r w:rsidRPr="00A80DA9">
              <w:rPr>
                <w:b/>
                <w:i/>
              </w:rPr>
              <w:tab/>
              <w:t>I forbindelse med betalinger fra virksomhed til virksomhed (B2B) eller fra virksomheder til staten (B2G) bør stærk kundeautentifikation svare til risikoniveauet for sådanne transaktioner, navnlig under hensyntagen til de kontroller, der allerede findes mellem disse operatører. Med henblik på at reducere den administrative byrde bør der ikke kræves stærk kundeautentifikation for alle transaktioner i disse scenarier, og den bør tilpasses en risikobaseret tilgang.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115</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(115)</w:t>
            </w:r>
            <w:r w:rsidRPr="00A80DA9">
              <w:tab/>
              <w:t>I henhold til undtagelsen fra stærk kundeautentifikation i henhold til artikel 18 i delegeret forordning (EU) 2018/389 kunne betalingstjenesteudbydere undlade at anvende stærk kundeautentifikation, når betaleren initierede en elektronisk fjernbetalingstransaktion, som betalingstjenesteudbyderen identificerede som havende et lavt risikoniveau vurderet på grundlag af transaktionsovervågningsmekanismer. Tilbagemeldinger fra markedet viste imidlertid, at det for at få flere betalingstjenesteudbydere, der gennemfører transaktionsrisikoanalyser, er nødvendigt at vedtage passende regler om omfanget af transaktionsrisikoanalyser, indføre klare revisionskrav, give mere detaljerede og bedre definitioner af risikoovervågningskrav og data til deling og vurdere de potentielle fordele ved at give betalingstjenesteudbydere mulighed for at indberette svigagtige transaktioner, som de er eneansvarlige for. EBA bør udarbejde udkast til reguleringsmæssige tekniske standarder, der fastsætter regler for transaktionsrisikoanalyse.</w:t>
            </w:r>
          </w:p>
        </w:tc>
        <w:tc>
          <w:tcPr>
            <w:tcW w:w="4876" w:type="dxa"/>
            <w:hideMark/>
          </w:tcPr>
          <w:p w:rsidR="0047667D" w:rsidRPr="00A80DA9" w:rsidRDefault="008507C9">
            <w:pPr>
              <w:pStyle w:val="Normal6"/>
              <w:rPr>
                <w:szCs w:val="24"/>
              </w:rPr>
            </w:pPr>
            <w:r w:rsidRPr="00A80DA9">
              <w:t>(115)</w:t>
            </w:r>
            <w:r w:rsidRPr="00A80DA9">
              <w:tab/>
              <w:t xml:space="preserve">I henhold til undtagelsen fra stærk kundeautentifikation i henhold til artikel 18 i delegeret forordning (EU) 2018/389 kunne betalingstjenesteudbydere undlade at anvende stærk kundeautentifikation, når betaleren initierede en elektronisk fjernbetalingstransaktion, som betalingstjenesteudbyderen identificerede som havende et lavt risikoniveau vurderet på grundlag af transaktionsovervågningsmekanismer. Tilbagemeldinger fra markedet viste imidlertid, at det for at få flere betalingstjenesteudbydere, der gennemfører transaktionsrisikoanalyser, er nødvendigt at vedtage passende regler om omfanget af transaktionsrisikoanalyser, indføre klare revisionskrav, give mere detaljerede og bedre definitioner af risikoovervågningskrav og data til deling og vurdere de potentielle fordele ved at give betalingstjenesteudbydere mulighed for at indberette svigagtige transaktioner, som de er eneansvarlige for. EBA bør udarbejde udkast til reguleringsmæssige tekniske standarder, der fastsætter regler for transaktionsrisikoanalyse. </w:t>
            </w:r>
            <w:r w:rsidRPr="00A80DA9">
              <w:rPr>
                <w:b/>
                <w:i/>
              </w:rPr>
              <w:t>Med henblik på at øge brugen af denne undtagelse bør man i udkastet til reguleringsmæssige tekniske standarder overveje yderligere tærskler for undtagelsen fra transaktionsrisikoanalyser. Det bør desuden overvejes, om det er nødvendigt at præcisere, om betalingstjenesteudbyderne kun skal medregne ansvaret over for betaleren i deres beregning af omfanget af svig.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116</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(116)</w:t>
            </w:r>
            <w:r w:rsidRPr="00A80DA9">
              <w:tab/>
              <w:t>Sikkerhedsforanstaltningerne bør være forenelige med det risikoniveau, der er forbundet med betalingstjenesterne. For at gøre det muligt at udvikle brugervenlige og tilgængelige betalingsmidler for betalinger med lav risiko, såsom kontaktløse betalinger med lav værdi på salgsstedet, uanset om disse betalinger er baseret på en mobiltelefon eller ej, bør undtagelserne for anvendelse af sikkerhedskrav derfor præciseres i de reguleringsmæssige tekniske standarder. Der er behov for sikker anvendelse af personaliserede sikkerhedsoplysninger for at begrænse risici i forbindelse med spoofing, phishing og andre svigagtige aktiviteter. Brugeren bør kunne have tillid til, at der træffes foranstaltninger til beskyttelse af integriteten og fortroligheden af dennes personaliserede sikkerhedsoplysninger.</w:t>
            </w:r>
          </w:p>
        </w:tc>
        <w:tc>
          <w:tcPr>
            <w:tcW w:w="4876" w:type="dxa"/>
            <w:hideMark/>
          </w:tcPr>
          <w:p w:rsidR="0047667D" w:rsidRPr="00A80DA9" w:rsidRDefault="008507C9">
            <w:pPr>
              <w:pStyle w:val="Normal6"/>
              <w:rPr>
                <w:szCs w:val="24"/>
              </w:rPr>
            </w:pPr>
            <w:r w:rsidRPr="00A80DA9">
              <w:t>(116)</w:t>
            </w:r>
            <w:r w:rsidRPr="00A80DA9">
              <w:tab/>
              <w:t xml:space="preserve">Sikkerhedsforanstaltningerne bør være forenelige med det risikoniveau, der er forbundet med betalingstjenesterne. For at gøre det muligt at udvikle brugervenlige og tilgængelige betalingsmidler for betalinger med lav risiko, såsom kontaktløse betalinger med lav værdi på salgsstedet </w:t>
            </w:r>
            <w:r w:rsidRPr="00A80DA9">
              <w:rPr>
                <w:b/>
                <w:i/>
              </w:rPr>
              <w:t>eller betalinger foretaget i erhvervsmæssig sammenhæng af en erhvervsmæssig betaler</w:t>
            </w:r>
            <w:r w:rsidRPr="00A80DA9">
              <w:t>, uanset om disse betalinger er baseret på en mobiltelefon eller ej, bør undtagelserne for anvendelse af sikkerhedskrav derfor præciseres i de reguleringsmæssige tekniske standarder. Der er behov for sikker anvendelse af personaliserede sikkerhedsoplysninger for at begrænse risici i forbindelse med spoofing, phishing og andre svigagtige aktiviteter. Brugeren bør kunne have tillid til, at der træffes foranstaltninger til beskyttelse af integriteten og fortroligheden af dennes personaliserede sikkerhedsoplysninger.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119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(119)</w:t>
            </w:r>
            <w:r w:rsidRPr="00A80DA9">
              <w:tab/>
              <w:t>Operatører af digitale pass-through-tegnebøger, der verificerer elementerne i stærk kundeautentifikation, når tokeniserede instrumenter, der er lagret i de digitale tegnebøger, anvendes til betalinger, bør være forpligtet til at indgå outsourcingaftaler med betalerens betalingstjenesteudbydere for at give dem mulighed for fortsat at udføre sådanne verifikationer, men også kræve, at de overholder centrale sikkerhedskrav. Betalerens betalingstjenesteudbydere bør i henhold til sådanne aftaler bibeholde det fulde ansvar for, at operatører af digitale pass-through-tegnebøger ikke anvender stærk kundeautentifikation, og have ret til at revidere og kontrollere tegnebogsoperatørens sikkerhedsbestemmelser.</w:t>
            </w:r>
          </w:p>
        </w:tc>
        <w:tc>
          <w:tcPr>
            <w:tcW w:w="4876" w:type="dxa"/>
            <w:hideMark/>
          </w:tcPr>
          <w:p w:rsidR="0047667D" w:rsidRPr="00A80DA9" w:rsidRDefault="008507C9">
            <w:pPr>
              <w:pStyle w:val="Normal6"/>
              <w:rPr>
                <w:szCs w:val="24"/>
              </w:rPr>
            </w:pPr>
            <w:r w:rsidRPr="00A80DA9">
              <w:t>(119)</w:t>
            </w:r>
            <w:r w:rsidRPr="00A80DA9">
              <w:tab/>
              <w:t xml:space="preserve">Operatører af digitale pass-through-tegnebøger, der verificerer elementerne i stærk kundeautentifikation, når tokeniserede instrumenter, der er lagret i de digitale tegnebøger, anvendes til betalinger, bør være forpligtet til at indgå outsourcingaftaler med betalerens betalingstjenesteudbydere for at give dem mulighed for fortsat at udføre sådanne verifikationer, men også kræve, at de overholder centrale sikkerhedskrav. Betalerens betalingstjenesteudbydere bør i henhold til sådanne aftaler bibeholde det fulde ansvar for, at operatører af digitale pass-through-tegnebøger ikke anvender stærk kundeautentifikation, og have ret til at revidere og kontrollere tegnebogsoperatørens sikkerhedsbestemmelser. </w:t>
            </w:r>
            <w:r w:rsidRPr="00A80DA9">
              <w:rPr>
                <w:b/>
                <w:i/>
              </w:rPr>
              <w:t>Der er ikke behov for en outsourcingaftale, hvis betalerens betalingstjenesteudbyder fortsat kontrollerer den stærke kundeautentifikation.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120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(120)</w:t>
            </w:r>
            <w:r w:rsidRPr="00A80DA9">
              <w:tab/>
              <w:t xml:space="preserve">Hvis udbydere af tekniske tjenester eller operatører af betalingsordninger leverer tjenester til betalingsmodtagere eller til betalingsmodtageres eller betaleres udbydere af betalingstjenester, bør de støtte anvendelsen af stærk kundeautentifikation inden for rammerne af deres rolle i initieringen eller gennemførelsen af betalingstransaktioner. I betragtning af den rolle, de spiller med hensyn til at sikre, at centrale sikkerhedskrav vedrørende detailbetalinger gennemføres korrekt, herunder ved at stille passende IT-løsninger til rådighed, bør udbydere af tekniske tjenester og operatører af betalingsordninger holdes ansvarlige for den økonomiske skade, som betalingsmodtagerne eller betalingsmodtagernes betalingstjenesteudbydere har lidt, hvis de ikke </w:t>
            </w:r>
            <w:r w:rsidRPr="00A80DA9">
              <w:rPr>
                <w:b/>
                <w:i/>
              </w:rPr>
              <w:t>støtter</w:t>
            </w:r>
            <w:r w:rsidRPr="00A80DA9">
              <w:t xml:space="preserve"> anvendelsen af stærk kundeautentifikation.</w:t>
            </w:r>
          </w:p>
        </w:tc>
        <w:tc>
          <w:tcPr>
            <w:tcW w:w="4876" w:type="dxa"/>
            <w:hideMark/>
          </w:tcPr>
          <w:p w:rsidR="0047667D" w:rsidRPr="00A80DA9" w:rsidRDefault="008507C9">
            <w:pPr>
              <w:pStyle w:val="Normal6"/>
              <w:rPr>
                <w:szCs w:val="24"/>
              </w:rPr>
            </w:pPr>
            <w:r w:rsidRPr="00A80DA9">
              <w:t>(120)</w:t>
            </w:r>
            <w:r w:rsidRPr="00A80DA9">
              <w:tab/>
              <w:t xml:space="preserve">Hvis udbydere af tekniske tjenester eller operatører af betalingsordninger leverer tjenester til betalingsmodtagere eller til betalingsmodtageres eller betaleres udbydere af betalingstjenester, bør de støtte anvendelsen af stærk kundeautentifikation inden for rammerne af deres rolle i initieringen eller gennemførelsen af betalingstransaktioner. I betragtning af den rolle, de spiller med hensyn til at sikre, at centrale sikkerhedskrav vedrørende detailbetalinger gennemføres korrekt, herunder ved at stille passende IT-løsninger til rådighed, bør udbydere af tekniske tjenester og operatører af betalingsordninger holdes ansvarlige for den økonomiske skade, som betalingsmodtagerne eller betalingsmodtagernes betalingstjenesteudbydere har lidt, hvis de ikke </w:t>
            </w:r>
            <w:r w:rsidRPr="00A80DA9">
              <w:rPr>
                <w:b/>
                <w:i/>
              </w:rPr>
              <w:t>muliggør</w:t>
            </w:r>
            <w:r w:rsidRPr="00A80DA9">
              <w:t xml:space="preserve"> anvendelsen af stærk kundeautentifikation.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120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(120)</w:t>
            </w:r>
            <w:r w:rsidRPr="00A80DA9">
              <w:tab/>
              <w:t xml:space="preserve">Hvis udbydere af tekniske tjenester eller operatører af betalingsordninger leverer tjenester til betalingsmodtagere eller til betalingsmodtageres eller betaleres udbydere af betalingstjenester, bør de støtte anvendelsen af stærk kundeautentifikation inden for rammerne af deres rolle i initieringen eller gennemførelsen af betalingstransaktioner. I betragtning af den rolle, de spiller med hensyn til at sikre, at centrale sikkerhedskrav vedrørende detailbetalinger gennemføres korrekt, herunder ved at stille passende IT-løsninger til rådighed, bør udbydere af tekniske tjenester og operatører af betalingsordninger holdes ansvarlige for den økonomiske skade, som </w:t>
            </w:r>
            <w:r w:rsidRPr="00A80DA9">
              <w:rPr>
                <w:b/>
                <w:i/>
              </w:rPr>
              <w:t>betalingsmodtagerne eller</w:t>
            </w:r>
            <w:r w:rsidRPr="00A80DA9">
              <w:t xml:space="preserve"> betalingsmodtagernes betalingstjenesteudbydere har lidt, hvis de ikke støtter anvendelsen af stærk kundeautentifikation.</w:t>
            </w:r>
          </w:p>
        </w:tc>
        <w:tc>
          <w:tcPr>
            <w:tcW w:w="4876" w:type="dxa"/>
            <w:hideMark/>
          </w:tcPr>
          <w:p w:rsidR="0047667D" w:rsidRPr="00A80DA9" w:rsidRDefault="008507C9">
            <w:pPr>
              <w:pStyle w:val="Normal6"/>
              <w:rPr>
                <w:szCs w:val="24"/>
              </w:rPr>
            </w:pPr>
            <w:r w:rsidRPr="00A80DA9">
              <w:t>(120)</w:t>
            </w:r>
            <w:r w:rsidRPr="00A80DA9">
              <w:tab/>
              <w:t xml:space="preserve">Hvis udbydere af tekniske tjenester eller operatører af betalingsordninger leverer tjenester til betalingsmodtagere eller til betalingsmodtageres eller betaleres udbydere af betalingstjenester, bør de støtte anvendelsen af stærk kundeautentifikation inden for rammerne af deres rolle i initieringen eller gennemførelsen af betalingstransaktioner. I betragtning af den rolle, de spiller med hensyn til at sikre, at centrale sikkerhedskrav vedrørende detailbetalinger gennemføres korrekt, herunder ved at stille passende IT-løsninger til rådighed, bør udbydere af tekniske tjenester og operatører af betalingsordninger holdes ansvarlige for den økonomiske skade, som betalingsmodtagernes betalingstjenesteudbydere har lidt, hvis de ikke støtter anvendelsen af </w:t>
            </w:r>
            <w:r w:rsidRPr="00A80DA9">
              <w:rPr>
                <w:b/>
                <w:i/>
              </w:rPr>
              <w:t>outsourcet</w:t>
            </w:r>
            <w:r w:rsidRPr="00A80DA9">
              <w:t xml:space="preserve"> stærk kundeautentifikation.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140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(140)</w:t>
            </w:r>
            <w:r w:rsidRPr="00A80DA9">
              <w:tab/>
              <w:t>EBA bør i overensstemmelse med artikel 9, stk. 5, i forordning (EU) nr. 1093/2010 tildeles produktinterventionsbeføjelser med henblik på midlertidigt at kunne forbyde eller begrænse visse typer af eller særlige karakteristika ved en betalingstjeneste eller en elektronisk pengetjeneste i Unionen, der identificeres som potentielt skadelige for forbrugerne, hvilket truer de finansielle markeders ordentlige funktion og integritet. Forordning (EU) nr. 1093/2010 bør derfor ændres.</w:t>
            </w:r>
          </w:p>
        </w:tc>
        <w:tc>
          <w:tcPr>
            <w:tcW w:w="4876" w:type="dxa"/>
            <w:hideMark/>
          </w:tcPr>
          <w:p w:rsidR="0047667D" w:rsidRPr="00A80DA9" w:rsidRDefault="008507C9">
            <w:pPr>
              <w:pStyle w:val="Normal6"/>
              <w:rPr>
                <w:szCs w:val="24"/>
              </w:rPr>
            </w:pPr>
            <w:r w:rsidRPr="00A80DA9">
              <w:t>(140)</w:t>
            </w:r>
            <w:r w:rsidRPr="00A80DA9">
              <w:tab/>
              <w:t xml:space="preserve">EBA bør i overensstemmelse med artikel 9, stk. 5, i forordning (EU) nr. 1093/2010 tildeles produktinterventionsbeføjelser med henblik på midlertidigt at kunne forbyde eller begrænse visse typer af eller særlige karakteristika ved en betalingstjeneste eller en elektronisk pengetjeneste i Unionen, der identificeres som potentielt skadelige for forbrugerne, hvilket truer de finansielle markeders ordentlige funktion og integritet. Forordning (EU) nr. 1093/2010 bør derfor ændres. </w:t>
            </w:r>
            <w:r w:rsidRPr="00A80DA9">
              <w:rPr>
                <w:b/>
                <w:i/>
              </w:rPr>
              <w:t xml:space="preserve">Inden EBA udøver denne beføjelse, bør den sikre, at den har hørt betalingstjenesteudbyderne eller tredjepartsudbyderne. </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140 a (ny)</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(140a)</w:t>
            </w:r>
            <w:r w:rsidRPr="00A80DA9">
              <w:rPr>
                <w:b/>
                <w:i/>
              </w:rPr>
              <w:tab/>
              <w:t>EBA bør tildeles alle de nødvendige ressourcer, herunder menneskelige ressourcer, til at opfylde deres mandat i henhold til denne forordning.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Betragtning 141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(141)</w:t>
            </w:r>
            <w:r w:rsidRPr="00A80DA9">
              <w:tab/>
              <w:t>Bilaget til Europa-Parlamentets og Rådets forordning (EU) 2017/2394</w:t>
            </w:r>
            <w:r w:rsidRPr="00A80DA9">
              <w:rPr>
                <w:vertAlign w:val="superscript"/>
              </w:rPr>
              <w:t>57</w:t>
            </w:r>
            <w:r w:rsidRPr="00A80DA9">
              <w:t xml:space="preserve"> bør ændres, således at det indeholder en henvisning til denne forordning med henblik på at fremme det grænseoverskridende samarbejde om håndhævelsen af denne forordning.</w:t>
            </w:r>
          </w:p>
        </w:tc>
        <w:tc>
          <w:tcPr>
            <w:tcW w:w="4876" w:type="dxa"/>
            <w:hideMark/>
          </w:tcPr>
          <w:p w:rsidR="0047667D" w:rsidRPr="00A80DA9" w:rsidRDefault="008507C9">
            <w:pPr>
              <w:pStyle w:val="Normal6"/>
              <w:rPr>
                <w:szCs w:val="24"/>
              </w:rPr>
            </w:pPr>
            <w:r w:rsidRPr="00A80DA9">
              <w:t>(141)</w:t>
            </w:r>
            <w:r w:rsidRPr="00A80DA9">
              <w:tab/>
              <w:t>Bilaget til Europa-Parlamentets og Rådets forordning (EU) 2017/2394</w:t>
            </w:r>
            <w:r w:rsidRPr="00A80DA9">
              <w:rPr>
                <w:vertAlign w:val="superscript"/>
              </w:rPr>
              <w:t>57</w:t>
            </w:r>
            <w:r w:rsidRPr="00A80DA9">
              <w:t xml:space="preserve"> bør ændres, således at det indeholder en henvisning til denne forordning med henblik på at fremme det grænseoverskridende samarbejde om håndhævelsen af denne forordning.</w:t>
            </w:r>
          </w:p>
        </w:tc>
      </w:tr>
      <w:tr w:rsidR="00285AB2" w:rsidRPr="00A80DA9" w:rsidTr="0047667D">
        <w:trPr>
          <w:jc w:val="center"/>
        </w:trPr>
        <w:tc>
          <w:tcPr>
            <w:tcW w:w="4876" w:type="dxa"/>
            <w:hideMark/>
          </w:tcPr>
          <w:p w:rsidR="0047667D" w:rsidRPr="00A80DA9" w:rsidRDefault="008507C9">
            <w:pPr>
              <w:pStyle w:val="Normal6"/>
            </w:pPr>
            <w:r w:rsidRPr="00A80DA9">
              <w:t>__________________</w:t>
            </w:r>
          </w:p>
        </w:tc>
        <w:tc>
          <w:tcPr>
            <w:tcW w:w="4876" w:type="dxa"/>
            <w:hideMark/>
          </w:tcPr>
          <w:p w:rsidR="0047667D" w:rsidRPr="00A80DA9" w:rsidRDefault="008507C9">
            <w:pPr>
              <w:pStyle w:val="Normal6"/>
              <w:rPr>
                <w:szCs w:val="24"/>
              </w:rPr>
            </w:pPr>
            <w:r w:rsidRPr="00A80DA9">
              <w:t>__________________</w:t>
            </w:r>
          </w:p>
        </w:tc>
      </w:tr>
      <w:tr w:rsidR="00285AB2" w:rsidRPr="00A80DA9" w:rsidTr="0047667D">
        <w:trPr>
          <w:jc w:val="center"/>
        </w:trPr>
        <w:tc>
          <w:tcPr>
            <w:tcW w:w="4876" w:type="dxa"/>
            <w:hideMark/>
          </w:tcPr>
          <w:p w:rsidR="0047667D" w:rsidRPr="00A80DA9" w:rsidRDefault="008507C9">
            <w:pPr>
              <w:pStyle w:val="Normal6"/>
            </w:pPr>
            <w:r w:rsidRPr="00A80DA9">
              <w:rPr>
                <w:vertAlign w:val="superscript"/>
              </w:rPr>
              <w:t>57</w:t>
            </w:r>
            <w:r w:rsidRPr="00A80DA9">
              <w:t xml:space="preserve"> Europa-Parlamentets og Rådets forordning (EU) 2017/2394 af 12. december 2017 om samarbejde mellem nationale myndigheder med ansvar for håndhævelse af lovgivning om forbrugerbeskyttelse og om ophævelse af forordning (EF) nr. </w:t>
            </w:r>
            <w:r w:rsidRPr="00A80DA9">
              <w:rPr>
                <w:b/>
                <w:i/>
              </w:rPr>
              <w:t>2006/200</w:t>
            </w:r>
            <w:r w:rsidRPr="00A80DA9">
              <w:t xml:space="preserve"> (EUT L 345 af 27.12.2017, s. 1).</w:t>
            </w:r>
          </w:p>
        </w:tc>
        <w:tc>
          <w:tcPr>
            <w:tcW w:w="4876" w:type="dxa"/>
            <w:hideMark/>
          </w:tcPr>
          <w:p w:rsidR="0047667D" w:rsidRPr="00A80DA9" w:rsidRDefault="008507C9">
            <w:pPr>
              <w:pStyle w:val="Normal6"/>
              <w:rPr>
                <w:szCs w:val="24"/>
              </w:rPr>
            </w:pPr>
            <w:r w:rsidRPr="00A80DA9">
              <w:rPr>
                <w:vertAlign w:val="superscript"/>
              </w:rPr>
              <w:t>57</w:t>
            </w:r>
            <w:r w:rsidRPr="00A80DA9">
              <w:t xml:space="preserve"> Europa-Parlamentets og Rådets forordning (EU) 2017/2394 af 12. december 2017 om samarbejde mellem nationale myndigheder med ansvar for håndhævelse af lovgivning om forbrugerbeskyttelse og om ophævelse af forordning (EF) nr. </w:t>
            </w:r>
            <w:r w:rsidRPr="00A80DA9">
              <w:rPr>
                <w:b/>
                <w:i/>
              </w:rPr>
              <w:t>2006/2004</w:t>
            </w:r>
            <w:r w:rsidRPr="00A80DA9">
              <w:t xml:space="preserve"> (EUT L 345 af 27.12.2017, s. 1).</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149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h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ha)</w:t>
            </w:r>
            <w:r w:rsidRPr="00A80DA9">
              <w:rPr>
                <w:b/>
                <w:i/>
              </w:rPr>
              <w:tab/>
              <w:t>betalingstransaktioner, der anvender elektroniske pengetokens som defineret i artikel 3 i forordning (EU) 2023/1114, hvor betalingstjenesteudbyderen allerede er godkendt som udbyder af tjenester for virtuelle aktiver i en medlemsstat i Den Europæiske Union i henhold til afsnit V i denne forordning.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Præcisering for at undgå overlappende krav til elektroniske pengetokens under MiCA og PSR.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i)</w:t>
            </w:r>
            <w:r w:rsidRPr="00A80DA9">
              <w:tab/>
              <w:t xml:space="preserve">tjenester, der leveres af leverandører af tekniske tjenester, jf. dog </w:t>
            </w:r>
            <w:r w:rsidRPr="00A80DA9">
              <w:rPr>
                <w:b/>
                <w:i/>
              </w:rPr>
              <w:t>artikel 23, stk. 2, og</w:t>
            </w:r>
            <w:r w:rsidRPr="00A80DA9">
              <w:t xml:space="preserve"> artikel 58 og 87</w:t>
            </w:r>
          </w:p>
        </w:tc>
        <w:tc>
          <w:tcPr>
            <w:tcW w:w="4876" w:type="dxa"/>
            <w:hideMark/>
          </w:tcPr>
          <w:p w:rsidR="0047667D" w:rsidRPr="00A80DA9" w:rsidRDefault="008507C9">
            <w:pPr>
              <w:pStyle w:val="Normal6"/>
              <w:rPr>
                <w:szCs w:val="24"/>
              </w:rPr>
            </w:pPr>
            <w:r w:rsidRPr="00A80DA9">
              <w:t>i)</w:t>
            </w:r>
            <w:r w:rsidRPr="00A80DA9">
              <w:tab/>
              <w:t>tjenester, der leveres af leverandører af tekniske tjenester, jf. dog artikel 58 og 87</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j – nr. 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i)</w:t>
            </w:r>
            <w:r w:rsidRPr="00A80DA9">
              <w:tab/>
              <w:t>instrumenter, der giver indehaveren mulighed for at erhverve varer eller tjenester alene i udstederens forretningslokaler eller inden for et enkelt begrænset net af tjenesteudbydere i henhold til en forretningsaftale indgået direkte med en professionel udsteder</w:t>
            </w:r>
          </w:p>
        </w:tc>
        <w:tc>
          <w:tcPr>
            <w:tcW w:w="4876" w:type="dxa"/>
            <w:hideMark/>
          </w:tcPr>
          <w:p w:rsidR="0047667D" w:rsidRPr="00A80DA9" w:rsidRDefault="008507C9">
            <w:pPr>
              <w:pStyle w:val="Normal6"/>
              <w:rPr>
                <w:szCs w:val="24"/>
              </w:rPr>
            </w:pPr>
            <w:r w:rsidRPr="00A80DA9">
              <w:t>i)</w:t>
            </w:r>
            <w:r w:rsidRPr="00A80DA9">
              <w:tab/>
              <w:t xml:space="preserve">instrumenter, der giver indehaveren mulighed for at erhverve varer eller tjenester alene i udstederens </w:t>
            </w:r>
            <w:r w:rsidRPr="00A80DA9">
              <w:rPr>
                <w:b/>
                <w:i/>
              </w:rPr>
              <w:t>fysiske eller virtuelle</w:t>
            </w:r>
            <w:r w:rsidRPr="00A80DA9">
              <w:t xml:space="preserve"> forretningslokaler eller inden for et enkelt begrænset net af tjenesteudbydere i henhold til en forretningsaftale indgået direkte med en professionel udsteder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j – nr. ii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ii)</w:t>
            </w:r>
            <w:r w:rsidRPr="00A80DA9">
              <w:tab/>
              <w:t>instrumenter, der kun kan benyttes til erhvervelse af et meget begrænset udvalg af varer eller tjenester</w:t>
            </w:r>
          </w:p>
        </w:tc>
        <w:tc>
          <w:tcPr>
            <w:tcW w:w="4876" w:type="dxa"/>
            <w:hideMark/>
          </w:tcPr>
          <w:p w:rsidR="0047667D" w:rsidRPr="00A80DA9" w:rsidRDefault="008507C9">
            <w:pPr>
              <w:pStyle w:val="Normal6"/>
              <w:rPr>
                <w:szCs w:val="24"/>
              </w:rPr>
            </w:pPr>
            <w:r w:rsidRPr="00A80DA9">
              <w:t>ii)</w:t>
            </w:r>
            <w:r w:rsidRPr="00A80DA9">
              <w:tab/>
              <w:t>instrumenter, der kun kan benyttes til erhvervelse af et meget begrænset udvalg af varer eller tjenester</w:t>
            </w:r>
            <w:r w:rsidRPr="00A80DA9">
              <w:rPr>
                <w:b/>
                <w:i/>
              </w:rPr>
              <w:t>, herunder, men ikke begrænset til instrumenter, der er begrænset til anvendelse ved transaktioner mellem virksomheder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j – nr. iii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iii)</w:t>
            </w:r>
            <w:r w:rsidRPr="00A80DA9">
              <w:rPr>
                <w:b/>
                <w:i/>
              </w:rPr>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j – nr. iii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iii)</w:t>
            </w:r>
            <w:r w:rsidRPr="00A80DA9">
              <w:rPr>
                <w:b/>
                <w:i/>
              </w:rPr>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Undtagelser for udbydere af spisebilletter er fortsat med i forordningen om betalingstjenester uden nogen særlig grund. I forbindelse med spisebilletter giver dette operatørerne af sådanne ordninger mulighed for at opkræve høje gebyrer af de handlende, hvilket har den konsekvens, at de begrænser accepten af spisebilletter og dermed forbrugernes mulighed for at udnytte de fordele, de har i kraft af deres ansættelse.</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Emmanuel Maurel</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j – nr. iii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iii)</w:t>
            </w:r>
            <w:r w:rsidRPr="00A80DA9">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p>
        </w:tc>
        <w:tc>
          <w:tcPr>
            <w:tcW w:w="4876" w:type="dxa"/>
            <w:hideMark/>
          </w:tcPr>
          <w:p w:rsidR="0047667D" w:rsidRPr="00A80DA9" w:rsidRDefault="008507C9">
            <w:pPr>
              <w:pStyle w:val="Normal6"/>
              <w:rPr>
                <w:szCs w:val="24"/>
              </w:rPr>
            </w:pPr>
            <w:r w:rsidRPr="00A80DA9">
              <w:t>iii)</w:t>
            </w:r>
            <w:r w:rsidRPr="00A80DA9">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r w:rsidRPr="00A80DA9">
              <w:rPr>
                <w:b/>
                <w:i/>
              </w:rPr>
              <w:t>, som ikke kan veksles til penge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Sirpa Pietikäinen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j – nr. iii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iii)</w:t>
            </w:r>
            <w:r w:rsidRPr="00A80DA9">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p>
        </w:tc>
        <w:tc>
          <w:tcPr>
            <w:tcW w:w="4876" w:type="dxa"/>
            <w:hideMark/>
          </w:tcPr>
          <w:p w:rsidR="0047667D" w:rsidRPr="00A80DA9" w:rsidRDefault="008507C9">
            <w:pPr>
              <w:pStyle w:val="Normal6"/>
              <w:rPr>
                <w:szCs w:val="24"/>
              </w:rPr>
            </w:pPr>
            <w:r w:rsidRPr="00A80DA9">
              <w:t>iii)</w:t>
            </w:r>
            <w:r w:rsidRPr="00A80DA9">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r w:rsidRPr="00A80DA9">
              <w:rPr>
                <w:b/>
                <w:i/>
              </w:rPr>
              <w:t>, som ikke kan veksles til kontanter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 Eleni Stavrou, José Manuel García-Margallo y Marfil, Isabel Benjumea Benjumea, Lídia Pereira, Sirpa Pietikäinen, Laurence Sailliet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j – nr. iii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iii)</w:t>
            </w:r>
            <w:r w:rsidRPr="00A80DA9">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p>
        </w:tc>
        <w:tc>
          <w:tcPr>
            <w:tcW w:w="4876" w:type="dxa"/>
            <w:hideMark/>
          </w:tcPr>
          <w:p w:rsidR="0047667D" w:rsidRPr="00A80DA9" w:rsidRDefault="008507C9">
            <w:pPr>
              <w:pStyle w:val="Normal6"/>
              <w:rPr>
                <w:szCs w:val="24"/>
              </w:rPr>
            </w:pPr>
            <w:r w:rsidRPr="00A80DA9">
              <w:t>iii)</w:t>
            </w:r>
            <w:r w:rsidRPr="00A80DA9">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r w:rsidRPr="00A80DA9">
              <w:rPr>
                <w:b/>
                <w:i/>
              </w:rPr>
              <w:t>, som ikke kan veksles til kontanter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Denne tilføjelse vil bidrage til at præcisere arten af sociale vouchere, der er direkte knyttet til indkøb af varer og tjenesteydelser, og som dermed falder under LNE's anvendelsesområde. De er ikke betalingstjenester i formel henseende og kan ikke veksles til penge i overensstemmelse med EBA's retningslinjer for LNE. Sociale vouchere er tilgængelige inden for et dedikeret netværk af handlende og udbydere. Dette netværk er baseret på kontraktforhold mellem de handlende, udbydere og de virksomheder, der udsteder sociale vouchere og sikrer, at de anvendes korrekt, hvilket omfatter at forhindre, at de veksles til kontanter.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Denis Nesci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j – nr. iii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iii)</w:t>
            </w:r>
            <w:r w:rsidRPr="00A80DA9">
              <w:tab/>
              <w:t>instrumenter, der kun er gyldige i en enkelt medlemsstat,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p>
        </w:tc>
        <w:tc>
          <w:tcPr>
            <w:tcW w:w="4876" w:type="dxa"/>
            <w:hideMark/>
          </w:tcPr>
          <w:p w:rsidR="0047667D" w:rsidRPr="00A80DA9" w:rsidRDefault="008507C9">
            <w:pPr>
              <w:pStyle w:val="Normal6"/>
              <w:rPr>
                <w:szCs w:val="24"/>
              </w:rPr>
            </w:pPr>
            <w:r w:rsidRPr="00A80DA9">
              <w:t>iii)</w:t>
            </w:r>
            <w:r w:rsidRPr="00A80DA9">
              <w:tab/>
              <w:t xml:space="preserve">instrumenter, der kun er gyldige i en enkelt medlemsstat </w:t>
            </w:r>
            <w:r w:rsidRPr="00A80DA9">
              <w:rPr>
                <w:b/>
                <w:i/>
              </w:rPr>
              <w:t>eller i en region</w:t>
            </w:r>
            <w:r w:rsidRPr="00A80DA9">
              <w:t>, og som stilles til rådighed på anmodning af en virksomhed eller en offentlig enhed og reguleres af en national eller regional offentlig myndighed med specifikke sociale eller skattemæssige formål til at erhverve bestemte varer eller tjenester fra leverandører, der har en forretningsaftale med udstederen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Sociale vouchere, som beskrives i artikel 2, stk. 2, litra j), nr. iii), er instrumenter, der anvendes på grundlag af nationale eller lokale politikker til at støtte gennemførelsen af offentlige politikker. De er dedikeret til opnåelsen af specifikke mål og målrettes præcis inden for nationale eller lokale lovgivningsmæssige rammer. Det er vigtigt at understrege dette kendetegn yderligere.</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159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k)</w:t>
            </w:r>
            <w:r w:rsidRPr="00A80DA9">
              <w:rPr>
                <w:b/>
                <w:i/>
              </w:rPr>
              <w:tab/>
              <w:t>betalingstransaktioner foretaget af en udbyder af elektroniske kommunikationsnet som defineret i artikel 2, nr. 1), i Europa-Parlamentets og Rådets direktiv (EU) 2018/1972</w:t>
            </w:r>
            <w:r w:rsidRPr="00A80DA9">
              <w:rPr>
                <w:b/>
                <w:i/>
                <w:vertAlign w:val="superscript"/>
              </w:rPr>
              <w:t>62</w:t>
            </w:r>
            <w:r w:rsidRPr="00A80DA9">
              <w:rPr>
                <w:b/>
                <w:i/>
              </w:rPr>
              <w:t xml:space="preserve"> eller tjenester, der leveres ud over elektroniske kommunikationstjenester som defineret i artikel 2, nr. 4), i nævnte direktiv til en abonnent på nettet eller tjenesten:</w:t>
            </w:r>
          </w:p>
        </w:tc>
        <w:tc>
          <w:tcPr>
            <w:tcW w:w="4876" w:type="dxa"/>
            <w:hideMark/>
          </w:tcPr>
          <w:p w:rsidR="0047667D" w:rsidRPr="00A80DA9" w:rsidRDefault="008507C9">
            <w:pPr>
              <w:pStyle w:val="Normal6"/>
              <w:rPr>
                <w:szCs w:val="24"/>
              </w:rPr>
            </w:pPr>
            <w:r w:rsidRPr="00A80DA9">
              <w:rPr>
                <w:b/>
                <w:i/>
              </w:rPr>
              <w:t>udgår</w:t>
            </w:r>
          </w:p>
        </w:tc>
      </w:tr>
      <w:tr w:rsidR="00285AB2" w:rsidRPr="00A80DA9" w:rsidTr="0047667D">
        <w:trPr>
          <w:jc w:val="center"/>
        </w:trPr>
        <w:tc>
          <w:tcPr>
            <w:tcW w:w="4876" w:type="dxa"/>
            <w:hideMark/>
          </w:tcPr>
          <w:p w:rsidR="0047667D" w:rsidRPr="00A80DA9" w:rsidRDefault="008507C9">
            <w:pPr>
              <w:pStyle w:val="Normal6"/>
            </w:pPr>
            <w:r w:rsidRPr="00A80DA9">
              <w:rPr>
                <w:b/>
                <w:i/>
              </w:rPr>
              <w:t>i)</w:t>
            </w:r>
            <w:r w:rsidRPr="00A80DA9">
              <w:rPr>
                <w:b/>
                <w:i/>
              </w:rPr>
              <w:tab/>
              <w:t>til køb af digitalt indhold og stemmebaserede tjenester, uanset hvilken anordning der anvendes til køb eller forbrug af det digitale indhold, og som opkræves på den tilhørende regning eller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ii)</w:t>
            </w:r>
            <w:r w:rsidRPr="00A80DA9">
              <w:rPr>
                <w:b/>
                <w:i/>
              </w:rPr>
              <w:tab/>
              <w:t>gennemført fra eller via en elektronisk anordning, og som opkræves på den tilhørende regning inden for rammerne af almennyttig virksomhed eller til køb af billetter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forudsat at værdien af en enkelt betalingstransaktion ikke overstiger 50 EUR, og:</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w:t>
            </w:r>
            <w:r w:rsidRPr="00A80DA9">
              <w:rPr>
                <w:b/>
                <w:i/>
              </w:rPr>
              <w:tab/>
              <w:t>den samlede værdi af betalingstransaktionerne for en enkelt abonnent ikke overstiger 300 EUR pr. måned, eller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w:t>
            </w:r>
            <w:r w:rsidRPr="00A80DA9">
              <w:rPr>
                <w:b/>
                <w:i/>
              </w:rPr>
              <w:tab/>
              <w:t>den samlede værdi af betalingstransaktionerne ikke overstiger 300 EUR pr. måned, hvis en abonnent forud indbetaler penge på sin konto hos udbyderen af elektroniske kommunikationsnetværk eller -tjenester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__________________</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vertAlign w:val="superscript"/>
              </w:rPr>
              <w:t>62</w:t>
            </w:r>
            <w:r w:rsidRPr="00A80DA9">
              <w:rPr>
                <w:b/>
                <w:i/>
              </w:rPr>
              <w:t xml:space="preserve"> Europa-Parlamentets og Rådets direktiv (EU) 2018/1972 af 11. december 2018 om oprettelse af en europæisk kodeks for elektronisk kommunikation (EUT L 321 af 17.12.2018, s. 36).</w:t>
            </w:r>
          </w:p>
        </w:tc>
        <w:tc>
          <w:tcPr>
            <w:tcW w:w="4876" w:type="dxa"/>
          </w:tcPr>
          <w:p w:rsidR="0047667D" w:rsidRPr="00A80DA9" w:rsidRDefault="0047667D">
            <w:pPr>
              <w:pStyle w:val="Normal6"/>
              <w:rPr>
                <w:szCs w:val="24"/>
              </w:rPr>
            </w:pP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betalingstransaktioner foretaget af en udbyder af elektroniske kommunikationsnet som defineret i artikel 2, nr. 1), i Europa-Parlamentets og Rådets direktiv (EU) 2018/1972</w:t>
            </w:r>
            <w:r w:rsidRPr="00A80DA9">
              <w:rPr>
                <w:b/>
                <w:i/>
                <w:vertAlign w:val="superscript"/>
              </w:rPr>
              <w:t>62</w:t>
            </w:r>
            <w:r w:rsidRPr="00A80DA9">
              <w:rPr>
                <w:b/>
                <w:i/>
              </w:rPr>
              <w:t xml:space="preserve"> eller tjenester, der leveres ud over elektroniske kommunikationstjenester som defineret i artikel 2, nr. 4), i nævnte direktiv til en abonnent på nettet eller tjenesten:</w:t>
            </w:r>
          </w:p>
        </w:tc>
        <w:tc>
          <w:tcPr>
            <w:tcW w:w="4876" w:type="dxa"/>
            <w:hideMark/>
          </w:tcPr>
          <w:p w:rsidR="0047667D" w:rsidRPr="00A80DA9" w:rsidRDefault="008507C9">
            <w:pPr>
              <w:pStyle w:val="Normal6"/>
              <w:rPr>
                <w:szCs w:val="24"/>
              </w:rPr>
            </w:pPr>
            <w:r w:rsidRPr="00A80DA9">
              <w:rPr>
                <w:b/>
                <w:i/>
              </w:rPr>
              <w:t>udgår</w:t>
            </w:r>
          </w:p>
        </w:tc>
      </w:tr>
      <w:tr w:rsidR="00285AB2" w:rsidRPr="00A80DA9" w:rsidTr="0047667D">
        <w:trPr>
          <w:jc w:val="center"/>
        </w:trPr>
        <w:tc>
          <w:tcPr>
            <w:tcW w:w="4876" w:type="dxa"/>
            <w:hideMark/>
          </w:tcPr>
          <w:p w:rsidR="0047667D" w:rsidRPr="00A80DA9" w:rsidRDefault="008507C9">
            <w:pPr>
              <w:pStyle w:val="Normal6"/>
            </w:pPr>
            <w:r w:rsidRPr="00A80DA9">
              <w:rPr>
                <w:b/>
                <w:i/>
              </w:rPr>
              <w:t>i)</w:t>
            </w:r>
            <w:r w:rsidRPr="00A80DA9">
              <w:rPr>
                <w:b/>
                <w:i/>
              </w:rPr>
              <w:tab/>
              <w:t>til køb af digitalt indhold og stemmebaserede tjenester, uanset hvilken anordning der anvendes til køb eller forbrug af det digitale indhold, og som opkræves på den tilhørende regning eller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ii)</w:t>
            </w:r>
            <w:r w:rsidRPr="00A80DA9">
              <w:rPr>
                <w:b/>
                <w:i/>
              </w:rPr>
              <w:tab/>
              <w:t>gennemført fra eller via en elektronisk anordning, og som opkræves på den tilhørende regning inden for rammerne af almennyttig virksomhed eller til køb af billetter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__________________</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vertAlign w:val="superscript"/>
              </w:rPr>
              <w:t>62</w:t>
            </w:r>
            <w:r w:rsidRPr="00A80DA9">
              <w:rPr>
                <w:b/>
                <w:i/>
              </w:rPr>
              <w:t xml:space="preserve"> Europa-Parlamentets og Rådets direktiv (EU) 2018/1972 af 11. december 2018 om oprettelse af en europæisk kodeks for elektronisk kommunikation (EUT L 321 af 17.12.2018, s. 36).</w:t>
            </w:r>
          </w:p>
        </w:tc>
        <w:tc>
          <w:tcPr>
            <w:tcW w:w="4876" w:type="dxa"/>
          </w:tcPr>
          <w:p w:rsidR="0047667D" w:rsidRPr="00A80DA9" w:rsidRDefault="0047667D">
            <w:pPr>
              <w:pStyle w:val="Normal6"/>
              <w:rPr>
                <w:szCs w:val="24"/>
              </w:rPr>
            </w:pP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betalingstransaktioner foretaget af en udbyder af elektroniske kommunikationsnet som defineret i artikel 2, nr. 1), i Europa-Parlamentets og Rådets direktiv (EU) 2018/1972</w:t>
            </w:r>
            <w:r w:rsidRPr="00A80DA9">
              <w:rPr>
                <w:b/>
                <w:i/>
                <w:vertAlign w:val="superscript"/>
              </w:rPr>
              <w:t>62</w:t>
            </w:r>
            <w:r w:rsidRPr="00A80DA9">
              <w:rPr>
                <w:b/>
                <w:i/>
              </w:rPr>
              <w:t xml:space="preserve"> eller tjenester, der leveres ud over elektroniske kommunikationstjenester som defineret i artikel 2, nr. 4), i nævnte direktiv til en abonnent på nettet eller tjenesten:</w:t>
            </w:r>
          </w:p>
        </w:tc>
        <w:tc>
          <w:tcPr>
            <w:tcW w:w="4876" w:type="dxa"/>
            <w:hideMark/>
          </w:tcPr>
          <w:p w:rsidR="0047667D" w:rsidRPr="00A80DA9" w:rsidRDefault="008507C9">
            <w:pPr>
              <w:pStyle w:val="Normal6"/>
              <w:rPr>
                <w:szCs w:val="24"/>
              </w:rPr>
            </w:pPr>
            <w:r w:rsidRPr="00A80DA9">
              <w:rPr>
                <w:b/>
                <w:i/>
              </w:rPr>
              <w:t>udgår</w:t>
            </w:r>
          </w:p>
        </w:tc>
      </w:tr>
      <w:tr w:rsidR="00285AB2" w:rsidRPr="00A80DA9" w:rsidTr="0047667D">
        <w:trPr>
          <w:jc w:val="center"/>
        </w:trPr>
        <w:tc>
          <w:tcPr>
            <w:tcW w:w="4876" w:type="dxa"/>
            <w:hideMark/>
          </w:tcPr>
          <w:p w:rsidR="0047667D" w:rsidRPr="00A80DA9" w:rsidRDefault="008507C9">
            <w:pPr>
              <w:pStyle w:val="Normal6"/>
            </w:pPr>
            <w:r w:rsidRPr="00A80DA9">
              <w:rPr>
                <w:b/>
                <w:i/>
              </w:rPr>
              <w:t>i)</w:t>
            </w:r>
            <w:r w:rsidRPr="00A80DA9">
              <w:rPr>
                <w:b/>
                <w:i/>
              </w:rPr>
              <w:tab/>
              <w:t>til køb af digitalt indhold og stemmebaserede tjenester, uanset hvilken anordning der anvendes til køb eller forbrug af det digitale indhold, og som opkræves på den tilhørende regning eller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ii)</w:t>
            </w:r>
            <w:r w:rsidRPr="00A80DA9">
              <w:rPr>
                <w:b/>
                <w:i/>
              </w:rPr>
              <w:tab/>
              <w:t>gennemført fra eller via en elektronisk anordning, og som opkræves på den tilhørende regning inden for rammerne af almennyttig virksomhed eller til køb af billetter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__________________</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vertAlign w:val="superscript"/>
              </w:rPr>
              <w:t>62</w:t>
            </w:r>
            <w:r w:rsidRPr="00A80DA9">
              <w:rPr>
                <w:b/>
                <w:i/>
              </w:rPr>
              <w:t xml:space="preserve"> Europa-Parlamentets og Rådets direktiv (EU) 2018/1972 af 11. december 2018 om oprettelse af en europæisk kodeks for elektronisk kommunikation (EUT L 321 af 17.12.2018, s. 36).</w:t>
            </w:r>
          </w:p>
        </w:tc>
        <w:tc>
          <w:tcPr>
            <w:tcW w:w="4876" w:type="dxa"/>
          </w:tcPr>
          <w:p w:rsidR="0047667D" w:rsidRPr="00A80DA9" w:rsidRDefault="0047667D">
            <w:pPr>
              <w:pStyle w:val="Normal6"/>
              <w:rPr>
                <w:szCs w:val="24"/>
              </w:rPr>
            </w:pP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1 – nr. 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i)</w:t>
            </w:r>
            <w:r w:rsidRPr="00A80DA9">
              <w:rPr>
                <w:b/>
                <w:i/>
              </w:rPr>
              <w:tab/>
              <w:t>til køb af digitalt indhold og stemmebaserede tjenester, uanset hvilken anordning der anvendes til køb eller forbrug af det digitale indhold, og som opkræves på den tilhørende regning eller</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1 – nr. ii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ii)</w:t>
            </w:r>
            <w:r w:rsidRPr="00A80DA9">
              <w:rPr>
                <w:b/>
                <w:i/>
              </w:rPr>
              <w:tab/>
              <w:t>gennemført fra eller via en elektronisk anordning, og som opkræves på den tilhørende regning inden for rammerne af almennyttig virksomhed eller til køb af billetter</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forudsat at værdien af en enkelt betalingstransaktion ikke overstiger 50 EUR, og:</w:t>
            </w:r>
          </w:p>
        </w:tc>
        <w:tc>
          <w:tcPr>
            <w:tcW w:w="4876" w:type="dxa"/>
            <w:hideMark/>
          </w:tcPr>
          <w:p w:rsidR="0047667D" w:rsidRPr="00A80DA9" w:rsidRDefault="008507C9">
            <w:pPr>
              <w:pStyle w:val="Normal6"/>
              <w:rPr>
                <w:szCs w:val="24"/>
              </w:rPr>
            </w:pPr>
            <w:r w:rsidRPr="00A80DA9">
              <w:rPr>
                <w:b/>
                <w:i/>
              </w:rPr>
              <w:t>udgår</w:t>
            </w:r>
          </w:p>
        </w:tc>
      </w:tr>
      <w:tr w:rsidR="00285AB2" w:rsidRPr="00A80DA9" w:rsidTr="0047667D">
        <w:trPr>
          <w:jc w:val="center"/>
        </w:trPr>
        <w:tc>
          <w:tcPr>
            <w:tcW w:w="4876" w:type="dxa"/>
            <w:hideMark/>
          </w:tcPr>
          <w:p w:rsidR="0047667D" w:rsidRPr="00A80DA9" w:rsidRDefault="008507C9">
            <w:pPr>
              <w:pStyle w:val="Normal6"/>
            </w:pPr>
            <w:r w:rsidRPr="00A80DA9">
              <w:rPr>
                <w:b/>
                <w:i/>
              </w:rPr>
              <w:t>—</w:t>
            </w:r>
            <w:r w:rsidRPr="00A80DA9">
              <w:rPr>
                <w:b/>
                <w:i/>
              </w:rPr>
              <w:tab/>
              <w:t>den samlede værdi af betalingstransaktionerne for en enkelt abonnent ikke overstiger 300 EUR pr. måned, eller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w:t>
            </w:r>
            <w:r w:rsidRPr="00A80DA9">
              <w:rPr>
                <w:b/>
                <w:i/>
              </w:rPr>
              <w:tab/>
              <w:t>den samlede værdi af betalingstransaktionerne ikke overstiger 300 EUR pr. måned, hvis en abonnent forud indbetaler penge på sin konto hos udbyderen af elektroniske kommunikationsnetværk eller -tjenester</w:t>
            </w:r>
          </w:p>
        </w:tc>
        <w:tc>
          <w:tcPr>
            <w:tcW w:w="4876" w:type="dxa"/>
          </w:tcPr>
          <w:p w:rsidR="0047667D" w:rsidRPr="00A80DA9" w:rsidRDefault="0047667D">
            <w:pPr>
              <w:pStyle w:val="Normal6"/>
              <w:rPr>
                <w:szCs w:val="24"/>
              </w:rPr>
            </w:pP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Undtagelsen for telekommunikationsudbydere bør udgå, da den ofte anvendes til at opkræve høje ekstra gebyrer af forbrugerne gennem deres mobilabonnement på en uigennemsigtig måde. Forbrugerne bliver ofte først klar over de reelle omkostninger ved de indkøbte tjenesteydelser såsom spil, parkering, videoer, magasiner og alle former for tillægsydelser, når de får regningen for deres mobilabonnement.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forudsat at værdien af en enkelt betalingstransaktion ikke overstiger 50 EUR, og:</w:t>
            </w:r>
          </w:p>
        </w:tc>
        <w:tc>
          <w:tcPr>
            <w:tcW w:w="4876" w:type="dxa"/>
            <w:hideMark/>
          </w:tcPr>
          <w:p w:rsidR="0047667D" w:rsidRPr="00A80DA9" w:rsidRDefault="008507C9">
            <w:pPr>
              <w:pStyle w:val="Normal6"/>
              <w:rPr>
                <w:szCs w:val="24"/>
              </w:rPr>
            </w:pPr>
            <w:r w:rsidRPr="00A80DA9">
              <w:rPr>
                <w:b/>
                <w:i/>
              </w:rPr>
              <w:t>udgår</w:t>
            </w:r>
          </w:p>
        </w:tc>
      </w:tr>
      <w:tr w:rsidR="00285AB2" w:rsidRPr="00A80DA9" w:rsidTr="0047667D">
        <w:trPr>
          <w:jc w:val="center"/>
        </w:trPr>
        <w:tc>
          <w:tcPr>
            <w:tcW w:w="4876" w:type="dxa"/>
            <w:hideMark/>
          </w:tcPr>
          <w:p w:rsidR="0047667D" w:rsidRPr="00A80DA9" w:rsidRDefault="008507C9">
            <w:pPr>
              <w:pStyle w:val="Normal6"/>
            </w:pPr>
            <w:r w:rsidRPr="00A80DA9">
              <w:rPr>
                <w:b/>
                <w:i/>
              </w:rPr>
              <w:t>—</w:t>
            </w:r>
            <w:r w:rsidRPr="00A80DA9">
              <w:rPr>
                <w:b/>
                <w:i/>
              </w:rPr>
              <w:tab/>
              <w:t>den samlede værdi af betalingstransaktionerne for en enkelt abonnent ikke overstiger 300 EUR pr. måned, eller</w:t>
            </w:r>
          </w:p>
        </w:tc>
        <w:tc>
          <w:tcPr>
            <w:tcW w:w="4876" w:type="dxa"/>
          </w:tcPr>
          <w:p w:rsidR="0047667D" w:rsidRPr="00A80DA9" w:rsidRDefault="0047667D">
            <w:pPr>
              <w:pStyle w:val="Normal6"/>
              <w:rPr>
                <w:szCs w:val="24"/>
              </w:rPr>
            </w:pPr>
          </w:p>
        </w:tc>
      </w:tr>
      <w:tr w:rsidR="00285AB2" w:rsidRPr="00A80DA9" w:rsidTr="0047667D">
        <w:trPr>
          <w:jc w:val="center"/>
        </w:trPr>
        <w:tc>
          <w:tcPr>
            <w:tcW w:w="4876" w:type="dxa"/>
            <w:hideMark/>
          </w:tcPr>
          <w:p w:rsidR="0047667D" w:rsidRPr="00A80DA9" w:rsidRDefault="008507C9">
            <w:pPr>
              <w:pStyle w:val="Normal6"/>
            </w:pPr>
            <w:r w:rsidRPr="00A80DA9">
              <w:rPr>
                <w:b/>
                <w:i/>
              </w:rPr>
              <w:t>—</w:t>
            </w:r>
            <w:r w:rsidRPr="00A80DA9">
              <w:rPr>
                <w:b/>
                <w:i/>
              </w:rPr>
              <w:tab/>
              <w:t>den samlede værdi af betalingstransaktionerne ikke overstiger 300 EUR pr. måned, hvis en abonnent forud indbetaler penge på sin konto hos udbyderen af elektroniske kommunikationsnetværk eller -tjenester</w:t>
            </w:r>
          </w:p>
        </w:tc>
        <w:tc>
          <w:tcPr>
            <w:tcW w:w="4876" w:type="dxa"/>
          </w:tcPr>
          <w:p w:rsidR="0047667D" w:rsidRPr="00A80DA9" w:rsidRDefault="0047667D">
            <w:pPr>
              <w:pStyle w:val="Normal6"/>
              <w:rPr>
                <w:szCs w:val="24"/>
              </w:rPr>
            </w:pP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2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 xml:space="preserve">forudsat at værdien af en enkelt betalingstransaktion ikke overstiger </w:t>
            </w:r>
            <w:r w:rsidRPr="00A80DA9">
              <w:rPr>
                <w:b/>
                <w:i/>
              </w:rPr>
              <w:t>50</w:t>
            </w:r>
            <w:r w:rsidRPr="00A80DA9">
              <w:t xml:space="preserve"> EUR, og:</w:t>
            </w:r>
          </w:p>
        </w:tc>
        <w:tc>
          <w:tcPr>
            <w:tcW w:w="4876" w:type="dxa"/>
            <w:hideMark/>
          </w:tcPr>
          <w:p w:rsidR="0047667D" w:rsidRPr="00A80DA9" w:rsidRDefault="008507C9">
            <w:pPr>
              <w:pStyle w:val="Normal6"/>
              <w:rPr>
                <w:szCs w:val="24"/>
              </w:rPr>
            </w:pPr>
            <w:r w:rsidRPr="00A80DA9">
              <w:t xml:space="preserve">forudsat at værdien af en enkelt betalingstransaktion ikke overstiger </w:t>
            </w:r>
            <w:r w:rsidRPr="00A80DA9">
              <w:rPr>
                <w:b/>
                <w:i/>
              </w:rPr>
              <w:t>100</w:t>
            </w:r>
            <w:r w:rsidRPr="00A80DA9">
              <w:t xml:space="preserve"> EUR, og: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Markus Ferber</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2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 xml:space="preserve">forudsat at værdien af en enkelt betalingstransaktion ikke overstiger </w:t>
            </w:r>
            <w:r w:rsidRPr="00A80DA9">
              <w:rPr>
                <w:b/>
                <w:i/>
              </w:rPr>
              <w:t>50</w:t>
            </w:r>
            <w:r w:rsidRPr="00A80DA9">
              <w:t xml:space="preserve"> EUR, og:</w:t>
            </w:r>
          </w:p>
        </w:tc>
        <w:tc>
          <w:tcPr>
            <w:tcW w:w="4876" w:type="dxa"/>
            <w:hideMark/>
          </w:tcPr>
          <w:p w:rsidR="0047667D" w:rsidRPr="00A80DA9" w:rsidRDefault="008507C9">
            <w:pPr>
              <w:pStyle w:val="Normal6"/>
              <w:rPr>
                <w:szCs w:val="24"/>
              </w:rPr>
            </w:pPr>
            <w:r w:rsidRPr="00A80DA9">
              <w:t xml:space="preserve">forudsat at værdien af en enkelt betalingstransaktion ikke overstiger </w:t>
            </w:r>
            <w:r w:rsidRPr="00A80DA9">
              <w:rPr>
                <w:b/>
                <w:i/>
              </w:rPr>
              <w:t>60</w:t>
            </w:r>
            <w:r w:rsidRPr="00A80DA9">
              <w:t xml:space="preserve"> EUR, og: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For at tage højde for virkningerne af inflationen siden vedtagelsen af andet betalingstjenestedirektiv.</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2 – led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w:t>
            </w:r>
            <w:r w:rsidRPr="00A80DA9">
              <w:tab/>
              <w:t xml:space="preserve">den samlede værdi af betalingstransaktionerne for en enkelt abonnent ikke overstiger </w:t>
            </w:r>
            <w:r w:rsidRPr="00A80DA9">
              <w:rPr>
                <w:b/>
                <w:i/>
              </w:rPr>
              <w:t>300</w:t>
            </w:r>
            <w:r w:rsidRPr="00A80DA9">
              <w:t xml:space="preserve"> EUR pr. måned, eller</w:t>
            </w:r>
          </w:p>
        </w:tc>
        <w:tc>
          <w:tcPr>
            <w:tcW w:w="4876" w:type="dxa"/>
            <w:hideMark/>
          </w:tcPr>
          <w:p w:rsidR="0047667D" w:rsidRPr="00A80DA9" w:rsidRDefault="008507C9">
            <w:pPr>
              <w:pStyle w:val="Normal6"/>
              <w:rPr>
                <w:szCs w:val="24"/>
              </w:rPr>
            </w:pPr>
            <w:r w:rsidRPr="00A80DA9">
              <w:t>–</w:t>
            </w:r>
            <w:r w:rsidRPr="00A80DA9">
              <w:tab/>
              <w:t xml:space="preserve">den samlede værdi af betalingstransaktionerne for en enkelt abonnent ikke overstiger </w:t>
            </w:r>
            <w:r w:rsidRPr="00A80DA9">
              <w:rPr>
                <w:b/>
                <w:i/>
              </w:rPr>
              <w:t>500</w:t>
            </w:r>
            <w:r w:rsidRPr="00A80DA9">
              <w:t xml:space="preserve"> EUR pr. måned, eller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169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k – afsnit 2 – led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w:t>
            </w:r>
            <w:r w:rsidRPr="00A80DA9">
              <w:tab/>
              <w:t xml:space="preserve">den samlede værdi af betalingstransaktionerne ikke overstiger </w:t>
            </w:r>
            <w:r w:rsidRPr="00A80DA9">
              <w:rPr>
                <w:b/>
                <w:i/>
              </w:rPr>
              <w:t>300</w:t>
            </w:r>
            <w:r w:rsidRPr="00A80DA9">
              <w:t xml:space="preserve"> EUR pr. måned, hvis en abonnent forud indbetaler penge på sin konto hos udbyderen af elektroniske kommunikationsnetværk eller -tjenester</w:t>
            </w:r>
          </w:p>
        </w:tc>
        <w:tc>
          <w:tcPr>
            <w:tcW w:w="4876" w:type="dxa"/>
            <w:hideMark/>
          </w:tcPr>
          <w:p w:rsidR="0047667D" w:rsidRPr="00A80DA9" w:rsidRDefault="008507C9">
            <w:pPr>
              <w:pStyle w:val="Normal6"/>
              <w:rPr>
                <w:szCs w:val="24"/>
              </w:rPr>
            </w:pPr>
            <w:r w:rsidRPr="00A80DA9">
              <w:t>–</w:t>
            </w:r>
            <w:r w:rsidRPr="00A80DA9">
              <w:tab/>
              <w:t xml:space="preserve">den samlede værdi af betalingstransaktionerne ikke overstiger </w:t>
            </w:r>
            <w:r w:rsidRPr="00A80DA9">
              <w:rPr>
                <w:b/>
                <w:i/>
              </w:rPr>
              <w:t>500</w:t>
            </w:r>
            <w:r w:rsidRPr="00A80DA9">
              <w:t xml:space="preserve"> EUR pr. måned, hvis en abonnent forud indbetaler penge på sin konto hos udbyderen af elektroniske kommunikationsnetværk eller -tjenester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 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m</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m)</w:t>
            </w:r>
            <w:r w:rsidRPr="00A80DA9">
              <w:tab/>
              <w:t xml:space="preserve">betalingstransaktioner og dertil knyttede tjenester mellem en modervirksomhed og dens dattervirksomheder eller mellem dattervirksomheder af samme modervirksomhed uden mellemkomst af en anden betalingstjenesteudbyder end en virksomhed, som tilhører samme koncern, og et moderselskabs eller </w:t>
            </w:r>
            <w:r w:rsidRPr="00A80DA9">
              <w:rPr>
                <w:b/>
                <w:i/>
              </w:rPr>
              <w:t>dets</w:t>
            </w:r>
            <w:r w:rsidRPr="00A80DA9">
              <w:t xml:space="preserve"> datterselskabs opkrævning af betalingsordrer på vegne af </w:t>
            </w:r>
            <w:r w:rsidRPr="00A80DA9">
              <w:rPr>
                <w:b/>
                <w:i/>
              </w:rPr>
              <w:t>en koncern med henblik på videreformidling til</w:t>
            </w:r>
            <w:r w:rsidRPr="00A80DA9">
              <w:t xml:space="preserve"> en betalingstjenesteudbyder.</w:t>
            </w:r>
          </w:p>
        </w:tc>
        <w:tc>
          <w:tcPr>
            <w:tcW w:w="4876" w:type="dxa"/>
            <w:hideMark/>
          </w:tcPr>
          <w:p w:rsidR="0047667D" w:rsidRPr="00A80DA9" w:rsidRDefault="008507C9">
            <w:pPr>
              <w:pStyle w:val="Normal6"/>
              <w:rPr>
                <w:szCs w:val="24"/>
              </w:rPr>
            </w:pPr>
            <w:r w:rsidRPr="00A80DA9">
              <w:t>m)</w:t>
            </w:r>
            <w:r w:rsidRPr="00A80DA9">
              <w:tab/>
              <w:t xml:space="preserve">betalingstransaktioner og dertil knyttede tjenester mellem en modervirksomhed og dens dattervirksomheder eller mellem dattervirksomheder af samme modervirksomhed uden mellemkomst af en anden betalingstjenesteudbyder end en virksomhed, som tilhører samme koncern, og et moderselskabs eller </w:t>
            </w:r>
            <w:r w:rsidRPr="00A80DA9">
              <w:rPr>
                <w:b/>
                <w:i/>
              </w:rPr>
              <w:t>et</w:t>
            </w:r>
            <w:r w:rsidRPr="00A80DA9">
              <w:t xml:space="preserve"> datterselskabs opkrævning af betalingsordrer </w:t>
            </w:r>
            <w:r w:rsidRPr="00A80DA9">
              <w:rPr>
                <w:b/>
                <w:i/>
              </w:rPr>
              <w:t>fra enheder tilhørende den samme koncern med henblik på at behandle betalinger</w:t>
            </w:r>
            <w:r w:rsidRPr="00A80DA9">
              <w:t xml:space="preserve"> på vegne af </w:t>
            </w:r>
            <w:r w:rsidRPr="00A80DA9">
              <w:rPr>
                <w:b/>
                <w:i/>
              </w:rPr>
              <w:t>disse enheder gennem en betalingstjenesteudbyder, herunder betalingsordrer til eksterne tredjeparter, og</w:t>
            </w:r>
            <w:r w:rsidRPr="00A80DA9">
              <w:t xml:space="preserve"> </w:t>
            </w:r>
            <w:r w:rsidRPr="00A80DA9">
              <w:rPr>
                <w:b/>
                <w:i/>
              </w:rPr>
              <w:t>opkrævning af midler fra eksterne tredjeparter</w:t>
            </w:r>
            <w:r w:rsidRPr="00A80DA9">
              <w:t xml:space="preserve"> </w:t>
            </w:r>
            <w:r w:rsidRPr="00A80DA9">
              <w:rPr>
                <w:b/>
                <w:i/>
              </w:rPr>
              <w:t>på vegne af koncernens enheder gennem</w:t>
            </w:r>
            <w:r w:rsidRPr="00A80DA9">
              <w:t xml:space="preserve"> en betalingstjenesteudbyder.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Markus Ferber</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m</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m)</w:t>
            </w:r>
            <w:r w:rsidRPr="00A80DA9">
              <w:tab/>
              <w:t xml:space="preserve">betalingstransaktioner og dertil knyttede tjenester mellem en modervirksomhed og dens dattervirksomheder eller mellem dattervirksomheder af samme modervirksomhed </w:t>
            </w:r>
            <w:r w:rsidRPr="00A80DA9">
              <w:rPr>
                <w:b/>
                <w:i/>
              </w:rPr>
              <w:t>uden mellemkomst af en anden betalingstjenesteudbyder end en virksomhed, som tilhører samme koncern, og</w:t>
            </w:r>
            <w:r w:rsidRPr="00A80DA9">
              <w:t xml:space="preserve"> et moderselskabs eller dets datterselskabs opkrævning af </w:t>
            </w:r>
            <w:r w:rsidRPr="00A80DA9">
              <w:rPr>
                <w:b/>
                <w:i/>
              </w:rPr>
              <w:t>betalingsordrer</w:t>
            </w:r>
            <w:r w:rsidRPr="00A80DA9">
              <w:t xml:space="preserve"> på vegne af en koncern </w:t>
            </w:r>
            <w:r w:rsidRPr="00A80DA9">
              <w:rPr>
                <w:b/>
                <w:i/>
              </w:rPr>
              <w:t>med henblik på videreformidling til en betalingstjenesteudbyder</w:t>
            </w:r>
            <w:r w:rsidRPr="00A80DA9">
              <w:t>.</w:t>
            </w:r>
          </w:p>
        </w:tc>
        <w:tc>
          <w:tcPr>
            <w:tcW w:w="4876" w:type="dxa"/>
            <w:hideMark/>
          </w:tcPr>
          <w:p w:rsidR="0047667D" w:rsidRPr="00A80DA9" w:rsidRDefault="008507C9">
            <w:pPr>
              <w:pStyle w:val="Normal6"/>
              <w:rPr>
                <w:szCs w:val="24"/>
              </w:rPr>
            </w:pPr>
            <w:r w:rsidRPr="00A80DA9">
              <w:t>m)</w:t>
            </w:r>
            <w:r w:rsidRPr="00A80DA9">
              <w:tab/>
              <w:t xml:space="preserve">betalingstransaktioner og dertil knyttede tjenester mellem en modervirksomhed og dens dattervirksomheder eller mellem dattervirksomheder af samme modervirksomhed, </w:t>
            </w:r>
            <w:r w:rsidRPr="00A80DA9">
              <w:rPr>
                <w:b/>
                <w:i/>
              </w:rPr>
              <w:t>herunder</w:t>
            </w:r>
            <w:r w:rsidRPr="00A80DA9">
              <w:t xml:space="preserve"> et moderselskabs eller dets datterselskabs opkrævning af </w:t>
            </w:r>
            <w:r w:rsidRPr="00A80DA9">
              <w:rPr>
                <w:b/>
                <w:i/>
              </w:rPr>
              <w:t>midler samt gennemførelse af betalinger</w:t>
            </w:r>
            <w:r w:rsidRPr="00A80DA9">
              <w:t xml:space="preserve"> på vegne af en koncern.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Foreslået ordlyd, der vil gøre undtagelsen vedrørende koncerninterne transaktioner mere anvendelig i praksis.</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2 – litra m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ma)</w:t>
            </w:r>
            <w:r w:rsidRPr="00A80DA9">
              <w:rPr>
                <w:b/>
                <w:i/>
              </w:rPr>
              <w:tab/>
              <w:t>instrumenter, der udstedes for at opfylde kravene i artikel 70, stk. 2 og 3, i forordning (EU) 2023/1114 (MiCA-forordningen).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7</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7.</w:t>
            </w:r>
            <w:r w:rsidRPr="00A80DA9">
              <w:tab/>
            </w:r>
            <w:r w:rsidRPr="00A80DA9">
              <w:rPr>
                <w:b/>
                <w:i/>
              </w:rPr>
              <w:t>Senest den [Publikationskontoret: Indsæt venligst datoen = et år efter datoen for denne forordnings ikrafttræden] udsteder</w:t>
            </w:r>
            <w:r w:rsidRPr="00A80DA9">
              <w:t xml:space="preserve"> EBA </w:t>
            </w:r>
            <w:r w:rsidRPr="00A80DA9">
              <w:rPr>
                <w:b/>
                <w:i/>
              </w:rPr>
              <w:t>retningslinjer i overensstemmelse med artikel 16 i forordning (EU) nr. 1093/2010 til de kompetente myndigheder, der er udpeget i henhold til denne forordning, om</w:t>
            </w:r>
            <w:r w:rsidRPr="00A80DA9">
              <w:t xml:space="preserve"> udelukkelse af betalingstransaktioner fra betaleren til betalingsmodtageren gennem en handelsagent som omhandlet i nærværende artikels stk. 2, litra b).</w:t>
            </w:r>
          </w:p>
        </w:tc>
        <w:tc>
          <w:tcPr>
            <w:tcW w:w="4876" w:type="dxa"/>
            <w:hideMark/>
          </w:tcPr>
          <w:p w:rsidR="0047667D" w:rsidRPr="00A80DA9" w:rsidRDefault="008507C9" w:rsidP="00796D98">
            <w:pPr>
              <w:pStyle w:val="Normal6"/>
              <w:rPr>
                <w:szCs w:val="24"/>
              </w:rPr>
            </w:pPr>
            <w:r w:rsidRPr="00A80DA9">
              <w:t>7.</w:t>
            </w:r>
            <w:r w:rsidRPr="00A80DA9">
              <w:tab/>
              <w:t xml:space="preserve">EBA </w:t>
            </w:r>
            <w:r w:rsidRPr="00A80DA9">
              <w:rPr>
                <w:b/>
                <w:i/>
              </w:rPr>
              <w:t>udarbejder udkast til reguleringsmæssige tekniske standarder for at specificere betingelserne for</w:t>
            </w:r>
            <w:r w:rsidRPr="00A80DA9">
              <w:t xml:space="preserve"> udelukkelse af betalingstransaktioner fra betaleren til betalingsmodtageren gennem en handelsagent som omhandlet i nærværende artikels stk. 2, litra b).</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EBA forelægger de i første afsnit omhandlede reguleringsmæssige tekniske standarder for Kommissionen senest den [Publikationskontoret: Indsæt venligst datoen = et år efter datoen for denne forordnings ikrafttræden]. Kommissionen tillægges beføjelser til at vedtage de i første afsnit omhandlede reguleringsmæssige tekniske standarder i overensstemmelse med artikel 10-14 i forordning (EU) nr. 1093/2010.</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Som fastsat i EBA's vejledning om revisionen af den anden forordning om betalingstjenester er der mange fortolkningsspørgsmål vedrørende udelukkelsen af handelsagenter. For at sikre en harmoniseret anvendelse over hele Den Europæiske Union, hvilket er særligt vigtigt, fordi denne udelukkelse ofte anvendes af e-handelsplatforme, bør specifikationerne have form af (bindende) tekniske reguleringsmæssige standarder snarere end ikkebindende retningslinjer.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7</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7.</w:t>
            </w:r>
            <w:r w:rsidRPr="00A80DA9">
              <w:tab/>
              <w:t xml:space="preserve">Senest den [Publikationskontoret: Indsæt venligst datoen = et år efter datoen for denne forordnings ikrafttræden] </w:t>
            </w:r>
            <w:r w:rsidRPr="00A80DA9">
              <w:rPr>
                <w:b/>
                <w:i/>
              </w:rPr>
              <w:t>udsteder</w:t>
            </w:r>
            <w:r w:rsidRPr="00A80DA9">
              <w:t xml:space="preserve"> EBA </w:t>
            </w:r>
            <w:r w:rsidRPr="00A80DA9">
              <w:rPr>
                <w:b/>
                <w:i/>
              </w:rPr>
              <w:t>retningslinjer i overensstemmelse med artikel 16 i forordning (EU) nr. 1093/2010 til de kompetente myndigheder, der er udpeget i henhold til denne forordning, om</w:t>
            </w:r>
            <w:r w:rsidRPr="00A80DA9">
              <w:t xml:space="preserve"> udelukkelse af betalingstransaktioner fra betaleren til betalingsmodtageren gennem en handelsagent som omhandlet i nærværende artikels stk. 2, litra b).</w:t>
            </w:r>
          </w:p>
        </w:tc>
        <w:tc>
          <w:tcPr>
            <w:tcW w:w="4876" w:type="dxa"/>
            <w:hideMark/>
          </w:tcPr>
          <w:p w:rsidR="0047667D" w:rsidRPr="00A80DA9" w:rsidRDefault="008507C9">
            <w:pPr>
              <w:pStyle w:val="Normal6"/>
              <w:rPr>
                <w:szCs w:val="24"/>
              </w:rPr>
            </w:pPr>
            <w:r w:rsidRPr="00A80DA9">
              <w:t>7.</w:t>
            </w:r>
            <w:r w:rsidRPr="00A80DA9">
              <w:tab/>
              <w:t xml:space="preserve">Senest den [Publikationskontoret: Indsæt venligst datoen = et år efter datoen for denne forordnings ikrafttræden] </w:t>
            </w:r>
            <w:r w:rsidRPr="00A80DA9">
              <w:rPr>
                <w:b/>
                <w:i/>
              </w:rPr>
              <w:t>fremlægger</w:t>
            </w:r>
            <w:r w:rsidRPr="00A80DA9">
              <w:t xml:space="preserve"> EBA </w:t>
            </w:r>
            <w:r w:rsidRPr="00A80DA9">
              <w:rPr>
                <w:b/>
                <w:i/>
              </w:rPr>
              <w:t>udkast til reguleringsmæssige tekniske standarder, der fastsætter betingelserne for</w:t>
            </w:r>
            <w:r w:rsidRPr="00A80DA9">
              <w:t xml:space="preserve"> udelukkelse af betalingstransaktioner fra betaleren til betalingsmodtageren gennem en handelsagent som omhandlet i nærværende artikels stk. 2, litra b).</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Kommissionen tillægges beføjelser til at vedtage de reguleringsmæssige tekniske standarder, der er omhandlet i første afsnit, i overensstemmelse med artikel 10-14 i forordning (EU) nr. 1093/2010.</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 – stk. 9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9a.</w:t>
            </w:r>
            <w:r w:rsidRPr="00A80DA9">
              <w:rPr>
                <w:b/>
                <w:i/>
              </w:rPr>
              <w:tab/>
              <w:t>Bestemmelserne i artikel 59 finder også anvendelse på udbydere af elektroniske kommunikationstjenester som defineret i artikel 3, nr. 55a).</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11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11)</w:t>
            </w:r>
            <w:r w:rsidRPr="00A80DA9">
              <w:tab/>
              <w:t>"betaler": en fysisk eller juridisk person, der er indehaver af en betalingskonto og afgiver en betalingsordre fra denne betalingskonto, eller, hvis der ikke er nogen betalingskonto, en person, der afgiver en betalingsordre</w:t>
            </w:r>
          </w:p>
        </w:tc>
        <w:tc>
          <w:tcPr>
            <w:tcW w:w="4876" w:type="dxa"/>
            <w:hideMark/>
          </w:tcPr>
          <w:p w:rsidR="0047667D" w:rsidRPr="00A80DA9" w:rsidRDefault="008507C9">
            <w:pPr>
              <w:pStyle w:val="Normal6"/>
              <w:rPr>
                <w:szCs w:val="24"/>
              </w:rPr>
            </w:pPr>
            <w:r w:rsidRPr="00A80DA9">
              <w:t>11)</w:t>
            </w:r>
            <w:r w:rsidRPr="00A80DA9">
              <w:tab/>
              <w:t xml:space="preserve">"betaler": en fysisk eller juridisk person, der er indehaver af en betalingskonto og tillader en betalingsordre fra denne betalingskonto, eller, hvis der ikke er nogen betalingskonto, en </w:t>
            </w:r>
            <w:r w:rsidRPr="00A80DA9">
              <w:rPr>
                <w:b/>
                <w:i/>
              </w:rPr>
              <w:t>fysisk eller juridisk</w:t>
            </w:r>
            <w:r w:rsidRPr="00A80DA9">
              <w:t xml:space="preserve"> person, der afgiver en betalingsordre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Tilpasning til tredje direktiv om betalingstjenester.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28</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28)</w:t>
            </w:r>
            <w:r w:rsidRPr="00A80DA9">
              <w:tab/>
              <w:t>"kreditoverførsel": en betalingstjeneste, herunder straksoverførsler, til at kreditere en betalingsmodtagers betalingskonto med en betalingstransaktion eller en række betalingstransaktioner fra en betalers betalingskonto foretaget af den betalingstjenesteudbyder, der forvalter betalerens betalingskonto, på grundlag af en instruks fra betaleren</w:t>
            </w:r>
          </w:p>
        </w:tc>
        <w:tc>
          <w:tcPr>
            <w:tcW w:w="4876" w:type="dxa"/>
            <w:hideMark/>
          </w:tcPr>
          <w:p w:rsidR="0047667D" w:rsidRPr="00A80DA9" w:rsidRDefault="008507C9">
            <w:pPr>
              <w:pStyle w:val="Normal6"/>
              <w:rPr>
                <w:szCs w:val="24"/>
              </w:rPr>
            </w:pPr>
            <w:r w:rsidRPr="00A80DA9">
              <w:t>28)</w:t>
            </w:r>
            <w:r w:rsidRPr="00A80DA9">
              <w:tab/>
              <w:t xml:space="preserve">"kreditoverførsel": en betalingstjeneste, herunder straksoverførsler, til at kreditere en betalingsmodtagers betalingskonto med en betalingstransaktion eller en række betalingstransaktioner fra en betalers betalingskonto foretaget af den betalingstjenesteudbyder, der forvalter betalerens betalingskonto, </w:t>
            </w:r>
            <w:r w:rsidRPr="00A80DA9">
              <w:rPr>
                <w:b/>
                <w:i/>
              </w:rPr>
              <w:t>eller af den betalingstjenesteudbyder, der forvalter betalingsmodtagerens betalingskonto,</w:t>
            </w:r>
            <w:r w:rsidRPr="00A80DA9">
              <w:t xml:space="preserve"> på grundlag af en instruks fra betaleren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30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30)</w:t>
            </w:r>
            <w:r w:rsidRPr="00A80DA9">
              <w:tab/>
              <w:t xml:space="preserve">"midler": centralbankpenge udstedt til detailbrug, kontopenge og elektroniske </w:t>
            </w:r>
            <w:r w:rsidRPr="00A80DA9">
              <w:rPr>
                <w:b/>
                <w:bCs/>
                <w:i/>
                <w:iCs/>
              </w:rPr>
              <w:t>penge</w:t>
            </w:r>
          </w:p>
        </w:tc>
        <w:tc>
          <w:tcPr>
            <w:tcW w:w="4876" w:type="dxa"/>
            <w:hideMark/>
          </w:tcPr>
          <w:p w:rsidR="0047667D" w:rsidRPr="00A80DA9" w:rsidRDefault="008507C9">
            <w:pPr>
              <w:pStyle w:val="Normal6"/>
              <w:rPr>
                <w:szCs w:val="24"/>
              </w:rPr>
            </w:pPr>
            <w:r w:rsidRPr="00A80DA9">
              <w:t>30)</w:t>
            </w:r>
            <w:r w:rsidRPr="00A80DA9">
              <w:tab/>
              <w:t xml:space="preserve">"midler": centralbankpenge udstedt til detailbrug, kontopenge og elektroniske </w:t>
            </w:r>
            <w:r w:rsidRPr="00A80DA9">
              <w:rPr>
                <w:b/>
                <w:i/>
              </w:rPr>
              <w:t>pengetokens</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179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30</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30)</w:t>
            </w:r>
            <w:r w:rsidRPr="00A80DA9">
              <w:tab/>
              <w:t xml:space="preserve">"midler": </w:t>
            </w:r>
            <w:r w:rsidRPr="00A80DA9">
              <w:rPr>
                <w:b/>
                <w:i/>
              </w:rPr>
              <w:t>centralbankpenge udstedt til detailbrug</w:t>
            </w:r>
            <w:r w:rsidRPr="00A80DA9">
              <w:t>, kontopenge og elektroniske penge</w:t>
            </w:r>
          </w:p>
        </w:tc>
        <w:tc>
          <w:tcPr>
            <w:tcW w:w="4876" w:type="dxa"/>
            <w:hideMark/>
          </w:tcPr>
          <w:p w:rsidR="0047667D" w:rsidRPr="00A80DA9" w:rsidRDefault="008507C9">
            <w:pPr>
              <w:pStyle w:val="Normal6"/>
              <w:rPr>
                <w:szCs w:val="24"/>
              </w:rPr>
            </w:pPr>
            <w:r w:rsidRPr="00A80DA9">
              <w:t>30)</w:t>
            </w:r>
            <w:r w:rsidRPr="00A80DA9">
              <w:tab/>
              <w:t xml:space="preserve">"midler: </w:t>
            </w:r>
            <w:r w:rsidRPr="00A80DA9">
              <w:rPr>
                <w:b/>
                <w:i/>
              </w:rPr>
              <w:t>pengesedler og mønter</w:t>
            </w:r>
            <w:r w:rsidRPr="00A80DA9">
              <w:t>, kontopenge og elektroniske penge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Det er for tidligt at medtage digital centralbankvaluta i forordningen om betalingstjenester, og det vil skabe unødvendig juridisk usikkerhed.</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Erik Poulsen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32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32)</w:t>
            </w:r>
            <w:r w:rsidRPr="00A80DA9">
              <w:tab/>
              <w:t xml:space="preserve">"referencekurs": den vekselkurs, der anvendes </w:t>
            </w:r>
            <w:r w:rsidRPr="00A80DA9">
              <w:rPr>
                <w:b/>
                <w:i/>
              </w:rPr>
              <w:t>som grundlag for beregningen af eventuelle valutaomregningsomkostninger, og som stilles til rådighed</w:t>
            </w:r>
            <w:r w:rsidRPr="00A80DA9">
              <w:t xml:space="preserve"> af betalingstjenesteudbyderen </w:t>
            </w:r>
            <w:r w:rsidRPr="00A80DA9">
              <w:rPr>
                <w:b/>
                <w:i/>
              </w:rPr>
              <w:t>eller stammer fra en offentligt tilgængelig kilde</w:t>
            </w:r>
          </w:p>
        </w:tc>
        <w:tc>
          <w:tcPr>
            <w:tcW w:w="4876" w:type="dxa"/>
            <w:hideMark/>
          </w:tcPr>
          <w:p w:rsidR="0047667D" w:rsidRPr="00A80DA9" w:rsidRDefault="008507C9">
            <w:pPr>
              <w:pStyle w:val="Normal6"/>
              <w:rPr>
                <w:szCs w:val="24"/>
              </w:rPr>
            </w:pPr>
            <w:r w:rsidRPr="00A80DA9">
              <w:t>32)</w:t>
            </w:r>
            <w:r w:rsidRPr="00A80DA9">
              <w:tab/>
              <w:t xml:space="preserve">"referencekurs": den vekselkurs, der anvendes af betalingstjenesteudbyderen </w:t>
            </w:r>
            <w:r w:rsidRPr="00A80DA9">
              <w:rPr>
                <w:b/>
                <w:i/>
              </w:rPr>
              <w:t>til en valutaomregning og sammenlignes med midtmarkedskursen med henblik på at beregne omkostningerne ved valutaomregningen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Udbydere af midtmarkedskurser bør være neutrale og råde over en vis volumen, have indført en troværdig forvaltningsstruktur og tage udgangspunkt i regnskabssystemet hos de udbydere, de medtager i deres samling af kurser.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Erik Poulsen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32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32a)</w:t>
            </w:r>
            <w:r w:rsidRPr="00A80DA9">
              <w:rPr>
                <w:b/>
                <w:i/>
              </w:rPr>
              <w:tab/>
              <w:t>"midtmarkedskurs": den vekselkurs, der anvendes som grundlag for sammenligningen med vekselkursen til beregning af valutaomregningsomkostninger, og som aggregeres af neutrale og troværdige udbydere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Udbydere af midtmarkedskurser bør være neutrale og råde over en vis volumen, have indført en troværdig forvaltningsstruktur og tage udgangspunkt i regnskabssystemet hos de udbydere, de medtager i deres samling af kurser.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35</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35)</w:t>
            </w:r>
            <w:r w:rsidRPr="00A80DA9">
              <w:tab/>
              <w:t xml:space="preserve">"stærk kundeautentifikation": en autentifikation baseret på anvendelse af to eller flere elementer, der kategoriseres som viden (noget, som kun brugeren ved), besiddelse (noget, som kun brugeren besidder) </w:t>
            </w:r>
            <w:r w:rsidRPr="00A80DA9">
              <w:rPr>
                <w:b/>
                <w:i/>
              </w:rPr>
              <w:t>og</w:t>
            </w:r>
            <w:r w:rsidRPr="00A80DA9">
              <w:t xml:space="preserve"> iboende egenskab (noget, som brugeren er), og som er uafhængige, idet brud på et af dem ikke svækker de andres pålidelighed, og som desuden er udformet på en måde, der beskytter fortroligheden af autentifikationsdataene</w:t>
            </w:r>
          </w:p>
        </w:tc>
        <w:tc>
          <w:tcPr>
            <w:tcW w:w="4876" w:type="dxa"/>
            <w:hideMark/>
          </w:tcPr>
          <w:p w:rsidR="0047667D" w:rsidRPr="00A80DA9" w:rsidRDefault="008507C9">
            <w:pPr>
              <w:pStyle w:val="Normal6"/>
              <w:rPr>
                <w:szCs w:val="24"/>
              </w:rPr>
            </w:pPr>
            <w:r w:rsidRPr="00A80DA9">
              <w:t>35)</w:t>
            </w:r>
            <w:r w:rsidRPr="00A80DA9">
              <w:tab/>
              <w:t>"stærk kundeautentifikation": en autentifikation baseret på anvendelse af to eller flere elementer, der kategoriseres som viden (noget, som kun brugeren ved), besiddelse (noget, som kun brugeren besidder)</w:t>
            </w:r>
            <w:r w:rsidRPr="00A80DA9">
              <w:rPr>
                <w:b/>
                <w:i/>
              </w:rPr>
              <w:t>,</w:t>
            </w:r>
            <w:r w:rsidRPr="00A80DA9">
              <w:t xml:space="preserve"> iboende egenskab (noget, som brugeren er) </w:t>
            </w:r>
            <w:r w:rsidRPr="00A80DA9">
              <w:rPr>
                <w:b/>
                <w:i/>
              </w:rPr>
              <w:t>og adfærd (måden, brugeren opfører sig på)</w:t>
            </w:r>
            <w:r w:rsidRPr="00A80DA9">
              <w:t>, og som er uafhængige, idet brud på et af dem ikke svækker de andres pålidelighed, og som desuden er udformet på en måde, der beskytter fortroligheden af autentifikationsdataene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36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rsidP="00796D98">
            <w:pPr>
              <w:pStyle w:val="Normal6"/>
              <w:rPr>
                <w:szCs w:val="24"/>
              </w:rPr>
            </w:pPr>
            <w:r w:rsidRPr="00A80DA9">
              <w:rPr>
                <w:b/>
                <w:i/>
              </w:rPr>
              <w:t>36a)</w:t>
            </w:r>
            <w:r w:rsidRPr="00A80DA9">
              <w:rPr>
                <w:b/>
                <w:i/>
              </w:rPr>
              <w:tab/>
              <w:t xml:space="preserve"> "udbyder af elektroniske tegnebøger": en udbyder, der tilbyder forbrugerne en applikation til forvaltning af en eller flere betalingstjenester inden for én enkelt applikation uden på noget tidspunkt at være i besiddelse af de midler, der skal overføres</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36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36a)</w:t>
            </w:r>
            <w:r w:rsidRPr="00A80DA9">
              <w:rPr>
                <w:b/>
                <w:i/>
              </w:rPr>
              <w:tab/>
              <w:t>"udbyder af elektroniske tegnebøger": en udbyder, der tilbyder forbrugerne en applikation til forvaltning af en eller flere betalingstjenester inden for én enkelt applikation uden på noget tidspunkt at være i besiddelse af de midler, der skal overføres</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Forordningen bør også fremtidssikres ved at tage behørigt hensyn til den rolle, som udbydere af elektroniske tegnebøger (dvs. "pass-through"-tegnebøger, hvor udbyderne på intet tidspunkt er i besiddelse af midlerne) såsom Apple Pay, Google Pay og Samsung Pay spiller. Udbydere af elektroniske tegnebøger betragtes indtil videre som udbydere af tekniske tjenesteydelser og ligger dermed uden for anvendelsesområdet for forordningen om betalingstjenester.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39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39)</w:t>
            </w:r>
            <w:r w:rsidRPr="00A80DA9">
              <w:tab/>
              <w:t>"entydig identifikationskode": en kombination af bogstaver, tal eller symboler, som betalingstjenesteudbyderen oplyser til betalingstjenestebrugeren, og som betalingstjenestebrugeren skal angive for utvetydigt at identificere en anden betalingstjenestebruger eller dennes betalingskonto med henblik på en betalingstransaktion</w:t>
            </w:r>
          </w:p>
        </w:tc>
        <w:tc>
          <w:tcPr>
            <w:tcW w:w="4876" w:type="dxa"/>
            <w:hideMark/>
          </w:tcPr>
          <w:p w:rsidR="0047667D" w:rsidRPr="00A80DA9" w:rsidRDefault="008507C9">
            <w:pPr>
              <w:pStyle w:val="Normal6"/>
              <w:rPr>
                <w:szCs w:val="24"/>
              </w:rPr>
            </w:pPr>
            <w:r w:rsidRPr="00A80DA9">
              <w:t>39)</w:t>
            </w:r>
            <w:r w:rsidRPr="00A80DA9">
              <w:tab/>
              <w:t xml:space="preserve">"entydig identifikationskode": en kombination af bogstaver, tal eller symboler, som betalingstjenesteudbyderen </w:t>
            </w:r>
            <w:r w:rsidRPr="00A80DA9">
              <w:rPr>
                <w:b/>
                <w:i/>
              </w:rPr>
              <w:t>eller en proxy, der er entydigt knyttet til denne,</w:t>
            </w:r>
            <w:r w:rsidRPr="00A80DA9">
              <w:t xml:space="preserve"> oplyser til betalingstjenestebrugeren, og som betalingstjenestebrugeren skal angive for utvetydigt at identificere en anden betalingstjenestebruger eller dennes betalingskonto med henblik på en betalingstransaktion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39</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39)</w:t>
            </w:r>
            <w:r w:rsidRPr="00A80DA9">
              <w:tab/>
              <w:t>"entydig identifikationskode": en kombination af bogstaver, tal eller symboler, som betalingstjenesteudbyderen oplyser til betalingstjenestebrugeren, og som betalingstjenestebrugeren skal angive for utvetydigt at identificere en anden betalingstjenestebruger eller dennes betalingskonto med henblik på en betalingstransaktion</w:t>
            </w:r>
          </w:p>
        </w:tc>
        <w:tc>
          <w:tcPr>
            <w:tcW w:w="4876" w:type="dxa"/>
            <w:hideMark/>
          </w:tcPr>
          <w:p w:rsidR="0047667D" w:rsidRPr="00A80DA9" w:rsidRDefault="008507C9">
            <w:pPr>
              <w:pStyle w:val="Normal6"/>
              <w:rPr>
                <w:szCs w:val="24"/>
              </w:rPr>
            </w:pPr>
            <w:r w:rsidRPr="00A80DA9">
              <w:t>39)</w:t>
            </w:r>
            <w:r w:rsidRPr="00A80DA9">
              <w:tab/>
              <w:t xml:space="preserve">"entydig identifikationskode": en kombination af bogstaver, tal eller symboler, som betalingstjenesteudbyderen </w:t>
            </w:r>
            <w:r w:rsidRPr="00A80DA9">
              <w:rPr>
                <w:b/>
                <w:i/>
              </w:rPr>
              <w:t>eller en proxy, der er entydigt knyttet til denne,</w:t>
            </w:r>
            <w:r w:rsidRPr="00A80DA9">
              <w:t xml:space="preserve"> oplyser til betalingstjenestebrugeren, og som betalingstjenestebrugeren skal angive for utvetydigt at identificere en anden betalingstjenestebruger eller dennes betalingskonto med henblik på en betalingstransaktion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46</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46)</w:t>
            </w:r>
            <w:r w:rsidRPr="00A80DA9">
              <w:tab/>
              <w:t>"koncern": en gruppe virksomheder, der har en indbyrdes forbindelse som omhandlet i artikel 22, stk. 1, nr. 2) eller 7), i Europa-Parlamentets og Rådets direktiv 2013/34/EU</w:t>
            </w:r>
            <w:r w:rsidRPr="00A80DA9">
              <w:rPr>
                <w:vertAlign w:val="superscript"/>
              </w:rPr>
              <w:t>63</w:t>
            </w:r>
            <w:r w:rsidRPr="00A80DA9">
              <w:t>, eller virksomheder som omhandlet i artikel 4, 5, 6 og 7 i Kommissionens delegerede forordning (EU) nr. 241/2014</w:t>
            </w:r>
            <w:r w:rsidRPr="00A80DA9">
              <w:rPr>
                <w:vertAlign w:val="superscript"/>
              </w:rPr>
              <w:t>64</w:t>
            </w:r>
            <w:r w:rsidRPr="00A80DA9">
              <w:t>, der har en indbyrdes forbindelse som omhandlet i artikel 10, stk. 1, eller artikel 113, stk. 6, første afsnit, eller artikel 113, stk. 7, første afsnit, i forordning (EU) nr. 575/2013</w:t>
            </w:r>
          </w:p>
        </w:tc>
        <w:tc>
          <w:tcPr>
            <w:tcW w:w="4876" w:type="dxa"/>
            <w:hideMark/>
          </w:tcPr>
          <w:p w:rsidR="0047667D" w:rsidRPr="00A80DA9" w:rsidRDefault="008507C9">
            <w:pPr>
              <w:pStyle w:val="Normal6"/>
              <w:rPr>
                <w:szCs w:val="24"/>
              </w:rPr>
            </w:pPr>
            <w:r w:rsidRPr="00A80DA9">
              <w:t>46)</w:t>
            </w:r>
            <w:r w:rsidRPr="00A80DA9">
              <w:tab/>
            </w:r>
            <w:r w:rsidRPr="00A80DA9">
              <w:rPr>
                <w:i/>
                <w:iCs/>
              </w:rPr>
              <w:t>(Vedrører ikke den danske tekst)</w:t>
            </w:r>
          </w:p>
        </w:tc>
      </w:tr>
      <w:tr w:rsidR="00285AB2" w:rsidRPr="00A80DA9" w:rsidTr="0047667D">
        <w:trPr>
          <w:jc w:val="center"/>
        </w:trPr>
        <w:tc>
          <w:tcPr>
            <w:tcW w:w="4876" w:type="dxa"/>
            <w:hideMark/>
          </w:tcPr>
          <w:p w:rsidR="0047667D" w:rsidRPr="00A80DA9" w:rsidRDefault="008507C9">
            <w:pPr>
              <w:pStyle w:val="Normal6"/>
            </w:pPr>
            <w:r w:rsidRPr="00A80DA9">
              <w:t>__________________</w:t>
            </w:r>
          </w:p>
        </w:tc>
        <w:tc>
          <w:tcPr>
            <w:tcW w:w="4876" w:type="dxa"/>
            <w:hideMark/>
          </w:tcPr>
          <w:p w:rsidR="0047667D" w:rsidRPr="00A80DA9" w:rsidRDefault="008507C9">
            <w:pPr>
              <w:pStyle w:val="Normal6"/>
              <w:rPr>
                <w:szCs w:val="24"/>
              </w:rPr>
            </w:pPr>
            <w:r w:rsidRPr="00A80DA9">
              <w:t>__________________</w:t>
            </w:r>
          </w:p>
        </w:tc>
      </w:tr>
      <w:tr w:rsidR="00285AB2" w:rsidRPr="00A80DA9" w:rsidTr="0047667D">
        <w:trPr>
          <w:jc w:val="center"/>
        </w:trPr>
        <w:tc>
          <w:tcPr>
            <w:tcW w:w="4876" w:type="dxa"/>
            <w:hideMark/>
          </w:tcPr>
          <w:p w:rsidR="0047667D" w:rsidRPr="00A80DA9" w:rsidRDefault="008507C9">
            <w:pPr>
              <w:pStyle w:val="Normal6"/>
            </w:pPr>
            <w:r w:rsidRPr="00A80DA9">
              <w:rPr>
                <w:vertAlign w:val="superscript"/>
              </w:rPr>
              <w:t>63</w:t>
            </w:r>
            <w:r w:rsidRPr="00A80DA9">
              <w:t xml:space="preserve"> 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19).</w:t>
            </w:r>
          </w:p>
        </w:tc>
        <w:tc>
          <w:tcPr>
            <w:tcW w:w="4876" w:type="dxa"/>
            <w:hideMark/>
          </w:tcPr>
          <w:p w:rsidR="0047667D" w:rsidRPr="00A80DA9" w:rsidRDefault="008507C9">
            <w:pPr>
              <w:pStyle w:val="Normal6"/>
              <w:rPr>
                <w:szCs w:val="24"/>
              </w:rPr>
            </w:pPr>
            <w:r w:rsidRPr="00A80DA9">
              <w:t xml:space="preserve"> </w:t>
            </w:r>
          </w:p>
        </w:tc>
      </w:tr>
      <w:tr w:rsidR="00285AB2" w:rsidRPr="00A80DA9" w:rsidTr="0047667D">
        <w:trPr>
          <w:jc w:val="center"/>
        </w:trPr>
        <w:tc>
          <w:tcPr>
            <w:tcW w:w="4876" w:type="dxa"/>
            <w:hideMark/>
          </w:tcPr>
          <w:p w:rsidR="0047667D" w:rsidRPr="00A80DA9" w:rsidRDefault="008507C9">
            <w:pPr>
              <w:pStyle w:val="Normal6"/>
            </w:pPr>
            <w:r w:rsidRPr="00A80DA9">
              <w:rPr>
                <w:vertAlign w:val="superscript"/>
              </w:rPr>
              <w:t>64</w:t>
            </w:r>
            <w:r w:rsidRPr="00A80DA9">
              <w:t xml:space="preserve"> Kommissionens delegerede forordning (EU) nr. 241/2014 af 7. januar 2014 om udbygning af Europa-Parlamentets og Rådets forordning (EU) nr. 575/2013, for så vidt angår reguleringsmæssige tekniske standarder for kapitalgrundlagskrav for institutter (EUT L 74 af 14.3.2014, s. 8).</w:t>
            </w:r>
          </w:p>
        </w:tc>
        <w:tc>
          <w:tcPr>
            <w:tcW w:w="4876" w:type="dxa"/>
            <w:hideMark/>
          </w:tcPr>
          <w:p w:rsidR="0047667D" w:rsidRPr="00A80DA9" w:rsidRDefault="008507C9">
            <w:pPr>
              <w:pStyle w:val="Normal6"/>
              <w:rPr>
                <w:szCs w:val="24"/>
              </w:rPr>
            </w:pPr>
            <w:r w:rsidRPr="00A80DA9">
              <w:t xml:space="preserve"> </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(Vedrører ikke den danske tekst)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51)</w:t>
            </w:r>
            <w:r w:rsidRPr="00A80DA9">
              <w:tab/>
              <w:t>"distributør": en fysisk eller juridisk person, der distribuerer eller indløser elektroniske penge på vegne af et betalingsinstitut</w:t>
            </w:r>
          </w:p>
        </w:tc>
        <w:tc>
          <w:tcPr>
            <w:tcW w:w="4876" w:type="dxa"/>
            <w:hideMark/>
          </w:tcPr>
          <w:p w:rsidR="0047667D" w:rsidRPr="00A80DA9" w:rsidRDefault="008507C9">
            <w:pPr>
              <w:pStyle w:val="Normal6"/>
              <w:rPr>
                <w:szCs w:val="24"/>
              </w:rPr>
            </w:pPr>
            <w:r w:rsidRPr="00A80DA9">
              <w:t>51)</w:t>
            </w:r>
            <w:r w:rsidRPr="00A80DA9">
              <w:tab/>
              <w:t xml:space="preserve">"distributør": en fysisk eller juridisk person, der distribuerer eller indløser elektroniske penge på vegne af </w:t>
            </w:r>
            <w:r w:rsidRPr="00A80DA9">
              <w:rPr>
                <w:b/>
                <w:i/>
              </w:rPr>
              <w:t>og er hyret af</w:t>
            </w:r>
            <w:r w:rsidRPr="00A80DA9">
              <w:t xml:space="preserve"> et betalingsinstitut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189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52)</w:t>
            </w:r>
            <w:r w:rsidRPr="00A80DA9">
              <w:tab/>
              <w:t>"elektroniske pengetjenester": udstedelse af elektroniske penge</w:t>
            </w:r>
            <w:r w:rsidRPr="00A80DA9">
              <w:rPr>
                <w:b/>
                <w:i/>
              </w:rPr>
              <w:t>, forvaltning af betalingskonti til opbevaring af elektroniske pengeenheder og overførsel af elektroniske pengeenheder</w:t>
            </w:r>
          </w:p>
        </w:tc>
        <w:tc>
          <w:tcPr>
            <w:tcW w:w="4876" w:type="dxa"/>
            <w:hideMark/>
          </w:tcPr>
          <w:p w:rsidR="0047667D" w:rsidRPr="00A80DA9" w:rsidRDefault="008507C9">
            <w:pPr>
              <w:pStyle w:val="Normal6"/>
              <w:rPr>
                <w:szCs w:val="24"/>
              </w:rPr>
            </w:pPr>
            <w:r w:rsidRPr="00A80DA9">
              <w:t>52)</w:t>
            </w:r>
            <w:r w:rsidRPr="00A80DA9">
              <w:tab/>
              <w:t>"elektroniske pengetjenester": udstedelse af elektroniske penge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52)</w:t>
            </w:r>
            <w:r w:rsidRPr="00A80DA9">
              <w:tab/>
              <w:t>"elektroniske pengetjenester": udstedelse af elektroniske penge</w:t>
            </w:r>
            <w:r w:rsidRPr="00A80DA9">
              <w:rPr>
                <w:b/>
                <w:i/>
              </w:rPr>
              <w:t>, forvaltning af betalingskonti til opbevaring af elektroniske pengeenheder og overførsel af elektroniske pengeenheder</w:t>
            </w:r>
          </w:p>
        </w:tc>
        <w:tc>
          <w:tcPr>
            <w:tcW w:w="4876" w:type="dxa"/>
            <w:hideMark/>
          </w:tcPr>
          <w:p w:rsidR="0047667D" w:rsidRPr="00A80DA9" w:rsidRDefault="008507C9">
            <w:pPr>
              <w:pStyle w:val="Normal6"/>
              <w:rPr>
                <w:szCs w:val="24"/>
              </w:rPr>
            </w:pPr>
            <w:r w:rsidRPr="00A80DA9">
              <w:t>52)</w:t>
            </w:r>
            <w:r w:rsidRPr="00A80DA9">
              <w:tab/>
              <w:t>"elektroniske pengetjenester": udstedelse af elektroniske penge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52)</w:t>
            </w:r>
            <w:r w:rsidRPr="00A80DA9">
              <w:tab/>
              <w:t xml:space="preserve">"elektroniske pengetjenester": udstedelse af elektroniske </w:t>
            </w:r>
            <w:r w:rsidRPr="00A80DA9">
              <w:rPr>
                <w:b/>
                <w:bCs/>
                <w:i/>
                <w:iCs/>
              </w:rPr>
              <w:t>penge</w:t>
            </w:r>
            <w:r w:rsidRPr="00A80DA9">
              <w:t>, forvaltning af betalingskonti til opbevaring af elektroniske pengeenheder og overførsel af elektroniske pengeenheder</w:t>
            </w:r>
          </w:p>
        </w:tc>
        <w:tc>
          <w:tcPr>
            <w:tcW w:w="4876" w:type="dxa"/>
            <w:hideMark/>
          </w:tcPr>
          <w:p w:rsidR="0047667D" w:rsidRPr="00A80DA9" w:rsidRDefault="008507C9">
            <w:pPr>
              <w:pStyle w:val="Normal6"/>
              <w:rPr>
                <w:szCs w:val="24"/>
              </w:rPr>
            </w:pPr>
            <w:r w:rsidRPr="00A80DA9">
              <w:t>52)</w:t>
            </w:r>
            <w:r w:rsidRPr="00A80DA9">
              <w:tab/>
              <w:t xml:space="preserve">"elektroniske pengetjenester": udstedelse af elektroniske </w:t>
            </w:r>
            <w:r w:rsidRPr="00A80DA9">
              <w:rPr>
                <w:b/>
                <w:i/>
              </w:rPr>
              <w:t>pengetokens</w:t>
            </w:r>
            <w:r w:rsidRPr="00A80DA9">
              <w:t>, forvaltning af betalingskonti til opbevaring af elektroniske pengeenheder og overførsel af elektroniske pengeenheder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53)</w:t>
            </w:r>
            <w:r w:rsidRPr="00A80DA9">
              <w:tab/>
              <w:t>"firmanavn": det navn, som betalingsmodtageren sædvanligvis bruger til at identificere sig selv over for betaleren</w:t>
            </w:r>
          </w:p>
        </w:tc>
        <w:tc>
          <w:tcPr>
            <w:tcW w:w="4876" w:type="dxa"/>
            <w:hideMark/>
          </w:tcPr>
          <w:p w:rsidR="0047667D" w:rsidRPr="00A80DA9" w:rsidRDefault="008507C9">
            <w:pPr>
              <w:pStyle w:val="Normal6"/>
              <w:rPr>
                <w:szCs w:val="24"/>
              </w:rPr>
            </w:pPr>
            <w:r w:rsidRPr="00A80DA9">
              <w:t>53)</w:t>
            </w:r>
            <w:r w:rsidRPr="00A80DA9">
              <w:tab/>
              <w:t xml:space="preserve">"firmanavn": det navn, som betalingsmodtageren sædvanligvis bruger </w:t>
            </w:r>
            <w:r w:rsidRPr="00A80DA9">
              <w:rPr>
                <w:b/>
                <w:i/>
              </w:rPr>
              <w:t>i sin virksomheds handels- og markedsføringspraksis</w:t>
            </w:r>
            <w:r w:rsidRPr="00A80DA9">
              <w:t xml:space="preserve"> til at identificere sig selv over for betaleren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53)</w:t>
            </w:r>
            <w:r w:rsidRPr="00A80DA9">
              <w:tab/>
              <w:t>"firmanavn": det navn, som betalingsmodtageren sædvanligvis bruger til at identificere sig selv over for betaleren</w:t>
            </w:r>
          </w:p>
        </w:tc>
        <w:tc>
          <w:tcPr>
            <w:tcW w:w="4876" w:type="dxa"/>
            <w:hideMark/>
          </w:tcPr>
          <w:p w:rsidR="0047667D" w:rsidRPr="00A80DA9" w:rsidRDefault="008507C9">
            <w:pPr>
              <w:pStyle w:val="Normal6"/>
              <w:rPr>
                <w:szCs w:val="24"/>
              </w:rPr>
            </w:pPr>
            <w:r w:rsidRPr="00A80DA9">
              <w:t>53)</w:t>
            </w:r>
            <w:r w:rsidRPr="00A80DA9">
              <w:tab/>
              <w:t xml:space="preserve">"firmanavn": det navn, som betalingsmodtageren sædvanligvis bruger </w:t>
            </w:r>
            <w:r w:rsidRPr="00A80DA9">
              <w:rPr>
                <w:b/>
                <w:i/>
              </w:rPr>
              <w:t>i sin virksomheds handels- og markedsføringspraksis</w:t>
            </w:r>
            <w:r w:rsidRPr="00A80DA9">
              <w:t xml:space="preserve"> til at identificere sig selv over for betaleren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Definitionen af "firmanavn" bør præcisere, at det er det navn, som betalingsmodtageren normalt anvender i sin handel med og markedsføring over for kunderne, frem for det navn, der normalt anvendes i betalingsprocessen, som indtil videre ofte stadig er navnet på den juridiske enhed.</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54)</w:t>
            </w:r>
            <w:r w:rsidRPr="00A80DA9">
              <w:tab/>
              <w:t xml:space="preserve">"pengeautomattjenesteudbyder": operatører af pengeautomater, som ikke </w:t>
            </w:r>
            <w:r w:rsidRPr="00A80DA9">
              <w:rPr>
                <w:b/>
                <w:i/>
              </w:rPr>
              <w:t>håndterer</w:t>
            </w:r>
            <w:r w:rsidRPr="00A80DA9">
              <w:t xml:space="preserve"> betalingskonti</w:t>
            </w:r>
            <w:r w:rsidRPr="00A80DA9">
              <w:rPr>
                <w:b/>
                <w:bCs/>
                <w:i/>
                <w:iCs/>
              </w:rPr>
              <w:t>.</w:t>
            </w:r>
          </w:p>
        </w:tc>
        <w:tc>
          <w:tcPr>
            <w:tcW w:w="4876" w:type="dxa"/>
            <w:hideMark/>
          </w:tcPr>
          <w:p w:rsidR="0047667D" w:rsidRPr="00A80DA9" w:rsidRDefault="008507C9">
            <w:pPr>
              <w:pStyle w:val="Normal6"/>
              <w:rPr>
                <w:szCs w:val="24"/>
              </w:rPr>
            </w:pPr>
            <w:r w:rsidRPr="00A80DA9">
              <w:t>54)</w:t>
            </w:r>
            <w:r w:rsidRPr="00A80DA9">
              <w:tab/>
              <w:t xml:space="preserve">"pengeautomattjenesteudbyder": operatører af pengeautomater, som ikke </w:t>
            </w:r>
            <w:r w:rsidRPr="00A80DA9">
              <w:rPr>
                <w:b/>
                <w:i/>
              </w:rPr>
              <w:t>råder over</w:t>
            </w:r>
            <w:r w:rsidRPr="00A80DA9">
              <w:t xml:space="preserve"> betalingskonti</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55</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55)</w:t>
            </w:r>
            <w:r w:rsidRPr="00A80DA9">
              <w:tab/>
              <w:t xml:space="preserve">"betalingsinstitut, der udbyder elektroniske pengetjenester": et betalingsinstitut, der leverer tjenester i form af udstedelse af elektroniske </w:t>
            </w:r>
            <w:r w:rsidRPr="00A80DA9">
              <w:rPr>
                <w:b/>
                <w:bCs/>
                <w:i/>
                <w:iCs/>
              </w:rPr>
              <w:t>penge</w:t>
            </w:r>
            <w:r w:rsidRPr="00A80DA9">
              <w:t>, forvaltning af betalingskonti til opbevaring af elektroniske pengeenheder og overførsel af elektroniske pengeenheder, uanset om det også leverer nogen af de tjenester, der er omhandlet i bilag I.</w:t>
            </w:r>
          </w:p>
        </w:tc>
        <w:tc>
          <w:tcPr>
            <w:tcW w:w="4876" w:type="dxa"/>
            <w:hideMark/>
          </w:tcPr>
          <w:p w:rsidR="0047667D" w:rsidRPr="00A80DA9" w:rsidRDefault="008507C9">
            <w:pPr>
              <w:pStyle w:val="Normal6"/>
              <w:rPr>
                <w:szCs w:val="24"/>
              </w:rPr>
            </w:pPr>
            <w:r w:rsidRPr="00A80DA9">
              <w:t>55)</w:t>
            </w:r>
            <w:r w:rsidRPr="00A80DA9">
              <w:tab/>
              <w:t xml:space="preserve">"betalingsinstitut, der udbyder elektroniske pengetjenester": et betalingsinstitut, der leverer tjenester i form af udstedelse af elektroniske </w:t>
            </w:r>
            <w:r w:rsidRPr="00A80DA9">
              <w:rPr>
                <w:b/>
                <w:i/>
              </w:rPr>
              <w:t>pengetokens</w:t>
            </w:r>
            <w:r w:rsidRPr="00A80DA9">
              <w:t>, forvaltning af betalingskonti til opbevaring af elektroniske pengeenheder og overførsel af elektroniske pengeenheder, uanset om det også leverer nogen af de tjenester, der er omhandlet i bilag I.</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Billy Kelleher, Gilles Boyer</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55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55a)</w:t>
            </w:r>
            <w:r w:rsidRPr="00A80DA9">
              <w:rPr>
                <w:b/>
                <w:i/>
              </w:rPr>
              <w:tab/>
              <w:t>"udbyder af elektroniske kommunikationstjenester": enhver udbyder, der hører under anvendelsesområdet for:</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a) direktiv EU) 2018/1972 (europæisk kodeks for elektronisk kommunikation) eller</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b) forordning (EU) 2022/1925 (forordningen om digitale markeder).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55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rsidP="00796D98">
            <w:pPr>
              <w:pStyle w:val="Normal6"/>
              <w:rPr>
                <w:szCs w:val="24"/>
              </w:rPr>
            </w:pPr>
            <w:r w:rsidRPr="00A80DA9">
              <w:rPr>
                <w:b/>
                <w:i/>
              </w:rPr>
              <w:t>55a)</w:t>
            </w:r>
            <w:r w:rsidRPr="00A80DA9">
              <w:rPr>
                <w:b/>
                <w:i/>
              </w:rPr>
              <w:tab/>
              <w:t>"udbyder af elektroniske kommunikationstjenester": enhver udbyder, der hører under anvendelsesområdet for:</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a) direktiv (EU) 2018/1972 (europæisk kodeks for elektronisk kommunikation)</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b) forordning (EU) 2022/1925 (forordningen om digitale markeder).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 – stk. 1 – nr. 55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55a)</w:t>
            </w:r>
            <w:r w:rsidRPr="00A80DA9">
              <w:rPr>
                <w:b/>
                <w:i/>
              </w:rPr>
              <w:tab/>
              <w:t>"tilladelse": samtykke, som en betaler giver til sin betalingstjenesteudbyder til gennemførelse af en betalingstransaktion via den aftalte procedure og formular.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199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Medlemsstaterne kan anvende dette afsnit på mikrovirksomheder på samme måde som på forbrugere.</w:t>
            </w:r>
          </w:p>
        </w:tc>
        <w:tc>
          <w:tcPr>
            <w:tcW w:w="4876" w:type="dxa"/>
            <w:hideMark/>
          </w:tcPr>
          <w:p w:rsidR="0047667D" w:rsidRPr="00A80DA9" w:rsidRDefault="008507C9">
            <w:pPr>
              <w:pStyle w:val="Normal6"/>
              <w:rPr>
                <w:szCs w:val="24"/>
              </w:rPr>
            </w:pPr>
            <w:r w:rsidRPr="00A80DA9">
              <w:t>2.</w:t>
            </w:r>
            <w:r w:rsidRPr="00A80DA9">
              <w:tab/>
              <w:t xml:space="preserve">Medlemsstaterne kan anvende dette afsnit på </w:t>
            </w:r>
            <w:r w:rsidRPr="00A80DA9">
              <w:rPr>
                <w:b/>
                <w:i/>
              </w:rPr>
              <w:t>små og mellemstore virksomheder samt</w:t>
            </w:r>
            <w:r w:rsidRPr="00A80DA9">
              <w:t xml:space="preserve"> mikrovirksomheder på samme måde som på forbrugere.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5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Hvis der tilbydes en valutaomregningstjeneste, før betalingstransaktionen initieres, og hvis denne valutaomregningstjeneste tilbydes på en pengeautomat, på salgsstedet eller af betalingsmodtageren, skal den part, der tilbyder valutaomregningstjenesten til betaleren, give denne alle oplysninger om gebyrer og om den vekselkurs, der anvendes ved valutaomregningen.</w:t>
            </w:r>
          </w:p>
        </w:tc>
        <w:tc>
          <w:tcPr>
            <w:tcW w:w="4876" w:type="dxa"/>
            <w:hideMark/>
          </w:tcPr>
          <w:p w:rsidR="0047667D" w:rsidRPr="00A80DA9" w:rsidRDefault="008507C9">
            <w:pPr>
              <w:pStyle w:val="Normal6"/>
              <w:rPr>
                <w:szCs w:val="24"/>
              </w:rPr>
            </w:pPr>
            <w:r w:rsidRPr="00A80DA9">
              <w:t>2.</w:t>
            </w:r>
            <w:r w:rsidRPr="00A80DA9">
              <w:tab/>
              <w:t>Hvis der tilbydes en valutaomregningstjeneste, før betalingstransaktionen initieres, og hvis denne valutaomregningstjeneste tilbydes på en pengeautomat, på salgsstedet eller af betalingsmodtageren, skal den part, der tilbyder valutaomregningstjenesten til betaleren, give denne alle oplysninger om gebyrer og om den vekselkurs, der anvendes ved valutaomregningen</w:t>
            </w:r>
            <w:r w:rsidRPr="00A80DA9">
              <w:rPr>
                <w:b/>
                <w:i/>
              </w:rPr>
              <w:t>, herunder oplysninger om enhver avance over den senest gældende valutakurs udsendt af den relevante centralbank på en fremtrædende og gennemsigtig måde</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Oplysninger om vekselkursen ved hæveautomater skal være gennemsigtige hvad angår avancen på referencekursen i lighed med de oplysninger, der gives ved kreditoverførsler og pengeoverførsler.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5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Hvis der tilbydes en valutaomregningstjeneste, før betalingstransaktionen initieres, og hvis denne valutaomregningstjeneste tilbydes på en pengeautomat, på salgsstedet eller af betalingsmodtageren, skal den part, der tilbyder valutaomregningstjenesten til betaleren, give denne alle oplysninger om gebyrer og om den vekselkurs, der anvendes ved valutaomregningen.</w:t>
            </w:r>
          </w:p>
        </w:tc>
        <w:tc>
          <w:tcPr>
            <w:tcW w:w="4876" w:type="dxa"/>
            <w:hideMark/>
          </w:tcPr>
          <w:p w:rsidR="0047667D" w:rsidRPr="00A80DA9" w:rsidRDefault="008507C9">
            <w:pPr>
              <w:pStyle w:val="Normal6"/>
              <w:rPr>
                <w:szCs w:val="24"/>
              </w:rPr>
            </w:pPr>
            <w:r w:rsidRPr="00A80DA9">
              <w:t>2.</w:t>
            </w:r>
            <w:r w:rsidRPr="00A80DA9">
              <w:tab/>
              <w:t>Hvis der tilbydes en valutaomregningstjeneste, før betalingstransaktionen initieres, og hvis denne valutaomregningstjeneste tilbydes på en pengeautomat, på salgsstedet eller af betalingsmodtageren, skal den part, der tilbyder valutaomregningstjenesten til betaleren, give denne alle oplysninger om gebyrer og om den vekselkurs, der anvendes ved valutaomregningen</w:t>
            </w:r>
            <w:r w:rsidRPr="00A80DA9">
              <w:rPr>
                <w:b/>
                <w:i/>
              </w:rPr>
              <w:t>, herunder oplysninger om enhver avance over den senest gældende valutakurs udsendt af den relevante centralbank på en fremtrædende og gennemsigtig måde</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Erik Poulsen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5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Hvis der tilbydes en valutaomregningstjeneste, før betalingstransaktionen initieres, og hvis denne valutaomregningstjeneste tilbydes på en pengeautomat, på salgsstedet eller af betalingsmodtageren, skal den part, der tilbyder valutaomregningstjenesten til betaleren, give denne alle oplysninger om gebyrer og om den vekselkurs, der anvendes ved valutaomregningen.</w:t>
            </w:r>
          </w:p>
        </w:tc>
        <w:tc>
          <w:tcPr>
            <w:tcW w:w="4876" w:type="dxa"/>
            <w:hideMark/>
          </w:tcPr>
          <w:p w:rsidR="0047667D" w:rsidRPr="00A80DA9" w:rsidRDefault="008507C9">
            <w:pPr>
              <w:pStyle w:val="Normal6"/>
              <w:rPr>
                <w:szCs w:val="24"/>
              </w:rPr>
            </w:pPr>
            <w:r w:rsidRPr="00A80DA9">
              <w:t>2.</w:t>
            </w:r>
            <w:r w:rsidRPr="00A80DA9">
              <w:tab/>
              <w:t>Hvis der tilbydes en valutaomregningstjeneste, før betalingstransaktionen initieres, og hvis denne valutaomregningstjeneste tilbydes på en pengeautomat, på salgsstedet eller af betalingsmodtageren, skal den part, der tilbyder valutaomregningstjenesten til betaleren, give denne alle oplysninger om gebyrer</w:t>
            </w:r>
            <w:r w:rsidRPr="00A80DA9">
              <w:rPr>
                <w:b/>
                <w:i/>
              </w:rPr>
              <w:t>, herunder alle avancer over den aggregerede midtmarkedskurs, som tilbydes af neutrale og troværdige udbydere,</w:t>
            </w:r>
            <w:r w:rsidRPr="00A80DA9">
              <w:t xml:space="preserve"> og om den vekselkurs, der anvendes ved valutaomregningen.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Transaktioner ved pengeautomater skal nyde godt af den samme grad af gennemsigtighed vedrørende gebyrer på valutaveksling som kreditoverførsler og pengeoverførsler for at sikre, at forbrugerne kender de faktiske omkostninger ved deres transaktioner, når der er tale om valutaomregning.</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5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Hvis der tilbydes en valutaomregningstjeneste, før betalingstransaktionen initieres, og hvis denne valutaomregningstjeneste tilbydes på en pengeautomat, på salgsstedet eller af betalingsmodtageren, skal den part, der tilbyder valutaomregningstjenesten til betaleren, give denne alle oplysninger om gebyrer og om den vekselkurs, der anvendes ved valutaomregningen.</w:t>
            </w:r>
          </w:p>
        </w:tc>
        <w:tc>
          <w:tcPr>
            <w:tcW w:w="4876" w:type="dxa"/>
            <w:hideMark/>
          </w:tcPr>
          <w:p w:rsidR="0047667D" w:rsidRPr="00A80DA9" w:rsidRDefault="008507C9">
            <w:pPr>
              <w:pStyle w:val="Normal6"/>
              <w:rPr>
                <w:szCs w:val="24"/>
              </w:rPr>
            </w:pPr>
            <w:r w:rsidRPr="00A80DA9">
              <w:t>2.</w:t>
            </w:r>
            <w:r w:rsidRPr="00A80DA9">
              <w:tab/>
              <w:t xml:space="preserve">Hvis der tilbydes en valutaomregningstjeneste, før betalingstransaktionen initieres, og hvis denne valutaomregningstjeneste tilbydes på en pengeautomat, på salgsstedet eller af betalingsmodtageren, skal den part, der tilbyder valutaomregningstjenesten til betaleren, give denne alle oplysninger om gebyrer og om den vekselkurs, der anvendes ved valutaomregningen </w:t>
            </w:r>
            <w:r w:rsidRPr="00A80DA9">
              <w:rPr>
                <w:b/>
                <w:i/>
              </w:rPr>
              <w:t>forud for betalerens godkendelse af betalingstransaktionen</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6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Hvis betalingsmodtageren opkræver gebyrer eller tilbyder en rabat for brugen af et givet betalingsinstrument, underretter betalingsmodtageren betaleren herom, før betalingstransaktionen initieres.</w:t>
            </w:r>
          </w:p>
        </w:tc>
        <w:tc>
          <w:tcPr>
            <w:tcW w:w="4876" w:type="dxa"/>
            <w:hideMark/>
          </w:tcPr>
          <w:p w:rsidR="0047667D" w:rsidRPr="00A80DA9" w:rsidRDefault="008507C9">
            <w:pPr>
              <w:pStyle w:val="Normal6"/>
              <w:rPr>
                <w:szCs w:val="24"/>
              </w:rPr>
            </w:pPr>
            <w:r w:rsidRPr="00A80DA9">
              <w:t>1.</w:t>
            </w:r>
            <w:r w:rsidRPr="00A80DA9">
              <w:tab/>
              <w:t xml:space="preserve">Hvis betalingsmodtageren opkræver gebyrer eller tilbyder en rabat for brugen af et givet betalingsinstrument, underretter betalingsmodtageren betaleren herom </w:t>
            </w:r>
            <w:r w:rsidRPr="00A80DA9">
              <w:rPr>
                <w:b/>
                <w:i/>
              </w:rPr>
              <w:t>i et klart, gennemsigtigt og tilgængeligt format</w:t>
            </w:r>
            <w:r w:rsidRPr="00A80DA9">
              <w:t>, før betalingstransaktionen initieres.</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6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Hvis betalingstjenesteudbyderen eller en anden part, der indgår i transaktionen, opkræver gebyr for brug af et givet betalingsinstrument, underretter betalingstjenesteudbyderen betalingstjenestebrugeren herom, før betalingstransaktionen initieres.</w:t>
            </w:r>
          </w:p>
        </w:tc>
        <w:tc>
          <w:tcPr>
            <w:tcW w:w="4876" w:type="dxa"/>
            <w:hideMark/>
          </w:tcPr>
          <w:p w:rsidR="0047667D" w:rsidRPr="00A80DA9" w:rsidRDefault="008507C9">
            <w:pPr>
              <w:pStyle w:val="Normal6"/>
              <w:rPr>
                <w:szCs w:val="24"/>
              </w:rPr>
            </w:pPr>
            <w:r w:rsidRPr="00A80DA9">
              <w:t>2.</w:t>
            </w:r>
            <w:r w:rsidRPr="00A80DA9">
              <w:tab/>
              <w:t xml:space="preserve">Hvis betalingstjenesteudbyderen eller en anden part, der indgår i transaktionen, opkræver gebyr for brug af et givet betalingsinstrument, underretter betalingstjenesteudbyderen betalingstjenestebrugeren herom </w:t>
            </w:r>
            <w:r w:rsidRPr="00A80DA9">
              <w:rPr>
                <w:b/>
                <w:i/>
              </w:rPr>
              <w:t>i et klart, gennemsigtigt og tilgængeligt format</w:t>
            </w:r>
            <w:r w:rsidRPr="00A80DA9">
              <w:t>, før betalingstransaktionen initieres.</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7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Fysiske eller juridiske personer, der leverer kontanthævningstjenester som omhandlet i artikel 38 i direktiv (EU) [PSD3], skal give deres kunder oplysninger om eventuelle gebyrer, inden kunden foretager hævning, samt ved modtagelsen af de likvide midler, når transaktionen er gennemført.</w:t>
            </w:r>
          </w:p>
        </w:tc>
        <w:tc>
          <w:tcPr>
            <w:tcW w:w="4876" w:type="dxa"/>
            <w:hideMark/>
          </w:tcPr>
          <w:p w:rsidR="0047667D" w:rsidRPr="00A80DA9" w:rsidRDefault="008507C9">
            <w:pPr>
              <w:pStyle w:val="Normal6"/>
              <w:rPr>
                <w:szCs w:val="24"/>
              </w:rPr>
            </w:pPr>
            <w:r w:rsidRPr="00A80DA9">
              <w:t xml:space="preserve">Fysiske eller juridiske personer, der leverer kontanthævningstjenester som omhandlet i artikel 38 i direktiv (EU) [PSD3], skal </w:t>
            </w:r>
            <w:r w:rsidRPr="00A80DA9">
              <w:rPr>
                <w:b/>
                <w:i/>
              </w:rPr>
              <w:t>på en fremtrædende og letforståelig måde</w:t>
            </w:r>
            <w:r w:rsidRPr="00A80DA9">
              <w:t xml:space="preserve"> give deres kunder oplysninger om eventuelle gebyrer, </w:t>
            </w:r>
            <w:r w:rsidRPr="00A80DA9">
              <w:rPr>
                <w:b/>
                <w:i/>
              </w:rPr>
              <w:t>umiddelbart</w:t>
            </w:r>
            <w:r w:rsidRPr="00A80DA9">
              <w:t xml:space="preserve"> inden kunden foretager hævning, samt ved modtagelsen af de likvide midler, når transaktionen er gennemført.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Oplysninger om gebyrer på kontanthævninger skal gives på en fremtrædende og letforståelig måde, idet disse oplysninger ellers risikerer at blive skjult blandt vilkår og betingelser, som forbrugerne skal lede efter i stedet for at få aktivt udleveret.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7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Fysiske eller juridiske personer, der leverer kontanthævningstjenester som omhandlet i artikel 38 i direktiv (EU) [PSD3], skal give deres kunder oplysninger om eventuelle gebyrer, inden kunden foretager hævning, samt ved modtagelsen af de likvide midler, når transaktionen er gennemført.</w:t>
            </w:r>
          </w:p>
        </w:tc>
        <w:tc>
          <w:tcPr>
            <w:tcW w:w="4876" w:type="dxa"/>
            <w:hideMark/>
          </w:tcPr>
          <w:p w:rsidR="0047667D" w:rsidRPr="00A80DA9" w:rsidRDefault="008507C9">
            <w:pPr>
              <w:pStyle w:val="Normal6"/>
              <w:rPr>
                <w:szCs w:val="24"/>
              </w:rPr>
            </w:pPr>
            <w:r w:rsidRPr="00A80DA9">
              <w:t xml:space="preserve">Fysiske eller juridiske personer, der leverer kontanthævningstjenester som omhandlet i artikel 38 i direktiv (EU) [PSD3], skal </w:t>
            </w:r>
            <w:r w:rsidRPr="00A80DA9">
              <w:rPr>
                <w:b/>
                <w:i/>
              </w:rPr>
              <w:t>på en fremtrædende og letforståelig måde</w:t>
            </w:r>
            <w:r w:rsidRPr="00A80DA9">
              <w:t xml:space="preserve"> give deres kunder oplysninger om eventuelle gebyrer, </w:t>
            </w:r>
            <w:r w:rsidRPr="00A80DA9">
              <w:rPr>
                <w:b/>
                <w:i/>
              </w:rPr>
              <w:t>umiddelbart</w:t>
            </w:r>
            <w:r w:rsidRPr="00A80DA9">
              <w:t xml:space="preserve"> inden kunden foretager hævning, samt ved modtagelsen af de likvide midler, når transaktionen er gennemført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7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Fysiske eller juridiske personer, der leverer kontanthævningstjenester som omhandlet i artikel 38 i direktiv (EU) [PSD3], skal give deres kunder oplysninger om eventuelle gebyrer, inden kunden foretager hævning, samt ved modtagelsen af de likvide midler, når transaktionen er gennemført.</w:t>
            </w:r>
          </w:p>
        </w:tc>
        <w:tc>
          <w:tcPr>
            <w:tcW w:w="4876" w:type="dxa"/>
            <w:hideMark/>
          </w:tcPr>
          <w:p w:rsidR="0047667D" w:rsidRPr="00A80DA9" w:rsidRDefault="008507C9">
            <w:pPr>
              <w:pStyle w:val="Normal6"/>
              <w:rPr>
                <w:szCs w:val="24"/>
              </w:rPr>
            </w:pPr>
            <w:r w:rsidRPr="00A80DA9">
              <w:t xml:space="preserve">Fysiske eller juridiske personer, der leverer kontanthævningstjenester som omhandlet i artikel 38 i direktiv (EU) [PSD3], skal give deres kunder </w:t>
            </w:r>
            <w:r w:rsidRPr="00A80DA9">
              <w:rPr>
                <w:b/>
                <w:i/>
              </w:rPr>
              <w:t>klare, gennemsigtige og tilgængelige</w:t>
            </w:r>
            <w:r w:rsidRPr="00A80DA9">
              <w:t xml:space="preserve"> oplysninger om eventuelle gebyrer, inden kunden foretager hævning, samt ved modtagelsen af de likvide midler, når transaktionen er gennemført.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209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7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Fysiske eller juridiske personer, der leverer kontanthævningstjenester som omhandlet i artikel 38 i direktiv (EU) [PSD3], skal give deres kunder oplysninger om eventuelle gebyrer</w:t>
            </w:r>
            <w:r w:rsidRPr="00A80DA9">
              <w:rPr>
                <w:b/>
                <w:i/>
              </w:rPr>
              <w:t>, inden kunden foretager hævning,</w:t>
            </w:r>
            <w:r w:rsidRPr="00A80DA9">
              <w:t xml:space="preserve"> samt ved modtagelsen af de likvide midler, når transaktionen er gennemført.</w:t>
            </w:r>
          </w:p>
        </w:tc>
        <w:tc>
          <w:tcPr>
            <w:tcW w:w="4876" w:type="dxa"/>
            <w:hideMark/>
          </w:tcPr>
          <w:p w:rsidR="0047667D" w:rsidRPr="00A80DA9" w:rsidRDefault="008507C9">
            <w:pPr>
              <w:pStyle w:val="Normal6"/>
              <w:rPr>
                <w:szCs w:val="24"/>
              </w:rPr>
            </w:pPr>
            <w:r w:rsidRPr="00A80DA9">
              <w:t xml:space="preserve">Fysiske eller juridiske personer, der leverer kontanthævningstjenester som omhandlet i artikel 38 i direktiv (EU) [PSD3], skal give deres kunder oplysninger om eventuelle gebyrer </w:t>
            </w:r>
            <w:r w:rsidRPr="00A80DA9">
              <w:rPr>
                <w:b/>
                <w:i/>
              </w:rPr>
              <w:t>på tidspunktet for initieringen af leveringen af</w:t>
            </w:r>
            <w:r w:rsidRPr="00A80DA9">
              <w:t xml:space="preserve"> </w:t>
            </w:r>
            <w:r w:rsidRPr="00A80DA9">
              <w:rPr>
                <w:b/>
                <w:i/>
              </w:rPr>
              <w:t>hævningstjenester</w:t>
            </w:r>
            <w:r w:rsidRPr="00A80DA9">
              <w:t xml:space="preserve"> samt ved modtagelsen af de likvide midler, når transaktionen er gennemført.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8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 xml:space="preserve">Gebyrer for oplysninger i henhold til stk. 2 skal være rimelige og </w:t>
            </w:r>
            <w:r w:rsidRPr="00A80DA9">
              <w:rPr>
                <w:b/>
                <w:i/>
              </w:rPr>
              <w:t>i overensstemmelse med betalingstjenesteudbyderens</w:t>
            </w:r>
            <w:r w:rsidRPr="00A80DA9">
              <w:t xml:space="preserve"> faktiske omkostninger.</w:t>
            </w:r>
          </w:p>
        </w:tc>
        <w:tc>
          <w:tcPr>
            <w:tcW w:w="4876" w:type="dxa"/>
            <w:hideMark/>
          </w:tcPr>
          <w:p w:rsidR="0047667D" w:rsidRPr="00A80DA9" w:rsidRDefault="008507C9">
            <w:pPr>
              <w:pStyle w:val="Normal6"/>
              <w:rPr>
                <w:szCs w:val="24"/>
              </w:rPr>
            </w:pPr>
            <w:r w:rsidRPr="00A80DA9">
              <w:t>3.</w:t>
            </w:r>
            <w:r w:rsidRPr="00A80DA9">
              <w:tab/>
              <w:t xml:space="preserve">Gebyrer for oplysninger i henhold til stk. 2 skal være rimelige og </w:t>
            </w:r>
            <w:r w:rsidRPr="00A80DA9">
              <w:rPr>
                <w:b/>
                <w:i/>
              </w:rPr>
              <w:t>stå i et rimeligt forhold til de</w:t>
            </w:r>
            <w:r w:rsidRPr="00A80DA9">
              <w:t xml:space="preserve"> faktiske omkostninger.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10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 xml:space="preserve">Når der er tale om betalingsinstrumenter, der i henhold til den relevante rammeaftale udelukkende vedrører særskilte betalingstransaktioner på højst </w:t>
            </w:r>
            <w:r w:rsidRPr="00A80DA9">
              <w:rPr>
                <w:b/>
                <w:i/>
              </w:rPr>
              <w:t>50</w:t>
            </w:r>
            <w:r w:rsidRPr="00A80DA9">
              <w:t xml:space="preserve"> EUR, eller som enten har en beløbsgrænse på </w:t>
            </w:r>
            <w:r w:rsidRPr="00A80DA9">
              <w:rPr>
                <w:b/>
                <w:i/>
              </w:rPr>
              <w:t>200</w:t>
            </w:r>
            <w:r w:rsidRPr="00A80DA9">
              <w:t xml:space="preserve"> EUR eller på intet tidspunkt lagrer midler på mere end </w:t>
            </w:r>
            <w:r w:rsidRPr="00A80DA9">
              <w:rPr>
                <w:b/>
                <w:i/>
              </w:rPr>
              <w:t>200</w:t>
            </w:r>
            <w:r w:rsidRPr="00A80DA9">
              <w:t xml:space="preserve"> EUR:</w:t>
            </w:r>
          </w:p>
        </w:tc>
        <w:tc>
          <w:tcPr>
            <w:tcW w:w="4876" w:type="dxa"/>
            <w:hideMark/>
          </w:tcPr>
          <w:p w:rsidR="0047667D" w:rsidRPr="00A80DA9" w:rsidRDefault="008507C9">
            <w:pPr>
              <w:pStyle w:val="Normal6"/>
              <w:rPr>
                <w:szCs w:val="24"/>
              </w:rPr>
            </w:pPr>
            <w:r w:rsidRPr="00A80DA9">
              <w:t xml:space="preserve">Når der er tale om betalingsinstrumenter, der i henhold til den relevante rammeaftale udelukkende vedrører særskilte betalingstransaktioner på højst </w:t>
            </w:r>
            <w:r w:rsidRPr="00A80DA9">
              <w:rPr>
                <w:b/>
                <w:i/>
              </w:rPr>
              <w:t>100</w:t>
            </w:r>
            <w:r w:rsidRPr="00A80DA9">
              <w:t xml:space="preserve"> EUR, eller som enten har en beløbsgrænse på </w:t>
            </w:r>
            <w:r w:rsidRPr="00A80DA9">
              <w:rPr>
                <w:b/>
                <w:i/>
              </w:rPr>
              <w:t>250</w:t>
            </w:r>
            <w:r w:rsidRPr="00A80DA9">
              <w:t xml:space="preserve"> EUR eller på intet tidspunkt lagrer midler på mere end </w:t>
            </w:r>
            <w:r w:rsidRPr="00A80DA9">
              <w:rPr>
                <w:b/>
                <w:i/>
              </w:rPr>
              <w:t>250</w:t>
            </w:r>
            <w:r w:rsidRPr="00A80DA9">
              <w:t xml:space="preserve"> EUR: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Erik Poulsen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13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Betalingstjenesteudbydere stiller følgende oplysninger og betingelser til rådighed for betalingstjenestebrugere:</w:t>
            </w:r>
          </w:p>
        </w:tc>
        <w:tc>
          <w:tcPr>
            <w:tcW w:w="4876" w:type="dxa"/>
            <w:hideMark/>
          </w:tcPr>
          <w:p w:rsidR="0047667D" w:rsidRPr="00A80DA9" w:rsidRDefault="008507C9">
            <w:pPr>
              <w:pStyle w:val="Normal6"/>
              <w:rPr>
                <w:szCs w:val="24"/>
              </w:rPr>
            </w:pPr>
            <w:r w:rsidRPr="00A80DA9">
              <w:t>1.</w:t>
            </w:r>
            <w:r w:rsidRPr="00A80DA9">
              <w:tab/>
              <w:t xml:space="preserve">Betalingstjenesteudbydere stiller følgende oplysninger og betingelser til rådighed for betalingstjenestebrugere </w:t>
            </w:r>
            <w:r w:rsidRPr="00A80DA9">
              <w:rPr>
                <w:b/>
                <w:i/>
              </w:rPr>
              <w:t>på en letforståelig måde</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To ensure comparability, PSPs should be required to disclose their currency conversion charges and mark-ups over an aggregated mid-market rate provided by neutral entities. The disclosures should be provided upfront, in an ea</w:t>
      </w:r>
      <w:bookmarkStart w:id="0" w:name="_GoBack"/>
      <w:bookmarkEnd w:id="0"/>
      <w:r w:rsidRPr="00A80DA9">
        <w:t>sily understandable way and not hidden in separate documents or websites. Mark-ups should be disclosed in monetary terms instead of percentage terms to avoid the confusion of consumers due to complicated fee structures. Today, most upfront/transaction fees are expressed in monetary value. Combining this with a percentage will require inconvenient calculations for consumers. It is important to include both credit transfers and money remittance transactions, as well as single payment transactions and framework contracts, to ensure payments to and from payment accounts are within scope and more consumers and (micro)businesses understand how much their transaction costs.</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13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Betalingstjenesteudbydere stiller følgende oplysninger og betingelser til rådighed for betalingstjenestebrugere:</w:t>
            </w:r>
          </w:p>
        </w:tc>
        <w:tc>
          <w:tcPr>
            <w:tcW w:w="4876" w:type="dxa"/>
            <w:hideMark/>
          </w:tcPr>
          <w:p w:rsidR="0047667D" w:rsidRPr="00A80DA9" w:rsidRDefault="008507C9">
            <w:pPr>
              <w:pStyle w:val="Normal6"/>
              <w:rPr>
                <w:szCs w:val="24"/>
              </w:rPr>
            </w:pPr>
            <w:r w:rsidRPr="00A80DA9">
              <w:t>1.</w:t>
            </w:r>
            <w:r w:rsidRPr="00A80DA9">
              <w:tab/>
              <w:t xml:space="preserve">Betalingstjenesteudbydere stiller </w:t>
            </w:r>
            <w:r w:rsidRPr="00A80DA9">
              <w:rPr>
                <w:b/>
                <w:i/>
              </w:rPr>
              <w:t>på en fremtrædende og letforståelig måde</w:t>
            </w:r>
            <w:r w:rsidRPr="00A80DA9">
              <w:t xml:space="preserve"> følgende oplysninger og betingelser til rådighed for betalingstjenestebrugere: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13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Betalingstjenesteudbydere stiller følgende oplysninger og betingelser til rådighed for betalingstjenestebrugere:</w:t>
            </w:r>
          </w:p>
        </w:tc>
        <w:tc>
          <w:tcPr>
            <w:tcW w:w="4876" w:type="dxa"/>
            <w:hideMark/>
          </w:tcPr>
          <w:p w:rsidR="0047667D" w:rsidRPr="00A80DA9" w:rsidRDefault="008507C9">
            <w:pPr>
              <w:pStyle w:val="Normal6"/>
              <w:rPr>
                <w:szCs w:val="24"/>
              </w:rPr>
            </w:pPr>
            <w:r w:rsidRPr="00A80DA9">
              <w:t>1.</w:t>
            </w:r>
            <w:r w:rsidRPr="00A80DA9">
              <w:tab/>
              <w:t xml:space="preserve">Betalingstjenesteudbydere stiller </w:t>
            </w:r>
            <w:r w:rsidRPr="00A80DA9">
              <w:rPr>
                <w:b/>
                <w:i/>
              </w:rPr>
              <w:t>på en fremtrædende og letforståelig måde</w:t>
            </w:r>
            <w:r w:rsidRPr="00A80DA9">
              <w:t xml:space="preserve"> følgende oplysninger og betingelser til rådighed for betalingstjenestebrugere: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For at undgå, at sådanne oplysninger skjules ved hjælp af små skrifttyper eller kompleks sprogbrug, bør det gøres obligatorisk aktivt at fremlægge disse oplysninger på en fremtrædende og letforståelig måde.</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13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Betalingstjenesteudbydere stiller følgende oplysninger og betingelser til rådighed for betalingstjenestebrugere:</w:t>
            </w:r>
          </w:p>
        </w:tc>
        <w:tc>
          <w:tcPr>
            <w:tcW w:w="4876" w:type="dxa"/>
            <w:hideMark/>
          </w:tcPr>
          <w:p w:rsidR="0047667D" w:rsidRPr="00A80DA9" w:rsidRDefault="008507C9">
            <w:pPr>
              <w:pStyle w:val="Normal6"/>
              <w:rPr>
                <w:szCs w:val="24"/>
              </w:rPr>
            </w:pPr>
            <w:r w:rsidRPr="00A80DA9">
              <w:t>1.</w:t>
            </w:r>
            <w:r w:rsidRPr="00A80DA9">
              <w:tab/>
              <w:t xml:space="preserve">Betalingstjenesteudbydere stiller </w:t>
            </w:r>
            <w:r w:rsidRPr="00A80DA9">
              <w:rPr>
                <w:b/>
                <w:i/>
              </w:rPr>
              <w:t>som minimum</w:t>
            </w:r>
            <w:r w:rsidRPr="00A80DA9">
              <w:t xml:space="preserve"> følgende oplysninger og betingelser til rådighed for betalingstjenestebrugere: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Erik Poulsen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13 – stk. 1 – litra f</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w:t>
            </w:r>
            <w:r w:rsidRPr="00A80DA9">
              <w:tab/>
              <w:t xml:space="preserve">hvor det er relevant, de skønnede gebyrer for valutaomregning i forbindelse med kreditoverførsler og pengeoverførselstransaktioner udtrykt som en avance i procent </w:t>
            </w:r>
            <w:r w:rsidRPr="00A80DA9">
              <w:rPr>
                <w:b/>
                <w:i/>
              </w:rPr>
              <w:t>af den senest tilgængelige gældende referencekurs for udenlandsk valuta udstedt af den relevante centralbank</w:t>
            </w:r>
          </w:p>
        </w:tc>
        <w:tc>
          <w:tcPr>
            <w:tcW w:w="4876" w:type="dxa"/>
            <w:hideMark/>
          </w:tcPr>
          <w:p w:rsidR="0047667D" w:rsidRPr="00A80DA9" w:rsidRDefault="008507C9">
            <w:pPr>
              <w:pStyle w:val="Normal6"/>
              <w:rPr>
                <w:szCs w:val="24"/>
              </w:rPr>
            </w:pPr>
            <w:r w:rsidRPr="00A80DA9">
              <w:t>f)</w:t>
            </w:r>
            <w:r w:rsidRPr="00A80DA9">
              <w:tab/>
              <w:t xml:space="preserve">hvor det er relevant, de skønnede gebyrer for valutaomregning i forbindelse med kreditoverførsler og pengeoverførselstransaktioner udtrykt som en avance i procent </w:t>
            </w:r>
            <w:r w:rsidRPr="00A80DA9">
              <w:rPr>
                <w:b/>
                <w:i/>
              </w:rPr>
              <w:t>i pengeværdi i betalerens valuta af midtmarkedskursen, som tilbydes af neutrale og troværdige udbydere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To ensure comparability, PSPs should be required to disclose their currency conversion charges and mark-ups over an aggregated mid-market rate provided by neutral entities. The disclosures should be provided upfront, in an easily understandable way and not hidden in separate documents or websites. Mark-ups should be disclosed in monetary terms instead of percentage terms to avoid the confusion of consumers due to complicated fee structures. Today, most upfront/transaction fees are expressed in monetary value. Combining this with a percentage will require inconvenient calculations for consumers. It is important to include both credit transfers and money remittance transactions, as well as single payment transactions and framework contracts, to ensure payments to and from payment accounts are within scope and more consumers and (micro)businesses understand how much their transaction costs.</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13 – stk. 1 – litra f</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w:t>
            </w:r>
            <w:r w:rsidRPr="00A80DA9">
              <w:tab/>
              <w:t>hvor det er relevant, de skønnede gebyrer for valutaomregning i forbindelse med kreditoverførsler og pengeoverførselstransaktioner udtrykt som en avance i procent af den senest tilgængelige gældende referencekurs for udenlandsk valuta udstedt af den relevante centralbank</w:t>
            </w:r>
          </w:p>
        </w:tc>
        <w:tc>
          <w:tcPr>
            <w:tcW w:w="4876" w:type="dxa"/>
            <w:hideMark/>
          </w:tcPr>
          <w:p w:rsidR="0047667D" w:rsidRPr="00A80DA9" w:rsidRDefault="008507C9">
            <w:pPr>
              <w:pStyle w:val="Normal6"/>
              <w:rPr>
                <w:szCs w:val="24"/>
              </w:rPr>
            </w:pPr>
            <w:r w:rsidRPr="00A80DA9">
              <w:t>f)</w:t>
            </w:r>
            <w:r w:rsidRPr="00A80DA9">
              <w:tab/>
              <w:t>hvor det er relevant, de skønnede gebyrer for valutaomregning i forbindelse med kreditoverførsler og pengeoverførselstransaktioner udtrykt som en avance i procent af den senest tilgængelige gældende referencekurs for udenlandsk valuta udstedt af den relevante centralbank</w:t>
            </w:r>
            <w:r w:rsidRPr="00A80DA9">
              <w:rPr>
                <w:b/>
                <w:i/>
              </w:rPr>
              <w:t>. Disse gebyrer skal senest vises på det tidspunkt, hvor betaleren giver tilladelse til betalingstransaktionen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13 – stk. 1 – litra f</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w:t>
            </w:r>
            <w:r w:rsidRPr="00A80DA9">
              <w:tab/>
              <w:t>hvor det er relevant, de skønnede gebyrer for valutaomregning i forbindelse med kreditoverførsler og pengeoverførselstransaktioner udtrykt som en avance i procent af den senest tilgængelige gældende referencekurs for udenlandsk valuta udstedt af den relevante centralbank</w:t>
            </w:r>
          </w:p>
        </w:tc>
        <w:tc>
          <w:tcPr>
            <w:tcW w:w="4876" w:type="dxa"/>
            <w:hideMark/>
          </w:tcPr>
          <w:p w:rsidR="0047667D" w:rsidRPr="00A80DA9" w:rsidRDefault="008507C9">
            <w:pPr>
              <w:pStyle w:val="Normal6"/>
              <w:rPr>
                <w:szCs w:val="24"/>
              </w:rPr>
            </w:pPr>
            <w:r w:rsidRPr="00A80DA9">
              <w:t>f)</w:t>
            </w:r>
            <w:r w:rsidRPr="00A80DA9">
              <w:tab/>
              <w:t xml:space="preserve">hvor det er relevant, de skønnede gebyrer for valutaomregning i forbindelse med kreditoverførsler og pengeoverførselstransaktioner udtrykt som en avance i procent af den senest tilgængelige gældende referencekurs for udenlandsk valuta udstedt af den relevante centralbank </w:t>
            </w:r>
            <w:r w:rsidRPr="00A80DA9">
              <w:rPr>
                <w:b/>
                <w:i/>
              </w:rPr>
              <w:t>samt i den reelle pengeværdi i betalerens valuta</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219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13 – stk. 1 – litra f</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w:t>
            </w:r>
            <w:r w:rsidRPr="00A80DA9">
              <w:tab/>
              <w:t xml:space="preserve">hvor det er relevant, de skønnede gebyrer for valutaomregning i forbindelse med kreditoverførsler og pengeoverførselstransaktioner udtrykt som en </w:t>
            </w:r>
            <w:r w:rsidRPr="00A80DA9">
              <w:rPr>
                <w:b/>
                <w:i/>
              </w:rPr>
              <w:t>avance i procent</w:t>
            </w:r>
            <w:r w:rsidRPr="00A80DA9">
              <w:t xml:space="preserve"> af den senest tilgængelige gældende referencekurs for udenlandsk valuta udstedt af den relevante centralbank</w:t>
            </w:r>
          </w:p>
        </w:tc>
        <w:tc>
          <w:tcPr>
            <w:tcW w:w="4876" w:type="dxa"/>
            <w:hideMark/>
          </w:tcPr>
          <w:p w:rsidR="0047667D" w:rsidRPr="00A80DA9" w:rsidRDefault="008507C9">
            <w:pPr>
              <w:pStyle w:val="Normal6"/>
              <w:rPr>
                <w:szCs w:val="24"/>
              </w:rPr>
            </w:pPr>
            <w:r w:rsidRPr="00A80DA9">
              <w:t>f)</w:t>
            </w:r>
            <w:r w:rsidRPr="00A80DA9">
              <w:tab/>
              <w:t xml:space="preserve">hvor det er relevant, de skønnede gebyrer for valutaomregning i forbindelse med kreditoverførsler og pengeoverførselstransaktioner udtrykt som en </w:t>
            </w:r>
            <w:r w:rsidRPr="00A80DA9">
              <w:rPr>
                <w:b/>
                <w:i/>
              </w:rPr>
              <w:t>pengeværdi i betalerens valuta</w:t>
            </w:r>
            <w:r w:rsidRPr="00A80DA9">
              <w:t xml:space="preserve"> af den senest tilgængelige gældende referencekurs for udenlandsk valuta udstedt af den relevante centralbank</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For forbrugerne vil det være lettere at forstå, hvis avancer udtrykkes som en pengeværdi og ikke som en procentsats, således at forbrugerne nemt kan lægge dem sammen med de øvrige gebyrer for transaktionen.</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20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Betalingstjenesteudbyderen skal give brugeren af betalingstjenester følgende oplysninger og betingelser:</w:t>
            </w:r>
          </w:p>
        </w:tc>
        <w:tc>
          <w:tcPr>
            <w:tcW w:w="4876" w:type="dxa"/>
            <w:hideMark/>
          </w:tcPr>
          <w:p w:rsidR="0047667D" w:rsidRPr="00A80DA9" w:rsidRDefault="008507C9">
            <w:pPr>
              <w:pStyle w:val="Normal6"/>
              <w:rPr>
                <w:szCs w:val="24"/>
              </w:rPr>
            </w:pPr>
            <w:r w:rsidRPr="00A80DA9">
              <w:t xml:space="preserve">Betalingstjenesteudbyderen skal </w:t>
            </w:r>
            <w:r w:rsidRPr="00A80DA9">
              <w:rPr>
                <w:b/>
                <w:i/>
              </w:rPr>
              <w:t>på en fremtrædende og letforståelig måde</w:t>
            </w:r>
            <w:r w:rsidRPr="00A80DA9">
              <w:t xml:space="preserve"> give brugeren af betalingstjenester følgende oplysninger og betingelser: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For at undgå, at sådanne oplysninger skjules ved hjælp af små skrifttyper eller kompleks sprogbrug, bør det gøres obligatorisk aktivt at fremlægge disse oplysninger på en fremtrædende og letforståelig måde.</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20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Betalingstjenesteudbyderen skal give brugeren af betalingstjenester følgende oplysninger og betingelser:</w:t>
            </w:r>
          </w:p>
        </w:tc>
        <w:tc>
          <w:tcPr>
            <w:tcW w:w="4876" w:type="dxa"/>
            <w:hideMark/>
          </w:tcPr>
          <w:p w:rsidR="0047667D" w:rsidRPr="00A80DA9" w:rsidRDefault="008507C9">
            <w:pPr>
              <w:pStyle w:val="Normal6"/>
              <w:rPr>
                <w:szCs w:val="24"/>
              </w:rPr>
            </w:pPr>
            <w:r w:rsidRPr="00A80DA9">
              <w:t xml:space="preserve">Betalingstjenesteudbyderen skal </w:t>
            </w:r>
            <w:r w:rsidRPr="00A80DA9">
              <w:rPr>
                <w:b/>
                <w:i/>
              </w:rPr>
              <w:t>på en fremtrædende og letforståelig måde</w:t>
            </w:r>
            <w:r w:rsidRPr="00A80DA9">
              <w:t xml:space="preserve"> give brugeren af betalingstjenester følgende oplysninger og betingelser: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Erik Poulsen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20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Betalingstjenesteudbyderen skal give brugeren af betalingstjenester følgende oplysninger og betingelser:</w:t>
            </w:r>
          </w:p>
        </w:tc>
        <w:tc>
          <w:tcPr>
            <w:tcW w:w="4876" w:type="dxa"/>
            <w:hideMark/>
          </w:tcPr>
          <w:p w:rsidR="0047667D" w:rsidRPr="00A80DA9" w:rsidRDefault="008507C9">
            <w:pPr>
              <w:pStyle w:val="Normal6"/>
              <w:rPr>
                <w:szCs w:val="24"/>
              </w:rPr>
            </w:pPr>
            <w:r w:rsidRPr="00A80DA9">
              <w:t xml:space="preserve">Betalingstjenesteudbyderen skal </w:t>
            </w:r>
            <w:r w:rsidRPr="00A80DA9">
              <w:rPr>
                <w:b/>
                <w:i/>
              </w:rPr>
              <w:t>på letforståelig måde</w:t>
            </w:r>
            <w:r w:rsidRPr="00A80DA9">
              <w:t xml:space="preserve"> give brugeren af betalingstjenester følgende oplysninger og betingelser: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To ensure comparability, PSPs should be required to disclose their currency conversion charges and mark-ups over an aggregated mid-market rate provided by neutral entities. The disclosures should be provided upfront, in an easily understandable way and not hidden in separate documents or websites. Mark-ups should be disclosed in monetary terms instead of percentage terms to avoid the confusion of consumers due to complicated fee structures. Today, most upfront/transaction fees are expressed in monetary value. Combining this with a percentage will require inconvenient calculations for consumers. It is important to include both credit transfers and money remittance transactions, as well as single payment transactions and framework contracts, to ensure payments to and from payment accounts are within scope and more consumers and (micro)businesses understand how much their transaction costs.</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20 – stk. 1 – litra c – nr. ii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ii)</w:t>
            </w:r>
            <w:r w:rsidRPr="00A80DA9">
              <w:tab/>
              <w:t xml:space="preserve">alle eventuelle gebyrer for </w:t>
            </w:r>
            <w:r w:rsidRPr="00A80DA9">
              <w:rPr>
                <w:b/>
                <w:i/>
              </w:rPr>
              <w:t>indenlandske</w:t>
            </w:r>
            <w:r w:rsidRPr="00A80DA9">
              <w:t xml:space="preserve"> hævninger i pengeautomater, som betalingstjenestebrugere skal betale til deres betalingstjenesteudbyder i en pengeautomat tilhørende:</w:t>
            </w:r>
          </w:p>
        </w:tc>
        <w:tc>
          <w:tcPr>
            <w:tcW w:w="4876" w:type="dxa"/>
            <w:hideMark/>
          </w:tcPr>
          <w:p w:rsidR="0047667D" w:rsidRPr="00A80DA9" w:rsidRDefault="008507C9">
            <w:pPr>
              <w:pStyle w:val="Normal6"/>
              <w:rPr>
                <w:szCs w:val="24"/>
              </w:rPr>
            </w:pPr>
            <w:r w:rsidRPr="00A80DA9">
              <w:t>ii)</w:t>
            </w:r>
            <w:r w:rsidRPr="00A80DA9">
              <w:tab/>
              <w:t xml:space="preserve">alle eventuelle gebyrer for hævninger </w:t>
            </w:r>
            <w:r w:rsidRPr="00A80DA9">
              <w:rPr>
                <w:b/>
                <w:i/>
              </w:rPr>
              <w:t>i Unionen</w:t>
            </w:r>
            <w:r w:rsidRPr="00A80DA9">
              <w:t xml:space="preserve"> i pengeautomater, som betalingstjenestebrugere skal betale til deres betalingstjenesteudbyder i en pengeautomat tilhørende: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20 – stk. 1 – litra c – nr. ii – nr.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(2)</w:t>
            </w:r>
            <w:r w:rsidRPr="00A80DA9">
              <w:rPr>
                <w:b/>
                <w:i/>
              </w:rPr>
              <w:tab/>
              <w:t>en betalingstjenesteudbyder, der tilhører det samme net af pengeautomater som brugerens betalingstjenesteudbyder</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Kontoførende betalingstjenesteudbydere eller betalingstjenesteudbyderes pengeautomater bør ikke opkræve gebyrer for kontanthævninger, hvilket allerede er tilfælde i mange medlemsstater.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20 – stk. 1 – litra c – nr. v</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v)</w:t>
            </w:r>
            <w:r w:rsidRPr="00A80DA9">
              <w:tab/>
              <w:t>hvor det er relevant, de skønnede gebyrer for valutaomregning i forbindelse med en kreditoverførsel udtrykt som en avance i procent af den senest tilgængelige gældende referencekurs for udenlandsk valuta udstedt af den relevante centralbank</w:t>
            </w:r>
          </w:p>
        </w:tc>
        <w:tc>
          <w:tcPr>
            <w:tcW w:w="4876" w:type="dxa"/>
            <w:hideMark/>
          </w:tcPr>
          <w:p w:rsidR="0047667D" w:rsidRPr="00A80DA9" w:rsidRDefault="008507C9">
            <w:pPr>
              <w:pStyle w:val="Normal6"/>
              <w:rPr>
                <w:szCs w:val="24"/>
              </w:rPr>
            </w:pPr>
            <w:r w:rsidRPr="00A80DA9">
              <w:t>v)</w:t>
            </w:r>
            <w:r w:rsidRPr="00A80DA9">
              <w:tab/>
              <w:t xml:space="preserve">hvor det er relevant, de skønnede gebyrer for valutaomregning i forbindelse med en kreditoverførsel udtrykt som </w:t>
            </w:r>
            <w:r w:rsidRPr="00A80DA9">
              <w:rPr>
                <w:b/>
                <w:i/>
              </w:rPr>
              <w:t>et samlet beløb og</w:t>
            </w:r>
            <w:r w:rsidRPr="00A80DA9">
              <w:t xml:space="preserve"> en avance i procent af den senest tilgængelige gældende referencekurs for udenlandsk valuta udstedt af den relevante centralbank</w:t>
            </w:r>
            <w:r w:rsidRPr="00A80DA9">
              <w:rPr>
                <w:b/>
                <w:i/>
              </w:rPr>
              <w:t>. Disse gebyrer skal vises tydeligt, inden betaleren endeligt gennemfører transaktionen, og skal vises i betalerens hjemlige valuta ud over avancen i procent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20 – stk. 1 – litra c – nr. v</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v)</w:t>
            </w:r>
            <w:r w:rsidRPr="00A80DA9">
              <w:tab/>
              <w:t>hvor det er relevant, de skønnede gebyrer for valutaomregning i forbindelse med en kreditoverførsel udtrykt som en avance i procent af den senest tilgængelige gældende referencekurs for udenlandsk valuta udstedt af den relevante centralbank</w:t>
            </w:r>
          </w:p>
        </w:tc>
        <w:tc>
          <w:tcPr>
            <w:tcW w:w="4876" w:type="dxa"/>
            <w:hideMark/>
          </w:tcPr>
          <w:p w:rsidR="0047667D" w:rsidRPr="00A80DA9" w:rsidRDefault="008507C9">
            <w:pPr>
              <w:pStyle w:val="Normal6"/>
              <w:rPr>
                <w:szCs w:val="24"/>
              </w:rPr>
            </w:pPr>
            <w:r w:rsidRPr="00A80DA9">
              <w:t>v)</w:t>
            </w:r>
            <w:r w:rsidRPr="00A80DA9">
              <w:tab/>
              <w:t xml:space="preserve">hvor det er relevant, de skønnede gebyrer for valutaomregning i forbindelse med en kreditoverførsel udtrykt som en avance i procent af den senest tilgængelige gældende referencekurs for udenlandsk valuta udstedt af den relevante centralbank </w:t>
            </w:r>
            <w:r w:rsidRPr="00A80DA9">
              <w:rPr>
                <w:b/>
                <w:i/>
              </w:rPr>
              <w:t>samt i den reelle pengeværdi udtrykt i betalerens valuta</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20 – stk. 1 – litra c – nr. v</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v)</w:t>
            </w:r>
            <w:r w:rsidRPr="00A80DA9">
              <w:tab/>
              <w:t xml:space="preserve">hvor det er relevant, de skønnede gebyrer for valutaomregning i forbindelse med </w:t>
            </w:r>
            <w:r w:rsidRPr="00A80DA9">
              <w:rPr>
                <w:b/>
                <w:i/>
              </w:rPr>
              <w:t>en kreditoverførsel</w:t>
            </w:r>
            <w:r w:rsidRPr="00A80DA9">
              <w:t xml:space="preserve"> udtrykt som en </w:t>
            </w:r>
            <w:r w:rsidRPr="00A80DA9">
              <w:rPr>
                <w:b/>
                <w:i/>
              </w:rPr>
              <w:t>avance i procent</w:t>
            </w:r>
            <w:r w:rsidRPr="00A80DA9">
              <w:t xml:space="preserve"> af den senest tilgængelige gældende referencekurs for udenlandsk valuta udstedt af den relevante centralbank</w:t>
            </w:r>
          </w:p>
        </w:tc>
        <w:tc>
          <w:tcPr>
            <w:tcW w:w="4876" w:type="dxa"/>
            <w:hideMark/>
          </w:tcPr>
          <w:p w:rsidR="0047667D" w:rsidRPr="00A80DA9" w:rsidRDefault="008507C9">
            <w:pPr>
              <w:pStyle w:val="Normal6"/>
              <w:rPr>
                <w:szCs w:val="24"/>
              </w:rPr>
            </w:pPr>
            <w:r w:rsidRPr="00A80DA9">
              <w:t>v)</w:t>
            </w:r>
            <w:r w:rsidRPr="00A80DA9">
              <w:tab/>
              <w:t xml:space="preserve">hvor det er relevant, de skønnede gebyrer for valutaomregning i forbindelse med </w:t>
            </w:r>
            <w:r w:rsidRPr="00A80DA9">
              <w:rPr>
                <w:b/>
                <w:i/>
              </w:rPr>
              <w:t>kreditoverførsler</w:t>
            </w:r>
            <w:r w:rsidRPr="00A80DA9">
              <w:t xml:space="preserve"> udtrykt som en </w:t>
            </w:r>
            <w:r w:rsidRPr="00A80DA9">
              <w:rPr>
                <w:b/>
                <w:i/>
              </w:rPr>
              <w:t>pengeværdi i betalerens valuta</w:t>
            </w:r>
            <w:r w:rsidRPr="00A80DA9">
              <w:t xml:space="preserve"> af den senest tilgængelige gældende referencekurs for udenlandsk valuta udstedt af den relevante centralbank</w:t>
            </w:r>
            <w:r w:rsidRPr="00A80DA9">
              <w:rPr>
                <w:b/>
                <w:i/>
              </w:rPr>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For forbrugerne vil det være lettere at forstå, hvis avancer udtrykkes som en pengeværdi og ikke som en procentsats, således at forbrugerne nemt kan lægge dem sammen med de øvrige gebyrer for transaktionen.</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Erik Poulsen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20 – stk. 1 – litra c – nr. v</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v)</w:t>
            </w:r>
            <w:r w:rsidRPr="00A80DA9">
              <w:tab/>
              <w:t xml:space="preserve">hvor det er relevant, de skønnede gebyrer for valutaomregning i forbindelse med en kreditoverførsel udtrykt som en avance </w:t>
            </w:r>
            <w:r w:rsidRPr="00A80DA9">
              <w:rPr>
                <w:b/>
                <w:i/>
              </w:rPr>
              <w:t>i procent</w:t>
            </w:r>
            <w:r w:rsidRPr="00A80DA9">
              <w:t xml:space="preserve"> af den </w:t>
            </w:r>
            <w:r w:rsidRPr="00A80DA9">
              <w:rPr>
                <w:b/>
                <w:i/>
              </w:rPr>
              <w:t>senest tilgængelige gældende referencekurs for udenlandsk valuta udstedt af den relevante centralbank</w:t>
            </w:r>
          </w:p>
        </w:tc>
        <w:tc>
          <w:tcPr>
            <w:tcW w:w="4876" w:type="dxa"/>
            <w:hideMark/>
          </w:tcPr>
          <w:p w:rsidR="0047667D" w:rsidRPr="00A80DA9" w:rsidRDefault="008507C9">
            <w:pPr>
              <w:pStyle w:val="Normal6"/>
              <w:rPr>
                <w:szCs w:val="24"/>
              </w:rPr>
            </w:pPr>
            <w:r w:rsidRPr="00A80DA9">
              <w:t>v)</w:t>
            </w:r>
            <w:r w:rsidRPr="00A80DA9">
              <w:tab/>
              <w:t xml:space="preserve">hvor det er relevant, de skønnede gebyrer for valutaomregning i forbindelse med kreditoverførsler og pengeoverførselstransaktioner udtrykt som en avance </w:t>
            </w:r>
            <w:r w:rsidRPr="00A80DA9">
              <w:rPr>
                <w:b/>
                <w:i/>
              </w:rPr>
              <w:t>i pengeværdi i betalerens valuta af midtmarkedskursen, som tilbydes af neutrale og troværdige udbydere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To ensure comparability, PSPs should be required to disclose their currency conversion charges and mark-ups over an aggregated mid-market rate provided by neutral entities. The disclosures should be provided upfront, in an easily understandable way and not hidden in separate documents or websites. Mark-ups should be disclosed in monetary terms instead of percentage terms to avoid the confusion of consumers due to complicated fee structures. Today, most upfront/transaction fees are expressed in monetary value. Combining this with a percentage will require inconvenient calculations for consumers. It is important to include both credit transfers and money remittance transactions, as well as single payment transactions and framework contracts, to ensure payments to and from payment accounts are within scope and more consumers and (micro)businesses understand how much their transaction costs.</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229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22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 xml:space="preserve">Betalingstjenesteudbyderen skal foreslå nye ændringer i rammeaftalen eller i de oplysninger og betingelser, der er fastsat i artikel 20, på samme måde som fastsat i artikel 19, stk. 1, og senest </w:t>
            </w:r>
            <w:r w:rsidRPr="00A80DA9">
              <w:rPr>
                <w:b/>
                <w:i/>
              </w:rPr>
              <w:t>to</w:t>
            </w:r>
            <w:r w:rsidRPr="00A80DA9">
              <w:t xml:space="preserve"> måneder før den foreslåede anvendelsesdato. Betalingstjenestebrugeren kan enten acceptere eller afvise ændringerne inden den foreslåede ikrafttrædelsesdato.</w:t>
            </w:r>
          </w:p>
        </w:tc>
        <w:tc>
          <w:tcPr>
            <w:tcW w:w="4876" w:type="dxa"/>
            <w:hideMark/>
          </w:tcPr>
          <w:p w:rsidR="0047667D" w:rsidRPr="00A80DA9" w:rsidRDefault="008507C9">
            <w:pPr>
              <w:pStyle w:val="Normal6"/>
              <w:rPr>
                <w:szCs w:val="24"/>
              </w:rPr>
            </w:pPr>
            <w:r w:rsidRPr="00A80DA9">
              <w:t>1.</w:t>
            </w:r>
            <w:r w:rsidRPr="00A80DA9">
              <w:tab/>
              <w:t xml:space="preserve">Betalingstjenesteudbyderen skal foreslå nye ændringer i rammeaftalen eller i de oplysninger og betingelser, der er fastsat i artikel 20, på samme måde som fastsat i artikel 19, stk. 1, og senest </w:t>
            </w:r>
            <w:r w:rsidRPr="00A80DA9">
              <w:rPr>
                <w:b/>
                <w:i/>
              </w:rPr>
              <w:t>tre</w:t>
            </w:r>
            <w:r w:rsidRPr="00A80DA9">
              <w:t xml:space="preserve"> måneder før den foreslåede anvendelsesdato. Betalingstjenestebrugeren kan enten acceptere eller afvise ændringerne inden den foreslåede ikrafttrædelsesdato.</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23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 xml:space="preserve">Brugeren af betalingstjenester kan opsige rammeaftalen på et hvilket som helst tidspunkt, medmindre parterne har aftalt en </w:t>
            </w:r>
            <w:r w:rsidRPr="00A80DA9">
              <w:rPr>
                <w:b/>
                <w:i/>
              </w:rPr>
              <w:t>opsigelsesfrist</w:t>
            </w:r>
            <w:r w:rsidRPr="00A80DA9">
              <w:t xml:space="preserve">. En sådan </w:t>
            </w:r>
            <w:r w:rsidRPr="00A80DA9">
              <w:rPr>
                <w:b/>
                <w:i/>
              </w:rPr>
              <w:t>frist</w:t>
            </w:r>
            <w:r w:rsidRPr="00A80DA9">
              <w:t xml:space="preserve"> må ikke overstige en måned.</w:t>
            </w:r>
          </w:p>
        </w:tc>
        <w:tc>
          <w:tcPr>
            <w:tcW w:w="4876" w:type="dxa"/>
            <w:hideMark/>
          </w:tcPr>
          <w:p w:rsidR="0047667D" w:rsidRPr="00A80DA9" w:rsidRDefault="008507C9">
            <w:pPr>
              <w:pStyle w:val="Normal6"/>
              <w:rPr>
                <w:szCs w:val="24"/>
              </w:rPr>
            </w:pPr>
            <w:r w:rsidRPr="00A80DA9">
              <w:t xml:space="preserve"> </w:t>
            </w:r>
            <w:r w:rsidRPr="00A80DA9">
              <w:tab/>
            </w:r>
            <w:r w:rsidRPr="00A80DA9">
              <w:rPr>
                <w:i/>
                <w:iCs/>
              </w:rPr>
              <w:t>(Vedrører ikke den danske tekst)</w:t>
            </w:r>
            <w:r>
              <w:t xml:space="preserve"> </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23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 xml:space="preserve">Rammeaftalen skal vederlagsfrit kunne opsiges af betalingstjenestebrugeren, medmindre aftalen har været i kraft i mindre end </w:t>
            </w:r>
            <w:r w:rsidRPr="00A80DA9">
              <w:rPr>
                <w:b/>
                <w:i/>
              </w:rPr>
              <w:t>seks måneder</w:t>
            </w:r>
            <w:r w:rsidRPr="00A80DA9">
              <w:t>.</w:t>
            </w:r>
            <w:r w:rsidRPr="00A80DA9">
              <w:rPr>
                <w:b/>
                <w:i/>
              </w:rPr>
              <w:t xml:space="preserve"> Eventuelle gebyrer for opsigelse af rammeaftalen skal være passende og i overensstemmelse med omkostningerne. Hvis betalingstjenester i henhold til rammeaftalen udbydes sammen med tekniske tjenester, der har til formål at støtte leveringen af betalingstjenester, og udbydes af betalingstjenesteudbyderen eller af en tredjepart, som betalingstjenesteudbyderen har indgået partnerskab med, skal sådanne tekniske tjenester være omfattet af de samme rammeaftalekrav vedrørende opsigelsesgebyrer.</w:t>
            </w:r>
          </w:p>
        </w:tc>
        <w:tc>
          <w:tcPr>
            <w:tcW w:w="4876" w:type="dxa"/>
            <w:hideMark/>
          </w:tcPr>
          <w:p w:rsidR="0047667D" w:rsidRPr="00A80DA9" w:rsidRDefault="008507C9">
            <w:pPr>
              <w:pStyle w:val="Normal6"/>
              <w:rPr>
                <w:szCs w:val="24"/>
              </w:rPr>
            </w:pPr>
            <w:r w:rsidRPr="00A80DA9">
              <w:t>2.</w:t>
            </w:r>
            <w:r w:rsidRPr="00A80DA9">
              <w:tab/>
              <w:t xml:space="preserve">Rammeaftalen skal vederlagsfrit kunne opsiges af betalingstjenestebrugeren, medmindre aftalen har været i kraft i mindre end </w:t>
            </w:r>
            <w:r w:rsidRPr="00A80DA9">
              <w:rPr>
                <w:b/>
                <w:i/>
              </w:rPr>
              <w:t>opsigelsesfristen eller 18 måneder, idet den korteste periode finder anvendelse</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23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 xml:space="preserve">Rammeaftalen skal vederlagsfrit kunne opsiges af betalingstjenestebrugeren, medmindre aftalen har været i kraft i mindre end </w:t>
            </w:r>
            <w:r w:rsidRPr="00A80DA9">
              <w:rPr>
                <w:b/>
                <w:i/>
              </w:rPr>
              <w:t>seks</w:t>
            </w:r>
            <w:r w:rsidRPr="00A80DA9">
              <w:t xml:space="preserve"> måneder. Eventuelle gebyrer for opsigelse af rammeaftalen skal være passende og i overensstemmelse med omkostningerne. Hvis betalingstjenester i henhold til rammeaftalen udbydes sammen med tekniske tjenester, der har til formål at støtte leveringen af betalingstjenester, og udbydes af betalingstjenesteudbyderen eller af en tredjepart, som betalingstjenesteudbyderen har indgået partnerskab med, skal sådanne tekniske tjenester være omfattet af de samme rammeaftalekrav vedrørende opsigelsesgebyrer.</w:t>
            </w:r>
          </w:p>
        </w:tc>
        <w:tc>
          <w:tcPr>
            <w:tcW w:w="4876" w:type="dxa"/>
            <w:hideMark/>
          </w:tcPr>
          <w:p w:rsidR="0047667D" w:rsidRPr="00A80DA9" w:rsidRDefault="008507C9">
            <w:pPr>
              <w:pStyle w:val="Normal6"/>
              <w:rPr>
                <w:szCs w:val="24"/>
              </w:rPr>
            </w:pPr>
            <w:r w:rsidRPr="00A80DA9">
              <w:t>2.</w:t>
            </w:r>
            <w:r w:rsidRPr="00A80DA9">
              <w:tab/>
              <w:t xml:space="preserve">Rammeaftalen skal vederlagsfrit kunne opsiges af betalingstjenestebrugeren, medmindre aftalen har været i kraft i mindre end </w:t>
            </w:r>
            <w:r w:rsidRPr="00A80DA9">
              <w:rPr>
                <w:b/>
                <w:i/>
              </w:rPr>
              <w:t>tre</w:t>
            </w:r>
            <w:r w:rsidRPr="00A80DA9">
              <w:t xml:space="preserve"> måneder. Eventuelle gebyrer for opsigelse af rammeaftalen skal være passende og i overensstemmelse med omkostningerne. Hvis betalingstjenester i henhold til rammeaftalen udbydes sammen med tekniske tjenester, der har til formål at støtte leveringen af betalingstjenester, og udbydes af betalingstjenesteudbyderen eller af en tredjepart, som betalingstjenesteudbyderen har indgået partnerskab med, skal sådanne tekniske tjenester være omfattet af de samme rammeaftalekrav vedrørende opsigelsesgebyrer.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23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 xml:space="preserve">Hvis det er aftalt i rammeaftalen, kan betalingstjenesteudbyderen opsige en rammeaftale, når aftalen er indgået på ubestemt tid, med mindst </w:t>
            </w:r>
            <w:r w:rsidRPr="00A80DA9">
              <w:rPr>
                <w:b/>
                <w:i/>
              </w:rPr>
              <w:t>to</w:t>
            </w:r>
            <w:r w:rsidRPr="00A80DA9">
              <w:t xml:space="preserve"> måneders varsel på samme måde som fastsat i artikel 19, stk. 1.</w:t>
            </w:r>
          </w:p>
        </w:tc>
        <w:tc>
          <w:tcPr>
            <w:tcW w:w="4876" w:type="dxa"/>
            <w:hideMark/>
          </w:tcPr>
          <w:p w:rsidR="0047667D" w:rsidRPr="00A80DA9" w:rsidRDefault="008507C9">
            <w:pPr>
              <w:pStyle w:val="Normal6"/>
              <w:rPr>
                <w:szCs w:val="24"/>
              </w:rPr>
            </w:pPr>
            <w:r w:rsidRPr="00A80DA9">
              <w:t>3.</w:t>
            </w:r>
            <w:r w:rsidRPr="00A80DA9">
              <w:tab/>
              <w:t xml:space="preserve">Hvis det er aftalt i rammeaftalen, kan betalingstjenesteudbyderen opsige en rammeaftale, når aftalen er indgået på ubestemt tid, med mindst </w:t>
            </w:r>
            <w:r w:rsidRPr="00A80DA9">
              <w:rPr>
                <w:b/>
                <w:i/>
              </w:rPr>
              <w:t>tre</w:t>
            </w:r>
            <w:r w:rsidRPr="00A80DA9">
              <w:t xml:space="preserve"> måneders varsel på samme måde som fastsat i artikel 19, stk. 1.</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23 – stk. 6</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6.</w:t>
            </w:r>
            <w:r w:rsidRPr="00A80DA9">
              <w:tab/>
              <w:t>Medlemsstaterne kan fastsætte bestemmelser om opsigelse, der er gunstigere for betalingstjenestebrugere.</w:t>
            </w:r>
          </w:p>
        </w:tc>
        <w:tc>
          <w:tcPr>
            <w:tcW w:w="4876" w:type="dxa"/>
            <w:hideMark/>
          </w:tcPr>
          <w:p w:rsidR="0047667D" w:rsidRPr="00A80DA9" w:rsidRDefault="008507C9">
            <w:pPr>
              <w:pStyle w:val="Normal6"/>
              <w:rPr>
                <w:szCs w:val="24"/>
              </w:rPr>
            </w:pPr>
            <w:r w:rsidRPr="00A80DA9">
              <w:t>6.</w:t>
            </w:r>
            <w:r w:rsidRPr="00A80DA9">
              <w:tab/>
              <w:t xml:space="preserve">Medlemsstaterne kan fastsætte bestemmelser om opsigelse, der er gunstigere for betalingstjenestebrugere. </w:t>
            </w:r>
            <w:r w:rsidRPr="00A80DA9">
              <w:rPr>
                <w:b/>
                <w:i/>
              </w:rPr>
              <w:t>Disse bestemmelser skal være i fuld overensstemmelse med denne forordning og dens formål og skal meddeles Kommissionen.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24 – stk. 1 – litra b</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w:t>
            </w:r>
            <w:r w:rsidRPr="00A80DA9">
              <w:tab/>
              <w:t>de gebyrer, som betaleren skal betale</w:t>
            </w:r>
          </w:p>
        </w:tc>
        <w:tc>
          <w:tcPr>
            <w:tcW w:w="4876" w:type="dxa"/>
            <w:hideMark/>
          </w:tcPr>
          <w:p w:rsidR="0047667D" w:rsidRPr="00A80DA9" w:rsidRDefault="008507C9">
            <w:pPr>
              <w:pStyle w:val="Normal6"/>
              <w:rPr>
                <w:szCs w:val="24"/>
              </w:rPr>
            </w:pPr>
            <w:r w:rsidRPr="00A80DA9">
              <w:t>b)</w:t>
            </w:r>
            <w:r w:rsidRPr="00A80DA9">
              <w:tab/>
              <w:t xml:space="preserve">de gebyrer, som betaleren skal betale </w:t>
            </w:r>
            <w:r w:rsidRPr="00A80DA9">
              <w:rPr>
                <w:b/>
                <w:i/>
              </w:rPr>
              <w:t>udtrykt i betalingsvalutaen og, hvis det er relevant, avancen i procent af alle gældende vekselkurser sammenlignet med midtmarkedskursen hos den pågældende centralbank</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24 – stk. 1 – litra c</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c)</w:t>
            </w:r>
            <w:r w:rsidRPr="00A80DA9">
              <w:tab/>
              <w:t>hvor det er relevant, udspecificering af beløbsstørrelserne for eventuelle gebyrer.</w:t>
            </w:r>
          </w:p>
        </w:tc>
        <w:tc>
          <w:tcPr>
            <w:tcW w:w="4876" w:type="dxa"/>
            <w:hideMark/>
          </w:tcPr>
          <w:p w:rsidR="0047667D" w:rsidRPr="00A80DA9" w:rsidRDefault="008507C9">
            <w:pPr>
              <w:pStyle w:val="Normal6"/>
              <w:rPr>
                <w:szCs w:val="24"/>
              </w:rPr>
            </w:pPr>
            <w:r w:rsidRPr="00A80DA9">
              <w:t>c)</w:t>
            </w:r>
            <w:r w:rsidRPr="00A80DA9">
              <w:tab/>
              <w:t>hvor det er relevant, udspecificering af beløbsstørrelserne for eventuelle gebyrer</w:t>
            </w:r>
            <w:r w:rsidRPr="00A80DA9">
              <w:rPr>
                <w:b/>
                <w:i/>
              </w:rPr>
              <w:t>, inden betaleren gennemfører betalingen</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25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2.</w:t>
            </w:r>
            <w:r w:rsidRPr="00A80DA9">
              <w:rPr>
                <w:b/>
                <w:i/>
              </w:rPr>
              <w:tab/>
              <w:t>En rammeaftale skal indeholde en bestemmelse om, at betaleren kan kræve, at de i stk. 1 omhandlede oplysninger vederlagsfrit meddeles eller stilles til rådighed mindst én gang om måneden og på en aftalt måde, som gør det muligt for betaleren at lagre og gengive oplysninger uændret.</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27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 xml:space="preserve">Når betalingstjenestebrugeren ikke er en forbruger, kan betalingstjenestebrugeren og betalingstjenesteudbyderen aftale, at artikel 28, stk. 1, artikel 49, stk. 7, samt artikel 55, 60, 62, 63, 66, 75 </w:t>
            </w:r>
            <w:r w:rsidRPr="00A80DA9">
              <w:rPr>
                <w:b/>
                <w:i/>
              </w:rPr>
              <w:t>og</w:t>
            </w:r>
            <w:r w:rsidRPr="00A80DA9">
              <w:t xml:space="preserve"> 76 ikke eller kun delvis finder anvendelse. Betalingstjenestebrugeren og betalingstjenesteudbyderen kan også aftale andre frister end dem, der er fastsat i artikel 54.</w:t>
            </w:r>
          </w:p>
        </w:tc>
        <w:tc>
          <w:tcPr>
            <w:tcW w:w="4876" w:type="dxa"/>
            <w:hideMark/>
          </w:tcPr>
          <w:p w:rsidR="0047667D" w:rsidRPr="00A80DA9" w:rsidRDefault="008507C9">
            <w:pPr>
              <w:pStyle w:val="Normal6"/>
              <w:rPr>
                <w:szCs w:val="24"/>
              </w:rPr>
            </w:pPr>
            <w:r w:rsidRPr="00A80DA9">
              <w:t>1.</w:t>
            </w:r>
            <w:r w:rsidRPr="00A80DA9">
              <w:tab/>
              <w:t>Når betalingstjenestebrugeren ikke er en forbruger, kan betalingstjenestebrugeren og betalingstjenesteudbyderen aftale, at artikel 28, stk. 1, artikel 49, stk. 7, samt artikel 55, 60, 62, 63, 66, 75</w:t>
            </w:r>
            <w:r w:rsidRPr="00A80DA9">
              <w:rPr>
                <w:b/>
                <w:i/>
              </w:rPr>
              <w:t>,</w:t>
            </w:r>
            <w:r w:rsidRPr="00A80DA9">
              <w:t xml:space="preserve"> 76 </w:t>
            </w:r>
            <w:r w:rsidRPr="00A80DA9">
              <w:rPr>
                <w:b/>
                <w:i/>
              </w:rPr>
              <w:t>og 88</w:t>
            </w:r>
            <w:r w:rsidRPr="00A80DA9">
              <w:t xml:space="preserve"> ikke eller kun delvis finder anvendelse. Betalingstjenestebrugeren og betalingstjenesteudbyderen kan også aftale andre frister end dem, der er fastsat i artikel 54.</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239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27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Medlemsstaterne kan fastsætte, at bestemmelserne i dette afsnit finder anvendelse på mikrovirksomheder på samme måde som på forbrugere.</w:t>
            </w:r>
          </w:p>
        </w:tc>
        <w:tc>
          <w:tcPr>
            <w:tcW w:w="4876" w:type="dxa"/>
            <w:hideMark/>
          </w:tcPr>
          <w:p w:rsidR="0047667D" w:rsidRPr="00A80DA9" w:rsidRDefault="008507C9">
            <w:pPr>
              <w:pStyle w:val="Normal6"/>
              <w:rPr>
                <w:szCs w:val="24"/>
              </w:rPr>
            </w:pPr>
            <w:r w:rsidRPr="00A80DA9">
              <w:t>3.</w:t>
            </w:r>
            <w:r w:rsidRPr="00A80DA9">
              <w:tab/>
              <w:t xml:space="preserve">Medlemsstaterne kan fastsætte, at bestemmelserne i dette afsnit finder anvendelse på </w:t>
            </w:r>
            <w:r w:rsidRPr="00A80DA9">
              <w:rPr>
                <w:b/>
                <w:i/>
              </w:rPr>
              <w:t>små og mellemstore virksomheder samt</w:t>
            </w:r>
            <w:r w:rsidRPr="00A80DA9">
              <w:t xml:space="preserve"> mikrovirksomheder på samme måde som på forbrugere. </w:t>
            </w:r>
            <w:r w:rsidRPr="00A80DA9">
              <w:rPr>
                <w:b/>
                <w:i/>
              </w:rPr>
              <w:t>Disse bestemmelser skal være i fuld overensstemmelse med denne forordning og dens formål og skal meddeles Kommissionen.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 xml:space="preserve">Betalingstjenesteudbyderen må ikke afkræve betalingstjenestebrugeren gebyr for opfyldelse af sine oplysningspligter eller korrigerende og forebyggende foranstaltninger i henhold til dette afsnit, medmindre andet fremgår af artikel 65, stk. 1, artikel 66, stk. 5, og artikel 74, stk. 4. Disse gebyrer aftales af brugeren af betalingstjenester og udbyderen af betalingstjenester og skal være passende og stå i rimeligt forhold til </w:t>
            </w:r>
            <w:r w:rsidRPr="00A80DA9">
              <w:rPr>
                <w:b/>
                <w:i/>
              </w:rPr>
              <w:t>betalingstjenesteudbyderens</w:t>
            </w:r>
            <w:r w:rsidRPr="00A80DA9">
              <w:t xml:space="preserve"> faktiske omkostninger.</w:t>
            </w:r>
          </w:p>
        </w:tc>
        <w:tc>
          <w:tcPr>
            <w:tcW w:w="4876" w:type="dxa"/>
            <w:hideMark/>
          </w:tcPr>
          <w:p w:rsidR="0047667D" w:rsidRPr="00A80DA9" w:rsidRDefault="008507C9">
            <w:pPr>
              <w:pStyle w:val="Normal6"/>
              <w:rPr>
                <w:szCs w:val="24"/>
              </w:rPr>
            </w:pPr>
            <w:r w:rsidRPr="00A80DA9">
              <w:t>1.</w:t>
            </w:r>
            <w:r w:rsidRPr="00A80DA9">
              <w:tab/>
              <w:t xml:space="preserve">Betalingstjenesteudbyderen må ikke afkræve betalingstjenestebrugeren gebyr for opfyldelse af sine oplysningspligter eller korrigerende og forebyggende foranstaltninger i henhold til dette afsnit, medmindre andet fremgår af artikel 65, stk. 1, artikel 66, stk. 5, og artikel 74, stk. 4. Disse gebyrer aftales af brugeren af betalingstjenester og udbyderen af betalingstjenester og skal være passende og stå i rimeligt forhold til </w:t>
            </w:r>
            <w:r w:rsidRPr="00A80DA9">
              <w:rPr>
                <w:b/>
                <w:i/>
              </w:rPr>
              <w:t>de</w:t>
            </w:r>
            <w:r w:rsidRPr="00A80DA9">
              <w:t xml:space="preserve"> faktiske omkostninger.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Betalingsmodtageren må ikke opkræve gebyrer for brug af betalingsinstrumenter</w:t>
            </w:r>
            <w:r w:rsidRPr="00A80DA9">
              <w:rPr>
                <w:b/>
                <w:i/>
              </w:rPr>
              <w:t>, for hvilke interbankgebyrerne er reguleret i henhold til kapitel II i forordning (EU) 2015/751, og for kreditoverførsler, herunder øjeblikkelige kreditoverførsler og direkte debiteringstransaktioner inden for Unionen</w:t>
            </w:r>
            <w:r w:rsidRPr="00A80DA9">
              <w:t>.</w:t>
            </w:r>
          </w:p>
        </w:tc>
        <w:tc>
          <w:tcPr>
            <w:tcW w:w="4876" w:type="dxa"/>
            <w:hideMark/>
          </w:tcPr>
          <w:p w:rsidR="0047667D" w:rsidRPr="00A80DA9" w:rsidRDefault="008507C9">
            <w:pPr>
              <w:pStyle w:val="Normal6"/>
              <w:rPr>
                <w:szCs w:val="24"/>
              </w:rPr>
            </w:pPr>
            <w:r w:rsidRPr="00A80DA9">
              <w:t>3.</w:t>
            </w:r>
            <w:r w:rsidRPr="00A80DA9">
              <w:tab/>
              <w:t>Betalingsmodtageren må ikke opkræve gebyrer for brug af betalingsinstrumenter.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Betalingsmodtageren må ikke opkræve gebyrer for brug af betalingsinstrumenter</w:t>
            </w:r>
            <w:r w:rsidRPr="00A80DA9">
              <w:rPr>
                <w:b/>
                <w:i/>
              </w:rPr>
              <w:t>, for hvilke interbankgebyrerne er reguleret i henhold til kapitel II i forordning (EU) 2015/751, og for kreditoverførsler, herunder øjeblikkelige kreditoverførsler og direkte debiteringstransaktioner inden for Unionen</w:t>
            </w:r>
            <w:r w:rsidRPr="00A80DA9">
              <w:t>.</w:t>
            </w:r>
          </w:p>
        </w:tc>
        <w:tc>
          <w:tcPr>
            <w:tcW w:w="4876" w:type="dxa"/>
            <w:hideMark/>
          </w:tcPr>
          <w:p w:rsidR="0047667D" w:rsidRPr="00A80DA9" w:rsidRDefault="008507C9">
            <w:pPr>
              <w:pStyle w:val="Normal6"/>
              <w:rPr>
                <w:szCs w:val="24"/>
              </w:rPr>
            </w:pPr>
            <w:r w:rsidRPr="00A80DA9">
              <w:t>3.</w:t>
            </w:r>
            <w:r w:rsidRPr="00A80DA9">
              <w:tab/>
              <w:t>Betalingsmodtageren må ikke opkræve gebyrer for brug af betalingsinstrumenter.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Betalingsmodtageren må ikke opkræve gebyrer for brug af betalingsinstrumenter, for hvilke interbankgebyrerne er reguleret i henhold til kapitel II i forordning (EU) 2015/751</w:t>
            </w:r>
            <w:r w:rsidRPr="00A80DA9">
              <w:rPr>
                <w:b/>
                <w:i/>
              </w:rPr>
              <w:t>, og for kreditoverførsler, herunder øjeblikkelige kreditoverførsler og direkte debiteringstransaktioner inden for Unionen</w:t>
            </w:r>
            <w:r w:rsidRPr="00A80DA9">
              <w:t>.</w:t>
            </w:r>
          </w:p>
        </w:tc>
        <w:tc>
          <w:tcPr>
            <w:tcW w:w="4876" w:type="dxa"/>
            <w:hideMark/>
          </w:tcPr>
          <w:p w:rsidR="0047667D" w:rsidRPr="00A80DA9" w:rsidRDefault="008507C9">
            <w:pPr>
              <w:pStyle w:val="Normal6"/>
              <w:rPr>
                <w:szCs w:val="24"/>
              </w:rPr>
            </w:pPr>
            <w:r w:rsidRPr="00A80DA9">
              <w:t>3.</w:t>
            </w:r>
            <w:r w:rsidRPr="00A80DA9">
              <w:tab/>
              <w:t xml:space="preserve">Betalingsmodtageren må ikke opkræve gebyrer for brug af </w:t>
            </w:r>
            <w:r w:rsidRPr="00A80DA9">
              <w:rPr>
                <w:b/>
                <w:i/>
              </w:rPr>
              <w:t>nogen</w:t>
            </w:r>
            <w:r w:rsidRPr="00A80DA9">
              <w:t xml:space="preserve"> betalingsinstrumenter</w:t>
            </w:r>
            <w:r w:rsidRPr="00A80DA9">
              <w:rPr>
                <w:b/>
                <w:i/>
              </w:rPr>
              <w:t>, herunder sådanne</w:t>
            </w:r>
            <w:r w:rsidRPr="00A80DA9">
              <w:t>, for hvilke interbankgebyrerne er reguleret i henhold til kapitel II i forordning (EU) 2015/751.</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4.</w:t>
            </w:r>
            <w:r w:rsidRPr="00A80DA9">
              <w:rPr>
                <w:b/>
                <w:i/>
              </w:rPr>
              <w:tab/>
              <w:t>Medlemsstaterne kan udvide forbuddet mod eller begrænse betalingsmodtagerens ret til at opkræve gebyrer for brug af andre betalingsinstrumenter end dem, der er omhandlet i stk. 3, under hensyntagen til behovet for at tilskynde til konkurrence og fremme brugen af effektive betalingsinstrumenter.</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4.</w:t>
            </w:r>
            <w:r w:rsidRPr="00A80DA9">
              <w:rPr>
                <w:b/>
                <w:i/>
              </w:rPr>
              <w:tab/>
              <w:t>Medlemsstaterne kan udvide forbuddet mod eller begrænse betalingsmodtagerens ret til at opkræve gebyrer for brug af andre betalingsinstrumenter end dem, der er omhandlet i stk. 3, under hensyntagen til behovet for at tilskynde til konkurrence og fremme brugen af effektive betalingsinstrumenter.</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4.</w:t>
            </w:r>
            <w:r w:rsidRPr="00A80DA9">
              <w:rPr>
                <w:b/>
                <w:i/>
              </w:rPr>
              <w:tab/>
              <w:t>Medlemsstaterne kan udvide forbuddet mod eller begrænse betalingsmodtagerens ret til at opkræve gebyrer for brug af andre betalingsinstrumenter end dem, der er omhandlet i stk. 3, under hensyntagen til behovet for at tilskynde til konkurrence og fremme brugen af effektive betalingsinstrumenter.</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4.</w:t>
            </w:r>
            <w:r w:rsidRPr="00A80DA9">
              <w:tab/>
              <w:t xml:space="preserve">Medlemsstaterne </w:t>
            </w:r>
            <w:r w:rsidRPr="00A80DA9">
              <w:rPr>
                <w:b/>
                <w:i/>
              </w:rPr>
              <w:t>kan udvide</w:t>
            </w:r>
            <w:r w:rsidRPr="00A80DA9">
              <w:t xml:space="preserve"> forbuddet mod eller begrænse betalingsmodtagerens ret til at opkræve gebyrer for brug af </w:t>
            </w:r>
            <w:r w:rsidRPr="00A80DA9">
              <w:rPr>
                <w:b/>
                <w:i/>
              </w:rPr>
              <w:t>andre</w:t>
            </w:r>
            <w:r w:rsidRPr="00A80DA9">
              <w:t xml:space="preserve"> betalingsinstrumenter </w:t>
            </w:r>
            <w:r w:rsidRPr="00A80DA9">
              <w:rPr>
                <w:b/>
                <w:i/>
              </w:rPr>
              <w:t>end dem, der er omhandlet i stk. 3,</w:t>
            </w:r>
            <w:r w:rsidRPr="00A80DA9">
              <w:t xml:space="preserve"> under hensyntagen til behovet for at tilskynde til konkurrence og fremme brugen af effektive betalingsinstrumenter.</w:t>
            </w:r>
          </w:p>
        </w:tc>
        <w:tc>
          <w:tcPr>
            <w:tcW w:w="4876" w:type="dxa"/>
            <w:hideMark/>
          </w:tcPr>
          <w:p w:rsidR="0047667D" w:rsidRPr="00A80DA9" w:rsidRDefault="008507C9">
            <w:pPr>
              <w:pStyle w:val="Normal6"/>
              <w:rPr>
                <w:szCs w:val="24"/>
              </w:rPr>
            </w:pPr>
            <w:r w:rsidRPr="00A80DA9">
              <w:t>4.</w:t>
            </w:r>
            <w:r w:rsidRPr="00A80DA9">
              <w:tab/>
              <w:t xml:space="preserve">Medlemsstaterne </w:t>
            </w:r>
            <w:r w:rsidRPr="00A80DA9">
              <w:rPr>
                <w:b/>
                <w:i/>
              </w:rPr>
              <w:t>udvider</w:t>
            </w:r>
            <w:r w:rsidRPr="00A80DA9">
              <w:t xml:space="preserve"> forbuddet mod eller begrænse betalingsmodtagerens ret til at opkræve gebyrer for brug af </w:t>
            </w:r>
            <w:r w:rsidRPr="00A80DA9">
              <w:rPr>
                <w:b/>
                <w:i/>
              </w:rPr>
              <w:t>alle</w:t>
            </w:r>
            <w:r w:rsidRPr="00A80DA9">
              <w:t xml:space="preserve"> betalingsinstrumenter under hensyntagen til behovet for at tilskynde til konkurrence og fremme brugen af effektive betalingsinstrumenter.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5</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w:t>
            </w:r>
            <w:r w:rsidRPr="00A80DA9">
              <w:tab/>
              <w:t xml:space="preserve">Med forbehold af stk. 3 </w:t>
            </w:r>
            <w:r w:rsidRPr="00A80DA9">
              <w:rPr>
                <w:b/>
                <w:i/>
              </w:rPr>
              <w:t>og 4 og for instrumenter, der ikke er omfattet af disse stykker,</w:t>
            </w:r>
            <w:r w:rsidRPr="00A80DA9">
              <w:t xml:space="preserve"> må betalingstjenesteudbyderen ikke forhindre betalingsmodtageren i at </w:t>
            </w:r>
            <w:r w:rsidRPr="00A80DA9">
              <w:rPr>
                <w:b/>
                <w:i/>
              </w:rPr>
              <w:t>opkræve et gebyr fra</w:t>
            </w:r>
            <w:r w:rsidRPr="00A80DA9">
              <w:t xml:space="preserve"> betaleren</w:t>
            </w:r>
            <w:r w:rsidRPr="00A80DA9">
              <w:rPr>
                <w:b/>
                <w:i/>
              </w:rPr>
              <w:t>, tilbyde denne</w:t>
            </w:r>
            <w:r w:rsidRPr="00A80DA9">
              <w:t xml:space="preserve"> en rabat eller på anden måde styre betaleren i retning af at anvende et givet betalingsinstrument. </w:t>
            </w:r>
            <w:r w:rsidRPr="00A80DA9">
              <w:rPr>
                <w:b/>
                <w:i/>
              </w:rPr>
              <w:t>De eventuelle gebyrer, der pålægges, må ikke overstige de direkte omkostninger, som betalingsmodtageren afholder for at anvende det pågældende betalingsinstrument.</w:t>
            </w:r>
          </w:p>
        </w:tc>
        <w:tc>
          <w:tcPr>
            <w:tcW w:w="4876" w:type="dxa"/>
            <w:hideMark/>
          </w:tcPr>
          <w:p w:rsidR="0047667D" w:rsidRPr="00A80DA9" w:rsidRDefault="008507C9">
            <w:pPr>
              <w:pStyle w:val="Normal6"/>
              <w:rPr>
                <w:szCs w:val="24"/>
              </w:rPr>
            </w:pPr>
            <w:r w:rsidRPr="00A80DA9">
              <w:t>5.</w:t>
            </w:r>
            <w:r w:rsidRPr="00A80DA9">
              <w:tab/>
              <w:t xml:space="preserve">Med forbehold af stk. 3 må betalingstjenesteudbyderen ikke forhindre betalingsmodtageren i at </w:t>
            </w:r>
            <w:r w:rsidRPr="00A80DA9">
              <w:rPr>
                <w:b/>
                <w:i/>
              </w:rPr>
              <w:t>tilbyde</w:t>
            </w:r>
            <w:r w:rsidRPr="00A80DA9">
              <w:t xml:space="preserve"> betaleren en rabat eller på anden måde styre betaleren i retning af at anvende et givet betalingsinstrument.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249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5</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w:t>
            </w:r>
            <w:r w:rsidRPr="00A80DA9">
              <w:tab/>
              <w:t xml:space="preserve">Med forbehold af stk. 3 og 4 </w:t>
            </w:r>
            <w:r w:rsidRPr="00A80DA9">
              <w:rPr>
                <w:b/>
                <w:i/>
              </w:rPr>
              <w:t>og for instrumenter, der ikke er omfattet af disse stykker,</w:t>
            </w:r>
            <w:r w:rsidRPr="00A80DA9">
              <w:t xml:space="preserve"> må betalingstjenesteudbyderen ikke forhindre betalingsmodtageren i at </w:t>
            </w:r>
            <w:r w:rsidRPr="00A80DA9">
              <w:rPr>
                <w:b/>
                <w:i/>
              </w:rPr>
              <w:t>opkræve et gebyr fra</w:t>
            </w:r>
            <w:r w:rsidRPr="00A80DA9">
              <w:t xml:space="preserve"> betaleren</w:t>
            </w:r>
            <w:r w:rsidRPr="00A80DA9">
              <w:rPr>
                <w:b/>
                <w:i/>
              </w:rPr>
              <w:t>, tilbyde denne</w:t>
            </w:r>
            <w:r w:rsidRPr="00A80DA9">
              <w:t xml:space="preserve"> en rabat eller på anden måde styre betaleren i retning af at anvende et givet betalingsinstrument. </w:t>
            </w:r>
            <w:r w:rsidRPr="00A80DA9">
              <w:rPr>
                <w:b/>
                <w:i/>
              </w:rPr>
              <w:t>De eventuelle gebyrer, der pålægges, må ikke overstige de direkte omkostninger, som betalingsmodtageren afholder for at anvende det pågældende betalingsinstrument.</w:t>
            </w:r>
          </w:p>
        </w:tc>
        <w:tc>
          <w:tcPr>
            <w:tcW w:w="4876" w:type="dxa"/>
            <w:hideMark/>
          </w:tcPr>
          <w:p w:rsidR="0047667D" w:rsidRPr="00A80DA9" w:rsidRDefault="008507C9">
            <w:pPr>
              <w:pStyle w:val="Normal6"/>
              <w:rPr>
                <w:szCs w:val="24"/>
              </w:rPr>
            </w:pPr>
            <w:r w:rsidRPr="00A80DA9">
              <w:t>5.</w:t>
            </w:r>
            <w:r w:rsidRPr="00A80DA9">
              <w:tab/>
              <w:t xml:space="preserve">Med forbehold af stk. 3 og 4 må betalingstjenesteudbyderen ikke forhindre betalingsmodtageren i at </w:t>
            </w:r>
            <w:r w:rsidRPr="00A80DA9">
              <w:rPr>
                <w:b/>
                <w:i/>
              </w:rPr>
              <w:t>tilbyde</w:t>
            </w:r>
            <w:r w:rsidRPr="00A80DA9">
              <w:t xml:space="preserve"> betaleren en rabat eller på anden måde styre betaleren i retning af at anvende et givet betalingsinstrument.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5</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5.</w:t>
            </w:r>
            <w:r w:rsidRPr="00A80DA9">
              <w:tab/>
              <w:t xml:space="preserve">Med forbehold af stk. 3 </w:t>
            </w:r>
            <w:r w:rsidRPr="00A80DA9">
              <w:rPr>
                <w:b/>
                <w:i/>
              </w:rPr>
              <w:t>og 4 og for instrumenter, der ikke er omfattet af disse stykker,</w:t>
            </w:r>
            <w:r w:rsidRPr="00A80DA9">
              <w:t xml:space="preserve"> må betalingstjenesteudbyderen ikke forhindre betalingsmodtageren i at opkræve et gebyr fra betaleren, tilbyde denne en rabat eller på anden måde styre betaleren i retning af at anvende et givet betalingsinstrument. De eventuelle gebyrer, der pålægges, må ikke overstige de direkte omkostninger, som betalingsmodtageren afholder for at anvende det pågældende betalingsinstrument.</w:t>
            </w:r>
          </w:p>
        </w:tc>
        <w:tc>
          <w:tcPr>
            <w:tcW w:w="4876" w:type="dxa"/>
            <w:hideMark/>
          </w:tcPr>
          <w:p w:rsidR="0047667D" w:rsidRPr="00A80DA9" w:rsidRDefault="008507C9">
            <w:pPr>
              <w:pStyle w:val="Normal6"/>
              <w:rPr>
                <w:szCs w:val="24"/>
              </w:rPr>
            </w:pPr>
            <w:r w:rsidRPr="00A80DA9">
              <w:t>5.</w:t>
            </w:r>
            <w:r w:rsidRPr="00A80DA9">
              <w:tab/>
              <w:t>Med forbehold af stk. 3 må betalingstjenesteudbyderen ikke forhindre betalingsmodtageren i at tilbyde betaleren en rabat eller på anden måde styre betaleren i retning af at anvende et givet betalingsinstrument. De eventuelle gebyrer, der pålægges, må ikke overstige de direkte omkostninger, som betalingsmodtageren afholder for at anvende det pågældende betalingsinstrument.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Frances Fitzgerald</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28 – stk. 6</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6.</w:t>
            </w:r>
            <w:r w:rsidRPr="00A80DA9">
              <w:rPr>
                <w:b/>
                <w:i/>
              </w:rPr>
              <w:tab/>
              <w:t>Medlemsstaterne meddeler [Publikationskontoret: Indsæt dato = datoen for denne forordnings anvendelse] Kommissionen de bestemmelser i deres lovgivning, der er vedtaget i henhold til stk. 4. De giver straks meddelelse om eventuelle senere ændringer af sådanne bestemmelser.</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29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 xml:space="preserve">Hvis der er tale om betalingsinstrumenter, der i henhold til rammeaftalen udelukkende vedrører særskilte betalingstransaktioner på højst </w:t>
            </w:r>
            <w:r w:rsidRPr="00A80DA9">
              <w:rPr>
                <w:b/>
                <w:i/>
              </w:rPr>
              <w:t>50</w:t>
            </w:r>
            <w:r w:rsidRPr="00A80DA9">
              <w:t xml:space="preserve"> EUR, eller som enten har en beløbsgrænse på </w:t>
            </w:r>
            <w:r w:rsidRPr="00A80DA9">
              <w:rPr>
                <w:b/>
                <w:i/>
              </w:rPr>
              <w:t>200</w:t>
            </w:r>
            <w:r w:rsidRPr="00A80DA9">
              <w:t xml:space="preserve"> EUR eller på intet tidspunkt lagrer midler på mere end </w:t>
            </w:r>
            <w:r w:rsidRPr="00A80DA9">
              <w:rPr>
                <w:b/>
                <w:i/>
              </w:rPr>
              <w:t>200</w:t>
            </w:r>
            <w:r w:rsidRPr="00A80DA9">
              <w:t xml:space="preserve"> EUR, kan betalingstjenesteudbyderne aftale med deres betalingstjenestebrugere at:</w:t>
            </w:r>
          </w:p>
        </w:tc>
        <w:tc>
          <w:tcPr>
            <w:tcW w:w="4876" w:type="dxa"/>
            <w:hideMark/>
          </w:tcPr>
          <w:p w:rsidR="0047667D" w:rsidRPr="00A80DA9" w:rsidRDefault="008507C9">
            <w:pPr>
              <w:pStyle w:val="Normal6"/>
              <w:rPr>
                <w:szCs w:val="24"/>
              </w:rPr>
            </w:pPr>
            <w:r w:rsidRPr="00A80DA9">
              <w:t>1.</w:t>
            </w:r>
            <w:r w:rsidRPr="00A80DA9">
              <w:tab/>
              <w:t xml:space="preserve">Hvis der er tale om betalingsinstrumenter, der i henhold til rammeaftalen udelukkende vedrører særskilte betalingstransaktioner på højst </w:t>
            </w:r>
            <w:r w:rsidRPr="00A80DA9">
              <w:rPr>
                <w:b/>
                <w:i/>
              </w:rPr>
              <w:t>100</w:t>
            </w:r>
            <w:r w:rsidRPr="00A80DA9">
              <w:t xml:space="preserve"> EUR, eller som enten har en beløbsgrænse på </w:t>
            </w:r>
            <w:r w:rsidRPr="00A80DA9">
              <w:rPr>
                <w:b/>
                <w:i/>
              </w:rPr>
              <w:t>250</w:t>
            </w:r>
            <w:r w:rsidRPr="00A80DA9">
              <w:t xml:space="preserve"> EUR eller på intet tidspunkt lagrer midler på mere end </w:t>
            </w:r>
            <w:r w:rsidRPr="00A80DA9">
              <w:rPr>
                <w:b/>
                <w:i/>
              </w:rPr>
              <w:t>250</w:t>
            </w:r>
            <w:r w:rsidRPr="00A80DA9">
              <w:t xml:space="preserve"> EUR, kan betalingstjenesteudbyderne aftale med deres betalingstjenestebrugere at: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31 a (ny)</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jc w:val="center"/>
              <w:rPr>
                <w:szCs w:val="24"/>
              </w:rPr>
            </w:pPr>
            <w:r w:rsidRPr="00A80DA9">
              <w:rPr>
                <w:b/>
                <w:i/>
              </w:rPr>
              <w:t>Artikel 31a</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Med forbehold af artikel 6, stk. 7, i Europa-Parlamentets og Rådets forordning (EU) 2022/1925 af 14. september 2022 om åbne og fair markeder i den digitale sektor og om ændring af direktiv (EU) 2019/1937 og (EU) 2020/1828 skal fabrikanter af originalt udstyr til mobile enheder og udbydere af elektroniske kommunikationstjenester i betydningen i artikel 2, stk. 1, i direktiv (EU) 2018/1972 give udbydere af udstedende betalingstjenester effektiv interoperabilitet med og adgang med henblik på interoperabilitet til de hardware- og softwarefunktioner, der er nødvendige for lagring og overførsel af data til behandling af online- og offlinetransaktioner på rimelige og ikkediskriminerende vilkår.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Et kreditinstitut må kun nægte at åbne eller kun lukke en betalingskonto for et betalingsinstitut for dets agenter eller distributører eller for en ansøger om licens som betalingsinstitut i følgende tilfælde:</w:t>
            </w:r>
          </w:p>
        </w:tc>
        <w:tc>
          <w:tcPr>
            <w:tcW w:w="4876" w:type="dxa"/>
            <w:hideMark/>
          </w:tcPr>
          <w:p w:rsidR="0047667D" w:rsidRPr="00A80DA9" w:rsidRDefault="008507C9">
            <w:pPr>
              <w:pStyle w:val="Normal6"/>
              <w:rPr>
                <w:szCs w:val="24"/>
              </w:rPr>
            </w:pPr>
            <w:r w:rsidRPr="00A80DA9">
              <w:t>1.</w:t>
            </w:r>
            <w:r w:rsidRPr="00A80DA9">
              <w:tab/>
              <w:t xml:space="preserve">Et kreditinstitut må kun nægte at åbne eller lukke en betalingskonto for et betalingsinstitut for dets agenter eller distributører eller for en ansøger om licens som betalingsinstitut i </w:t>
            </w:r>
            <w:r w:rsidRPr="00A80DA9">
              <w:rPr>
                <w:b/>
                <w:i/>
              </w:rPr>
              <w:t>tilfælde, hvor der foreligger objektive, ikkediskriminerende og proportionale begrundelser herfor, navnlig i</w:t>
            </w:r>
            <w:r w:rsidRPr="00A80DA9">
              <w:t xml:space="preserve"> følgende tilfælde: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 litra b</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w:t>
            </w:r>
            <w:r w:rsidRPr="00A80DA9">
              <w:tab/>
              <w:t>der foreligger eller har været et kontraktbrud begået af ansøgeren for en konto</w:t>
            </w:r>
          </w:p>
        </w:tc>
        <w:tc>
          <w:tcPr>
            <w:tcW w:w="4876" w:type="dxa"/>
            <w:hideMark/>
          </w:tcPr>
          <w:p w:rsidR="0047667D" w:rsidRPr="00A80DA9" w:rsidRDefault="008507C9">
            <w:pPr>
              <w:pStyle w:val="Normal6"/>
              <w:rPr>
                <w:szCs w:val="24"/>
              </w:rPr>
            </w:pPr>
            <w:r w:rsidRPr="00A80DA9">
              <w:t>b)</w:t>
            </w:r>
            <w:r w:rsidRPr="00A80DA9">
              <w:tab/>
              <w:t xml:space="preserve">der foreligger eller har været et </w:t>
            </w:r>
            <w:r w:rsidRPr="00A80DA9">
              <w:rPr>
                <w:b/>
                <w:i/>
              </w:rPr>
              <w:t>væsentligt</w:t>
            </w:r>
            <w:r w:rsidRPr="00A80DA9">
              <w:t xml:space="preserve"> kontraktbrud begået af ansøgeren for en konto</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 litra b</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w:t>
            </w:r>
            <w:r w:rsidRPr="00A80DA9">
              <w:tab/>
              <w:t>der foreligger eller har været et kontraktbrud begået af ansøgeren for en konto</w:t>
            </w:r>
          </w:p>
        </w:tc>
        <w:tc>
          <w:tcPr>
            <w:tcW w:w="4876" w:type="dxa"/>
            <w:hideMark/>
          </w:tcPr>
          <w:p w:rsidR="0047667D" w:rsidRPr="00A80DA9" w:rsidRDefault="008507C9">
            <w:pPr>
              <w:pStyle w:val="Normal6"/>
              <w:rPr>
                <w:szCs w:val="24"/>
              </w:rPr>
            </w:pPr>
            <w:r w:rsidRPr="00A80DA9">
              <w:t>b)</w:t>
            </w:r>
            <w:r w:rsidRPr="00A80DA9">
              <w:tab/>
              <w:t xml:space="preserve">der foreligger eller har været et </w:t>
            </w:r>
            <w:r w:rsidRPr="00A80DA9">
              <w:rPr>
                <w:b/>
                <w:i/>
              </w:rPr>
              <w:t>væsentligt</w:t>
            </w:r>
            <w:r w:rsidRPr="00A80DA9">
              <w:t xml:space="preserve"> kontraktbrud begået af ansøgeren for en konto</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 litra c</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c)</w:t>
            </w:r>
            <w:r w:rsidRPr="00A80DA9">
              <w:tab/>
              <w:t>der er modtaget utilstrækkelige oplysninger og dokumenter fra ansøgeren om en konto</w:t>
            </w:r>
          </w:p>
        </w:tc>
        <w:tc>
          <w:tcPr>
            <w:tcW w:w="4876" w:type="dxa"/>
            <w:hideMark/>
          </w:tcPr>
          <w:p w:rsidR="0047667D" w:rsidRPr="00A80DA9" w:rsidRDefault="008507C9">
            <w:pPr>
              <w:pStyle w:val="Normal6"/>
              <w:rPr>
                <w:szCs w:val="24"/>
              </w:rPr>
            </w:pPr>
            <w:r w:rsidRPr="00A80DA9">
              <w:t>c)</w:t>
            </w:r>
            <w:r w:rsidRPr="00A80DA9">
              <w:tab/>
              <w:t xml:space="preserve">der er modtaget utilstrækkelige oplysninger og dokumenter </w:t>
            </w:r>
            <w:r w:rsidRPr="00A80DA9">
              <w:rPr>
                <w:b/>
                <w:i/>
              </w:rPr>
              <w:t>vedrørende de emner, der er omhandlet i dette stykke,</w:t>
            </w:r>
            <w:r w:rsidRPr="00A80DA9">
              <w:t xml:space="preserve"> fra ansøgeren om en konto</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 litra d</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d)</w:t>
            </w:r>
            <w:r w:rsidRPr="00A80DA9">
              <w:rPr>
                <w:b/>
                <w:i/>
              </w:rPr>
              <w:tab/>
              <w:t>ansøgeren om en konto eller dennes forretningsmodel har en for høj risikoprofil</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259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 litra d</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d)</w:t>
            </w:r>
            <w:r w:rsidRPr="00A80DA9">
              <w:rPr>
                <w:b/>
                <w:i/>
              </w:rPr>
              <w:tab/>
              <w:t>ansøgeren om en konto eller dennes forretningsmodel har en for høj risikoprofil</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 litra e</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e)</w:t>
            </w:r>
            <w:r w:rsidRPr="00A80DA9">
              <w:rPr>
                <w:b/>
                <w:i/>
              </w:rPr>
              <w:tab/>
              <w:t>ansøgeren om en konto ville medføre uforholdsmæssigt høje overholdelsesomkostninger for kreditinstituttet.</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 litra e</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e)</w:t>
            </w:r>
            <w:r w:rsidRPr="00A80DA9">
              <w:rPr>
                <w:b/>
                <w:i/>
              </w:rPr>
              <w:tab/>
              <w:t>ansøgeren om en konto ville medføre uforholdsmæssigt høje overholdelsesomkostninger for kreditinstituttet.</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 afsnit 1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Når et kreditinstitut træffer en afgørelse om at lukke en betalingskonto i overensstemmelse med dette stykke, træder lukningen af kontoen i kraft ved udløbet af en opsigelsesperiode på mindst seks måneder.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1a.</w:t>
            </w:r>
            <w:r w:rsidRPr="00A80DA9">
              <w:rPr>
                <w:b/>
                <w:i/>
              </w:rPr>
              <w:tab/>
              <w:t>Medlemsstaterne sikrer, at betalingsinstitutter har adgangsret til betalingskonti hos et eller flere kreditinstitutter. Denne adgang skal være tilstrækkeligt omfattende til at give betalingsinstitutterne mulighed for at yde deres betalingstjenester på en uhindret, effektiv og uafbrudt måde gennem hele deres tilladelsesperiode. Hvis et betalingsinstitut ikke er i stand til at åbne en betalingskonto i et kreditinstitut, eller hvis en sådan betalingskonto lukkes, udnævner den kompetente myndighed et eller flere kreditinstitutter, der kan stille en betalingskonto til rådighed for betalingsinstituttet.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1a.</w:t>
            </w:r>
            <w:r w:rsidRPr="00A80DA9">
              <w:rPr>
                <w:b/>
                <w:i/>
              </w:rPr>
              <w:tab/>
              <w:t>Medlemsstaterne sikrer, at betalingsinstitutter har adgangsret til betalingskonti hos et eller flere kreditinstitutter. Denne adgang skal være tilstrækkeligt omfattende til at give betalingsinstitutterne mulighed for at yde deres betalingstjenester på en uhindret, effektiv og uafbrudt måde gennem hele deres tilladelsesperiode. Hvis et betalingsinstitut ikke er i stand til at åbne en betalingskonto i et kreditinstitut, eller hvis en sådan betalingskonto lukkes, udnævner den kompetente myndighed et eller flere kreditinstitutter, der kan stille en betalingskonto til rådighed for betalingsinstituttet.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1 b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1b.</w:t>
            </w:r>
            <w:r w:rsidRPr="00A80DA9">
              <w:rPr>
                <w:b/>
                <w:i/>
              </w:rPr>
              <w:tab/>
              <w:t>Når et kreditinstitut træffer en afgørelse om at lukke en betalingskonto i overensstemmelse med dette stykke, træder lukningen af kontoen i kraft ved udløbet af en opsigelsesperiode på mindst seks måneder.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Et kreditinstitut underretter betalingsinstituttet, dets agenter eller distributører eller ansøgeren om en licens som betalingsinstitut om enhver beslutning om at afvise at åbne eller lukke en betalingskonto for et betalingsinstitut, dets agenter eller distributører eller en ansøger om licens som betalingsinstitut, og det skal behørigt begrunde en sådan afgørelse. En sådan begrundelse skal være specifik for de risici, der er forbundet med det pågældende betalingsinstituts eller dets agenters eller distributørers aktiviteter eller planlagte aktiviteter, som vurderet af kreditinstituttet, og ikke være af generisk karakter.</w:t>
            </w:r>
          </w:p>
        </w:tc>
        <w:tc>
          <w:tcPr>
            <w:tcW w:w="4876" w:type="dxa"/>
            <w:hideMark/>
          </w:tcPr>
          <w:p w:rsidR="0047667D" w:rsidRPr="00A80DA9" w:rsidRDefault="008507C9">
            <w:pPr>
              <w:pStyle w:val="Normal6"/>
              <w:rPr>
                <w:szCs w:val="24"/>
              </w:rPr>
            </w:pPr>
            <w:r w:rsidRPr="00A80DA9">
              <w:t>3.</w:t>
            </w:r>
            <w:r w:rsidRPr="00A80DA9">
              <w:tab/>
              <w:t>Et kreditinstitut underretter betalingsinstituttet, dets agenter eller distributører eller ansøgeren om en licens som betalingsinstitut om enhver beslutning om at afvise at åbne eller lukke en betalingskonto for et betalingsinstitut, dets agenter eller distributører eller en ansøger om licens som betalingsinstitut, og det skal behørigt begrunde en sådan afgørelse. En sådan begrundelse skal være specifik for de risici, der er forbundet med det pågældende betalingsinstituts eller dets agenters eller distributørers aktiviteter eller planlagte aktiviteter, som vurderet af kreditinstituttet, og ikke være af generisk karakter.</w:t>
            </w:r>
            <w:r w:rsidRPr="00A80DA9">
              <w:rPr>
                <w:b/>
                <w:i/>
              </w:rPr>
              <w:t xml:space="preserve"> Et kreditinstitut giver også den kompetente myndighed meddelelse om sin beslutning om at afvise at åbne eller at lukke en betalingskonto. De kompetente myndigheder offentliggør aggregerede data om afvisninger af at åbne og lukning af betalingskonti.</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3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3a.</w:t>
            </w:r>
            <w:r w:rsidRPr="00A80DA9">
              <w:rPr>
                <w:b/>
                <w:i/>
              </w:rPr>
              <w:tab/>
              <w:t>Et kreditinstitut giver også den kompetente myndighed meddelelse om sin beslutning om at lukke eller afvise at åbne en betalingskonto. De kompetente myndigheder offentliggør aggregerede data om afvisninger af at åbne og lukning af betalingskonti.</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3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3a.</w:t>
            </w:r>
            <w:r w:rsidRPr="00A80DA9">
              <w:rPr>
                <w:b/>
                <w:i/>
              </w:rPr>
              <w:tab/>
              <w:t>Et kreditinstitut giver også den kompetente nationale myndighed meddelelse om sin beslutning om at afvise at åbne eller at lukke en bestemt betalingskonto.</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269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5 – afsnit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EBA udarbejder udkast til reguleringsmæssige tekniske standarder, der præciserer det harmoniserede format og de oplysninger, der skal være indeholdt i den underretning og begrundelse, der er omhandlet i denne artikels stk. 3.</w:t>
            </w:r>
          </w:p>
        </w:tc>
        <w:tc>
          <w:tcPr>
            <w:tcW w:w="4876" w:type="dxa"/>
            <w:hideMark/>
          </w:tcPr>
          <w:p w:rsidR="0047667D" w:rsidRPr="00A80DA9" w:rsidRDefault="008507C9">
            <w:pPr>
              <w:pStyle w:val="Normal6"/>
              <w:rPr>
                <w:szCs w:val="24"/>
              </w:rPr>
            </w:pPr>
            <w:r w:rsidRPr="00A80DA9">
              <w:t>EBA udarbejder udkast til reguleringsmæssige tekniske standarder, der præciserer det harmoniserede format og de oplysninger, der skal være indeholdt i den underretning og begrundelse, der er omhandlet i denne artikels stk. 3.</w:t>
            </w:r>
            <w:r w:rsidRPr="00A80DA9">
              <w:rPr>
                <w:b/>
                <w:i/>
              </w:rPr>
              <w:t xml:space="preserve"> Disse udkast til reguleringsmæssige tekniske standarder skal også udvikle de harmoniserede mål, beføjelserne og proceduren, som de kompetente myndigheder skal følge i forbindelse med appeller, der indgives til dem i henhold til denne artikels stk. 4.</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32 – stk. 5 – afsnit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EBA udarbejder udkast til reguleringsmæssige tekniske standarder, der præciserer det harmoniserede format og de oplysninger, der skal være indeholdt i den underretning og begrundelse, der er omhandlet i denne artikels stk. 3.</w:t>
            </w:r>
          </w:p>
        </w:tc>
        <w:tc>
          <w:tcPr>
            <w:tcW w:w="4876" w:type="dxa"/>
            <w:hideMark/>
          </w:tcPr>
          <w:p w:rsidR="0047667D" w:rsidRPr="00A80DA9" w:rsidRDefault="008507C9">
            <w:pPr>
              <w:pStyle w:val="Normal6"/>
              <w:rPr>
                <w:szCs w:val="24"/>
              </w:rPr>
            </w:pPr>
            <w:r w:rsidRPr="00A80DA9">
              <w:t xml:space="preserve">EBA udarbejder udkast til reguleringsmæssige tekniske standarder, der præciserer det harmoniserede format og de oplysninger, der skal være indeholdt i den underretning og begrundelse, der er omhandlet i denne artikels stk. 3. </w:t>
            </w:r>
            <w:r w:rsidRPr="00A80DA9">
              <w:rPr>
                <w:b/>
                <w:i/>
              </w:rPr>
              <w:t>Disse udkast til reguleringsmæssige tekniske standarder skal også udvikle de harmoniserede mål, beføjelserne og proceduren, som de kompetente myndigheder skal følge i forbindelse med appeller, der indgives til dem i henhold til denne artikels stk. 4.</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33 – stk. 1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1a.</w:t>
            </w:r>
            <w:r w:rsidRPr="00A80DA9">
              <w:rPr>
                <w:b/>
                <w:i/>
              </w:rPr>
              <w:tab/>
              <w:t>Betalingsmodtagere skal tilbyde betalingstjenestebrugere mindst én betalingsmetode uden brugergebyrer, som ikke er baseret på anvendelsen af en udbyder af betalingsinitieringstjenester.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Forbrugerne bør ikke forskelsbehandles eller nægtes adgang til en tjenesteydelse eller et produkt (f.eks. kredit), når de nægter at bruge open banking som en metode til at levere data. De bør tilbydes forskellige metoder til at levere de data, der kræves for at få adgang til tjenesten (f.eks. kredit), eller forskellige metoder til at initiere en betaling.</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33 – stk. 1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1a.</w:t>
            </w:r>
            <w:r w:rsidRPr="00A80DA9">
              <w:rPr>
                <w:b/>
                <w:i/>
              </w:rPr>
              <w:tab/>
              <w:t>Betalingsmodtagere skal tilbyde betalingstjenestebrugere mindst én betalingsmetode uden brugergebyrer, som ikke er baseret på anvendelsen af en udbyder af betalingsinitieringstjenester.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33 – stk. 2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2a.</w:t>
            </w:r>
            <w:r w:rsidRPr="00A80DA9">
              <w:rPr>
                <w:b/>
                <w:i/>
              </w:rPr>
              <w:tab/>
              <w:t>Handlende som kreditorer og forsikringsselskaber skal tilbyde betalingstjenestebrugere en metode til at dele deres data, der ikke er baseret på brugen af kontooplysningstjenesteudbydere.</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Med forbehold af forordning (EU) 2016/679 informerer betalingstjenesteudbyderne forbrugerne på en klar og forståelig måde, når de får et personligt tilbud, der er baseret på automatisk behandling af personoplysninger.</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Handlende som kreditorer og forsikringsselskaber sikrer, at betingelserne for adgang til deres tjenesteydelser ikke forskelsbehandler forbrugere, der opholder sig lovligt i Unionen, på grund af deres nationalitet eller opholdssted, betalingskontoens placering, betalingstjenesteudbyderens etableringssted eller stedet for udstedelse af betalingsinstrumentet inden for Unionen eller af nogen grund som omhandlet i artikel 21 i Den Europæiske Unions charter om grundlæggende rettigheder.</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Enhver virksomhed, der udpeges som gatekeeper i henhold til artikel 3 i forordning (EU) 2022/1925 om åbne og fair markeder i den digitale sektor (forordningen om digitale markeder), får ikke adgang til betalingssystemer som kontooplysningstjenesteudbyder.</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Kontooplysningstjenesteudbydere har ikke tilladelse til at samkøre kontooplysningsdata, som er indhentet i henhold til denne forordning, med andre typer af personoplysninger, når en sådan samkøring af data kan føre til skadelig praksis såsom sociale pointsystemer. Den Europæiske Banktilsynsmyndighed udarbejder udkast til reguleringsmæssige tekniske standarder, der begrænser samkøring af data indhentet af kontooplysningstjenesteudbydere med andre typer af personoplysninger. EBA forelægger de i første afsnit omhandlede reguleringsmæssige tekniske standarder for Kommissionen senest den [Publikationskontoret: Indsæt venligst datoen = et år efter datoen for denne forordnings ikrafttræden].</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Ved udarbejdelsen af de udkast til reguleringsmæssige tekniske standarder, der er omhandlet i sjette afsnit, arbejder Den Europæiske Banktilsynsmyndighed tæt sammen med Det Europæiske Databeskyttelsesråd, der er oprettet ved forordning (EU) 2016/679.</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Kommissionen tillægges beføjelser til at vedtage de i sjette afsnit omhandlede reguleringsmæssige tekniske standarder i overensstemmelse med artikel 10-14 i forordning (EU) nr. 1093/2010.</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Consumers should not be discriminated against or refused access to a service or product (e.g. credit) when they refuse to use open banking as a means to provide data. They should be offered different ways to provide the data required to access the service (e.g. credit) or different ways to initiate a payment. Given the sensitive nature of payment transaction data revealing a lot about a consumer’s private life, consumers shall be adequately informed when this data is used to create a personalised offer and which categories of data have been used to create such an offer as already foreseen for creditors under the Consumer Credit Directive.</w:t>
      </w:r>
      <w:r>
        <w:t xml:space="preserve"> </w:t>
      </w:r>
      <w:r w:rsidRPr="00A80DA9">
        <w:t>In addition, it shall be explicitly foreseen that consumers cannot be discriminated against on the basis of any other types of personal characteristics such as gender, disabilities, nationality or place of residence similarly to Article 6 of the Consumer Credit Directive.</w:t>
      </w:r>
      <w:r>
        <w:t xml:space="preserve"> </w:t>
      </w:r>
      <w:r w:rsidRPr="00A80DA9">
        <w:t>Financial data sharing could pose significant risks, if consumers’ data is exploited by companies with extensive financial power. Therefore, the role of AISPs should be clearly delineated and entities designated as gatekeepers under the Digital Markets Act should not get access to data under Open Banking. A similar provision is foreseen in Article 5 of the newly adopted Data Act.</w:t>
      </w:r>
      <w:r>
        <w:t xml:space="preserve"> </w:t>
      </w:r>
      <w:r w:rsidRPr="00A80DA9">
        <w:t>The combination of data obtained via the use of account information services with other types of personal data can result in heightened risk of harmful practices such social scoring. To avoid such risks, the European Banking Authority shall in cooperation with the European Data Protection Board, develop regulatory technical standards to limit certain types of combination of data. For example, combining data from credit registers with account information data could pose such a risk of social scoring.</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33 – stk. 2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2a.</w:t>
            </w:r>
            <w:r w:rsidRPr="00A80DA9">
              <w:rPr>
                <w:b/>
                <w:i/>
              </w:rPr>
              <w:tab/>
              <w:t>Handlende som kreditorer og forsikringsselskaber tilbyder betalingstjenestebrugere en metode til at dele deres data, der ikke er baseret på brugen af kontooplysningstjenesteudbydere.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33 – stk. 2 b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2b.</w:t>
            </w:r>
            <w:r w:rsidRPr="00A80DA9">
              <w:rPr>
                <w:b/>
                <w:i/>
              </w:rPr>
              <w:tab/>
              <w:t>Med forbehold af forordning (EU) 2016/679 informerer betalingstjenesteudbyderne forbrugerne på en klar og forståelig måde, når de får et personligt tilbud, der er baseret på automatisk behandling af personoplysninger.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33 – stk. 2 c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2c.</w:t>
            </w:r>
            <w:r w:rsidRPr="00A80DA9">
              <w:rPr>
                <w:b/>
                <w:i/>
              </w:rPr>
              <w:tab/>
              <w:t>Handlende som kreditorer og forsikringsselskaber sikrer, at betingelserne for adgang til deres tjenesteydelser, ikke forskelsbehandler forbrugere, der opholder sig lovligt i Unionen, på grund af deres nationalitet eller opholdssted, betalingskontoens placering, betalingstjenesteudbyderens etableringssted eller stedet for udstedelse af betalingsinstrumentet inden for Unionen eller af nogen grund som omhandlet i artikel 21 i Den Europæiske Unions charter om grundlæggende rettigheder.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33 – stk. 2 d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2d.</w:t>
            </w:r>
            <w:r w:rsidRPr="00A80DA9">
              <w:rPr>
                <w:b/>
                <w:i/>
              </w:rPr>
              <w:tab/>
              <w:t>Enhver virksomhed, der udpeges som gatekeeper i henhold til artikel 3 i forordning (EU) 2022/1925 om åbne og fair markeder i den digitale sektor, får ikke adgang til betalingssystemer som kontooplysningstjenesteudbyder.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33 – stk. 2 e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2e.</w:t>
            </w:r>
            <w:r w:rsidRPr="00A80DA9">
              <w:rPr>
                <w:b/>
                <w:i/>
              </w:rPr>
              <w:tab/>
              <w:t>Kontooplysningstjenesteudbydere har ikke tilladelse til at samkøre kontooplysningsdata, som er indhentet i henhold til denne forordning, med andre typer af personoplysninger, når en sådan samkøring af data kan føre til skadelig praksis såsom sociale pointsystemer.</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Den Europæiske Banktilsynsmyndighed udarbejder udkast til reguleringsmæssige tekniske standarder, der begrænser samkøring af data indhentet af kontooplysningstjenesteudbydere med andre typer af personoplysninger. EBA forelægger de i første afsnit omhandlede reguleringsmæssige tekniske standarder for Kommissionen senest den [Publikationskontoret: Indsæt venligst datoen = et år efter datoen for denne forordnings ikrafttræden].</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Ved udarbejdelsen af de udkast til reguleringsmæssige tekniske standarder, der er omhandlet i andet afsnit, arbejder Den Europæiske Banktilsynsmyndighed tæt sammen med Det Europæiske Databeskyttelsesråd, der er oprettet ved forordning (EU) 2016/679.</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Kommissionen tillægges beføjelser til at vedtage de i andet afsnit omhandlede reguleringsmæssige tekniske standarder i overensstemmelse med artikel 10-14 i forordning (EU) nr. 1093/2010.</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279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Sirpa Pietikäinen</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34 – stk. 2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2a.</w:t>
            </w:r>
            <w:r w:rsidRPr="00A80DA9">
              <w:rPr>
                <w:b/>
                <w:i/>
              </w:rPr>
              <w:tab/>
              <w:t>Kontoførende betalingstjenesteudbyderne er berettiget til kompensation i overensstemmelse med artikel 9, stk. 1, i forordning XXX om harmoniserede regler om fair adgang til og anvendelse af data (dataforordningen, COM(2022)0068).</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35 – overskrift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 xml:space="preserve">Tilrådighedsstillelse af </w:t>
            </w:r>
            <w:r w:rsidRPr="00A80DA9">
              <w:rPr>
                <w:b/>
                <w:i/>
              </w:rPr>
              <w:t>særlige</w:t>
            </w:r>
            <w:r w:rsidRPr="00A80DA9">
              <w:t xml:space="preserve"> adgangsgrænseflader</w:t>
            </w:r>
          </w:p>
        </w:tc>
        <w:tc>
          <w:tcPr>
            <w:tcW w:w="4876" w:type="dxa"/>
            <w:hideMark/>
          </w:tcPr>
          <w:p w:rsidR="0047667D" w:rsidRPr="00A80DA9" w:rsidRDefault="008507C9">
            <w:pPr>
              <w:pStyle w:val="Normal6"/>
              <w:rPr>
                <w:szCs w:val="24"/>
              </w:rPr>
            </w:pPr>
            <w:r w:rsidRPr="00A80DA9">
              <w:t>Tilrådighedsstillelse af adgangsgrænseflader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35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 xml:space="preserve">Kontoførende betalingstjenesteudbydere, der tilbyder en betaler en betalingskonto, der er tilgængelig online, skal have mindst én </w:t>
            </w:r>
            <w:r w:rsidRPr="00A80DA9">
              <w:rPr>
                <w:b/>
                <w:i/>
              </w:rPr>
              <w:t>dedikeret grænseflade</w:t>
            </w:r>
            <w:r w:rsidRPr="00A80DA9">
              <w:t xml:space="preserve"> med henblik på dataudveksling med konto- og betalingsinitieringstjenesteudbydere.</w:t>
            </w:r>
          </w:p>
        </w:tc>
        <w:tc>
          <w:tcPr>
            <w:tcW w:w="4876" w:type="dxa"/>
            <w:hideMark/>
          </w:tcPr>
          <w:p w:rsidR="0047667D" w:rsidRPr="00A80DA9" w:rsidRDefault="008507C9">
            <w:pPr>
              <w:pStyle w:val="Normal6"/>
              <w:rPr>
                <w:szCs w:val="24"/>
              </w:rPr>
            </w:pPr>
            <w:r w:rsidRPr="00A80DA9">
              <w:t>1.</w:t>
            </w:r>
            <w:r w:rsidRPr="00A80DA9">
              <w:tab/>
              <w:t xml:space="preserve">Kontoførende betalingstjenesteudbydere, der tilbyder en betaler en betalingskonto, der er tilgængelig online, skal have mindst én </w:t>
            </w:r>
            <w:r w:rsidRPr="00A80DA9">
              <w:rPr>
                <w:b/>
                <w:i/>
              </w:rPr>
              <w:t>maskine-til-maskine-grænseflade</w:t>
            </w:r>
            <w:r w:rsidRPr="00A80DA9">
              <w:t xml:space="preserve"> med henblik på dataudveksling med konto- og betalingsinitieringstjenesteudbydere.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35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 xml:space="preserve">Med forbehold af artikel </w:t>
            </w:r>
            <w:r w:rsidRPr="00A80DA9">
              <w:rPr>
                <w:b/>
                <w:i/>
              </w:rPr>
              <w:t>38 og</w:t>
            </w:r>
            <w:r w:rsidRPr="00A80DA9">
              <w:t xml:space="preserve"> 39 er kontoførende betalingstjenesteudbydere, der tilbyder en betaler en betalingskonto, der er tilgængelig online, og som har indført en </w:t>
            </w:r>
            <w:r w:rsidRPr="00A80DA9">
              <w:rPr>
                <w:b/>
                <w:i/>
              </w:rPr>
              <w:t>særlig</w:t>
            </w:r>
            <w:r w:rsidRPr="00A80DA9">
              <w:t xml:space="preserve"> grænseflade som omhandlet i denne artikels stk. 1, ikke forpligtet til permanent at vedligeholde en anden grænseflade som fallback med henblik på dataudveksling med konto- og betalingsinitieringstjenesteudbydere.</w:t>
            </w:r>
          </w:p>
        </w:tc>
        <w:tc>
          <w:tcPr>
            <w:tcW w:w="4876" w:type="dxa"/>
            <w:hideMark/>
          </w:tcPr>
          <w:p w:rsidR="0047667D" w:rsidRPr="00A80DA9" w:rsidRDefault="008507C9">
            <w:pPr>
              <w:pStyle w:val="Normal6"/>
              <w:rPr>
                <w:szCs w:val="24"/>
              </w:rPr>
            </w:pPr>
            <w:r w:rsidRPr="00A80DA9">
              <w:t>2.</w:t>
            </w:r>
            <w:r w:rsidRPr="00A80DA9">
              <w:tab/>
              <w:t>Med forbehold af artikel 39 er kontoførende betalingstjenesteudbydere, der tilbyder en betaler en betalingskonto, der er tilgængelig online, og som har indført en grænseflade som omhandlet i denne artikels stk. 1, ikke forpligtet til permanent at vedligeholde en anden grænseflade som fallback med henblik på dataudveksling med konto- og betalingsinitieringstjenesteudbydere</w:t>
            </w:r>
            <w:r w:rsidRPr="00A80DA9">
              <w:rPr>
                <w:b/>
                <w:i/>
              </w:rPr>
              <w:t>, men tillader altid adgang til grænseflader, der giver mulighed for forretningskontinuitet for disse udbydere</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35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 xml:space="preserve">Kontoførende betalingstjenesteudbydere sikrer, at deres </w:t>
            </w:r>
            <w:r w:rsidRPr="00A80DA9">
              <w:rPr>
                <w:b/>
                <w:i/>
              </w:rPr>
              <w:t>dedikerede</w:t>
            </w:r>
            <w:r w:rsidRPr="00A80DA9">
              <w:t xml:space="preserve"> grænseflader, jf. stk. 1, anvender kommunikationsstandarder, der er udstedt af europæiske eller internationale standardiseringsorganisationer, herunder Den Europæiske Standardiseringsorganisation (CEN) eller Den Internationale Standardiseringsorganisation (ISO). Kontoførende betalingstjenesteudbydere sikrer også, at de tekniske specifikationer for de særlige grænseflader, der er omhandlet i stk. 1, dokumenteres med angivelse af et sæt rutiner, protokoller og værktøjer, som betalingsinitieringstjenesteudbydere og kontooplysningstjenesteudbydere har brug for, for at deres software og applikationer kan fungere sammen med den kontoførende betalingstjenesteudbyders systemer. Kontoførende betalingstjenesteudbydere stiller straks efter anmodning fra autoriserede betalingsinitieringstjenesteudbydere, kontooplysningstjenesteudbydere eller betalingstjenesteudbydere, der har ansøgt deres kompetente myndigheder om den relevante tilladelse, dokumentationen vedrørende de tekniske specifikationer for deres særlige grænseflader, jf. stk. 1, til rådighed og gør en sammenfatning af denne dokumentation offentligt tilgængelig på deres websted.</w:t>
            </w:r>
          </w:p>
        </w:tc>
        <w:tc>
          <w:tcPr>
            <w:tcW w:w="4876" w:type="dxa"/>
            <w:hideMark/>
          </w:tcPr>
          <w:p w:rsidR="0047667D" w:rsidRPr="00A80DA9" w:rsidRDefault="008507C9">
            <w:pPr>
              <w:pStyle w:val="Normal6"/>
              <w:rPr>
                <w:szCs w:val="24"/>
              </w:rPr>
            </w:pPr>
            <w:r w:rsidRPr="00A80DA9">
              <w:t>3.</w:t>
            </w:r>
            <w:r w:rsidRPr="00A80DA9">
              <w:tab/>
              <w:t>Kontoførende betalingstjenesteudbydere sikrer, at deres grænseflader, jf. stk. 1, anvender kommunikationsstandarder, der er udstedt af europæiske eller internationale standardiseringsorganisationer, herunder Den Europæiske Standardiseringsorganisation (CEN) eller Den Internationale Standardiseringsorganisation (ISO). Kontoførende betalingstjenesteudbydere sikrer også, at de tekniske specifikationer for de særlige grænseflader, der er omhandlet i stk. 1, dokumenteres med angivelse af et sæt rutiner, protokoller og værktøjer, som betalingsinitieringstjenesteudbydere og kontooplysningstjenesteudbydere har brug for, for at deres software og applikationer kan fungere sammen med den kontoførende betalingstjenesteudbyders systemer. Kontoførende betalingstjenesteudbydere stiller straks efter anmodning fra autoriserede betalingsinitieringstjenesteudbydere, kontooplysningstjenesteudbydere eller betalingstjenesteudbydere, der har ansøgt deres kompetente myndigheder om den relevante tilladelse, dokumentationen vedrørende de tekniske specifikationer for deres særlige grænseflader, jf. stk. 1, til rådighed og gør en sammenfatning af denne dokumentation offentligt tilgængelig på deres websted.</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I hele teksten, hvor udtrykket "dedikeret grænseflade" eller "særlig grænseflade" anvendes, bør det erstattes med "grænseflade" alene.</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Markus Ferber</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35 – stk. 4</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4.</w:t>
            </w:r>
            <w:r w:rsidRPr="00A80DA9">
              <w:tab/>
              <w:t xml:space="preserve">Kontoførende betalingstjenesteudbydere sikrer, at enhver ændring af de tekniske specifikationer for deres særlige grænseflade, jf. stk. 1, undtagen i nødsituationer, der forhindrer dem i at gøre det, stilles til rådighed for godkendte betalingsinitieringstjenesteudbydere, kontooplysningstjenesteudbydere eller betalingstjenesteudbydere, der har ansøgt deres kompetente myndigheder om den relevante tilladelse, på forhånd, så hurtigt som muligt og ikke mindre end </w:t>
            </w:r>
            <w:r w:rsidRPr="00A80DA9">
              <w:rPr>
                <w:b/>
                <w:i/>
              </w:rPr>
              <w:t>tre måneder</w:t>
            </w:r>
            <w:r w:rsidRPr="00A80DA9">
              <w:t>, før ændringen gennemføres. Kontoførende betalingstjenesteudbydere dokumenterer nødsituationer, hvor ændringer er gennemført uden sådanne forhåndsoplysninger, og stiller efter anmodning dokumentationen til rådighed for de kompetente myndigheder.</w:t>
            </w:r>
          </w:p>
        </w:tc>
        <w:tc>
          <w:tcPr>
            <w:tcW w:w="4876" w:type="dxa"/>
            <w:hideMark/>
          </w:tcPr>
          <w:p w:rsidR="0047667D" w:rsidRPr="00A80DA9" w:rsidRDefault="008507C9">
            <w:pPr>
              <w:pStyle w:val="Normal6"/>
              <w:rPr>
                <w:szCs w:val="24"/>
              </w:rPr>
            </w:pPr>
            <w:r w:rsidRPr="00A80DA9">
              <w:t>4.</w:t>
            </w:r>
            <w:r w:rsidRPr="00A80DA9">
              <w:tab/>
              <w:t xml:space="preserve">Kontoførende betalingstjenesteudbydere sikrer, at enhver ændring af de tekniske specifikationer for deres særlige grænseflade, jf. stk. 1, undtagen i nødsituationer, der forhindrer dem i at gøre det, stilles til rådighed for godkendte betalingsinitieringstjenesteudbydere, kontooplysningstjenesteudbydere eller betalingstjenesteudbydere, der har ansøgt deres kompetente myndigheder om den relevante tilladelse, på forhånd, så hurtigt som muligt og ikke mindre end </w:t>
            </w:r>
            <w:r w:rsidRPr="00A80DA9">
              <w:rPr>
                <w:b/>
                <w:i/>
              </w:rPr>
              <w:t>seks uger</w:t>
            </w:r>
            <w:r w:rsidRPr="00A80DA9">
              <w:t>, før ændringen gennemføres. Kontoførende betalingstjenesteudbydere dokumenterer nødsituationer, hvor ændringer er gennemført uden sådanne forhåndsoplysninger, og stiller efter anmodning dokumentationen til rådighed for de kompetente myndigheder.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overskrift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 xml:space="preserve">Krav vedrørende </w:t>
            </w:r>
            <w:r w:rsidRPr="00A80DA9">
              <w:rPr>
                <w:b/>
                <w:i/>
              </w:rPr>
              <w:t>dedikerede</w:t>
            </w:r>
            <w:r w:rsidRPr="00A80DA9">
              <w:t xml:space="preserve"> dataadgangsgrænseflader</w:t>
            </w:r>
          </w:p>
        </w:tc>
        <w:tc>
          <w:tcPr>
            <w:tcW w:w="4876" w:type="dxa"/>
            <w:hideMark/>
          </w:tcPr>
          <w:p w:rsidR="0047667D" w:rsidRPr="00A80DA9" w:rsidRDefault="008507C9">
            <w:pPr>
              <w:pStyle w:val="Normal6"/>
              <w:rPr>
                <w:szCs w:val="24"/>
              </w:rPr>
            </w:pPr>
            <w:r w:rsidRPr="00A80DA9">
              <w:t>Krav vedrørende dataadgangsgrænseflader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1 – litra b</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w:t>
            </w:r>
            <w:r w:rsidRPr="00A80DA9">
              <w:tab/>
              <w:t>den særlige grænseflade skal sikre integriteten og fortroligheden af de personaliserede sikkerhedsoplysninger og autentifikationskoder, der overføres af eller gennem betalingsinitieringstjenesteudbyderen eller kontooplysningstjenesteudbyderen</w:t>
            </w:r>
          </w:p>
        </w:tc>
        <w:tc>
          <w:tcPr>
            <w:tcW w:w="4876" w:type="dxa"/>
            <w:hideMark/>
          </w:tcPr>
          <w:p w:rsidR="0047667D" w:rsidRPr="00A80DA9" w:rsidRDefault="008507C9">
            <w:pPr>
              <w:pStyle w:val="Normal6"/>
              <w:rPr>
                <w:szCs w:val="24"/>
              </w:rPr>
            </w:pPr>
            <w:r w:rsidRPr="00A80DA9">
              <w:t>b)</w:t>
            </w:r>
            <w:r w:rsidRPr="00A80DA9">
              <w:tab/>
              <w:t xml:space="preserve">den særlige grænseflade skal </w:t>
            </w:r>
            <w:r w:rsidRPr="00A80DA9">
              <w:rPr>
                <w:b/>
                <w:i/>
              </w:rPr>
              <w:t>anvende omdirigering med henblik på at</w:t>
            </w:r>
            <w:r w:rsidRPr="00A80DA9">
              <w:t xml:space="preserve"> sikre integriteten og fortroligheden af de personaliserede sikkerhedsoplysninger og autentifikationskoder, der overføres af eller gennem betalingsinitieringstjenesteudbyderen eller kontooplysningstjenesteudbyderen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1 – litra b</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w:t>
            </w:r>
            <w:r w:rsidRPr="00A80DA9">
              <w:tab/>
              <w:t>den særlige grænseflade skal sikre integriteten og fortroligheden af de personaliserede sikkerhedsoplysninger og autentifikationskoder, der overføres af eller gennem betalingsinitieringstjenesteudbyderen eller kontooplysningstjenesteudbyderen</w:t>
            </w:r>
          </w:p>
        </w:tc>
        <w:tc>
          <w:tcPr>
            <w:tcW w:w="4876" w:type="dxa"/>
            <w:hideMark/>
          </w:tcPr>
          <w:p w:rsidR="0047667D" w:rsidRPr="00A80DA9" w:rsidRDefault="008507C9">
            <w:pPr>
              <w:pStyle w:val="Normal6"/>
              <w:rPr>
                <w:szCs w:val="24"/>
              </w:rPr>
            </w:pPr>
            <w:r w:rsidRPr="00A80DA9">
              <w:t>b)</w:t>
            </w:r>
            <w:r w:rsidRPr="00A80DA9">
              <w:tab/>
              <w:t xml:space="preserve">den særlige grænseflade skal </w:t>
            </w:r>
            <w:r w:rsidRPr="00A80DA9">
              <w:rPr>
                <w:b/>
                <w:i/>
              </w:rPr>
              <w:t>anvende omdirigering med henblik på at</w:t>
            </w:r>
            <w:r w:rsidRPr="00A80DA9">
              <w:t xml:space="preserve"> sikre integriteten og fortroligheden af de personaliserede sikkerhedsoplysninger og autentifikationskoder, der overføres af eller gennem betalingsinitieringstjenesteudbyderen eller kontooplysningstjenesteudbyderen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For at undgå, at forbrugernes personlige sikkerhedsoplysninger deles med en tredjepart, bør kontooplysningstjenesteudbydere og betalingsinitieringsudbydere altid dirigere forbrugerne videre til deres onlinebanks websted, hvor de kan autentificere sig.</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1 – litra c</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c)</w:t>
            </w:r>
            <w:r w:rsidRPr="00A80DA9">
              <w:tab/>
              <w:t xml:space="preserve">svartiden for </w:t>
            </w:r>
            <w:r w:rsidRPr="00A80DA9">
              <w:rPr>
                <w:b/>
                <w:i/>
              </w:rPr>
              <w:t>den dedikerede grænseflade</w:t>
            </w:r>
            <w:r w:rsidRPr="00A80DA9">
              <w:t xml:space="preserve"> til kontooplysningstjenesteudbyderes og betalingsinitieringstjenesteudbyderes anmodninger om adgang må ikke være længere end svartiden for </w:t>
            </w:r>
            <w:r w:rsidRPr="00A80DA9">
              <w:rPr>
                <w:b/>
                <w:i/>
              </w:rPr>
              <w:t>den grænseflade</w:t>
            </w:r>
            <w:r w:rsidRPr="00A80DA9">
              <w:t>, som den kontoførende betalingstjenesteudbyder stiller til rådighed for sine betalingstjenestebrugere med henblik på direkte adgang til deres betalingskonto online.</w:t>
            </w:r>
          </w:p>
        </w:tc>
        <w:tc>
          <w:tcPr>
            <w:tcW w:w="4876" w:type="dxa"/>
            <w:hideMark/>
          </w:tcPr>
          <w:p w:rsidR="0047667D" w:rsidRPr="00A80DA9" w:rsidRDefault="008507C9">
            <w:pPr>
              <w:pStyle w:val="Normal6"/>
              <w:rPr>
                <w:szCs w:val="24"/>
              </w:rPr>
            </w:pPr>
            <w:r w:rsidRPr="00A80DA9">
              <w:t>c)</w:t>
            </w:r>
            <w:r w:rsidRPr="00A80DA9">
              <w:tab/>
              <w:t xml:space="preserve">svartiden for </w:t>
            </w:r>
            <w:r w:rsidRPr="00A80DA9">
              <w:rPr>
                <w:b/>
                <w:i/>
              </w:rPr>
              <w:t>grænsefladen</w:t>
            </w:r>
            <w:r w:rsidRPr="00A80DA9">
              <w:t xml:space="preserve"> til kontooplysningstjenesteudbyderes og betalingsinitieringstjenesteudbyderes anmodninger om adgang må ikke være længere end svartiden for </w:t>
            </w:r>
            <w:r w:rsidRPr="00A80DA9">
              <w:rPr>
                <w:b/>
                <w:i/>
              </w:rPr>
              <w:t>alle de grænseflader</w:t>
            </w:r>
            <w:r w:rsidRPr="00A80DA9">
              <w:t>, som den kontoførende betalingstjenesteudbyder stiller til rådighed for sine betalingstjenestebrugere med henblik på direkte adgang til deres betalingskonto online.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289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2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 xml:space="preserve">Kontoførende betalingstjenesteudbydere sikrer, at den </w:t>
            </w:r>
            <w:r w:rsidRPr="00A80DA9">
              <w:rPr>
                <w:b/>
                <w:i/>
              </w:rPr>
              <w:t>særlige</w:t>
            </w:r>
            <w:r w:rsidRPr="00A80DA9">
              <w:t xml:space="preserve"> grænseflade, der er omhandlet i artikel 35, stk. 1, giver både kontooplysningstjenesteudbydere og betalingsinitieringstjenesteudbydere mulighed for:</w:t>
            </w:r>
          </w:p>
        </w:tc>
        <w:tc>
          <w:tcPr>
            <w:tcW w:w="4876" w:type="dxa"/>
            <w:hideMark/>
          </w:tcPr>
          <w:p w:rsidR="0047667D" w:rsidRPr="00A80DA9" w:rsidRDefault="008507C9">
            <w:pPr>
              <w:pStyle w:val="Normal6"/>
              <w:rPr>
                <w:szCs w:val="24"/>
              </w:rPr>
            </w:pPr>
            <w:r w:rsidRPr="00A80DA9">
              <w:t>2.</w:t>
            </w:r>
            <w:r w:rsidRPr="00A80DA9">
              <w:tab/>
              <w:t>Kontoførende betalingstjenesteudbydere sikrer, at den grænseflade, der er omhandlet i artikel 35, stk. 1, giver både kontooplysningstjenesteudbydere og betalingsinitieringstjenesteudbydere mulighed for: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2 – litra d</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d)</w:t>
            </w:r>
            <w:r w:rsidRPr="00A80DA9">
              <w:tab/>
              <w:t xml:space="preserve">at se, inden betalingen initieres </w:t>
            </w:r>
            <w:r w:rsidRPr="00A80DA9">
              <w:rPr>
                <w:b/>
                <w:i/>
              </w:rPr>
              <w:t>for betalingsinitieringstjenesteudbydere</w:t>
            </w:r>
            <w:r w:rsidRPr="00A80DA9">
              <w:t>, kontoens entydige identifikationskode, kontoindehaverens tilknyttede navne og de valutaer, som betalingstjenestebrugeren har til rådighed.</w:t>
            </w:r>
          </w:p>
        </w:tc>
        <w:tc>
          <w:tcPr>
            <w:tcW w:w="4876" w:type="dxa"/>
            <w:hideMark/>
          </w:tcPr>
          <w:p w:rsidR="0047667D" w:rsidRPr="00A80DA9" w:rsidRDefault="008507C9">
            <w:pPr>
              <w:pStyle w:val="Normal6"/>
              <w:rPr>
                <w:szCs w:val="24"/>
              </w:rPr>
            </w:pPr>
            <w:r w:rsidRPr="00A80DA9">
              <w:t>d)</w:t>
            </w:r>
            <w:r w:rsidRPr="00A80DA9">
              <w:tab/>
              <w:t xml:space="preserve">at se, inden betalingen initieres, </w:t>
            </w:r>
            <w:r w:rsidRPr="00A80DA9">
              <w:rPr>
                <w:b/>
                <w:i/>
              </w:rPr>
              <w:t>som minimum</w:t>
            </w:r>
            <w:r w:rsidRPr="00A80DA9">
              <w:t xml:space="preserve"> kontoens entydige identifikationskode, kontoindehaverens tilknyttede navne </w:t>
            </w:r>
            <w:r w:rsidRPr="00A80DA9">
              <w:rPr>
                <w:b/>
                <w:i/>
              </w:rPr>
              <w:t>eller andre identifikationskoder</w:t>
            </w:r>
            <w:r w:rsidRPr="00A80DA9">
              <w:t xml:space="preserve"> og de valutaer </w:t>
            </w:r>
            <w:r w:rsidRPr="00A80DA9">
              <w:rPr>
                <w:b/>
                <w:i/>
              </w:rPr>
              <w:t>og kontosaldoen</w:t>
            </w:r>
            <w:r w:rsidRPr="00A80DA9">
              <w:t>, som betalingstjenestebrugeren har til rådighed.</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 xml:space="preserve">Kontoførende betalingstjenesteudbydere tillader kontooplysningstjenesteudbydere at kommunikere sikkert via </w:t>
            </w:r>
            <w:r w:rsidRPr="00A80DA9">
              <w:rPr>
                <w:b/>
                <w:i/>
              </w:rPr>
              <w:t>den særlige grænseflade</w:t>
            </w:r>
            <w:r w:rsidRPr="00A80DA9">
              <w:t xml:space="preserve"> med henblik på at anmode om og modtage oplysninger om en eller flere udpegede betalingskonti og tilknyttede betalingstransaktioner.</w:t>
            </w:r>
          </w:p>
        </w:tc>
        <w:tc>
          <w:tcPr>
            <w:tcW w:w="4876" w:type="dxa"/>
            <w:hideMark/>
          </w:tcPr>
          <w:p w:rsidR="0047667D" w:rsidRPr="00A80DA9" w:rsidRDefault="008507C9">
            <w:pPr>
              <w:pStyle w:val="Normal6"/>
              <w:rPr>
                <w:szCs w:val="24"/>
              </w:rPr>
            </w:pPr>
            <w:r w:rsidRPr="00A80DA9">
              <w:t>3.</w:t>
            </w:r>
            <w:r w:rsidRPr="00A80DA9">
              <w:tab/>
              <w:t xml:space="preserve">Kontoførende betalingstjenesteudbydere tillader kontooplysningstjenesteudbydere at kommunikere sikkert via </w:t>
            </w:r>
            <w:r w:rsidRPr="00A80DA9">
              <w:rPr>
                <w:b/>
                <w:bCs/>
                <w:i/>
                <w:iCs/>
              </w:rPr>
              <w:t>grænsefladen</w:t>
            </w:r>
            <w:r w:rsidRPr="00A80DA9">
              <w:t xml:space="preserve"> med henblik på at anmode om og modtage oplysninger om en eller flere udpegede betalingskonti og tilknyttede betalingstransaktioner.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4 – litra h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ha)</w:t>
            </w:r>
            <w:r w:rsidRPr="00A80DA9">
              <w:rPr>
                <w:b/>
                <w:i/>
              </w:rPr>
              <w:tab/>
              <w:t>når den kontoførende betalingstjenesteudbyder tilbyder flere autentifikationsmuligheder, have mulighed for selv at beslutte, hvilken autentifikationsmetode betaleren skal præsenteres for, under hensyntagen til det mindst besværlige valg for betaleren.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4 – litra h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ha)</w:t>
            </w:r>
            <w:r w:rsidRPr="00A80DA9">
              <w:rPr>
                <w:b/>
                <w:i/>
              </w:rPr>
              <w:tab/>
              <w:t>afvise at initiere en betalingstransaktion med en gyldig begrundelse.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5 – afsnit 1 – litra b</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w:t>
            </w:r>
            <w:r w:rsidRPr="00A80DA9">
              <w:tab/>
              <w:t>den kontoførende betalingstjenesteudbyders bekræftelse af, at betalingen vil blive gennemført på grundlag af de oplysninger, som den kontoførende betalingstjenesteudbyder har til rådighed, under hensyntagen til eventuelle allerede eksisterende betalingsordrer, der kan påvirke den fulde gennemførelse af den betalingsordre, der afgives.</w:t>
            </w:r>
          </w:p>
        </w:tc>
        <w:tc>
          <w:tcPr>
            <w:tcW w:w="4876" w:type="dxa"/>
            <w:hideMark/>
          </w:tcPr>
          <w:p w:rsidR="0047667D" w:rsidRPr="00A80DA9" w:rsidRDefault="008507C9">
            <w:pPr>
              <w:pStyle w:val="Normal6"/>
              <w:rPr>
                <w:szCs w:val="24"/>
              </w:rPr>
            </w:pPr>
            <w:r w:rsidRPr="00A80DA9">
              <w:t>b)</w:t>
            </w:r>
            <w:r w:rsidRPr="00A80DA9">
              <w:tab/>
              <w:t xml:space="preserve">den kontoførende betalingstjenesteudbyders bekræftelse </w:t>
            </w:r>
            <w:r w:rsidRPr="00A80DA9">
              <w:rPr>
                <w:b/>
                <w:i/>
              </w:rPr>
              <w:t>så hurtigt som mulig og senest 20 sekunder efter betalerens godkendelse</w:t>
            </w:r>
            <w:r w:rsidRPr="00A80DA9">
              <w:t xml:space="preserve"> af, at betalingen </w:t>
            </w:r>
            <w:r w:rsidRPr="00A80DA9">
              <w:rPr>
                <w:b/>
                <w:i/>
              </w:rPr>
              <w:t>er blevet eller</w:t>
            </w:r>
            <w:r w:rsidRPr="00A80DA9">
              <w:t xml:space="preserve"> vil blive gennemført på grundlag af de oplysninger, som den kontoførende betalingstjenesteudbyder har til rådighed, under hensyntagen til eventuelle allerede eksisterende betalingsordrer, der kan påvirke den fulde gennemførelse af den betalingsordre, der afgives.</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36 – stk. 5 – afsnit 2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Når den kontoførende betalingstjenesteudbyder foretager kontroller, der kan påvirke gennemførelsen af betalingen, finder disse kontroller sted, inden betalingen bekræftes.</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overskrift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Dataadgangsparitet mellem dedikeret adgangsgrænseflade og kundegrænseflade</w:t>
            </w:r>
          </w:p>
        </w:tc>
        <w:tc>
          <w:tcPr>
            <w:tcW w:w="4876" w:type="dxa"/>
            <w:hideMark/>
          </w:tcPr>
          <w:p w:rsidR="0047667D" w:rsidRPr="00A80DA9" w:rsidRDefault="008507C9">
            <w:pPr>
              <w:pStyle w:val="Normal6"/>
              <w:rPr>
                <w:szCs w:val="24"/>
              </w:rPr>
            </w:pPr>
            <w:r w:rsidRPr="00A80DA9">
              <w:rPr>
                <w:b/>
                <w:i/>
              </w:rPr>
              <w:t>Dataadgang for tredjeparter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 xml:space="preserve">Kontoførende betalingstjenesteudbydere skal give kontooplysningstjenesteudbydere </w:t>
            </w:r>
            <w:r w:rsidRPr="00A80DA9">
              <w:rPr>
                <w:b/>
                <w:i/>
              </w:rPr>
              <w:t>de samme oplysninger</w:t>
            </w:r>
            <w:r w:rsidRPr="00A80DA9">
              <w:t xml:space="preserve"> fra angivne betalingskonti og dertil knyttede betalingstransaktioner,</w:t>
            </w:r>
            <w:r w:rsidRPr="00A80DA9">
              <w:rPr>
                <w:b/>
                <w:i/>
              </w:rPr>
              <w:t xml:space="preserve"> som gøres tilgængelige for betalingstjenestebrugeren ved direkte anmodning om adgang til kontooplysninger</w:t>
            </w:r>
            <w:r w:rsidRPr="00A80DA9">
              <w:t>, forudsat at disse oplysninger ikke omfatter følsomme betalingsdata</w:t>
            </w:r>
          </w:p>
        </w:tc>
        <w:tc>
          <w:tcPr>
            <w:tcW w:w="4876" w:type="dxa"/>
            <w:hideMark/>
          </w:tcPr>
          <w:p w:rsidR="0047667D" w:rsidRPr="00A80DA9" w:rsidRDefault="008507C9">
            <w:pPr>
              <w:pStyle w:val="Normal6"/>
              <w:rPr>
                <w:szCs w:val="24"/>
              </w:rPr>
            </w:pPr>
            <w:r w:rsidRPr="00A80DA9">
              <w:t>2.</w:t>
            </w:r>
            <w:r w:rsidRPr="00A80DA9">
              <w:tab/>
            </w:r>
            <w:r w:rsidRPr="00A80DA9">
              <w:rPr>
                <w:b/>
                <w:i/>
              </w:rPr>
              <w:t>I overensstemmelse med forordning (EU) 2016/679 [GDPR]</w:t>
            </w:r>
            <w:r w:rsidRPr="00A80DA9">
              <w:t xml:space="preserve"> skal kontoførende betalingstjenesteudbydere give kontooplysningstjenesteudbydere </w:t>
            </w:r>
            <w:r w:rsidRPr="00A80DA9">
              <w:rPr>
                <w:b/>
                <w:i/>
              </w:rPr>
              <w:t>oplysningerne</w:t>
            </w:r>
            <w:r w:rsidRPr="00A80DA9">
              <w:t xml:space="preserve"> fra angivne betalingskonti og dertil knyttede betalingstransaktioner</w:t>
            </w:r>
            <w:r w:rsidRPr="00A80DA9">
              <w:rPr>
                <w:b/>
                <w:i/>
              </w:rPr>
              <w:t>, der er nødvendige for gennemførelsen af en aftale, som den registrerede er part i</w:t>
            </w:r>
            <w:r w:rsidRPr="00A80DA9">
              <w:t>, forudsat at disse oplysninger ikke omfatter følsomme betalingsdata.</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 xml:space="preserve">Kontoførende betalingstjenesteudbydere skal give kontooplysningstjenesteudbydere </w:t>
            </w:r>
            <w:r w:rsidRPr="00A80DA9">
              <w:rPr>
                <w:b/>
                <w:i/>
              </w:rPr>
              <w:t>de samme oplysninger</w:t>
            </w:r>
            <w:r w:rsidRPr="00A80DA9">
              <w:t xml:space="preserve"> fra angivne betalingskonti og dertil knyttede betalingstransaktioner</w:t>
            </w:r>
            <w:r w:rsidRPr="00A80DA9">
              <w:rPr>
                <w:b/>
                <w:i/>
              </w:rPr>
              <w:t>, som gøres tilgængelige for betalingstjenestebrugeren ved direkte anmodning om adgang til kontooplysninger</w:t>
            </w:r>
            <w:r w:rsidRPr="00A80DA9">
              <w:t>, forudsat at disse oplysninger ikke omfatter følsomme betalingsdata</w:t>
            </w:r>
          </w:p>
        </w:tc>
        <w:tc>
          <w:tcPr>
            <w:tcW w:w="4876" w:type="dxa"/>
            <w:hideMark/>
          </w:tcPr>
          <w:p w:rsidR="0047667D" w:rsidRPr="00A80DA9" w:rsidRDefault="008507C9">
            <w:pPr>
              <w:pStyle w:val="Normal6"/>
              <w:rPr>
                <w:szCs w:val="24"/>
              </w:rPr>
            </w:pPr>
            <w:r w:rsidRPr="00A80DA9">
              <w:t>2.</w:t>
            </w:r>
            <w:r w:rsidRPr="00A80DA9">
              <w:tab/>
            </w:r>
            <w:r w:rsidRPr="00A80DA9">
              <w:rPr>
                <w:b/>
                <w:i/>
              </w:rPr>
              <w:t>I overensstemmelse med forordning (EU) 2016/679 [GDPR]</w:t>
            </w:r>
            <w:r w:rsidRPr="00A80DA9">
              <w:t xml:space="preserve"> skal kontoførende betalingstjenesteudbydere give kontooplysningstjenesteudbydere </w:t>
            </w:r>
            <w:r w:rsidRPr="00A80DA9">
              <w:rPr>
                <w:b/>
                <w:i/>
              </w:rPr>
              <w:t>oplysningerne</w:t>
            </w:r>
            <w:r w:rsidRPr="00A80DA9">
              <w:t xml:space="preserve"> fra angivne betalingskonti og dertil knyttede betalingstransaktioner</w:t>
            </w:r>
            <w:r w:rsidRPr="00A80DA9">
              <w:rPr>
                <w:b/>
                <w:i/>
              </w:rPr>
              <w:t>, der er nødvendige for gennemførelsen af en aftale, som den registrerede er part i</w:t>
            </w:r>
            <w:r w:rsidRPr="00A80DA9">
              <w:t>, forudsat at disse oplysninger ikke omfatter følsomme betalingsdata.</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Open banking må ikke foregå på bekostning af datasikkerheden. Når forbrugernes giver samtykke til at dele data med tredjeparter, bør datadelingen ikke blive en "fri bar", men der skal være tale om streng håndhævelse af principperne om dataminimering og formålsbegrænsning. Kun oplysninger, der er strengt nødvendige for gennemførelsen af en kontrakt, skal vurderes (artikel 5, stk. 1, litra c), i GDPR).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299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 xml:space="preserve">Kontoførende betalingstjenesteudbydere skal give betalingsinitieringstjenesteudbydere </w:t>
            </w:r>
            <w:r w:rsidRPr="00A80DA9">
              <w:rPr>
                <w:b/>
                <w:i/>
              </w:rPr>
              <w:t>mindst de samme</w:t>
            </w:r>
            <w:r w:rsidRPr="00A80DA9">
              <w:t xml:space="preserve"> oplysninger </w:t>
            </w:r>
            <w:r w:rsidRPr="00A80DA9">
              <w:rPr>
                <w:b/>
                <w:i/>
              </w:rPr>
              <w:t>om</w:t>
            </w:r>
            <w:r w:rsidRPr="00A80DA9">
              <w:t xml:space="preserve"> initiering og gennemførelse af den betalingstransaktion, der udbydes eller stilles til rådighed for betalingstjenestebrugeren, når transaktionen initieres direkte af betalingstjenestebrugeren. Disse oplysninger gives straks efter modtagelsen af betalingsordren og løbende, indtil betalingen </w:t>
            </w:r>
            <w:r w:rsidRPr="00A80DA9">
              <w:rPr>
                <w:b/>
                <w:i/>
              </w:rPr>
              <w:t>er endelig</w:t>
            </w:r>
            <w:r w:rsidRPr="00A80DA9">
              <w:t>.</w:t>
            </w:r>
          </w:p>
        </w:tc>
        <w:tc>
          <w:tcPr>
            <w:tcW w:w="4876" w:type="dxa"/>
            <w:hideMark/>
          </w:tcPr>
          <w:p w:rsidR="0047667D" w:rsidRPr="00A80DA9" w:rsidRDefault="008507C9">
            <w:pPr>
              <w:pStyle w:val="Normal6"/>
              <w:rPr>
                <w:szCs w:val="24"/>
              </w:rPr>
            </w:pPr>
            <w:r w:rsidRPr="00A80DA9">
              <w:t>3.</w:t>
            </w:r>
            <w:r w:rsidRPr="00A80DA9">
              <w:tab/>
            </w:r>
            <w:r w:rsidRPr="00A80DA9">
              <w:rPr>
                <w:b/>
                <w:i/>
              </w:rPr>
              <w:t>I overensstemmelse med forordning (EU) 2016/679 [GDPR]</w:t>
            </w:r>
            <w:r w:rsidRPr="00A80DA9">
              <w:t xml:space="preserve"> skal kontoførende betalingstjenesteudbydere give betalingsinitieringstjenesteudbydere </w:t>
            </w:r>
            <w:r w:rsidRPr="00A80DA9">
              <w:rPr>
                <w:b/>
                <w:i/>
              </w:rPr>
              <w:t>de</w:t>
            </w:r>
            <w:r w:rsidRPr="00A80DA9">
              <w:t xml:space="preserve"> oplysninger</w:t>
            </w:r>
            <w:r w:rsidRPr="00A80DA9">
              <w:rPr>
                <w:b/>
                <w:i/>
              </w:rPr>
              <w:t>, der er nødvendige for</w:t>
            </w:r>
            <w:r w:rsidRPr="00A80DA9">
              <w:t xml:space="preserve"> initiering og gennemførelse af den betalingstransaktion, der udbydes eller stilles til rådighed for betalingstjenestebrugeren, når transaktionen initieres direkte af betalingstjenestebrugeren. Disse oplysninger gives straks efter modtagelsen af betalingsordren</w:t>
            </w:r>
            <w:r w:rsidRPr="00A80DA9">
              <w:rPr>
                <w:b/>
                <w:i/>
              </w:rPr>
              <w:t>,</w:t>
            </w:r>
            <w:r w:rsidRPr="00A80DA9">
              <w:t xml:space="preserve"> og </w:t>
            </w:r>
            <w:r w:rsidRPr="00A80DA9">
              <w:rPr>
                <w:b/>
                <w:i/>
              </w:rPr>
              <w:t>enhver ajourføring af oplysningerne, herunder, men ikke begrænset til betalingsstatus, skal</w:t>
            </w:r>
            <w:r w:rsidRPr="00A80DA9">
              <w:t xml:space="preserve">løbende </w:t>
            </w:r>
            <w:r w:rsidRPr="00A80DA9">
              <w:rPr>
                <w:b/>
                <w:i/>
              </w:rPr>
              <w:t>videresendes i realtid til betalingsinitieringstjenesteudbyderen via den dedikerede grænseflade</w:t>
            </w:r>
            <w:r w:rsidRPr="00A80DA9">
              <w:t xml:space="preserve">, indtil betalingen </w:t>
            </w:r>
            <w:r w:rsidRPr="00A80DA9">
              <w:rPr>
                <w:b/>
                <w:i/>
              </w:rPr>
              <w:t>gennemføres eller afvises</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 xml:space="preserve">Kontoførende betalingstjenesteudbydere skal give betalingsinitieringstjenesteudbydere </w:t>
            </w:r>
            <w:r w:rsidRPr="00A80DA9">
              <w:rPr>
                <w:b/>
                <w:i/>
              </w:rPr>
              <w:t>mindst de samme</w:t>
            </w:r>
            <w:r w:rsidRPr="00A80DA9">
              <w:t xml:space="preserve"> oplysninger </w:t>
            </w:r>
            <w:r w:rsidRPr="00A80DA9">
              <w:rPr>
                <w:b/>
                <w:i/>
              </w:rPr>
              <w:t>om</w:t>
            </w:r>
            <w:r w:rsidRPr="00A80DA9">
              <w:t xml:space="preserve"> initiering og gennemførelse af den betalingstransaktion, der udbydes eller stilles til rådighed for betalingstjenestebrugeren, når transaktionen initieres direkte af betalingstjenestebrugeren. Disse oplysninger gives straks efter modtagelsen af betalingsordren og løbende, indtil betalingen er endelig.</w:t>
            </w:r>
          </w:p>
        </w:tc>
        <w:tc>
          <w:tcPr>
            <w:tcW w:w="4876" w:type="dxa"/>
            <w:hideMark/>
          </w:tcPr>
          <w:p w:rsidR="0047667D" w:rsidRPr="00A80DA9" w:rsidRDefault="008507C9">
            <w:pPr>
              <w:pStyle w:val="Normal6"/>
              <w:rPr>
                <w:szCs w:val="24"/>
              </w:rPr>
            </w:pPr>
            <w:r w:rsidRPr="00A80DA9">
              <w:t>3.</w:t>
            </w:r>
            <w:r w:rsidRPr="00A80DA9">
              <w:tab/>
            </w:r>
            <w:r w:rsidRPr="00A80DA9">
              <w:rPr>
                <w:b/>
                <w:i/>
              </w:rPr>
              <w:t>I overensstemmelse med forordning (EU) 2016/679 [GDPR]</w:t>
            </w:r>
            <w:r w:rsidRPr="00A80DA9">
              <w:t xml:space="preserve"> skal kontoførende betalingstjenesteudbydere give betalingsinitieringstjenesteudbydere </w:t>
            </w:r>
            <w:r w:rsidRPr="00A80DA9">
              <w:rPr>
                <w:b/>
                <w:i/>
              </w:rPr>
              <w:t>de</w:t>
            </w:r>
            <w:r w:rsidRPr="00A80DA9">
              <w:t xml:space="preserve"> oplysninger</w:t>
            </w:r>
            <w:r w:rsidRPr="00A80DA9">
              <w:rPr>
                <w:b/>
                <w:i/>
              </w:rPr>
              <w:t>, der er nødvendige for</w:t>
            </w:r>
            <w:r w:rsidRPr="00A80DA9">
              <w:t xml:space="preserve"> initiering og gennemførelse af den betalingstransaktion, der udbydes eller stilles til rådighed for betalingstjenestebrugeren, når transaktionen initieres direkte af betalingstjenestebrugeren. Disse oplysninger gives straks efter modtagelsen af betalingsordren og løbende, indtil betalingen er endelig.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Open banking må ikke foregå på bekostning af datasikkerheden. Når forbrugernes giver samtykke til at dele data med tredjeparter, bør datadelingen ikke blive en "fri bar", men der skal være tale om streng håndhævelse af principperne om dataminimering og formålsbegrænsning. Kun oplysninger, der er strengt nødvendige for gennemførelsen af en kontrakt, skal vurderes (artikel 5, stk. 1, litra c), i GDPR).</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stk. 3</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3.</w:t>
            </w:r>
            <w:r w:rsidRPr="00A80DA9">
              <w:tab/>
              <w:t xml:space="preserve">Kontoførende betalingstjenesteudbydere skal give betalingsinitieringstjenesteudbydere mindst de samme oplysninger om initiering og gennemførelse af den betalingstransaktion, der udbydes eller stilles til rådighed for betalingstjenestebrugeren, når transaktionen initieres direkte af betalingstjenestebrugeren. Disse oplysninger gives straks efter modtagelsen af betalingsordren og løbende, indtil betalingen </w:t>
            </w:r>
            <w:r w:rsidRPr="00A80DA9">
              <w:rPr>
                <w:b/>
                <w:i/>
              </w:rPr>
              <w:t>er endelig</w:t>
            </w:r>
            <w:r w:rsidRPr="00A80DA9">
              <w:t>.</w:t>
            </w:r>
          </w:p>
        </w:tc>
        <w:tc>
          <w:tcPr>
            <w:tcW w:w="4876" w:type="dxa"/>
            <w:hideMark/>
          </w:tcPr>
          <w:p w:rsidR="0047667D" w:rsidRPr="00A80DA9" w:rsidRDefault="008507C9">
            <w:pPr>
              <w:pStyle w:val="Normal6"/>
              <w:rPr>
                <w:szCs w:val="24"/>
              </w:rPr>
            </w:pPr>
            <w:r w:rsidRPr="00A80DA9">
              <w:t>3.</w:t>
            </w:r>
            <w:r w:rsidRPr="00A80DA9">
              <w:tab/>
              <w:t xml:space="preserve">Kontoførende betalingstjenesteudbydere skal give betalingsinitieringstjenesteudbydere mindst de samme oplysninger om initiering og gennemførelse af den betalingstransaktion, der udbydes eller stilles til rådighed for betalingstjenestebrugeren, når transaktionen initieres direkte af betalingstjenestebrugeren. Disse oplysninger gives straks efter modtagelsen af betalingsordren og løbende, indtil betalingen </w:t>
            </w:r>
            <w:r w:rsidRPr="00A80DA9">
              <w:rPr>
                <w:b/>
                <w:i/>
              </w:rPr>
              <w:t>gennemføres eller afvises</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stk. 3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3a.</w:t>
            </w:r>
            <w:r w:rsidRPr="00A80DA9">
              <w:rPr>
                <w:b/>
                <w:i/>
              </w:rPr>
              <w:tab/>
              <w:t>Behandlingen af kundedata skal være begrænset til, hvad der er nødvendigt i relation til de formål, hvortil de behandles. I overensstemmelse med artikel 16 i forordning (EU) nr. 1093/2010 udarbejder Den Europæiske Banktilsynsmyndighed retningslinjer for gennemførelsen af dette stykke for betalingsinitieringstjenester og kontooplysningstjenester.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stk. 3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3a.</w:t>
            </w:r>
            <w:r w:rsidRPr="00A80DA9">
              <w:rPr>
                <w:b/>
                <w:i/>
              </w:rPr>
              <w:tab/>
              <w:t>Behandlingen af kundedata skal være begrænset til, hvad der er nødvendigt i relation til de formål, hvortil de behandles. I overensstemmelse med artikel 16 i forordning (EU) nr. 1093/2010 udarbejder EBA retningslinjer for gennemførelsen af dette stykke for betalingsinitieringstjenester og kontooplysningstjenester.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Den Europæiske Banktilsynsmyndighed bør i forordningen om betalingstjenester bemyndiges til at udstede retningslinjer for fastlæggelsen af rammerne for databrug for kontooplysningstjenester og betalingsinitieringstjenester svarende til de rammer, der er skitseret i forslaget om decentraliseret finans.</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stk. 3 b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3b.</w:t>
            </w:r>
            <w:r w:rsidRPr="00A80DA9">
              <w:rPr>
                <w:b/>
                <w:i/>
              </w:rPr>
              <w:tab/>
              <w:t>Ved udarbejdelsen af de retningslinjer, der er omhandlet i denne artikels stk. 3a, arbejder Den Europæiske Banktilsynsmyndighed tæt sammen med Det Europæiske Databeskyttelsesråd, der er oprettet ved forordning (EU) 2016/679.</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José Gusmão, Chris MacManus</w:t>
      </w:r>
      <w:r w:rsidRPr="00A80DA9">
        <w:rPr>
          <w:rStyle w:val="HideTWBExt"/>
          <w:b w:val="0"/>
        </w:rPr>
        <w:t>&lt;/Members&gt;</w:t>
      </w:r>
    </w:p>
    <w:p w:rsidR="0047667D" w:rsidRPr="00A80DA9" w:rsidRDefault="008507C9" w:rsidP="0047667D">
      <w:r w:rsidRPr="00A80DA9">
        <w:rPr>
          <w:rStyle w:val="HideTWBExt"/>
        </w:rPr>
        <w:t>&lt;AuNomDe&gt;</w:t>
      </w:r>
      <w:r w:rsidRPr="00A80DA9">
        <w:rPr>
          <w:rStyle w:val="HideTWBInt"/>
          <w:color w:val="auto"/>
        </w:rPr>
        <w:t>{The Left}</w:t>
      </w:r>
      <w:r w:rsidRPr="00A80DA9">
        <w:t>for The Left-Gruppen</w:t>
      </w:r>
      <w:r w:rsidRPr="00A80DA9">
        <w:rPr>
          <w:rStyle w:val="HideTWBExt"/>
        </w:rPr>
        <w:t>&lt;/AuNomDe&gt;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37 – stk. 3 b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3b.</w:t>
            </w:r>
            <w:r w:rsidRPr="00A80DA9">
              <w:rPr>
                <w:b/>
                <w:i/>
              </w:rPr>
              <w:tab/>
              <w:t>Ved udarbejdelsen af de retningslinjer, der er omhandlet i denne artikels stk. 3a, arbejder EBA tæt sammen med Det Europæiske Databeskyttelsesråd, der er oprettet ved forordning (EU) 2016/679.</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Den Europæiske Banktilsynsmyndighed bør i forordningen om betalingstjenester bemyndiges til at udstede retningslinjer for fastlæggelsen af rammerne for databrug for kontooplysningstjenester og betalingsinitieringstjenester svarende til de rammer, der er skitseret i forslaget om decentraliseret finans.</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38</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38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Kontoførende betalingstjenesteudbydere træffer alle foranstaltninger, der står i deres magt, for at forhindre, at den dedikerede grænseflade ikke er tilgængelig. Manglende tilgængelighed formodes at være opstået, når fem på hinanden følgende anmodninger om adgang til oplysninger med henblik på udbud af betalingsinitieringstjenester eller kontooplysningstjenester ikke modtager svar fra den kontoførende betalingstjenesteudbyders dedikerede grænseflade inden for 30 sekunder.</w:t>
            </w:r>
          </w:p>
        </w:tc>
        <w:tc>
          <w:tcPr>
            <w:tcW w:w="4876" w:type="dxa"/>
            <w:hideMark/>
          </w:tcPr>
          <w:p w:rsidR="0047667D" w:rsidRPr="00A80DA9" w:rsidRDefault="008507C9">
            <w:pPr>
              <w:pStyle w:val="Normal6"/>
              <w:rPr>
                <w:szCs w:val="24"/>
              </w:rPr>
            </w:pPr>
            <w:r w:rsidRPr="00A80DA9">
              <w:t>1.</w:t>
            </w:r>
            <w:r w:rsidRPr="00A80DA9">
              <w:tab/>
              <w:t xml:space="preserve">Kontoførende betalingstjenesteudbydere træffer alle foranstaltninger, der står i deres magt, for at forhindre, at den dedikerede grænseflade ikke er tilgængelig </w:t>
            </w:r>
            <w:r w:rsidRPr="00A80DA9">
              <w:rPr>
                <w:b/>
                <w:i/>
              </w:rPr>
              <w:t>og er utilstrækkelig</w:t>
            </w:r>
            <w:r w:rsidRPr="00A80DA9">
              <w:t>. Manglende tilgængelighed formodes at være opstået, når fem på hinanden følgende anmodninger om adgang til oplysninger med henblik på udbud af betalingsinitieringstjenester eller kontooplysningstjenester ikke modtager svar fra den kontoførende betalingstjenesteudbyders dedikerede grænseflade inden for 30 sekunder.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Markus Ferber</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38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 xml:space="preserve">Hvis den dedikerede grænseflade ikke er tilgængelig, underretter kontoførende betalingstjenesteudbydere, der gør brug af den dedikerede grænseflade, om de foranstaltninger, der er truffet for at genoprette grænsefladen, og om den tid, der skønnes nødvendig for at løse problemet. I den periode, hvor de er indisponible, skal kontoførende betalingstjenesteudbydere </w:t>
            </w:r>
            <w:r w:rsidRPr="00A80DA9">
              <w:rPr>
                <w:b/>
                <w:bCs/>
                <w:i/>
                <w:iCs/>
              </w:rPr>
              <w:t>straks</w:t>
            </w:r>
            <w:r w:rsidRPr="00A80DA9">
              <w:t xml:space="preserve"> tilbyde konto- og betalingsinitieringstjenesteudbydere en effektiv alternativ løsning, såsom brugen af den grænseflade, som den kontoførende betalingstjenesteudbyder anvender til autentifikation og kommunikation med sine brugere, for at få adgang til betalingskontodata.</w:t>
            </w:r>
          </w:p>
        </w:tc>
        <w:tc>
          <w:tcPr>
            <w:tcW w:w="4876" w:type="dxa"/>
            <w:hideMark/>
          </w:tcPr>
          <w:p w:rsidR="0047667D" w:rsidRPr="00A80DA9" w:rsidRDefault="008507C9">
            <w:pPr>
              <w:pStyle w:val="Normal6"/>
              <w:rPr>
                <w:szCs w:val="24"/>
              </w:rPr>
            </w:pPr>
            <w:r w:rsidRPr="00A80DA9">
              <w:t>2.</w:t>
            </w:r>
            <w:r w:rsidRPr="00A80DA9">
              <w:tab/>
              <w:t xml:space="preserve">Hvis den dedikerede grænseflade ikke er tilgængelig, underretter kontoførende betalingstjenesteudbydere, der gør brug af den dedikerede grænseflade, om de foranstaltninger, der er truffet for at genoprette grænsefladen, og om den tid, der skønnes nødvendig for at løse problemet. I den periode, hvor de er indisponible, skal kontoførende betalingstjenesteudbydere </w:t>
            </w:r>
            <w:r w:rsidRPr="00A80DA9">
              <w:rPr>
                <w:b/>
                <w:i/>
              </w:rPr>
              <w:t>uden unødig forsinkelse</w:t>
            </w:r>
            <w:r w:rsidRPr="00A80DA9">
              <w:t xml:space="preserve"> tilbyde konto- og betalingsinitieringstjenesteudbydere en effektiv alternativ løsning, såsom brugen af den grænseflade, som den kontoførende betalingstjenesteudbyder anvender til autentifikation og kommunikation med sine brugere, for at få adgang til betalingskontodata.</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309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39 – overskrift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 xml:space="preserve">Undtagelse fra kravet om at have en </w:t>
            </w:r>
            <w:r w:rsidRPr="00A80DA9">
              <w:rPr>
                <w:b/>
                <w:i/>
              </w:rPr>
              <w:t>dedikeret</w:t>
            </w:r>
            <w:r w:rsidRPr="00A80DA9">
              <w:t xml:space="preserve"> grænseflade til dataadgang</w:t>
            </w:r>
          </w:p>
        </w:tc>
        <w:tc>
          <w:tcPr>
            <w:tcW w:w="4876" w:type="dxa"/>
            <w:hideMark/>
          </w:tcPr>
          <w:p w:rsidR="0047667D" w:rsidRPr="00A80DA9" w:rsidRDefault="008507C9">
            <w:pPr>
              <w:pStyle w:val="Normal6"/>
              <w:rPr>
                <w:szCs w:val="24"/>
              </w:rPr>
            </w:pPr>
            <w:r w:rsidRPr="00A80DA9">
              <w:t>Undtagelse fra kravet om at have en grænseflade til dataadgang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Gunnar Beck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39 – stk. 2 – afsnit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EBA udarbejder udkast til reguleringsmæssige tekniske standarder, som præciserer de kriterier, på grundlag af hvilke en kontoførende betalingstjenesteudbyder i overensstemmelse med stk. 1 kan fritages fra forpligtelsen til at have en dedikeret grænseflade og have tilladelse til enten som grænseflade for sikker dataudveksling med kontooplysningstjenesteudbydere og betalingsinitieringstjenesteudbydere at stille den grænseflade, som den stiller til rådighed for sin betalingsbruger med henblik på adgang til sine betalingskonti online, til rådighed eller, hvor det er relevant, slet ikke have nogen grænseflade til sikker dataudveksling.</w:t>
            </w:r>
          </w:p>
        </w:tc>
        <w:tc>
          <w:tcPr>
            <w:tcW w:w="4876" w:type="dxa"/>
            <w:hideMark/>
          </w:tcPr>
          <w:p w:rsidR="0047667D" w:rsidRPr="00A80DA9" w:rsidRDefault="008507C9">
            <w:pPr>
              <w:pStyle w:val="Normal6"/>
              <w:rPr>
                <w:szCs w:val="24"/>
              </w:rPr>
            </w:pPr>
            <w:r w:rsidRPr="00A80DA9">
              <w:t>EBA udarbejder udkast til reguleringsmæssige tekniske standarder, som præciserer de kriterier, på grundlag af hvilke en kontoførende betalingstjenesteudbyder i overensstemmelse med stk. 1 kan fritages fra forpligtelsen til at have en dedikeret grænseflade og have tilladelse til enten som grænseflade for sikker dataudveksling med kontooplysningstjenesteudbydere og betalingsinitieringstjenesteudbydere at stille den grænseflade, som den stiller til rådighed for sin betalingsbruger med henblik på adgang til sine betalingskonti online, til rådighed eller, hvor det er relevant, slet ikke have nogen grænseflade til sikker dataudveksling.</w:t>
            </w:r>
            <w:r w:rsidRPr="00A80DA9">
              <w:rPr>
                <w:b/>
                <w:i/>
              </w:rPr>
              <w:t xml:space="preserve"> Kriterierne skal være baseret på begrænset anvendelse eller værdien af betalingskontoprodukter, som automatisk ville fritage kontoførende betalingstjenesteudbydere i henhold til denne artikel uden at skulle ansøge om undtagelser individuelt hos de kompetente myndigheder.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39 – stk. 2 – afsnit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 xml:space="preserve">EBA udarbejder udkast til reguleringsmæssige tekniske standarder, som præciserer de kriterier, på grundlag af hvilke en kontoførende betalingstjenesteudbyder i overensstemmelse med stk. 1 kan fritages fra forpligtelsen til at have en </w:t>
            </w:r>
            <w:r w:rsidRPr="00A80DA9">
              <w:rPr>
                <w:b/>
                <w:i/>
              </w:rPr>
              <w:t>dedikeret</w:t>
            </w:r>
            <w:r w:rsidRPr="00A80DA9">
              <w:t xml:space="preserve"> grænseflade og have tilladelse til enten som grænseflade for sikker dataudveksling med kontooplysningstjenesteudbydere og betalingsinitieringstjenesteudbydere at stille den grænseflade, som den stiller til rådighed for sin betalingsbruger med henblik på adgang til sine betalingskonti online, til rådighed eller, hvor det er relevant, slet ikke have nogen grænseflade til sikker dataudveksling.</w:t>
            </w:r>
          </w:p>
        </w:tc>
        <w:tc>
          <w:tcPr>
            <w:tcW w:w="4876" w:type="dxa"/>
            <w:hideMark/>
          </w:tcPr>
          <w:p w:rsidR="0047667D" w:rsidRPr="00A80DA9" w:rsidRDefault="008507C9">
            <w:pPr>
              <w:pStyle w:val="Normal6"/>
              <w:rPr>
                <w:szCs w:val="24"/>
              </w:rPr>
            </w:pPr>
            <w:r w:rsidRPr="00A80DA9">
              <w:t>EBA udarbejder udkast til reguleringsmæssige tekniske standarder, som præciserer de kriterier, på grundlag af hvilke en kontoførende betalingstjenesteudbyder i overensstemmelse med stk. 1 kan fritages fra forpligtelsen til at have en grænseflade og have tilladelse til enten som grænseflade for sikker dataudveksling med kontooplysningstjenesteudbydere og betalingsinitieringstjenesteudbydere at stille den grænseflade, som den stiller til rådighed for sin betalingsbruger med henblik på adgang til sine betalingskonti online, til rådighed eller, hvor det er relevant, slet ikke have nogen grænseflade til sikker dataudveksling.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40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Med henblik på litra b) skal den kontoførende betalingstjenesteudbyder, hvis nogle af eller alle de i nævnte litra omhandlede oplysninger ikke er tilgængelige umiddelbart efter modtagelsen af betalingsordren, sikre, at alle oplysninger om gennemførelsen af betalingsordren stilles til rådighed for betalingsinitieringstjenesteudbyderen umiddelbart efter, at disse oplysninger er blevet tilgængelige for den kontoførende betalingstjenesteudbyder.</w:t>
            </w:r>
          </w:p>
        </w:tc>
        <w:tc>
          <w:tcPr>
            <w:tcW w:w="4876" w:type="dxa"/>
            <w:hideMark/>
          </w:tcPr>
          <w:p w:rsidR="0047667D" w:rsidRPr="00A80DA9" w:rsidRDefault="008507C9">
            <w:pPr>
              <w:pStyle w:val="Normal6"/>
              <w:rPr>
                <w:szCs w:val="24"/>
              </w:rPr>
            </w:pPr>
            <w:r w:rsidRPr="00A80DA9">
              <w:t>Med henblik på litra b) skal den kontoførende betalingstjenesteudbyder, hvis nogle af eller alle de i nævnte litra omhandlede oplysninger ikke er tilgængelige umiddelbart efter modtagelsen af betalingsordren, sikre, at alle oplysninger</w:t>
            </w:r>
            <w:r w:rsidRPr="00A80DA9">
              <w:rPr>
                <w:b/>
                <w:i/>
              </w:rPr>
              <w:t>, herunder, men ikke begrænset til ajourføringer af betalingsstatus,</w:t>
            </w:r>
            <w:r w:rsidRPr="00A80DA9">
              <w:t xml:space="preserve"> om gennemførelsen af betalingsordren stilles til rådighed for betalingsinitieringstjenesteudbyderen umiddelbart efter, at disse oplysninger er blevet tilgængelige for den kontoførende betalingstjenesteudbyder.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40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Med henblik på litra b) skal den kontoførende betalingstjenesteudbyder, hvis nogle af eller alle de i nævnte litra omhandlede oplysninger ikke er tilgængelige umiddelbart efter modtagelsen af betalingsordren, sikre, at alle oplysninger om gennemførelsen af betalingsordren stilles til rådighed for betalingsinitieringstjenesteudbyderen umiddelbart efter, at disse oplysninger er blevet tilgængelige for den kontoførende betalingstjenesteudbyder.</w:t>
            </w:r>
          </w:p>
        </w:tc>
        <w:tc>
          <w:tcPr>
            <w:tcW w:w="4876" w:type="dxa"/>
            <w:hideMark/>
          </w:tcPr>
          <w:p w:rsidR="0047667D" w:rsidRPr="00A80DA9" w:rsidRDefault="008507C9">
            <w:pPr>
              <w:pStyle w:val="Normal6"/>
              <w:rPr>
                <w:szCs w:val="24"/>
              </w:rPr>
            </w:pPr>
            <w:r w:rsidRPr="00A80DA9">
              <w:t>Med henblik på litra b) skal den kontoførende betalingstjenesteudbyder, hvis nogle af eller alle de i nævnte litra omhandlede oplysninger ikke er tilgængelige umiddelbart efter modtagelsen af betalingsordren, sikre, at alle oplysninger</w:t>
            </w:r>
            <w:r w:rsidRPr="00A80DA9">
              <w:rPr>
                <w:b/>
                <w:i/>
              </w:rPr>
              <w:t>, herunder alle ajourføringer af betalingsstatus,</w:t>
            </w:r>
            <w:r w:rsidRPr="00A80DA9">
              <w:t xml:space="preserve"> om gennemførelsen af betalingsordren stilles til rådighed for betalingsinitieringstjenesteudbyderen umiddelbart efter, at disse oplysninger er blevet tilgængelige for den kontoførende betalingstjenesteudbyder.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43 – stk. 2 – litra a – nr. v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va)</w:t>
            </w:r>
            <w:r w:rsidRPr="00A80DA9">
              <w:rPr>
                <w:b/>
                <w:i/>
              </w:rPr>
              <w:tab/>
              <w:t>datoerne, hvor data er blevet tilgået, og hvilke kategorier af data der er blevet hentet i denne forbindelse.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43 – stk. 2 – litra c</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c)</w:t>
            </w:r>
            <w:r w:rsidRPr="00A80DA9">
              <w:rPr>
                <w:b/>
                <w:i/>
              </w:rPr>
              <w:tab/>
              <w:t>gøre det muligt for betalingstjenestebrugeren at genetablere enhver dataadgang, der er trukket tilbage</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43 – stk. 2 – litra c</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c)</w:t>
            </w:r>
            <w:r w:rsidRPr="00A80DA9">
              <w:rPr>
                <w:b/>
                <w:i/>
              </w:rPr>
              <w:tab/>
              <w:t>gøre det muligt for betalingstjenestebrugeren at genetablere enhver dataadgang, der er trukket tilbage</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Genindsættelse af ophævede tilladelser i dashboards kan skabe tekniske og juridiske udfordringer, hvis tjenestebetingelserne ændres.</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43 – stk. 2 – litra c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ca)</w:t>
            </w:r>
            <w:r w:rsidRPr="00A80DA9">
              <w:rPr>
                <w:b/>
                <w:i/>
              </w:rPr>
              <w:tab/>
              <w:t>give brugere af betalingstjenester mulighed for datadeling med tredjeparter på en overordnet måde for alle nuværende og fremtidige anmodninger om dataadgang</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Eugen Jurzyca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43 – stk. 2 – litra d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da)</w:t>
            </w:r>
            <w:r w:rsidRPr="00A80DA9">
              <w:rPr>
                <w:b/>
                <w:i/>
              </w:rPr>
              <w:tab/>
              <w:t>være i overensstemmelse med dashboards i forordningen om adgang til finansielle data og give dataindehaverne tilladelse til at forvalte datatilladelser, der stammer fra både FIDA og denne forordning gennem et fælles dashboard.</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319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43 – stk. 2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2a.</w:t>
            </w:r>
            <w:r w:rsidRPr="00A80DA9">
              <w:rPr>
                <w:b/>
                <w:i/>
              </w:rPr>
              <w:tab/>
              <w:t>EBA udarbejder udkast til reguleringsmæssige tekniske standarder med henblik på at udvikle en standardiseret liste over de datakategorier, der henvises til i stk. 2, litra a), således at dataene er letforståelige for forbrugerne.</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EBA forelægger de i første afsnit omhandlede reguleringsmæssige tekniske standarder for Kommissionen senest den [Publikationskontoret: Indsæt venligst datoen = et år efter datoen for denne forordnings ikrafttræden]. Kommissionen tillægges beføjelser til at vedtage de i første afsnit omhandlede reguleringsmæssige tekniske standarder i overensstemmelse med artikel 10-14 i forordning (EU) nr. 1093/2010.</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43 – stk. 2 b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2b.</w:t>
            </w:r>
            <w:r w:rsidRPr="00A80DA9">
              <w:rPr>
                <w:b/>
                <w:i/>
              </w:rPr>
              <w:tab/>
              <w:t>Når en betalingstjenestebruger i henhold til stk. 2, litra b), beslutter trække dataadgangen tilbage, henter en given kontooplysningstjenesteudbyder eller betalingsinitieringstjenesteudbyder ikke længere data og sletter alle data, der er modtaget på grundlag af den tilladelse til dataadgang, som betalingstjenestebrugeren har givet.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43 – stk. 4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4.</w:t>
            </w:r>
            <w:r w:rsidRPr="00A80DA9">
              <w:tab/>
              <w:t>Den kontoførende betalingstjenesteudbyder og den kontooplysningstjeneste eller betalingsinitieringstjenesteudbyder, der har fået tilladelse, samarbejder om at stille oplysninger til rådighed for betalingstjenestebrugeren via dashboardet i realtid. Med henblik på stk. 2</w:t>
            </w:r>
            <w:r w:rsidRPr="00A80DA9">
              <w:rPr>
                <w:b/>
                <w:i/>
              </w:rPr>
              <w:t>, litra a), b), c) og e)</w:t>
            </w:r>
            <w:r w:rsidRPr="00A80DA9">
              <w:t>:</w:t>
            </w:r>
          </w:p>
        </w:tc>
        <w:tc>
          <w:tcPr>
            <w:tcW w:w="4876" w:type="dxa"/>
            <w:hideMark/>
          </w:tcPr>
          <w:p w:rsidR="0047667D" w:rsidRPr="00A80DA9" w:rsidRDefault="008507C9">
            <w:pPr>
              <w:pStyle w:val="Normal6"/>
              <w:rPr>
                <w:szCs w:val="24"/>
              </w:rPr>
            </w:pPr>
            <w:r w:rsidRPr="00A80DA9">
              <w:t>4.</w:t>
            </w:r>
            <w:r w:rsidRPr="00A80DA9">
              <w:tab/>
              <w:t>Den kontoførende betalingstjenesteudbyder og den kontooplysningstjeneste eller betalingsinitieringstjenesteudbyder, der har fået tilladelse, samarbejder om at stille oplysninger til rådighed for betalingstjenestebrugeren via dashboardet i realtid. Med henblik på stk. 2:</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Litra e) findes ikke, så derfor bør der henvises til hele stk. 2.</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Markus Ferber</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43 – stk. 4 – litra b – nr. i</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i)</w:t>
            </w:r>
            <w:r w:rsidRPr="00A80DA9">
              <w:tab/>
              <w:t>formålet med betalingstjenestebrugerens tilladelse</w:t>
            </w:r>
          </w:p>
        </w:tc>
        <w:tc>
          <w:tcPr>
            <w:tcW w:w="4876" w:type="dxa"/>
            <w:hideMark/>
          </w:tcPr>
          <w:p w:rsidR="0047667D" w:rsidRPr="00A80DA9" w:rsidRDefault="008507C9">
            <w:pPr>
              <w:pStyle w:val="Normal6"/>
              <w:rPr>
                <w:szCs w:val="24"/>
              </w:rPr>
            </w:pPr>
            <w:r w:rsidRPr="00A80DA9">
              <w:t>i)</w:t>
            </w:r>
            <w:r w:rsidRPr="00A80DA9">
              <w:tab/>
              <w:t xml:space="preserve">formålet med betalingstjenestebrugerens tilladelse </w:t>
            </w:r>
            <w:r w:rsidRPr="00A80DA9">
              <w:rPr>
                <w:b/>
                <w:i/>
              </w:rPr>
              <w:t>på en måde, der er tydelig og forståelig for brugeren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 afsnit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Kontoførende betalingstjenesteudbydere sikrer, at deres særlige grænseflade ikke skaber hindringer for udbud af betalingsinitierings- og kontooplysningstjenester.</w:t>
            </w:r>
          </w:p>
        </w:tc>
        <w:tc>
          <w:tcPr>
            <w:tcW w:w="4876" w:type="dxa"/>
            <w:hideMark/>
          </w:tcPr>
          <w:p w:rsidR="0047667D" w:rsidRPr="00A80DA9" w:rsidRDefault="008507C9">
            <w:pPr>
              <w:pStyle w:val="Normal6"/>
              <w:rPr>
                <w:szCs w:val="24"/>
              </w:rPr>
            </w:pPr>
            <w:r w:rsidRPr="00A80DA9">
              <w:t xml:space="preserve">Kontoførende betalingstjenesteudbydere sikrer, at deres særlige grænseflade ikke skaber hindringer for udbud af betalingsinitierings- og kontooplysningstjenester </w:t>
            </w:r>
            <w:r w:rsidRPr="00A80DA9">
              <w:rPr>
                <w:b/>
                <w:i/>
              </w:rPr>
              <w:t>og giver mulighed for en ligefrem og problemfri kundeoplevelse</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 afsnit 2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Forbudte hindringer omfatter følgende:</w:t>
            </w:r>
          </w:p>
        </w:tc>
        <w:tc>
          <w:tcPr>
            <w:tcW w:w="4876" w:type="dxa"/>
            <w:hideMark/>
          </w:tcPr>
          <w:p w:rsidR="0047667D" w:rsidRPr="00A80DA9" w:rsidRDefault="008507C9">
            <w:pPr>
              <w:pStyle w:val="Normal6"/>
              <w:rPr>
                <w:szCs w:val="24"/>
              </w:rPr>
            </w:pPr>
            <w:r w:rsidRPr="00A80DA9">
              <w:t>Forbudte hindringer omfatter</w:t>
            </w:r>
            <w:r w:rsidRPr="00A80DA9">
              <w:rPr>
                <w:b/>
                <w:i/>
              </w:rPr>
              <w:t>, men er ikke begrænset til,</w:t>
            </w:r>
            <w:r w:rsidRPr="00A80DA9">
              <w:t xml:space="preserve"> følgende: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 afsnit 2 – indledning</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Forbudte hindringer omfatter følgende:</w:t>
            </w:r>
          </w:p>
        </w:tc>
        <w:tc>
          <w:tcPr>
            <w:tcW w:w="4876" w:type="dxa"/>
            <w:hideMark/>
          </w:tcPr>
          <w:p w:rsidR="0047667D" w:rsidRPr="00A80DA9" w:rsidRDefault="008507C9">
            <w:pPr>
              <w:pStyle w:val="Normal6"/>
              <w:rPr>
                <w:szCs w:val="24"/>
              </w:rPr>
            </w:pPr>
            <w:r w:rsidRPr="00A80DA9">
              <w:t xml:space="preserve">Forbudte hindringer omfatter </w:t>
            </w:r>
            <w:r w:rsidRPr="00A80DA9">
              <w:rPr>
                <w:b/>
                <w:i/>
              </w:rPr>
              <w:t>bl.a.</w:t>
            </w:r>
            <w:r w:rsidRPr="00A80DA9">
              <w:t xml:space="preserve"> følgende: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 afsnit 2 – litra a</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a)</w:t>
            </w:r>
            <w:r w:rsidRPr="00A80DA9">
              <w:tab/>
              <w:t xml:space="preserve">at forhindre, at betalingsinitieringstjenesteudbydere eller kontooplysningstjenesteudbydere anvender de </w:t>
            </w:r>
            <w:r w:rsidRPr="00A80DA9">
              <w:rPr>
                <w:b/>
                <w:bCs/>
                <w:i/>
                <w:iCs/>
              </w:rPr>
              <w:t>oplysninger</w:t>
            </w:r>
            <w:r w:rsidRPr="00A80DA9">
              <w:t>, der udstedes af kontoførende betalingstjenesteudbydere, til deres betalingstjenestebrugere</w:t>
            </w:r>
          </w:p>
        </w:tc>
        <w:tc>
          <w:tcPr>
            <w:tcW w:w="4876" w:type="dxa"/>
            <w:hideMark/>
          </w:tcPr>
          <w:p w:rsidR="0047667D" w:rsidRPr="00A80DA9" w:rsidRDefault="008507C9">
            <w:pPr>
              <w:pStyle w:val="Normal6"/>
              <w:rPr>
                <w:szCs w:val="24"/>
              </w:rPr>
            </w:pPr>
            <w:r w:rsidRPr="00A80DA9">
              <w:t>a)</w:t>
            </w:r>
            <w:r w:rsidRPr="00A80DA9">
              <w:tab/>
              <w:t xml:space="preserve">at forhindre, at betalingsinitieringstjenesteudbydere eller kontooplysningstjenesteudbydere anvender de </w:t>
            </w:r>
            <w:r w:rsidRPr="00A80DA9">
              <w:rPr>
                <w:b/>
                <w:i/>
              </w:rPr>
              <w:t>personlige sikkerhedsoplysninger</w:t>
            </w:r>
            <w:r w:rsidRPr="00A80DA9">
              <w:t>, der udstedes af kontoførende betalingstjenesteudbydere, til deres betalingstjenestebrugere</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 afsnit 2 – litra j</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j)</w:t>
            </w:r>
            <w:r w:rsidRPr="00A80DA9">
              <w:rPr>
                <w:b/>
                <w:i/>
              </w:rPr>
              <w:tab/>
              <w:t>at indføre en kontooplysnings- eller betalingsinitieringsproces i en "omdirigeret" eller "afkoblet" tilgang, hvor autentifikationen af betalingstjenestebrugeren hos den kontoførende betalingstjenesteudbyder tilføjer yderligere trin eller nødvendige handlinger i brugerprocessen sammenlignet med den tilsvarende autentifikationsprocedure, der tilbydes betalingstjenestebrugere, når de får direkte adgang til deres betalingskonti eller initierer en betaling hos den kontoførende betalingstjenesteudbyder</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 afsnit 2 – litra j</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j)</w:t>
            </w:r>
            <w:r w:rsidRPr="00A80DA9">
              <w:tab/>
              <w:t>at indføre en kontooplysnings- eller betalingsinitieringsproces i en "omdirigeret" eller "afkoblet" tilgang</w:t>
            </w:r>
            <w:r w:rsidRPr="00A80DA9">
              <w:rPr>
                <w:b/>
                <w:i/>
              </w:rPr>
              <w:t>, hvor</w:t>
            </w:r>
            <w:r w:rsidRPr="00A80DA9">
              <w:t xml:space="preserve"> autentifikationen af betalingstjenestebrugeren </w:t>
            </w:r>
            <w:r w:rsidRPr="00A80DA9">
              <w:rPr>
                <w:b/>
                <w:i/>
              </w:rPr>
              <w:t>hos den kontoførende betalingstjenesteudbyder tilføjer</w:t>
            </w:r>
            <w:r w:rsidRPr="00A80DA9">
              <w:t xml:space="preserve"> yderligere trin eller nødvendige handlinger i brugerprocessen sammenlignet med den tilsvarende autentifikationsprocedure, der tilbydes betalingstjenestebrugere, når de får direkte adgang til deres betalingskonti eller initierer en betaling hos den kontoførende betalingstjenesteudbyder</w:t>
            </w:r>
          </w:p>
        </w:tc>
        <w:tc>
          <w:tcPr>
            <w:tcW w:w="4876" w:type="dxa"/>
            <w:hideMark/>
          </w:tcPr>
          <w:p w:rsidR="0047667D" w:rsidRPr="00A80DA9" w:rsidRDefault="008507C9">
            <w:pPr>
              <w:pStyle w:val="Normal6"/>
              <w:rPr>
                <w:szCs w:val="24"/>
              </w:rPr>
            </w:pPr>
            <w:r w:rsidRPr="00A80DA9">
              <w:t>j)</w:t>
            </w:r>
            <w:r w:rsidRPr="00A80DA9">
              <w:tab/>
              <w:t xml:space="preserve">at indføre en kontooplysnings- eller betalingsinitieringsproces i en "omdirigeret" eller "afkoblet" tilgang </w:t>
            </w:r>
            <w:r w:rsidRPr="00A80DA9">
              <w:rPr>
                <w:b/>
                <w:i/>
              </w:rPr>
              <w:t>til</w:t>
            </w:r>
            <w:r w:rsidRPr="00A80DA9">
              <w:t xml:space="preserve"> autentifikationen af betalingstjenestebrugeren </w:t>
            </w:r>
            <w:r w:rsidRPr="00A80DA9">
              <w:rPr>
                <w:b/>
                <w:i/>
              </w:rPr>
              <w:t>og pålægger</w:t>
            </w:r>
            <w:r w:rsidRPr="00A80DA9">
              <w:t xml:space="preserve"> yderligere trin eller nødvendige handlinger i brugerprocessen sammenlignet med den tilsvarende autentifikationsprocedure, der tilbydes betalingstjenestebrugere, når de får direkte adgang til deres betalingskonti eller initierer en betaling hos den kontoførende betalingstjenesteudbyder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329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 afsnit 2 – litra k</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k)</w:t>
            </w:r>
            <w:r w:rsidRPr="00A80DA9">
              <w:rPr>
                <w:b/>
                <w:i/>
              </w:rPr>
              <w:tab/>
              <w:t>at kræve, at brugeren i autentifikationsfasen automatisk omdirigeres til den kontoførende betalingstjenesteudbyders websideadresse, når dette er den eneste metode til at foretage autentifikation af betalingstjenestebrugeren, som understøttes af en kontoførende betalingstjenesteudbyder</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 afsnit 2 – litra k</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k)</w:t>
            </w:r>
            <w:r w:rsidRPr="00A80DA9">
              <w:tab/>
              <w:t xml:space="preserve">at kræve, at brugeren </w:t>
            </w:r>
            <w:r w:rsidRPr="00A80DA9">
              <w:rPr>
                <w:b/>
                <w:i/>
              </w:rPr>
              <w:t>i autentifikationsfasen</w:t>
            </w:r>
            <w:r w:rsidRPr="00A80DA9">
              <w:t xml:space="preserve"> automatisk omdirigeres til den kontoførende betalingstjenesteudbyders </w:t>
            </w:r>
            <w:r w:rsidRPr="00A80DA9">
              <w:rPr>
                <w:b/>
                <w:i/>
              </w:rPr>
              <w:t>websideadresse, når dette er</w:t>
            </w:r>
            <w:r w:rsidRPr="00A80DA9">
              <w:t xml:space="preserve"> den eneste metode til at foretage autentifikation af betalingstjenestebrugeren, som understøttes af en kontoførende betalingstjenesteudbyder</w:t>
            </w:r>
          </w:p>
        </w:tc>
        <w:tc>
          <w:tcPr>
            <w:tcW w:w="4876" w:type="dxa"/>
            <w:hideMark/>
          </w:tcPr>
          <w:p w:rsidR="0047667D" w:rsidRPr="00A80DA9" w:rsidRDefault="008507C9">
            <w:pPr>
              <w:pStyle w:val="Normal6"/>
              <w:rPr>
                <w:szCs w:val="24"/>
              </w:rPr>
            </w:pPr>
            <w:r w:rsidRPr="00A80DA9">
              <w:t>k)</w:t>
            </w:r>
            <w:r w:rsidRPr="00A80DA9">
              <w:tab/>
              <w:t xml:space="preserve">at kræve, at brugeren automatisk omdirigeres til den kontoførende betalingstjenesteudbyders </w:t>
            </w:r>
            <w:r w:rsidRPr="00A80DA9">
              <w:rPr>
                <w:b/>
                <w:i/>
              </w:rPr>
              <w:t>autentifikation som</w:t>
            </w:r>
            <w:r w:rsidRPr="00A80DA9">
              <w:t xml:space="preserve"> den eneste metode til at foretage autentifikation af betalingstjenestebrugeren, som understøttes af en kontoførende betalingstjenesteudbyder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331</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 afsnit 2 – litra l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la)</w:t>
            </w:r>
            <w:r w:rsidRPr="00A80DA9">
              <w:rPr>
                <w:b/>
                <w:i/>
              </w:rPr>
              <w:tab/>
              <w:t>begrænsning af en betalingsinitieringstjenesteudbyders mulighed for at initiere betalinger fra entydige identifikationskoder, der er proxyer for betalingskonti, såsom mobiltelefonnumre, herunder når kontoførende betalingstjenesteudbydere ellers udelukkende stiller sådanne identifikationskoder til rådighed for betalere i en dedikeret kanal eller et dedikeret system som en applikation til en mobiltelefon.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332</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1 a (nyt)</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tcPr>
          <w:p w:rsidR="0047667D" w:rsidRPr="00A80DA9" w:rsidRDefault="0047667D">
            <w:pPr>
              <w:pStyle w:val="Normal6"/>
            </w:pPr>
          </w:p>
        </w:tc>
        <w:tc>
          <w:tcPr>
            <w:tcW w:w="4876" w:type="dxa"/>
            <w:hideMark/>
          </w:tcPr>
          <w:p w:rsidR="0047667D" w:rsidRPr="00A80DA9" w:rsidRDefault="008507C9">
            <w:pPr>
              <w:pStyle w:val="Normal6"/>
              <w:rPr>
                <w:szCs w:val="24"/>
              </w:rPr>
            </w:pPr>
            <w:r w:rsidRPr="00A80DA9">
              <w:rPr>
                <w:b/>
                <w:i/>
              </w:rPr>
              <w:t>1a.</w:t>
            </w:r>
            <w:r w:rsidRPr="00A80DA9">
              <w:rPr>
                <w:b/>
                <w:i/>
              </w:rPr>
              <w:tab/>
              <w:t>Foranstaltninger og instrumenter, som kontoførende betalingstjenesteudbydere anvender som reaktion på mistanke om svig eller for at overholde forordning (EU) 2016/679 [generel forordning om databeskyttelse] udgør ikke forbudte hindringer.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333</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Ondřej Kovařík</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44 – stk.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2.</w:t>
            </w:r>
            <w:r w:rsidRPr="00A80DA9">
              <w:tab/>
              <w:t>For betalingsinitieringstjenesters og kontooplysningstjenesters aktiviteter udgør kontoejerens navn og kontonummer ikke følsomme betalingsdata.</w:t>
            </w:r>
          </w:p>
        </w:tc>
        <w:tc>
          <w:tcPr>
            <w:tcW w:w="4876" w:type="dxa"/>
            <w:hideMark/>
          </w:tcPr>
          <w:p w:rsidR="0047667D" w:rsidRPr="00A80DA9" w:rsidRDefault="008507C9">
            <w:pPr>
              <w:pStyle w:val="Normal6"/>
              <w:rPr>
                <w:szCs w:val="24"/>
              </w:rPr>
            </w:pPr>
            <w:r w:rsidRPr="00A80DA9">
              <w:t>2.</w:t>
            </w:r>
            <w:r w:rsidRPr="00A80DA9">
              <w:tab/>
              <w:t xml:space="preserve">For betalingsinitieringstjenesters og kontooplysningstjenesters aktiviteter udgør kontoejerens navn og kontonummer </w:t>
            </w:r>
            <w:r w:rsidRPr="00A80DA9">
              <w:rPr>
                <w:b/>
                <w:i/>
              </w:rPr>
              <w:t>eller en anden identifikator</w:t>
            </w:r>
            <w:r w:rsidRPr="00A80DA9">
              <w:t xml:space="preserve"> ikke følsomme betalingsdata.</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334</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45 – stk. 2 – afsnit 1 – litra d</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d)</w:t>
            </w:r>
            <w:r w:rsidRPr="00A80DA9">
              <w:tab/>
              <w:t xml:space="preserve">logge de data, der tilgås gennem det interface, som den kontoførende betalingstjenesteudbyder stiller til rådighed for sine betalingstjenestebrugere, og efter anmodning og uden unødig forsinkelse indgive logfilerne til deres kompetente myndighed </w:t>
            </w:r>
            <w:r w:rsidRPr="00A80DA9">
              <w:rPr>
                <w:b/>
                <w:i/>
              </w:rPr>
              <w:t>Logfilerne slettes tre år efter deres oprettelse. Logfiler kan opbevares længere end denne opbevaringsperiode, hvis de er nødvendige for overvågningsprocedurer, der allerede er i gang.</w:t>
            </w:r>
          </w:p>
        </w:tc>
        <w:tc>
          <w:tcPr>
            <w:tcW w:w="4876" w:type="dxa"/>
            <w:hideMark/>
          </w:tcPr>
          <w:p w:rsidR="0047667D" w:rsidRPr="00A80DA9" w:rsidRDefault="008507C9">
            <w:pPr>
              <w:pStyle w:val="Normal6"/>
              <w:rPr>
                <w:szCs w:val="24"/>
              </w:rPr>
            </w:pPr>
            <w:r w:rsidRPr="00A80DA9">
              <w:t>d)</w:t>
            </w:r>
            <w:r w:rsidRPr="00A80DA9">
              <w:tab/>
              <w:t>logge de data, der tilgås gennem det interface, som den kontoførende betalingstjenesteudbyder stiller til rådighed for sine betalingstjenestebrugere, og efter anmodning og uden unødig forsinkelse indgive logfilerne til deres kompetente myndighed</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335</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Marek Belka, Paul Tang, René Repasi</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45 – stk. 2 – afsnit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rPr>
                <w:b/>
                <w:i/>
              </w:rPr>
              <w:t>Med henblik på litra d) slettes logfilerne 3 år efter deres oprettelse. Logfiler kan opbevares længere end denne opbevaringsperiode, hvis de er nødvendige for overvågningsprocedurer, der allerede er i gang.</w:t>
            </w:r>
          </w:p>
        </w:tc>
        <w:tc>
          <w:tcPr>
            <w:tcW w:w="4876" w:type="dxa"/>
            <w:hideMark/>
          </w:tcPr>
          <w:p w:rsidR="0047667D" w:rsidRPr="00A80DA9" w:rsidRDefault="008507C9">
            <w:pPr>
              <w:pStyle w:val="Normal6"/>
              <w:rPr>
                <w:szCs w:val="24"/>
              </w:rPr>
            </w:pPr>
            <w:r w:rsidRPr="00A80DA9">
              <w:rPr>
                <w:b/>
                <w:i/>
              </w:rPr>
              <w:t>udgår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pPr>
        <w:pStyle w:val="JustificationTitle"/>
        <w:rPr>
          <w:noProof w:val="0"/>
        </w:rPr>
      </w:pPr>
      <w:r w:rsidRPr="00A80DA9">
        <w:rPr>
          <w:rStyle w:val="HideTWBExt"/>
          <w:i w:val="0"/>
        </w:rPr>
        <w:t>&lt;TitreJust&gt;</w:t>
      </w:r>
      <w:r w:rsidRPr="00A80DA9">
        <w:t>Begrundelse</w:t>
      </w:r>
      <w:r w:rsidRPr="00A80DA9">
        <w:rPr>
          <w:rStyle w:val="HideTWBExt"/>
          <w:i w:val="0"/>
        </w:rPr>
        <w:t>&lt;/TitreJust&gt;</w:t>
      </w:r>
    </w:p>
    <w:p w:rsidR="0047667D" w:rsidRPr="00A80DA9" w:rsidRDefault="008507C9" w:rsidP="0047667D">
      <w:pPr>
        <w:pStyle w:val="Normal12Italic"/>
        <w:rPr>
          <w:noProof w:val="0"/>
        </w:rPr>
      </w:pPr>
      <w:r w:rsidRPr="00A80DA9">
        <w:t>Denne del af teksten har samme betydning som artikel 45, stk. 2, litra d), andet og tredje punktum.</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336</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45 – stk. 2 – afsnit 2</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Med henblik på litra d) slettes logfilerne 3 år efter deres oprettelse. Logfiler kan opbevares længere end denne opbevaringsperiode, hvis de er nødvendige for overvågningsprocedurer, der allerede er i gang.</w:t>
            </w:r>
          </w:p>
        </w:tc>
        <w:tc>
          <w:tcPr>
            <w:tcW w:w="4876" w:type="dxa"/>
            <w:hideMark/>
          </w:tcPr>
          <w:p w:rsidR="0047667D" w:rsidRPr="00A80DA9" w:rsidRDefault="008507C9">
            <w:pPr>
              <w:pStyle w:val="Normal6"/>
              <w:rPr>
                <w:szCs w:val="24"/>
              </w:rPr>
            </w:pPr>
            <w:r w:rsidRPr="00A80DA9">
              <w:t>Med henblik på litra d) slettes logfilerne 3 år efter deres oprettelse. Logfiler kan opbevares længere end denne opbevaringsperiode, hvis de er nødvendige for overvågningsprocedurer, der allerede er i gang</w:t>
            </w:r>
            <w:r w:rsidRPr="00A80DA9">
              <w:rPr>
                <w:b/>
                <w:i/>
              </w:rPr>
              <w:t>, men kun så længe det er strengt nødvendigt at udføre sådanne procedurer</w:t>
            </w:r>
            <w:r w:rsidRPr="00A80DA9">
              <w:t>.</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337</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46 – stk. 1 – litra d</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d)</w:t>
            </w:r>
            <w:r w:rsidRPr="00A80DA9">
              <w:tab/>
              <w:t>sikrer, at betalingstjenestebrugerens personaliserede sikkerhedsoplysninger ikke er tilgængelige for andre parter, med undtagelse af betaleren og udstederen af de personaliserede sikkerhedsoplysninger, og at de overføres af betalingsinitieringstjenesteudbyderen gennem sikre og effektive kanaler</w:t>
            </w:r>
          </w:p>
        </w:tc>
        <w:tc>
          <w:tcPr>
            <w:tcW w:w="4876" w:type="dxa"/>
            <w:hideMark/>
          </w:tcPr>
          <w:p w:rsidR="0047667D" w:rsidRPr="00A80DA9" w:rsidRDefault="008507C9">
            <w:pPr>
              <w:pStyle w:val="Normal6"/>
              <w:rPr>
                <w:szCs w:val="24"/>
              </w:rPr>
            </w:pPr>
            <w:r w:rsidRPr="00A80DA9">
              <w:t>d)</w:t>
            </w:r>
            <w:r w:rsidRPr="00A80DA9">
              <w:tab/>
              <w:t>sikrer, at betalingstjenestebrugerens personaliserede sikkerhedsoplysninger ikke er tilgængelige for andre parter</w:t>
            </w:r>
            <w:r w:rsidRPr="00A80DA9">
              <w:rPr>
                <w:b/>
                <w:i/>
              </w:rPr>
              <w:t>, herunder betalingsinitieringstjenesteudbyderen selv</w:t>
            </w:r>
            <w:r w:rsidRPr="00A80DA9">
              <w:t>, med undtagelse af betaleren og udstederen af de personaliserede sikkerhedsoplysninger, og at de overføres af betalingsinitieringstjenesteudbyderen gennem sikre og effektive kanaler</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338</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46 – stk. 2 – litra a</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a)</w:t>
            </w:r>
            <w:r w:rsidRPr="00A80DA9">
              <w:tab/>
              <w:t>lagre betalingstjenestebrugerens følsomme betalingsdata</w:t>
            </w:r>
          </w:p>
        </w:tc>
        <w:tc>
          <w:tcPr>
            <w:tcW w:w="4876" w:type="dxa"/>
            <w:hideMark/>
          </w:tcPr>
          <w:p w:rsidR="0047667D" w:rsidRPr="00A80DA9" w:rsidRDefault="008507C9">
            <w:pPr>
              <w:pStyle w:val="Normal6"/>
              <w:rPr>
                <w:szCs w:val="24"/>
              </w:rPr>
            </w:pPr>
            <w:r w:rsidRPr="00A80DA9">
              <w:t>a)</w:t>
            </w:r>
            <w:r w:rsidRPr="00A80DA9">
              <w:tab/>
            </w:r>
            <w:r w:rsidRPr="00A80DA9">
              <w:rPr>
                <w:b/>
                <w:i/>
              </w:rPr>
              <w:t>bruge, tilgå eller</w:t>
            </w:r>
            <w:r w:rsidRPr="00A80DA9">
              <w:t xml:space="preserve"> lagre betalingstjenestebrugerens følsomme betalingsdata</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339</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Claude Gruffat</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47 – stk. 1 – litra b</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b)</w:t>
            </w:r>
            <w:r w:rsidRPr="00A80DA9">
              <w:tab/>
              <w:t>sikre, at betalingstjenestebrugerens personaliserede sikkerhedsoplysninger ikke er tilgængelige for andre parter, med undtagelse af brugeren og udstederen af de personaliserede sikkerhedsoplysninger, og at overførslen sker via sikre og effektive kanaler, når disse oplysninger overføres af kontooplysningstjenesteudbyderen</w:t>
            </w:r>
          </w:p>
        </w:tc>
        <w:tc>
          <w:tcPr>
            <w:tcW w:w="4876" w:type="dxa"/>
            <w:hideMark/>
          </w:tcPr>
          <w:p w:rsidR="0047667D" w:rsidRPr="00A80DA9" w:rsidRDefault="008507C9">
            <w:pPr>
              <w:pStyle w:val="Normal6"/>
              <w:rPr>
                <w:szCs w:val="24"/>
              </w:rPr>
            </w:pPr>
            <w:r w:rsidRPr="00A80DA9">
              <w:t>b)</w:t>
            </w:r>
            <w:r w:rsidRPr="00A80DA9">
              <w:tab/>
              <w:t>sikre, at betalingstjenestebrugerens personaliserede sikkerhedsoplysninger ikke er tilgængelige for andre parter</w:t>
            </w:r>
            <w:r w:rsidRPr="00A80DA9">
              <w:rPr>
                <w:b/>
                <w:i/>
              </w:rPr>
              <w:t>, herunder kontooplysningstjenesteudbyderen selv</w:t>
            </w:r>
            <w:r w:rsidRPr="00A80DA9">
              <w:t>, med undtagelse af brugeren og udstederen af de personaliserede sikkerhedsoplysninger, og at overførslen sker via sikre og effektive kanaler, når disse oplysninger overføres af kontooplysningstjenesteudbyderen</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pPr>
        <w:pStyle w:val="AMNumberTabs0"/>
        <w:keepNext/>
      </w:pPr>
      <w:r w:rsidRPr="00A80DA9">
        <w:rPr>
          <w:rStyle w:val="HideTWBExt"/>
          <w:b w:val="0"/>
        </w:rPr>
        <w:t>&lt;Amend&gt;</w:t>
      </w:r>
      <w:r w:rsidRPr="00A80DA9">
        <w:t>Ændringsforslag</w:t>
      </w:r>
      <w:r w:rsidRPr="00A80DA9">
        <w:tab/>
      </w:r>
      <w:r w:rsidRPr="00A80DA9">
        <w:tab/>
      </w:r>
      <w:r w:rsidRPr="00A80DA9">
        <w:rPr>
          <w:rStyle w:val="HideTWBExt"/>
          <w:b w:val="0"/>
        </w:rPr>
        <w:t>&lt;NumAm&gt;</w:t>
      </w:r>
      <w:r w:rsidRPr="00A80DA9">
        <w:t>340</w:t>
      </w:r>
      <w:r w:rsidRPr="00A80DA9">
        <w:rPr>
          <w:rStyle w:val="HideTWBExt"/>
          <w:b w:val="0"/>
        </w:rPr>
        <w:t>&lt;/NumAm&gt;</w:t>
      </w:r>
    </w:p>
    <w:p w:rsidR="0047667D" w:rsidRPr="00A80DA9" w:rsidRDefault="008507C9" w:rsidP="0047667D">
      <w:pPr>
        <w:pStyle w:val="NormalBold"/>
      </w:pPr>
      <w:r w:rsidRPr="00A80DA9">
        <w:rPr>
          <w:rStyle w:val="HideTWBExt"/>
          <w:b w:val="0"/>
        </w:rPr>
        <w:t>&lt;RepeatBlock-By&gt;&lt;Members&gt;</w:t>
      </w:r>
      <w:r w:rsidRPr="00A80DA9">
        <w:t>Lídia Pereira</w:t>
      </w:r>
      <w:r w:rsidRPr="00A80DA9">
        <w:rPr>
          <w:rStyle w:val="HideTWBExt"/>
          <w:b w:val="0"/>
        </w:rPr>
        <w:t>&lt;/Members&gt;</w:t>
      </w:r>
    </w:p>
    <w:p w:rsidR="0047667D" w:rsidRPr="00A80DA9" w:rsidRDefault="008507C9" w:rsidP="0047667D">
      <w:r w:rsidRPr="00A80DA9">
        <w:rPr>
          <w:rStyle w:val="HideTWBExt"/>
        </w:rPr>
        <w:t>&lt;/RepeatBlock-By&gt;</w:t>
      </w:r>
    </w:p>
    <w:p w:rsidR="0047667D" w:rsidRPr="00A80DA9" w:rsidRDefault="008507C9" w:rsidP="0047667D">
      <w:pPr>
        <w:pStyle w:val="NormalBold"/>
        <w:keepNext/>
      </w:pPr>
      <w:r w:rsidRPr="00A80DA9">
        <w:rPr>
          <w:rStyle w:val="HideTWBExt"/>
          <w:b w:val="0"/>
        </w:rPr>
        <w:t>&lt;DocAmend&gt;</w:t>
      </w:r>
      <w:r w:rsidRPr="00A80DA9">
        <w:t>Forslag til forordning</w:t>
      </w:r>
      <w:r w:rsidRPr="00A80DA9">
        <w:rPr>
          <w:rStyle w:val="HideTWBExt"/>
          <w:b w:val="0"/>
        </w:rPr>
        <w:t>&lt;/DocAmend&gt;</w:t>
      </w:r>
    </w:p>
    <w:p w:rsidR="0047667D" w:rsidRPr="00A80DA9" w:rsidRDefault="008507C9" w:rsidP="0047667D">
      <w:pPr>
        <w:pStyle w:val="NormalBold"/>
      </w:pPr>
      <w:r w:rsidRPr="00A80DA9">
        <w:rPr>
          <w:rStyle w:val="HideTWBExt"/>
          <w:b w:val="0"/>
        </w:rPr>
        <w:t>&lt;Article&gt;</w:t>
      </w:r>
      <w:r w:rsidRPr="00A80DA9">
        <w:t>Artikel 48 – stk. 1</w:t>
      </w:r>
      <w:r w:rsidRPr="00A80DA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AB2" w:rsidRPr="00A80DA9" w:rsidTr="0047667D">
        <w:trPr>
          <w:jc w:val="center"/>
        </w:trPr>
        <w:tc>
          <w:tcPr>
            <w:tcW w:w="9752" w:type="dxa"/>
            <w:gridSpan w:val="2"/>
          </w:tcPr>
          <w:p w:rsidR="0047667D" w:rsidRPr="00A80DA9" w:rsidRDefault="0047667D">
            <w:pPr>
              <w:keepNext/>
            </w:pPr>
          </w:p>
        </w:tc>
      </w:tr>
      <w:tr w:rsidR="00285AB2" w:rsidRPr="00A80DA9" w:rsidTr="0047667D">
        <w:trPr>
          <w:jc w:val="center"/>
        </w:trPr>
        <w:tc>
          <w:tcPr>
            <w:tcW w:w="4876" w:type="dxa"/>
            <w:hideMark/>
          </w:tcPr>
          <w:p w:rsidR="0047667D" w:rsidRPr="00A80DA9" w:rsidRDefault="008507C9">
            <w:pPr>
              <w:pStyle w:val="ColumnHeading"/>
              <w:keepNext/>
            </w:pPr>
            <w:r w:rsidRPr="00A80DA9">
              <w:t>Kommissionens forslag</w:t>
            </w:r>
          </w:p>
        </w:tc>
        <w:tc>
          <w:tcPr>
            <w:tcW w:w="4876" w:type="dxa"/>
            <w:hideMark/>
          </w:tcPr>
          <w:p w:rsidR="0047667D" w:rsidRPr="00A80DA9" w:rsidRDefault="008507C9">
            <w:pPr>
              <w:pStyle w:val="ColumnHeading"/>
              <w:keepNext/>
            </w:pPr>
            <w:r w:rsidRPr="00A80DA9">
              <w:t>Ændringsforslag</w:t>
            </w:r>
          </w:p>
        </w:tc>
      </w:tr>
      <w:tr w:rsidR="00285AB2" w:rsidRPr="00A80DA9" w:rsidTr="0047667D">
        <w:trPr>
          <w:jc w:val="center"/>
        </w:trPr>
        <w:tc>
          <w:tcPr>
            <w:tcW w:w="4876" w:type="dxa"/>
            <w:hideMark/>
          </w:tcPr>
          <w:p w:rsidR="0047667D" w:rsidRPr="00A80DA9" w:rsidRDefault="008507C9">
            <w:pPr>
              <w:pStyle w:val="Normal6"/>
            </w:pPr>
            <w:r w:rsidRPr="00A80DA9">
              <w:t>1.</w:t>
            </w:r>
            <w:r w:rsidRPr="00A80DA9">
              <w:tab/>
              <w:t xml:space="preserve">De kompetente myndigheder sikrer, at kontoførende betalingstjenesteudbydere til enhver tid opfylder deres forpligtelser i forbindelse med den særlige grænseflade, der er omhandlet i artikel 35, stk. 1, og at enhver identificeret forbudt hindring, der er anført i artikel 44, straks fjernes af den relevante kontoførende betalingstjenesteudbyder. Hvis der konstateres en sådan manglende overholdelse af de dedikerede grænseflader med denne forordning eller hindringer, herunder på grundlag af oplysninger fra betalingsinitieringstjenester og udbydere af kontooplysningstjenester, træffer de kompetente myndigheder </w:t>
            </w:r>
            <w:r w:rsidRPr="00A80DA9">
              <w:rPr>
                <w:b/>
                <w:bCs/>
                <w:i/>
                <w:iCs/>
              </w:rPr>
              <w:t>straks</w:t>
            </w:r>
            <w:r w:rsidRPr="00A80DA9">
              <w:t xml:space="preserve"> de nødvendige fuldbyrdelsesforanstaltninger og pålægger passende sanktioner eller, hvor det er relevant, giver adgangsrettigheder i overensstemmelse med artikel 38, stk. 4.</w:t>
            </w:r>
          </w:p>
        </w:tc>
        <w:tc>
          <w:tcPr>
            <w:tcW w:w="4876" w:type="dxa"/>
            <w:hideMark/>
          </w:tcPr>
          <w:p w:rsidR="0047667D" w:rsidRPr="00A80DA9" w:rsidRDefault="008507C9">
            <w:pPr>
              <w:pStyle w:val="Normal6"/>
              <w:rPr>
                <w:szCs w:val="24"/>
              </w:rPr>
            </w:pPr>
            <w:r w:rsidRPr="00A80DA9">
              <w:t>1.</w:t>
            </w:r>
            <w:r w:rsidRPr="00A80DA9">
              <w:tab/>
              <w:t xml:space="preserve">De kompetente myndigheder sikrer, at kontoførende betalingstjenesteudbydere til enhver tid opfylder deres forpligtelser i forbindelse med den særlige grænseflade, der er omhandlet i artikel 35, stk. 1, og at enhver identificeret forbudt hindring, der er anført i artikel 44, straks fjernes af den relevante kontoførende betalingstjenesteudbyder. Hvis der konstateres en sådan manglende overholdelse af de dedikerede grænseflader med denne forordning eller hindringer, herunder på grundlag af oplysninger fra betalingsinitieringstjenester og udbydere af kontooplysningstjenester, træffer de kompetente myndigheder </w:t>
            </w:r>
            <w:r w:rsidRPr="00A80DA9">
              <w:rPr>
                <w:b/>
                <w:i/>
              </w:rPr>
              <w:t>uden unødig forsinkelse</w:t>
            </w:r>
            <w:r w:rsidRPr="00A80DA9">
              <w:t xml:space="preserve"> de nødvendige </w:t>
            </w:r>
            <w:r w:rsidRPr="00A80DA9">
              <w:rPr>
                <w:b/>
                <w:i/>
              </w:rPr>
              <w:t>og passende</w:t>
            </w:r>
            <w:r w:rsidRPr="00A80DA9">
              <w:t xml:space="preserve"> fuldbyrdelsesforanstaltninger og pålægger passende </w:t>
            </w:r>
            <w:r w:rsidRPr="00A80DA9">
              <w:rPr>
                <w:b/>
                <w:i/>
              </w:rPr>
              <w:t>og forholdsmæssige</w:t>
            </w:r>
            <w:r w:rsidRPr="00A80DA9">
              <w:t xml:space="preserve"> sanktioner eller, hvor det er relevant </w:t>
            </w:r>
            <w:r w:rsidRPr="00A80DA9">
              <w:rPr>
                <w:b/>
                <w:i/>
              </w:rPr>
              <w:t>og behørigt begrundet</w:t>
            </w:r>
            <w:r w:rsidRPr="00A80DA9">
              <w:t>, giver adgangsrettigheder i overensstemmelse med artikel 38, stk. 4.</w:t>
            </w:r>
          </w:p>
        </w:tc>
      </w:tr>
    </w:tbl>
    <w:p w:rsidR="0047667D" w:rsidRPr="00A80DA9" w:rsidRDefault="008507C9" w:rsidP="0047667D">
      <w:pPr>
        <w:pStyle w:val="Olang"/>
      </w:pPr>
      <w:r w:rsidRPr="00A80DA9">
        <w:rPr>
          <w:noProof w:val="0"/>
        </w:rPr>
        <w:t xml:space="preserve">Or. </w:t>
      </w:r>
      <w:r w:rsidRPr="00A80DA9">
        <w:rPr>
          <w:rStyle w:val="HideTWBExt"/>
          <w:noProof w:val="0"/>
        </w:rPr>
        <w:t>&lt;Original&gt;</w:t>
      </w:r>
      <w:r w:rsidRPr="00A80DA9">
        <w:rPr>
          <w:rStyle w:val="HideTWBInt"/>
          <w:noProof w:val="0"/>
        </w:rPr>
        <w:t>{EN}</w:t>
      </w:r>
      <w:r w:rsidRPr="00A80DA9">
        <w:rPr>
          <w:noProof w:val="0"/>
        </w:rPr>
        <w:t>en</w:t>
      </w:r>
      <w:r w:rsidRPr="00A80DA9">
        <w:rPr>
          <w:rStyle w:val="HideTWBExt"/>
          <w:noProof w:val="0"/>
        </w:rPr>
        <w:t>&lt;/Original&gt;</w:t>
      </w:r>
    </w:p>
    <w:p w:rsidR="0047667D" w:rsidRPr="00A80DA9" w:rsidRDefault="008507C9" w:rsidP="0047667D">
      <w:r w:rsidRPr="00A80DA9">
        <w:rPr>
          <w:rStyle w:val="HideTWBExt"/>
        </w:rPr>
        <w:t>&lt;/Amend&gt;</w:t>
      </w:r>
    </w:p>
    <w:p w:rsidR="0047667D" w:rsidRPr="00A80DA9" w:rsidRDefault="008507C9" w:rsidP="0047667D">
      <w:r w:rsidRPr="00A80DA9">
        <w:rPr>
          <w:rStyle w:val="HideTWBExt"/>
        </w:rPr>
        <w:t>&lt;/RepeatBlock-Amend&gt;</w:t>
      </w:r>
    </w:p>
    <w:p w:rsidR="008363E4" w:rsidRPr="00A80DA9" w:rsidRDefault="008363E4" w:rsidP="0047667D">
      <w:pPr>
        <w:pStyle w:val="AmNumberTabs"/>
        <w:keepNext/>
      </w:pPr>
    </w:p>
    <w:sectPr w:rsidR="008363E4" w:rsidRPr="00A80DA9" w:rsidSect="00A80DA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7C9" w:rsidRPr="00A80DA9" w:rsidRDefault="008507C9">
      <w:r w:rsidRPr="00A80DA9">
        <w:separator/>
      </w:r>
    </w:p>
  </w:endnote>
  <w:endnote w:type="continuationSeparator" w:id="0">
    <w:p w:rsidR="008507C9" w:rsidRPr="00A80DA9" w:rsidRDefault="008507C9">
      <w:r w:rsidRPr="00A80D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7C9" w:rsidRPr="00A80DA9" w:rsidRDefault="008507C9" w:rsidP="00A80DA9">
    <w:pPr>
      <w:pStyle w:val="EPFooter"/>
    </w:pPr>
    <w:r w:rsidRPr="00A80DA9">
      <w:t>PE</w:t>
    </w:r>
    <w:r w:rsidRPr="00A80DA9">
      <w:rPr>
        <w:rStyle w:val="HideTWBExt"/>
      </w:rPr>
      <w:t>&lt;NoPE&gt;</w:t>
    </w:r>
    <w:r w:rsidRPr="00A80DA9">
      <w:t>757.115</w:t>
    </w:r>
    <w:r w:rsidRPr="00A80DA9">
      <w:rPr>
        <w:rStyle w:val="HideTWBExt"/>
      </w:rPr>
      <w:t>&lt;/NoPE&gt;&lt;Version&gt;</w:t>
    </w:r>
    <w:r w:rsidRPr="00A80DA9">
      <w:t>v01-00</w:t>
    </w:r>
    <w:r w:rsidRPr="00A80DA9">
      <w:rPr>
        <w:rStyle w:val="HideTWBExt"/>
      </w:rPr>
      <w:t>&lt;/Version&gt;</w:t>
    </w:r>
    <w:r w:rsidRPr="00A80DA9">
      <w:tab/>
    </w:r>
    <w:r w:rsidRPr="00A80DA9">
      <w:fldChar w:fldCharType="begin"/>
    </w:r>
    <w:r w:rsidRPr="00A80DA9">
      <w:instrText xml:space="preserve"> PAGE  \* MERGEFORMAT </w:instrText>
    </w:r>
    <w:r w:rsidRPr="00A80DA9">
      <w:fldChar w:fldCharType="separate"/>
    </w:r>
    <w:r w:rsidR="0086319F">
      <w:rPr>
        <w:noProof/>
      </w:rPr>
      <w:t>84</w:t>
    </w:r>
    <w:r w:rsidRPr="00A80DA9">
      <w:fldChar w:fldCharType="end"/>
    </w:r>
    <w:r w:rsidRPr="00A80DA9">
      <w:t>/</w:t>
    </w:r>
    <w:r w:rsidR="0086319F">
      <w:fldChar w:fldCharType="begin"/>
    </w:r>
    <w:r w:rsidR="0086319F">
      <w:instrText xml:space="preserve"> NUMPAGES  \* MERGEFORMAT </w:instrText>
    </w:r>
    <w:r w:rsidR="0086319F">
      <w:fldChar w:fldCharType="separate"/>
    </w:r>
    <w:r w:rsidR="0086319F">
      <w:rPr>
        <w:noProof/>
      </w:rPr>
      <w:t>147</w:t>
    </w:r>
    <w:r w:rsidR="0086319F">
      <w:rPr>
        <w:noProof/>
      </w:rPr>
      <w:fldChar w:fldCharType="end"/>
    </w:r>
    <w:r w:rsidRPr="00A80DA9">
      <w:tab/>
    </w:r>
    <w:r w:rsidRPr="00A80DA9">
      <w:rPr>
        <w:rStyle w:val="HideTWBExt"/>
      </w:rPr>
      <w:t>&lt;PathFdR&gt;</w:t>
    </w:r>
    <w:r w:rsidRPr="00A80DA9">
      <w:t>AM\1291880DA.docx</w:t>
    </w:r>
    <w:r w:rsidRPr="00A80DA9">
      <w:rPr>
        <w:rStyle w:val="HideTWBExt"/>
      </w:rPr>
      <w:t>&lt;/PathFdR&gt;</w:t>
    </w:r>
  </w:p>
  <w:p w:rsidR="008507C9" w:rsidRPr="00A80DA9" w:rsidRDefault="008507C9" w:rsidP="00A80DA9">
    <w:pPr>
      <w:pStyle w:val="EPFooter2"/>
    </w:pPr>
    <w:r w:rsidRPr="00A80DA9">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7C9" w:rsidRPr="00A80DA9" w:rsidRDefault="008507C9" w:rsidP="00A80DA9">
    <w:pPr>
      <w:pStyle w:val="EPFooter"/>
    </w:pPr>
    <w:r w:rsidRPr="00A80DA9">
      <w:rPr>
        <w:rStyle w:val="HideTWBExt"/>
      </w:rPr>
      <w:t>&lt;PathFdR&gt;</w:t>
    </w:r>
    <w:r w:rsidRPr="00A80DA9">
      <w:t>AM\1291880DA.docx</w:t>
    </w:r>
    <w:r w:rsidRPr="00A80DA9">
      <w:rPr>
        <w:rStyle w:val="HideTWBExt"/>
      </w:rPr>
      <w:t>&lt;/PathFdR&gt;</w:t>
    </w:r>
    <w:r w:rsidRPr="00A80DA9">
      <w:tab/>
    </w:r>
    <w:r w:rsidRPr="00A80DA9">
      <w:fldChar w:fldCharType="begin"/>
    </w:r>
    <w:r w:rsidRPr="00A80DA9">
      <w:instrText xml:space="preserve"> PAGE  \* MERGEFORMAT </w:instrText>
    </w:r>
    <w:r w:rsidRPr="00A80DA9">
      <w:fldChar w:fldCharType="separate"/>
    </w:r>
    <w:r w:rsidR="0086319F">
      <w:rPr>
        <w:noProof/>
      </w:rPr>
      <w:t>85</w:t>
    </w:r>
    <w:r w:rsidRPr="00A80DA9">
      <w:fldChar w:fldCharType="end"/>
    </w:r>
    <w:r w:rsidRPr="00A80DA9">
      <w:t>/</w:t>
    </w:r>
    <w:r w:rsidR="0086319F">
      <w:fldChar w:fldCharType="begin"/>
    </w:r>
    <w:r w:rsidR="0086319F">
      <w:instrText xml:space="preserve"> NUMPAGES  \* MERGEFORMAT </w:instrText>
    </w:r>
    <w:r w:rsidR="0086319F">
      <w:fldChar w:fldCharType="separate"/>
    </w:r>
    <w:r w:rsidR="0086319F">
      <w:rPr>
        <w:noProof/>
      </w:rPr>
      <w:t>147</w:t>
    </w:r>
    <w:r w:rsidR="0086319F">
      <w:rPr>
        <w:noProof/>
      </w:rPr>
      <w:fldChar w:fldCharType="end"/>
    </w:r>
    <w:r w:rsidRPr="00A80DA9">
      <w:tab/>
      <w:t>PE</w:t>
    </w:r>
    <w:r w:rsidRPr="00A80DA9">
      <w:rPr>
        <w:rStyle w:val="HideTWBExt"/>
      </w:rPr>
      <w:t>&lt;NoPE&gt;</w:t>
    </w:r>
    <w:r w:rsidRPr="00A80DA9">
      <w:t>757.115</w:t>
    </w:r>
    <w:r w:rsidRPr="00A80DA9">
      <w:rPr>
        <w:rStyle w:val="HideTWBExt"/>
      </w:rPr>
      <w:t>&lt;/NoPE&gt;&lt;Version&gt;</w:t>
    </w:r>
    <w:r w:rsidRPr="00A80DA9">
      <w:t>v01-00</w:t>
    </w:r>
    <w:r w:rsidRPr="00A80DA9">
      <w:rPr>
        <w:rStyle w:val="HideTWBExt"/>
      </w:rPr>
      <w:t>&lt;/Version&gt;</w:t>
    </w:r>
  </w:p>
  <w:p w:rsidR="008507C9" w:rsidRPr="00A80DA9" w:rsidRDefault="008507C9" w:rsidP="00A80DA9">
    <w:pPr>
      <w:pStyle w:val="EPFooter2"/>
    </w:pPr>
    <w:r w:rsidRPr="00A80DA9">
      <w:tab/>
    </w:r>
    <w:r w:rsidRPr="00A80DA9">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7C9" w:rsidRPr="00A80DA9" w:rsidRDefault="008507C9" w:rsidP="00A80DA9">
    <w:pPr>
      <w:pStyle w:val="EPFooter"/>
    </w:pPr>
    <w:r w:rsidRPr="00A80DA9">
      <w:rPr>
        <w:rStyle w:val="HideTWBExt"/>
      </w:rPr>
      <w:t>&lt;PathFdR&gt;</w:t>
    </w:r>
    <w:r w:rsidRPr="00A80DA9">
      <w:t>AM\1291880DA.docx</w:t>
    </w:r>
    <w:r w:rsidRPr="00A80DA9">
      <w:rPr>
        <w:rStyle w:val="HideTWBExt"/>
      </w:rPr>
      <w:t>&lt;/PathFdR&gt;</w:t>
    </w:r>
    <w:r w:rsidRPr="00A80DA9">
      <w:tab/>
    </w:r>
    <w:r w:rsidRPr="00A80DA9">
      <w:tab/>
      <w:t>PE</w:t>
    </w:r>
    <w:r w:rsidRPr="00A80DA9">
      <w:rPr>
        <w:rStyle w:val="HideTWBExt"/>
      </w:rPr>
      <w:t>&lt;NoPE&gt;</w:t>
    </w:r>
    <w:r w:rsidRPr="00A80DA9">
      <w:t>757.115</w:t>
    </w:r>
    <w:r w:rsidRPr="00A80DA9">
      <w:rPr>
        <w:rStyle w:val="HideTWBExt"/>
      </w:rPr>
      <w:t>&lt;/NoPE&gt;&lt;Version&gt;</w:t>
    </w:r>
    <w:r w:rsidRPr="00A80DA9">
      <w:t>v01-00</w:t>
    </w:r>
    <w:r w:rsidRPr="00A80DA9">
      <w:rPr>
        <w:rStyle w:val="HideTWBExt"/>
      </w:rPr>
      <w:t>&lt;/Version&gt;</w:t>
    </w:r>
  </w:p>
  <w:p w:rsidR="008507C9" w:rsidRPr="00A80DA9" w:rsidRDefault="008507C9" w:rsidP="00A80DA9">
    <w:pPr>
      <w:pStyle w:val="EPFooter2"/>
    </w:pPr>
    <w:r w:rsidRPr="00A80DA9">
      <w:t>DA</w:t>
    </w:r>
    <w:r w:rsidRPr="00A80DA9">
      <w:tab/>
    </w:r>
    <w:r w:rsidRPr="00A80DA9">
      <w:rPr>
        <w:b w:val="0"/>
        <w:i/>
        <w:color w:val="C0C0C0"/>
        <w:sz w:val="22"/>
      </w:rPr>
      <w:t>Forenet i mangfoldighed</w:t>
    </w:r>
    <w:r w:rsidRPr="00A80DA9">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7C9" w:rsidRPr="00A80DA9" w:rsidRDefault="008507C9">
      <w:r w:rsidRPr="00A80DA9">
        <w:separator/>
      </w:r>
    </w:p>
  </w:footnote>
  <w:footnote w:type="continuationSeparator" w:id="0">
    <w:p w:rsidR="008507C9" w:rsidRPr="00A80DA9" w:rsidRDefault="008507C9">
      <w:r w:rsidRPr="00A80D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4D4" w:rsidRDefault="00784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4D4" w:rsidRDefault="007844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4D4" w:rsidRDefault="00784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1"/>
    <w:docVar w:name="DOCDT" w:val="01/12/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045777 HideTWBInt;}}{\*\rsidtbl \rsid24658\rsid223860\rsid735077\rsid1718133\rsid2892074\rsid3565327_x000d__x000a_\rsid4666813\rsid6641733\rsid7823322\rsid9636012\rsid10377208\rsid11215221\rsid11549030\rsid11600676\rsid12154954\rsid13045777\rsid14382809\rsid14424199\rsid15204470\rsid15285974\rsid15950462\rsid16324206\rsid16662270}{\mmathPr\mmathFont34\mbrkBin0_x000d__x000a_\mbrkBinSub0\msmallFrac0\mdispDef1\mlMargin0\mrMargin0\mdefJc1\mwrapIndent1440\mintLim0\mnaryLim1}{\info{\author UNGUROIU Valentina}{\operator UNGUROIU Valentina}{\creatim\yr2023\mo12\dy1\hr11\min9}{\revtim\yr2023\mo12\dy1\hr11\min9}{\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45777\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1600676 \chftnsep _x000d__x000a_\par }}{\*\ftnsepc \ltrpar \pard\plain \ltrpar\ql \li0\ri0\widctlpar\wrapdefault\aspalpha\aspnum\faauto\adjustright\rin0\lin0\itap0 \rtlch\fcs1 \af0\afs20\alang1025 \ltrch\fcs0 \fs24\lang2057\langfe2057\cgrid\langnp2057\langfenp2057 {\rtlch\fcs1 \af0 _x000d__x000a_\ltrch\fcs0 \insrsid11600676 \chftnsepc _x000d__x000a_\par }}{\*\aftnsep \ltrpar \pard\plain \ltrpar\ql \li0\ri0\widctlpar\wrapdefault\aspalpha\aspnum\faauto\adjustright\rin0\lin0\itap0 \rtlch\fcs1 \af0\afs20\alang1025 \ltrch\fcs0 \fs24\lang2057\langfe2057\cgrid\langnp2057\langfenp2057 {\rtlch\fcs1 \af0 _x000d__x000a_\ltrch\fcs0 \insrsid11600676 \chftnsep _x000d__x000a_\par }}{\*\aftnsepc \ltrpar \pard\plain \ltrpar\ql \li0\ri0\widctlpar\wrapdefault\aspalpha\aspnum\faauto\adjustright\rin0\lin0\itap0 \rtlch\fcs1 \af0\afs20\alang1025 \ltrch\fcs0 \fs24\lang2057\langfe2057\cgrid\langnp2057\langfenp2057 {\rtlch\fcs1 \af0 _x000d__x000a_\ltrch\fcs0 \insrsid116006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045777\charrsid12784491 {\*\bkmkstart ReplaceBookmark}#}{\rtlch\fcs1 \af1 \ltrch\fcs0 _x000d__x000a_\cs17\v\f1\fs20\cf15\insrsid13045777\charrsid12784491 &gt;&gt;&gt;CVAR@@AmendA}{\rtlch\fcs1 \af0 \ltrch\fcs0 \insrsid13045777\charrsid1278449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7974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91323 HideTWBExt;}{\*\cs18 \additive \v\f1\fs20\cf15 _x000d__x000a_\spriority0 \styrsid11691323 HideTWBInt;}{\s19\ql \li0\ri0\sa120\nowidctlpar\wrapdefault\aspalpha\aspnum\faauto\adjustright\rin0\lin0\itap0 \rtlch\fcs1 \af0\afs20\alang1025 \ltrch\fcs0 \fs24\lang2057\langfe2057\cgrid\langnp2057\langfenp2057 _x000d__x000a_\sbasedon0 \snext19 \spriority0 \styrsid11691323 Normal6a;}{\s20\ql \li0\ri0\nowidctlpar\wrapdefault\aspalpha\aspnum\faauto\adjustright\rin0\lin0\itap0 \rtlch\fcs1 \af0\afs20\alang1025 \ltrch\fcs0 \b\fs24\lang2057\langfe2057\cgrid\langnp2057\langfenp2057 _x000d__x000a_\sbasedon0 \snext20 \spriority0 \styrsid11691323 NormalBold;}{\s21\qr \li0\ri0\sb240\sa240\nowidctlpar\wrapdefault\aspalpha\aspnum\faauto\adjustright\rin0\lin0\itap0 \rtlch\fcs1 \af0\afs20\alang1025 \ltrch\fcs0 _x000d__x000a_\fs24\lang2057\langfe2057\cgrid\langnp2057\langfenp2057 \sbasedon0 \snext21 \spriority0 \styrsid11691323 AmOrLang;}{\s22\qc \li0\ri0\sa240\nowidctlpar\wrapdefault\aspalpha\aspnum\faauto\adjustright\rin0\lin0\itap0 \rtlch\fcs1 \af0\afs20\alang1025 _x000d__x000a_\ltrch\fcs0 \i\fs24\lang2057\langfe2057\cgrid\langnp2057\langfenp2057 \sbasedon0 \snext22 \spriority0 \styrsid116913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91323 AmNumberTabs;}}{\*\rsidtbl \rsid24658\rsid223860\rsid735077\rsid1470550\rsid1718133\rsid2892074\rsid3565327\rsid4666813\rsid6641733_x000d__x000a_\rsid7823322\rsid9636012\rsid10377208\rsid11215221\rsid11549030\rsid11691323\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9132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470550 \chftnsep _x000d__x000a_\par }}{\*\ftnsepc \ltrpar \pard\plain \ltrpar\ql \li0\ri0\widctlpar\wrapdefault\aspalpha\aspnum\faauto\adjustright\rin0\lin0\itap0 \rtlch\fcs1 \af0\afs20\alang1025 \ltrch\fcs0 \fs24\lang2057\langfe2057\cgrid\langnp2057\langfenp2057 {\rtlch\fcs1 \af0 _x000d__x000a_\ltrch\fcs0 \insrsid1470550 \chftnsepc _x000d__x000a_\par }}{\*\aftnsep \ltrpar \pard\plain \ltrpar\ql \li0\ri0\widctlpar\wrapdefault\aspalpha\aspnum\faauto\adjustright\rin0\lin0\itap0 \rtlch\fcs1 \af0\afs20\alang1025 \ltrch\fcs0 \fs24\lang2057\langfe2057\cgrid\langnp2057\langfenp2057 {\rtlch\fcs1 \af0 _x000d__x000a_\ltrch\fcs0 \insrsid1470550 \chftnsep _x000d__x000a_\par }}{\*\aftnsepc \ltrpar \pard\plain \ltrpar\ql \li0\ri0\widctlpar\wrapdefault\aspalpha\aspnum\faauto\adjustright\rin0\lin0\itap0 \rtlch\fcs1 \af0\afs20\alang1025 \ltrch\fcs0 \fs24\lang2057\langfe2057\cgrid\langnp2057\langfenp2057 {\rtlch\fcs1 \af0 _x000d__x000a_\ltrch\fcs0 \insrsid1470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91323 \rtlch\fcs1 _x000d__x000a_\af0\afs20\alang1025 \ltrch\fcs0 \b\fs24\lang2057\langfe2057\cgrid\langnp2057\langfenp2057 {\rtlch\fcs1 \af0 \ltrch\fcs0 \cs17\b0\v\fs20\cf9\lang1024\langfe1024\loch\af1\hich\af1\dbch\af31501\noproof\insrsid11691323\charrsid12784491 {\*\bkmkstart restartA_x000d__x000a_}\hich\af1\dbch\af31501\loch\f1 &lt;AmendA&gt;}{\rtlch\fcs1 \af0 \ltrch\fcs0 \insrsid11691323\charrsid12784491 Amendment\tab \tab }{\rtlch\fcs1 \af0 \ltrch\fcs0 _x000d__x000a_\cs17\b0\v\fs20\cf9\lang1024\langfe1024\loch\af1\hich\af1\dbch\af31501\noproof\insrsid11691323\charrsid12784491 \hich\af1\dbch\af31501\loch\f1 &lt;NumAmA&gt;}{\rtlch\fcs1 \af0 \ltrch\fcs0 \insrsid11691323\charrsid12784491 #}{\rtlch\fcs1 \af1 \ltrch\fcs0 _x000d__x000a_\cs18\v\f1\fs20\cf15\insrsid11691323\charrsid12784491 ENMIENDA@NRAM@}{\rtlch\fcs1 \af0 \ltrch\fcs0 \insrsid11691323\charrsid12784491 #}{\rtlch\fcs1 \af0 \ltrch\fcs0 _x000d__x000a_\cs17\b0\v\fs20\cf9\lang1024\langfe1024\loch\af1\hich\af1\dbch\af31501\noproof\insrsid11691323\charrsid12784491 \hich\af1\dbch\af31501\loch\f1 &lt;/NumAmA&gt;}{\rtlch\fcs1 \af0 \ltrch\fcs0 \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RepeatBlock-By&gt;}{\rtlch\fcs1 \af0 \ltrch\fcs0 \insrsid11691323\charrsid12784491 #}{\rtlch\fcs1 _x000d__x000a_\af1 \ltrch\fcs0 \cs18\v\f1\fs20\cf15\insrsid11691323\charrsid12784491 (MOD@InsideLoop()}{\rtlch\fcs1 \af0 \ltrch\fcs0 \insrsid11691323\charrsid12784491 ##}{\rtlch\fcs1 \af1 \ltrch\fcs0 \cs18\v\f1\fs20\cf15\insrsid11691323\charrsid12784491 _x000d__x000a_&gt;&gt;&gt;@[ZMEMBERSMSG]@}{\rtlch\fcs1 \af0 \ltrch\fcs0 \insrsid11691323\charrsid12784491 #}{\rtlch\fcs1 \af0 \ltrch\fcs0 \cs17\b0\v\fs20\cf9\lang1024\langfe1024\loch\af1\hich\af1\dbch\af31501\noproof\insrsid11691323\charrsid12784491 _x000d__x000a_\hich\af1\dbch\af31501\loch\f1 &lt;Members&gt;}{\rtlch\fcs1 \af0 \ltrch\fcs0 \insrsid11691323\charrsid12784491 #}{\rtlch\fcs1 \af1 \ltrch\fcs0 \cs18\v\f1\fs20\cf15\insrsid11691323\charrsid12784491 (MOD@InsideLoop(\'a7)}{\rtlch\fcs1 \af0 \ltrch\fcs0 _x000d__x000a_\insrsid11691323\charrsid12784491 #}{\rtlch\fcs1 \af0 \ltrch\fcs0 \cf10\insrsid11691323\charrsid12784491 \u9668\'3f}{\rtlch\fcs1 \af0 \ltrch\fcs0 \insrsid11691323\charrsid12784491 #}{\rtlch\fcs1 \af1 \ltrch\fcs0 _x000d__x000a_\cs18\v\f1\fs20\cf15\insrsid11691323\charrsid12784491 TVTMEMBERS\'a7@MEMBERS@}{\rtlch\fcs1 \af0 \ltrch\fcs0 \insrsid11691323\charrsid12784491 #}{\rtlch\fcs1 \af0 \ltrch\fcs0 \cf10\insrsid11691323\charrsid12784491 \u9658\'3f}{\rtlch\fcs1 \af0 \ltrch\fcs0 _x000d__x000a_\cs17\b0\v\fs20\cf9\lang1024\langfe1024\loch\af1\hich\af1\dbch\af31501\noproof\insrsid11691323\charrsid12784491 \hich\af1\dbch\af31501\loch\f1 &lt;/Members&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uNomDe&gt;&lt;OptDel&gt;}{\rtlch\fcs1 \af0 \ltrch\fcs0 \insrsid11691323\charrsid12784491 #}{\rtlch\fcs1 \af1 \ltrch\fcs0 _x000d__x000a_\cs18\v\f1\fs20\cf15\insrsid11691323\charrsid12784491 MNU[ONBEHALFYES][NOTAPP]@CHOICE@}{\rtlch\fcs1 \af0 \ltrch\fcs0 \insrsid11691323\charrsid12784491 #}{\rtlch\fcs1 \af0 \ltrch\fcs0 _x000d__x000a_\cs17\v\fs20\cf9\lang1024\langfe1024\loch\af1\hich\af1\dbch\af31501\noproof\insrsid11691323\charrsid12784491 \hich\af1\dbch\af31501\loch\f1 &lt;/OptDel&gt;&lt;/AuNomDe&gt;}{\rtlch\fcs1 \af0 \ltrch\fcs0 \insrsid11691323\charrsid12784491 _x000d__x000a_\par &lt;&lt;&lt;}{\rtlch\fcs1 \af0 \ltrch\fcs0 \cs17\v\fs20\cf9\lang1024\langfe1024\loch\af1\hich\af1\dbch\af31501\noproof\insrsid11691323\charrsid12784491 \hich\af1\dbch\af31501\loch\f1 &lt;/RepeatBlock-By&gt;}{\rtlch\fcs1 \af0 \ltrch\fcs0 _x000d__x000a_\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DocAmend&gt;}{\rtlch\fcs1 \af0 \ltrch\fcs0 \insrsid11691323\charrsid12784491 _x000d__x000a_Draft legislative resolution}{\rtlch\fcs1 \af0 \ltrch\fcs0 \cs17\b0\v\fs20\cf9\lang1024\langfe1024\loch\af1\hich\af1\dbch\af31501\noproof\insrsid11691323\charrsid12784491 \hich\af1\dbch\af31501\loch\f1 &lt;/DocAmend&gt;}{\rtlch\fcs1 \af0 \ltrch\fcs0 _x000d__x000a_\insrsid11691323\charrsid12784491 _x000d__x000a_\par }{\rtlch\fcs1 \af0 \ltrch\fcs0 \cs17\b0\v\fs20\cf9\lang1024\langfe1024\loch\af1\hich\af1\dbch\af31501\noproof\insrsid11691323\charrsid12784491 \hich\af1\dbch\af31501\loch\f1 &lt;Article&gt;}{\rtlch\fcs1 \af0 \ltrch\fcs0 \cf10\insrsid11691323\charrsid12784491 _x000d__x000a_\u9668\'3f}{\rtlch\fcs1 \af0 \ltrch\fcs0 \insrsid11691323\charrsid12784491 #}{\rtlch\fcs1 \af1 \ltrch\fcs0 \cs18\v\f1\fs20\cf15\insrsid11691323\charrsid12784491 TVTRESPART@RESPART@}{\rtlch\fcs1 \af0 \ltrch\fcs0 \insrsid11691323\charrsid12784491 #}{_x000d__x000a_\rtlch\fcs1 \af0 \ltrch\fcs0 \cf10\insrsid11691323\charrsid12784491 \u9658\'3f}{\rtlch\fcs1 \af0 \ltrch\fcs0 \cs17\b0\v\fs20\cf9\lang1024\langfe1024\loch\af1\hich\af1\dbch\af31501\noproof\insrsid11691323\charrsid12784491 \hich\af1\dbch\af31501\loch\f1 _x000d__x000a_&lt;/Article&gt;}{\rtlch\fcs1 \af0 \ltrch\fcs0 \insrsid11691323\charrsid1278449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691323\charrsid12784491 Draft legislative resolution\cell Amendment\cell }\pard\plain \ltrpar\ql \li0\ri0\widctlpar\intbl\wrapdefault\aspalpha\aspnum\faauto\adjustright\rin0\lin0 \rtlch\fcs1 \af0\afs20\alang1025 _x000d__x000a_\ltrch\fcs0 \fs24\lang2057\langfe2057\cgrid\langnp2057\langfenp2057 {\rtlch\fcs1 \af0 \ltrch\fcs0 \insrsid11691323\charrsid1278449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691323\charrsid12784491 ##\cell ##}{\rtlch\fcs1 \af0\afs24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691323 \rtlch\fcs1 \af0\afs20\alang1025 \ltrch\fcs0 \fs24\lang2057\langfe2057\cgrid\langnp2057\langfenp2057 {\rtlch\fcs1 \af0 \ltrch\fcs0 _x000d__x000a_\insrsid11691323\charrsid12784491 Or. }{\rtlch\fcs1 \af0 \ltrch\fcs0 \cs17\v\fs20\cf9\lang1024\langfe1024\loch\af1\hich\af1\dbch\af31501\noproof\insrsid11691323\charrsid12784491 \hich\af1\dbch\af31501\loch\f1 &lt;Original&gt;}{\rtlch\fcs1 \af0 \ltrch\fcs0 _x000d__x000a_\insrsid11691323\charrsid12784491 #}{\rtlch\fcs1 \af1 \ltrch\fcs0 \cs18\v\f1\fs20\cf15\insrsid11691323\charrsid12784491 KEY(MAIN/LANGMIN)sh@ORLANGMSG@}{\rtlch\fcs1 \af0 \ltrch\fcs0 \insrsid11691323\charrsid12784491 #}{\rtlch\fcs1 \af0 \ltrch\fcs0 _x000d__x000a_\cs17\v\fs20\cf9\lang1024\langfe1024\loch\af1\hich\af1\dbch\af31501\noproof\insrsid11691323\charrsid12784491 \hich\af1\dbch\af31501\loch\f1 &lt;/Original&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1_x000d__x000a_7aff3d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6674 HideTWBExt;}{\*\cs18 \additive \v\f1\fs20\cf15 _x000d__x000a_\spriority0 \styrsid7956674 HideTWBInt;}{\s19\ql \li0\ri0\sa120\nowidctlpar\wrapdefault\aspalpha\aspnum\faauto\adjustright\rin0\lin0\itap0 \rtlch\fcs1 \af0\afs20\alang1025 \ltrch\fcs0 \fs24\lang2057\langfe2057\cgrid\langnp2057\langfenp2057 _x000d__x000a_\sbasedon0 \snext19 \spriority0 \styrsid7956674 Normal6a;}{\s20\ql \li0\ri0\nowidctlpar\wrapdefault\aspalpha\aspnum\faauto\adjustright\rin0\lin0\itap0 \rtlch\fcs1 \af0\afs20\alang1025 \ltrch\fcs0 \b\fs24\lang2057\langfe2057\cgrid\langnp2057\langfenp2057 _x000d__x000a_\sbasedon0 \snext20 \spriority0 \styrsid7956674 NormalBold;}{\s21\ql \li0\ri0\sa240\nowidctlpar\wrapdefault\aspalpha\aspnum\faauto\adjustright\rin0\lin0\itap0 \rtlch\fcs1 \af0\afs20\alang1025 \ltrch\fcs0 _x000d__x000a_\i\fs24\lang2057\langfe2057\cgrid\langnp2057\langfenp2057 \sbasedon0 \snext21 \spriority0 \styrsid7956674 AmJustText;}{\s22\qc \li0\ri0\sb240\sa240\nowidctlpar\wrapdefault\aspalpha\aspnum\faauto\adjustright\rin0\lin0\itap0 \rtlch\fcs1 _x000d__x000a_\af0\afs20\alang1025 \ltrch\fcs0 \i\fs24\lang2057\langfe2057\cgrid\langnp2057\langfenp2057 \sbasedon0 \snext22 \spriority0 \styrsid7956674 AmCrossRef;}{_x000d__x000a_\s23\qc \li0\ri0\sb240\sa240\keepn\nowidctlpar\wrapdefault\aspalpha\aspnum\faauto\adjustright\rin0\lin0\itap0 \rtlch\fcs1 \af0\afs20\alang1025 \ltrch\fcs0 \i\fs24\lang2057\langfe2057\cgrid\langnp2057\langfenp2057 _x000d__x000a_\sbasedon0 \snext21 \spriority0 \styrsid7956674 AmJustTitle;}{\s24\qr \li0\ri0\sb240\sa240\nowidctlpar\wrapdefault\aspalpha\aspnum\faauto\adjustright\rin0\lin0\itap0 \rtlch\fcs1 \af0\afs20\alang1025 \ltrch\fcs0 _x000d__x000a_\fs24\lang2057\langfe2057\cgrid\langnp2057\langfenp2057 \sbasedon0 \snext24 \spriority0 \styrsid7956674 AmOrLang;}{\s25\qc \li0\ri0\sa240\nowidctlpar\wrapdefault\aspalpha\aspnum\faauto\adjustright\rin0\lin0\itap0 \rtlch\fcs1 \af0\afs20\alang1025 _x000d__x000a_\ltrch\fcs0 \i\fs24\lang2057\langfe2057\cgrid\langnp2057\langfenp2057 \sbasedon0 \snext25 \spriority0 \styrsid79566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6674 AmNumberTabs;}}{\*\rsidtbl \rsid24658\rsid223860\rsid735077\rsid1718133\rsid2892074\rsid3565327\rsid4666813\rsid4802134\rsid6641733_x000d__x000a_\rsid7823322\rsid7956674\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6674\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4802134 \chftnsep _x000d__x000a_\par }}{\*\ftnsepc \ltrpar \pard\plain \ltrpar\ql \li0\ri0\widctlpar\wrapdefault\aspalpha\aspnum\faauto\adjustright\rin0\lin0\itap0 \rtlch\fcs1 \af0\afs20\alang1025 \ltrch\fcs0 \fs24\lang2057\langfe2057\cgrid\langnp2057\langfenp2057 {\rtlch\fcs1 \af0 _x000d__x000a_\ltrch\fcs0 \insrsid4802134 \chftnsepc _x000d__x000a_\par }}{\*\aftnsep \ltrpar \pard\plain \ltrpar\ql \li0\ri0\widctlpar\wrapdefault\aspalpha\aspnum\faauto\adjustright\rin0\lin0\itap0 \rtlch\fcs1 \af0\afs20\alang1025 \ltrch\fcs0 \fs24\lang2057\langfe2057\cgrid\langnp2057\langfenp2057 {\rtlch\fcs1 \af0 _x000d__x000a_\ltrch\fcs0 \insrsid4802134 \chftnsep _x000d__x000a_\par }}{\*\aftnsepc \ltrpar \pard\plain \ltrpar\ql \li0\ri0\widctlpar\wrapdefault\aspalpha\aspnum\faauto\adjustright\rin0\lin0\itap0 \rtlch\fcs1 \af0\afs20\alang1025 \ltrch\fcs0 \fs24\lang2057\langfe2057\cgrid\langnp2057\langfenp2057 {\rtlch\fcs1 \af0 _x000d__x000a_\ltrch\fcs0 \insrsid4802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6674 \rtlch\fcs1 _x000d__x000a_\af0\afs20\alang1025 \ltrch\fcs0 \b\fs24\lang2057\langfe2057\cgrid\langnp2057\langfenp2057 {\rtlch\fcs1 \af0 \ltrch\fcs0 \cs17\b0\v\fs20\cf9\lang1024\langfe1024\loch\af1\hich\af1\dbch\af31501\noproof\insrsid7956674\charrsid12784491 {\*\bkmkstart restartB}_x000d__x000a_\hich\af1\dbch\af31501\loch\f1 &lt;AmendB&gt;}{\rtlch\fcs1 \af0 \ltrch\fcs0 \insrsid7956674\charrsid12784491 Amendment\tab \tab }{\rtlch\fcs1 \af0 \ltrch\fcs0 _x000d__x000a_\cs17\b0\v\fs20\cf9\lang1024\langfe1024\loch\af1\hich\af1\dbch\af31501\noproof\insrsid7956674\charrsid12784491 \hich\af1\dbch\af31501\loch\f1 &lt;NumAmB&gt;}{\rtlch\fcs1 \af0 \ltrch\fcs0 \insrsid7956674\charrsid12784491 #}{\rtlch\fcs1 \af1 \ltrch\fcs0 _x000d__x000a_\cs18\v\f1\fs20\cf15\insrsid7956674\charrsid12784491 ENMIENDA@NRAM@}{\rtlch\fcs1 \af0 \ltrch\fcs0 \insrsid7956674\charrsid12784491 #}{\rtlch\fcs1 \af0 \ltrch\fcs0 _x000d__x000a_\cs17\b0\v\fs20\cf9\lang1024\langfe1024\loch\af1\hich\af1\dbch\af31501\noproof\insrsid7956674\charrsid12784491 \hich\af1\dbch\af31501\loch\f1 &lt;/NumAmB&gt;}{\rtlch\fcs1 \af0 \ltrch\fcs0 \insrsid7956674\charrsid12784491 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RepeatBlock-By&gt;}{\rtlch\fcs1 \af0 \ltrch\fcs0 \insrsid7956674\charrsid12784491 #}{\rtlch\fcs1 \af1 _x000d__x000a_\ltrch\fcs0 \cs18\v\f1\fs20\cf15\insrsid7956674\charrsid12784491 (MOD@InsideLoop()}{\rtlch\fcs1 \af0 \ltrch\fcs0 \insrsid7956674\charrsid12784491 ##}{\rtlch\fcs1 \af1 \ltrch\fcs0 \cs18\v\f1\fs20\cf15\insrsid7956674\charrsid12784491 &gt;&gt;&gt;@[ZMEMBERSMSG]@}{_x000d__x000a_\rtlch\fcs1 \af0 \ltrch\fcs0 \insrsid7956674\charrsid12784491 #}{\rtlch\fcs1 \af0 \ltrch\fcs0 \cs17\b0\v\fs20\cf9\lang1024\langfe1024\loch\af1\hich\af1\dbch\af31501\noproof\insrsid7956674\charrsid12784491 \hich\af1\dbch\af31501\loch\f1 &lt;Members&gt;}{_x000d__x000a_\rtlch\fcs1 \af0 \ltrch\fcs0 \insrsid7956674\charrsid12784491 #}{\rtlch\fcs1 \af1 \ltrch\fcs0 \cs18\v\f1\fs20\cf15\insrsid7956674\charrsid12784491 (MOD@InsideLoop(\'a7)}{\rtlch\fcs1 \af0 \ltrch\fcs0 \insrsid7956674\charrsid12784491 #}{\rtlch\fcs1 \af0 _x000d__x000a_\ltrch\fcs0 \cf10\insrsid7956674\charrsid12784491 \u9668\'3f}{\rtlch\fcs1 \af0 \ltrch\fcs0 \insrsid7956674\charrsid12784491 #}{\rtlch\fcs1 \af1 \ltrch\fcs0 \cs18\v\f1\fs20\cf15\insrsid7956674\charrsid12784491 TVTMEMBERS\'a7@MEMBERS@}{\rtlch\fcs1 \af0 _x000d__x000a_\ltrch\fcs0 \insrsid7956674\charrsid12784491 #}{\rtlch\fcs1 \af0 \ltrch\fcs0 \cf10\insrsid7956674\charrsid12784491 \u9658\'3f}{\rtlch\fcs1 \af0 \ltrch\fcs0 _x000d__x000a_\cs17\b0\v\fs20\cf9\lang1024\langfe1024\loch\af1\hich\af1\dbch\af31501\noproof\insrsid7956674\charrsid12784491 \hich\af1\dbch\af31501\loch\f1 &lt;/Members&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uNomDe&gt;&lt;OptDel&gt;}{\rtlch\fcs1 \af0 \ltrch\fcs0 \insrsid7956674\charrsid12784491 #}{\rtlch\fcs1 \af1 \ltrch\fcs0 _x000d__x000a_\cs18\v\f1\fs20\cf15\insrsid7956674\charrsid12784491 MNU[ONBEHALFYES][NOTAPP]@CHOICE@}{\rtlch\fcs1 \af0 \ltrch\fcs0 \insrsid7956674\charrsid12784491 #}{\rtlch\fcs1 \af0 \ltrch\fcs0 _x000d__x000a_\cs17\v\fs20\cf9\lang1024\langfe1024\loch\af1\hich\af1\dbch\af31501\noproof\insrsid7956674\charrsid12784491 \hich\af1\dbch\af31501\loch\f1 &lt;/OptDel&gt;&lt;/AuNomDe&gt;}{\rtlch\fcs1 \af0 \ltrch\fcs0 \insrsid7956674\charrsid12784491 _x000d__x000a_\par &lt;&lt;&lt;}{\rtlch\fcs1 \af0 \ltrch\fcs0 \cs17\v\fs20\cf9\lang1024\langfe1024\loch\af1\hich\af1\dbch\af31501\noproof\insrsid7956674\charrsid12784491 \hich\af1\dbch\af31501\loch\f1 &lt;/RepeatBlock-By&gt;}{\rtlch\fcs1 \af0 \ltrch\fcs0 \insrsid7956674\charrsid12784491 _x000d__x000a_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DocAmend&gt;}{\rtlch\fcs1 \af0 \ltrch\fcs0 \insrsid7956674\charrsid12784491 #}{\rtlch\fcs1 \af1 _x000d__x000a_\ltrch\fcs0 \cs18\v\f1\fs20\cf15\insrsid7956674\charrsid12784491 MNU[OPTPROPOSALCOD][OPTPROPOSALCNS][OPTPROPOSALNLE]@CHOICE@CODEMNU}{\rtlch\fcs1 \af0 \ltrch\fcs0 \insrsid7956674\charrsid12784491 #}{\rtlch\fcs1 \af0 \ltrch\fcs0 _x000d__x000a_\cs17\b0\v\fs20\cf9\lang1024\langfe1024\loch\af1\hich\af1\dbch\af31501\noproof\insrsid7956674\charrsid12784491 \hich\af1\dbch\af31501\loch\f1 &lt;/DocAmend&gt;}{\rtlch\fcs1 \af0 \ltrch\fcs0 \insrsid7956674\charrsid12784491 _x000d__x000a_\par }\pard \ltrpar\s20\ql \li0\ri0\keepn\nowidctlpar\wrapdefault\aspalpha\aspnum\faauto\adjustright\rin0\lin0\itap0\pararsid7956674 {\rtlch\fcs1 \af0 \ltrch\fcs0 _x000d__x000a_\cs17\b0\v\fs20\cf9\lang1024\langfe1024\loch\af1\hich\af1\dbch\af31501\noproof\insrsid7956674\charrsid12784491 \hich\af1\dbch\af31501\loch\f1 &lt;Article&gt;}{\rtlch\fcs1 \af0 \ltrch\fcs0 \insrsid7956674\charrsid12784491 #}{\rtlch\fcs1 \af1 \ltrch\fcs0 _x000d__x000a_\cs18\v\f1\fs20\cf15\insrsid7956674\charrsid12784491 MNU[AMACTPARTYES][AMACTPARTNO]@CHOICE@AMACTMNU}{\rtlch\fcs1 \af0 \ltrch\fcs0 \insrsid7956674\charrsid12784491 #}{\rtlch\fcs1 \af0 \ltrch\fcs0 _x000d__x000a_\cs17\b0\v\fs20\cf9\lang1024\langfe1024\loch\af1\hich\af1\dbch\af31501\noproof\insrsid7956674\charrsid12784491 \hich\af1\dbch\af31501\loch\f1 &lt;/Article&gt;}{\rtlch\fcs1 \af0 \ltrch\fcs0 \insrsid7956674\charrsid12784491 _x000d__x000a_\par }\pard\plain \ltrpar\ql \li0\ri0\keepn\widctlpar\wrapdefault\aspalpha\aspnum\faauto\adjustright\rin0\lin0\itap0\pararsid7956674 \rtlch\fcs1 \af0\afs20\alang1025 \ltrch\fcs0 \fs24\lang2057\langfe2057\cgrid\langnp2057\langfenp2057 {\rtlch\fcs1 \af0 _x000d__x000a_\ltrch\fcs0 \cs17\v\fs20\cf9\lang1024\langfe1024\loch\af1\hich\af1\dbch\af31501\noproof\insrsid7956674\charrsid12784491 \hich\af1\dbch\af31501\loch\f1 &lt;DocAmend2&gt;&lt;OptDel&gt;}{\rtlch\fcs1 \af0 \ltrch\fcs0 \insrsid7956674\charrsid12784491 #}{\rtlch\fcs1 \af1 _x000d__x000a_\ltrch\fcs0 \cs18\v\f1\fs20\cf15\insrsid7956674\charrsid12784491 MNU[OPTNRACTYES][NOTAPP]@CHOICE@AMACTMNU}{\rtlch\fcs1 \af0 \ltrch\fcs0 \insrsid7956674\charrsid12784491 #}{\rtlch\fcs1 \af0 \ltrch\fcs0 _x000d__x000a_\cs17\v\fs20\cf9\lang1024\langfe1024\loch\af1\hich\af1\dbch\af31501\noproof\insrsid7956674\charrsid12784491 \hich\af1\dbch\af31501\loch\f1 &lt;/OptDel&gt;&lt;/DocAmend2&gt;}{\rtlch\fcs1 \af0 \ltrch\fcs0 \insrsid7956674\charrsid12784491 _x000d__x000a_\par }\pard \ltrpar\ql \li0\ri0\widctlpar\wrapdefault\aspalpha\aspnum\faauto\adjustright\rin0\lin0\itap0\pararsid7956674 {\rtlch\fcs1 \af0 \ltrch\fcs0 \cs17\v\fs20\cf9\lang1024\langfe1024\loch\af1\hich\af1\dbch\af31501\noproof\insrsid7956674\charrsid12784491 _x000d__x000a_\hich\af1\dbch\af31501\loch\f1 &lt;Article2&gt;&lt;OptDel&gt;}{\rtlch\fcs1 \af0 \ltrch\fcs0 \insrsid7956674\charrsid12784491 #}{\rtlch\fcs1 \af1 \ltrch\fcs0 \cs18\v\f1\fs20\cf15\insrsid7956674\charrsid12784491 MNU[OPTACTPARTYES][NOTAPP]@CHOICE@AMACTMNU}{\rtlch\fcs1 _x000d__x000a_\af0 \ltrch\fcs0 \insrsid7956674\charrsid12784491 #}{\rtlch\fcs1 \af0 \ltrch\fcs0 \cs17\v\fs20\cf9\lang1024\langfe1024\loch\af1\hich\af1\dbch\af31501\noproof\insrsid7956674\charrsid12784491 \hich\af1\dbch\af31501\loch\f1 &lt;/OptDel&gt;&lt;/Article2&gt;}{\rtlch\fcs1 _x000d__x000a_\af0 \ltrch\fcs0 \insrsid7956674\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6674\charrsid12784491 #}{\rtlch\fcs1 \af1 \ltrch\fcs0 \cs18\v\f1\fs20\cf15\insrsid7956674\charrsid12784491 MNU[OPTLEFTAMACT][LEFTPROP]@CHOICE@AMACTMNU}{_x000d__x000a_\rtlch\fcs1 \af0 \ltrch\fcs0 \insrsid7956674\charrsid12784491 #\cell Amendment\cell }\pard\plain \ltrpar\ql \li0\ri0\widctlpar\intbl\wrapdefault\aspalpha\aspnum\faauto\adjustright\rin0\lin0 \rtlch\fcs1 \af0\afs20\alang1025 \ltrch\fcs0 _x000d__x000a_\fs24\lang2057\langfe2057\cgrid\langnp2057\langfenp2057 {\rtlch\fcs1 \af0 \ltrch\fcs0 \insrsid7956674\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6674\charrsid12784491 ##\cell ##}{\rtlch\fcs1 \af0\afs24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6674 \rtlch\fcs1 \af0\afs20\alang1025 \ltrch\fcs0 \fs24\lang2057\langfe2057\cgrid\langnp2057\langfenp2057 {\rtlch\fcs1 \af0 \ltrch\fcs0 _x000d__x000a_\insrsid7956674\charrsid12784491 Or. }{\rtlch\fcs1 \af0 \ltrch\fcs0 \cs17\v\fs20\cf9\lang1024\langfe1024\loch\af1\hich\af1\dbch\af31501\noproof\insrsid7956674\charrsid12784491 \hich\af1\dbch\af31501\loch\f1 &lt;Original&gt;}{\rtlch\fcs1 \af0 \ltrch\fcs0 _x000d__x000a_\insrsid7956674\charrsid12784491 #}{\rtlch\fcs1 \af1 \ltrch\fcs0 \cs18\v\f1\fs20\cf15\insrsid7956674\charrsid12784491 KEY(MAIN/LANGMIN)sh@ORLANGMSG@}{\rtlch\fcs1 \af0 \ltrch\fcs0 \insrsid7956674\charrsid12784491 #}{\rtlch\fcs1 \af0 \ltrch\fcs0 _x000d__x000a_\cs17\v\fs20\cf9\lang1024\langfe1024\loch\af1\hich\af1\dbch\af31501\noproof\insrsid7956674\charrsid12784491 \hich\af1\dbch\af31501\loch\f1 &lt;/Original&gt;}{\rtlch\fcs1 \af0 \ltrch\fcs0 \insrsid7956674\charrsid12784491 _x000d__x000a_\par }\pard\plain \ltrpar\s22\qc \li0\ri0\sb240\sa240\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OptDel&gt;}{\rtlch\fcs1 \af0 \ltrch\fcs0 \insrsid7956674\charrsid12784491 #}{_x000d__x000a_\rtlch\fcs1 \af1 \ltrch\fcs0 \cs18\v\f1\fs20\cf15\insrsid7956674\charrsid12784491 MNU[CROSSREFNO][CROSSREFYES]@CHOICE@}{\rtlch\fcs1 \af0 \ltrch\fcs0 \insrsid7956674\charrsid12784491 #}{\rtlch\fcs1 \af0 \ltrch\fcs0 _x000d__x000a_\cs17\i0\v\fs20\cf9\lang1024\langfe1024\loch\af1\hich\af1\dbch\af31501\noproof\insrsid7956674\charrsid12784491 \hich\af1\dbch\af31501\loch\f1 &lt;/OptDel&gt;}{\rtlch\fcs1 \af0 \ltrch\fcs0 \insrsid7956674\charrsid12784491 _x000d__x000a_\par }\pard\plain \ltrpar\s23\qc \li0\ri0\sb240\sa240\keepn\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TitreJust&gt;}{\rtlch\fcs1 \af0 \ltrch\fcs0 \insrsid7956674\charrsid12784491 _x000d__x000a_Justification}{\rtlch\fcs1 \af0 \ltrch\fcs0 \cs17\i0\v\fs20\cf9\lang1024\langfe1024\loch\af1\hich\af1\dbch\af31501\noproof\insrsid7956674\charrsid12784491 \hich\af1\dbch\af31501\loch\f1 &lt;/TitreJust&gt;}{\rtlch\fcs1 \af0 \ltrch\fcs0 _x000d__x000a_\insrsid7956674\charrsid12784491 _x000d__x000a_\par }\pard\plain \ltrpar\s21\ql \li0\ri0\sa240\nowidctlpar\wrapdefault\aspalpha\aspnum\faauto\adjustright\rin0\lin0\itap0\pararsid7956674 \rtlch\fcs1 \af0\afs20\alang1025 \ltrch\fcs0 \i\fs24\lang2057\langfe2057\cgrid\langnp2057\langfenp2057 {\rtlch\fcs1 \af0 _x000d__x000a_\ltrch\fcs0 \cs17\i0\v\fs20\cf9\lang1024\langfe1024\loch\af1\hich\af1\dbch\af31501\noproof\insrsid7956674\charrsid12784491 \hich\af1\dbch\af31501\loch\f1 &lt;OptDelPrev&gt;}{\rtlch\fcs1 \af0 \ltrch\fcs0 \insrsid7956674\charrsid12784491 #}{\rtlch\fcs1 \af1 _x000d__x000a_\ltrch\fcs0 \cs18\v\f1\fs20\cf15\insrsid7956674\charrsid12784491 MNU[TEXTJUSTYES][TEXTJUSTNO]@CHOICE@}{\rtlch\fcs1 \af0 \ltrch\fcs0 \insrsid7956674\charrsid12784491 #}{\rtlch\fcs1 \af0 \ltrch\fcs0 _x000d__x000a_\cs17\i0\v\fs20\cf9\lang1024\langfe1024\loch\af1\hich\af1\dbch\af31501\noproof\insrsid7956674\charrsid12784491 \hich\af1\dbch\af31501\loch\f1 &lt;/OptDelPrev&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d_x000d__x000a_4500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62713 HideTWBExt;}{\*\cs18 \additive \v\f1\fs20\cf15 _x000d__x000a_\spriority0 \styrsid13762713 HideTWBInt;}{\s19\ql \li0\ri0\sa120\nowidctlpar\wrapdefault\aspalpha\aspnum\faauto\adjustright\rin0\lin0\itap0 \rtlch\fcs1 \af0\afs20\alang1025 \ltrch\fcs0 \fs24\lang2057\langfe2057\cgrid\langnp2057\langfenp2057 _x000d__x000a_\sbasedon0 \snext19 \spriority0 \styrsid13762713 Normal6a;}{\s20\ql \li0\ri0\nowidctlpar\wrapdefault\aspalpha\aspnum\faauto\adjustright\rin0\lin0\itap0 \rtlch\fcs1 \af0\afs20\alang1025 \ltrch\fcs0 \b\fs24\lang2057\langfe2057\cgrid\langnp2057\langfenp2057 _x000d__x000a_\sbasedon0 \snext20 \spriority0 \styrsid13762713 NormalBold;}{\s21\ql \li0\ri0\sa240\nowidctlpar\wrapdefault\aspalpha\aspnum\faauto\adjustright\rin0\lin0\itap0 \rtlch\fcs1 \af0\afs20\alang1025 \ltrch\fcs0 _x000d__x000a_\i\fs24\lang2057\langfe2057\cgrid\langnp2057\langfenp2057 \sbasedon0 \snext21 \spriority0 \styrsid13762713 AmJustText;}{\s22\qc \li0\ri0\sb240\sa240\nowidctlpar\wrapdefault\aspalpha\aspnum\faauto\adjustright\rin0\lin0\itap0 \rtlch\fcs1 _x000d__x000a_\af0\afs20\alang1025 \ltrch\fcs0 \i\fs24\lang2057\langfe2057\cgrid\langnp2057\langfenp2057 \sbasedon0 \snext22 \spriority0 \styrsid13762713 AmCrossRef;}{_x000d__x000a_\s23\qc \li0\ri0\sb240\sa240\keepn\nowidctlpar\wrapdefault\aspalpha\aspnum\faauto\adjustright\rin0\lin0\itap0 \rtlch\fcs1 \af0\afs20\alang1025 \ltrch\fcs0 \i\fs24\lang2057\langfe2057\cgrid\langnp2057\langfenp2057 _x000d__x000a_\sbasedon0 \snext21 \spriority0 \styrsid13762713 AmJustTitle;}{\s24\qr \li0\ri0\sb240\sa240\nowidctlpar\wrapdefault\aspalpha\aspnum\faauto\adjustright\rin0\lin0\itap0 \rtlch\fcs1 \af0\afs20\alang1025 \ltrch\fcs0 _x000d__x000a_\fs24\lang2057\langfe2057\cgrid\langnp2057\langfenp2057 \sbasedon0 \snext24 \spriority0 \styrsid13762713 AmOrLang;}{\s25\qc \li0\ri0\sa240\nowidctlpar\wrapdefault\aspalpha\aspnum\faauto\adjustright\rin0\lin0\itap0 \rtlch\fcs1 \af0\afs20\alang1025 _x000d__x000a_\ltrch\fcs0 \i\fs24\lang2057\langfe2057\cgrid\langnp2057\langfenp2057 \sbasedon0 \snext25 \spriority0 \styrsid137627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62713 AmNumberTabs;}}{\*\rsidtbl \rsid24658\rsid223860\rsid735077\rsid1718133\rsid2892074\rsid3110916\rsid3565327\rsid4666813\rsid6641733_x000d__x000a_\rsid7823322\rsid9636012\rsid10377208\rsid11215221\rsid11549030\rsid12154954\rsid13762713\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9}{\revtim\yr2023\mo12\dy1\hr11\min9}{\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6271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3110916 \chftnsep _x000d__x000a_\par }}{\*\ftnsepc \ltrpar \pard\plain \ltrpar\ql \li0\ri0\widctlpar\wrapdefault\aspalpha\aspnum\faauto\adjustright\rin0\lin0\itap0 \rtlch\fcs1 \af0\afs20\alang1025 \ltrch\fcs0 \fs24\lang2057\langfe2057\cgrid\langnp2057\langfenp2057 {\rtlch\fcs1 \af0 _x000d__x000a_\ltrch\fcs0 \insrsid3110916 \chftnsepc _x000d__x000a_\par }}{\*\aftnsep \ltrpar \pard\plain \ltrpar\ql \li0\ri0\widctlpar\wrapdefault\aspalpha\aspnum\faauto\adjustright\rin0\lin0\itap0 \rtlch\fcs1 \af0\afs20\alang1025 \ltrch\fcs0 \fs24\lang2057\langfe2057\cgrid\langnp2057\langfenp2057 {\rtlch\fcs1 \af0 _x000d__x000a_\ltrch\fcs0 \insrsid3110916 \chftnsep _x000d__x000a_\par }}{\*\aftnsepc \ltrpar \pard\plain \ltrpar\ql \li0\ri0\widctlpar\wrapdefault\aspalpha\aspnum\faauto\adjustright\rin0\lin0\itap0 \rtlch\fcs1 \af0\afs20\alang1025 \ltrch\fcs0 \fs24\lang2057\langfe2057\cgrid\langnp2057\langfenp2057 {\rtlch\fcs1 \af0 _x000d__x000a_\ltrch\fcs0 \insrsid31109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62713 \rtlch\fcs1 _x000d__x000a_\af0\afs20\alang1025 \ltrch\fcs0 \b\fs24\lang2057\langfe2057\cgrid\langnp2057\langfenp2057 {\rtlch\fcs1 \af0 \ltrch\fcs0 \cs17\b0\v\fs20\cf9\lang1024\langfe1024\loch\af1\hich\af1\dbch\af31501\noproof\insrsid13762713\charrsid12784491 {\*\bkmkstart restart}_x000d__x000a_\hich\af1\dbch\af31501\loch\f1 &lt;}{\rtlch\fcs1 \af0 \ltrch\fcs0 \cs17\b0\v\fs20\cf9\lang1024\langfe1024\loch\af1\hich\af1\dbch\af31501\noproof\insrsid13762713 \hich\af1\dbch\af31501\loch\f1 Amend}{\rtlch\fcs1 \af0 \ltrch\fcs0 _x000d__x000a_\cs17\b0\v\fs20\cf9\lang1024\langfe1024\loch\af1\hich\af1\dbch\af31501\noproof\insrsid13762713\charrsid12784491 \hich\af1\dbch\af31501\loch\f1 &gt;}{\rtlch\fcs1 \af0 \ltrch\fcs0 \insrsid13762713\charrsid12784491 Amendment\tab \tab }{\rtlch\fcs1 \af0 _x000d__x000a_\ltrch\fcs0 \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rtlch\fcs1 \af1 \ltrch\fcs0 _x000d__x000a_\cs18\v\f1\fs20\cf15\insrsid13762713\charrsid12784491 ENMIENDA@NRAM@}{\rtlch\fcs1 \af0 \ltrch\fcs0 \insrsid13762713\charrsid12784491 #}{\rtlch\fcs1 \af0 \ltrch\fcs0 _x000d__x000a_\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hich\af1\dbch\af31501\loch\f1 RepeatBlock-By&gt;}{\rtlch\fcs1 \af0 \ltrch\fcs0 _x000d__x000a_\insrsid13762713\charrsid12784491 #}{\rtlch\fcs1 \af1 \ltrch\fcs0 \cs18\v\f1\fs20\cf15\insrsid13762713\charrsid12784491 (MOD@InsideLoop()}{\rtlch\fcs1 \af0 \ltrch\fcs0 \insrsid13762713\charrsid12784491 ##}{\rtlch\fcs1 \af1 \ltrch\fcs0 _x000d__x000a_\cs18\v\f1\fs20\cf15\insrsid13762713\charrsid12784491 &gt;&gt;&gt;@[ZMEMBERSMSG]@}{\rtlch\fcs1 \af0 \ltrch\fcs0 \insrsid13762713\charrsid12784491 #}{\rtlch\fcs1 \af0 \ltrch\fcs0 _x000d__x000a_\cs17\b0\v\fs20\cf9\lang1024\langfe1024\loch\af1\hich\af1\dbch\af31501\noproof\insrsid13762713\charrsid12784491 \hich\af1\dbch\af31501\loch\f1 &lt;Members&gt;}{\rtlch\fcs1 \af0 \ltrch\fcs0 \insrsid13762713\charrsid12784491 #}{\rtlch\fcs1 \af1 \ltrch\fcs0 _x000d__x000a_\cs18\v\f1\fs20\cf15\insrsid13762713\charrsid12784491 (MOD@InsideLoop(\'a7)}{\rtlch\fcs1 \af0 \ltrch\fcs0 \insrsid13762713\charrsid12784491 #}{\rtlch\fcs1 \af0 \ltrch\fcs0 \cf10\insrsid13762713\charrsid4280644 \u9668\'3f}{\rtlch\fcs1 \af0 \ltrch\fcs0 _x000d__x000a_\insrsid13762713\charrsid12784491 #}{\rtlch\fcs1 \af1 \ltrch\fcs0 \cs18\v\f1\fs20\cf15\insrsid13762713\charrsid12784491 TVTMEMBERS\'a7@MEMBERS@}{\rtlch\fcs1 \af0 \ltrch\fcs0 \insrsid13762713\charrsid12784491 #}{\rtlch\fcs1 \af0 \ltrch\fcs0 _x000d__x000a_\cf10\insrsid13762713\charrsid4280644 \u9658\'3f}{\rtlch\fcs1 \af0 \ltrch\fcs0 \cs17\b0\v\fs20\cf9\lang1024\langfe1024\loch\af1\hich\af1\dbch\af31501\noproof\insrsid13762713\charrsid12784491 \hich\af1\dbch\af31501\loch\f1 &lt;/Members&gt;}{\rtlch\fcs1 \af0 _x000d__x000a_\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AuNomDe&gt;&lt;OptDel&gt;}{\rtlch\fcs1 \af0 \ltrch\fcs0 \insrsid13762713\charrsid12784491 #}{\rtlch\fcs1 \af1 \ltrch\fcs0 _x000d__x000a_\cs18\v\f1\fs20\cf15\insrsid13762713\charrsid12784491 MNU[ONBEHALFYES][NOTAPP]@CHOICE@}{\rtlch\fcs1 \af0 \ltrch\fcs0 \insrsid13762713\charrsid12784491 #}{\rtlch\fcs1 \af0 \ltrch\fcs0 _x000d__x000a_\cs17\v\fs20\cf9\lang1024\langfe1024\loch\af1\hich\af1\dbch\af31501\noproof\insrsid13762713\charrsid12784491 \hich\af1\dbch\af31501\loch\f1 &lt;/OptDel&gt;&lt;/AuNomDe&gt;}{\rtlch\fcs1 \af0 \ltrch\fcs0 \insrsid13762713\charrsid12784491 _x000d__x000a_\par &lt;&lt;&lt;}{\rtlch\fcs1 \af0 \ltrch\fcs0 \cs17\v\fs20\cf9\lang1024\langfe1024\loch\af1\hich\af1\dbch\af31501\noproof\insrsid13762713\charrsid12784491 \hich\af1\dbch\af31501\loch\f1 &lt;/RepeatBlock-By&gt;}{\rtlch\fcs1 \af0 \ltrch\fcs0 _x000d__x000a_\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DocAmend&gt;}{\rtlch\fcs1 \af0 \ltrch\fcs0 \insrsid13762713\charrsid12784491 #}{\rtlch\fcs1 \af1 _x000d__x000a_\ltrch\fcs0 \cs18\v\f1\fs20\cf15\insrsid13762713\charrsid12784491 MNU[OPTPROPOSALCOD][OPTPROPOSALCNS][OPTPROPOSALNLE]@CHOICE@CODEMNU}{\rtlch\fcs1 \af0 \ltrch\fcs0 \insrsid13762713\charrsid12784491 #}{\rtlch\fcs1 \af0 \ltrch\fcs0 _x000d__x000a_\cs17\b0\v\fs20\cf9\lang1024\langfe1024\loch\af1\hich\af1\dbch\af31501\noproof\insrsid13762713\charrsid12784491 \hich\af1\dbch\af31501\loch\f1 &lt;/DocAmend&gt;}{\rtlch\fcs1 \af0 \ltrch\fcs0 \insrsid13762713\charrsid12784491 _x000d__x000a_\par }\pard \ltrpar\s20\ql \li0\ri0\keepn\nowidctlpar\wrapdefault\aspalpha\aspnum\faauto\adjustright\rin0\lin0\itap0\pararsid13762713 {\rtlch\fcs1 \af0 \ltrch\fcs0 _x000d__x000a_\cs17\b0\v\fs20\cf9\lang1024\langfe1024\loch\af1\hich\af1\dbch\af31501\noproof\insrsid13762713\charrsid12784491 \hich\af1\dbch\af31501\loch\f1 &lt;Article&gt;}{\rtlch\fcs1 \af0 \ltrch\fcs0 \insrsid13762713\charrsid12784491 #}{\rtlch\fcs1 \af1 \ltrch\fcs0 _x000d__x000a_\cs18\v\f1\fs20\cf15\insrsid13762713\charrsid12784491 MNU[AMACTPARTYES][AMACTPARTNO]@CHOICE@AMACTMNU}{\rtlch\fcs1 \af0 \ltrch\fcs0 \insrsid13762713\charrsid12784491 #}{\rtlch\fcs1 \af0 \ltrch\fcs0 _x000d__x000a_\cs17\b0\v\fs20\cf9\lang1024\langfe1024\loch\af1\hich\af1\dbch\af31501\noproof\insrsid13762713\charrsid12784491 \hich\af1\dbch\af31501\loch\f1 &lt;/Article&gt;}{\rtlch\fcs1 \af0 \ltrch\fcs0 \insrsid13762713\charrsid12784491 _x000d__x000a_\par }\pard\plain \ltrpar\ql \li0\ri0\keepn\widctlpar\wrapdefault\aspalpha\aspnum\faauto\adjustright\rin0\lin0\itap0\pararsid13762713 \rtlch\fcs1 \af0\afs20\alang1025 \ltrch\fcs0 \fs24\lang2057\langfe2057\cgrid\langnp2057\langfenp2057 {\rtlch\fcs1 \af0 _x000d__x000a_\ltrch\fcs0 \cs17\v\fs20\cf9\lang1024\langfe1024\loch\af1\hich\af1\dbch\af31501\noproof\insrsid13762713\charrsid12784491 \hich\af1\dbch\af31501\loch\f1 &lt;DocAmend2&gt;&lt;OptDel&gt;}{\rtlch\fcs1 \af0 \ltrch\fcs0 \insrsid13762713\charrsid12784491 #}{\rtlch\fcs1 _x000d__x000a_\af1 \ltrch\fcs0 \cs18\v\f1\fs20\cf15\insrsid13762713\charrsid12784491 MNU[OPTNRACTYES][NOTAPP]@CHOICE@AMACTMNU}{\rtlch\fcs1 \af0 \ltrch\fcs0 \insrsid13762713\charrsid12784491 #}{\rtlch\fcs1 \af0 \ltrch\fcs0 _x000d__x000a_\cs17\v\fs20\cf9\lang1024\langfe1024\loch\af1\hich\af1\dbch\af31501\noproof\insrsid13762713\charrsid12784491 \hich\af1\dbch\af31501\loch\f1 &lt;/OptDel&gt;&lt;/DocAmend2&gt;}{\rtlch\fcs1 \af0 \ltrch\fcs0 \insrsid13762713\charrsid12784491 _x000d__x000a_\par }\pard \ltrpar\ql \li0\ri0\widctlpar\wrapdefault\aspalpha\aspnum\faauto\adjustright\rin0\lin0\itap0\pararsid13762713 {\rtlch\fcs1 \af0 \ltrch\fcs0 _x000d__x000a_\cs17\v\fs20\cf9\lang1024\langfe1024\loch\af1\hich\af1\dbch\af31501\noproof\insrsid13762713\charrsid12784491 \hich\af1\dbch\af31501\loch\f1 &lt;Article2&gt;&lt;OptDel&gt;}{\rtlch\fcs1 \af0 \ltrch\fcs0 \insrsid13762713\charrsid12784491 #}{\rtlch\fcs1 \af1 \ltrch\fcs0 _x000d__x000a_\cs18\v\f1\fs20\cf15\insrsid13762713\charrsid12784491 MNU[OPTACTPARTYES][NOTAPP]@CHOICE@AMACTMNU}{\rtlch\fcs1 \af0 \ltrch\fcs0 \insrsid13762713\charrsid12784491 #}{\rtlch\fcs1 \af0 \ltrch\fcs0 _x000d__x000a_\cs17\v\fs20\cf9\lang1024\langfe1024\loch\af1\hich\af1\dbch\af31501\noproof\insrsid13762713\charrsid12784491 \hich\af1\dbch\af31501\loch\f1 &lt;/OptDel&gt;&lt;/Article2&gt;}{\rtlch\fcs1 \af0 \ltrch\fcs0 \insrsid13762713\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3762713\charrsid12784491 #}{\rtlch\fcs1 \af1 \ltrch\fcs0 \cs18\v\f1\fs20\cf15\insrsid13762713\charrsid12784491 MNU[OPTLEFTAMACT][LEFTPROP]@CHOICE@AMACTMNU}{_x000d__x000a_\rtlch\fcs1 \af0 \ltrch\fcs0 \insrsid13762713\charrsid12784491 #\cell Amendment\cell }\pard\plain \ltrpar\ql \li0\ri0\widctlpar\intbl\wrapdefault\aspalpha\aspnum\faauto\adjustright\rin0\lin0 \rtlch\fcs1 \af0\afs20\alang1025 \ltrch\fcs0 _x000d__x000a_\fs24\lang2057\langfe2057\cgrid\langnp2057\langfenp2057 {\rtlch\fcs1 \af0 \ltrch\fcs0 \insrsid13762713\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762713\charrsid12784491 ##\cell ##}{\rtlch\fcs1 \af0\afs24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762713 \rtlch\fcs1 \af0\afs20\alang1025 \ltrch\fcs0 \fs24\lang2057\langfe2057\cgrid\langnp2057\langfenp2057 {\rtlch\fcs1 \af0 \ltrch\fcs0 _x000d__x000a_\insrsid13762713\charrsid12784491 Or. }{\rtlch\fcs1 \af0 \ltrch\fcs0 \cs17\v\fs20\cf9\lang1024\langfe1024\loch\af1\hich\af1\dbch\af31501\noproof\insrsid13762713\charrsid12784491 \hich\af1\dbch\af31501\loch\f1 &lt;Original&gt;}{\rtlch\fcs1 \af0 \ltrch\fcs0 _x000d__x000a_\insrsid13762713\charrsid12784491 #}{\rtlch\fcs1 \af1 \ltrch\fcs0 \cs18\v\f1\fs20\cf15\insrsid13762713\charrsid12784491 KEY(MAIN/LANGMIN)sh@ORLANGMSG@}{\rtlch\fcs1 \af0 \ltrch\fcs0 \insrsid13762713\charrsid12784491 #}{\rtlch\fcs1 \af0 \ltrch\fcs0 _x000d__x000a_\cs17\v\fs20\cf9\lang1024\langfe1024\loch\af1\hich\af1\dbch\af31501\noproof\insrsid13762713\charrsid12784491 \hich\af1\dbch\af31501\loch\f1 &lt;/Original&gt;}{\rtlch\fcs1 \af0 \ltrch\fcs0 \insrsid13762713\charrsid12784491 _x000d__x000a_\par }\pard\plain \ltrpar\s22\qc \li0\ri0\sb240\sa240\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OptDel&gt;}{\rtlch\fcs1 \af0 \ltrch\fcs0 \insrsid13762713\charrsid12784491 #}{_x000d__x000a_\rtlch\fcs1 \af1 \ltrch\fcs0 \cs18\v\f1\fs20\cf15\insrsid13762713\charrsid12784491 MNU[CROSSREFNO][CROSSREFYES]@CHOICE@}{\rtlch\fcs1 \af0 \ltrch\fcs0 \insrsid13762713\charrsid12784491 #}{\rtlch\fcs1 \af0 \ltrch\fcs0 _x000d__x000a_\cs17\i0\v\fs20\cf9\lang1024\langfe1024\loch\af1\hich\af1\dbch\af31501\noproof\insrsid13762713\charrsid12784491 \hich\af1\dbch\af31501\loch\f1 &lt;/OptDel&gt;}{\rtlch\fcs1 \af0 \ltrch\fcs0 \insrsid13762713\charrsid12784491 _x000d__x000a_\par }\pard\plain \ltrpar\s23\qc \li0\ri0\sb240\sa240\keepn\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TitreJust&gt;}{\rtlch\fcs1 \af0 \ltrch\fcs0 \insrsid13762713\charrsid12784491 _x000d__x000a_Justification}{\rtlch\fcs1 \af0 \ltrch\fcs0 \cs17\i0\v\fs20\cf9\lang1024\langfe1024\loch\af1\hich\af1\dbch\af31501\noproof\insrsid13762713\charrsid12784491 \hich\af1\dbch\af31501\loch\f1 &lt;/TitreJust&gt;}{\rtlch\fcs1 \af0 \ltrch\fcs0 _x000d__x000a_\insrsid13762713\charrsid12784491 _x000d__x000a_\par }\pard\plain \ltrpar\s21\ql \li0\ri0\sa240\nowidctlpar\wrapdefault\aspalpha\aspnum\faauto\adjustright\rin0\lin0\itap0\pararsid13762713 \rtlch\fcs1 \af0\afs20\alang1025 \ltrch\fcs0 \i\fs24\lang2057\langfe2057\cgrid\langnp2057\langfenp2057 {\rtlch\fcs1 _x000d__x000a_\af0 \ltrch\fcs0 \cs17\i0\v\fs20\cf9\lang1024\langfe1024\loch\af1\hich\af1\dbch\af31501\noproof\insrsid13762713\charrsid12784491 \hich\af1\dbch\af31501\loch\f1 &lt;OptDelPrev&gt;}{\rtlch\fcs1 \af0 \ltrch\fcs0 \insrsid13762713\charrsid12784491 #}{\rtlch\fcs1 _x000d__x000a_\af1 \ltrch\fcs0 \cs18\v\f1\fs20\cf15\insrsid13762713\charrsid12784491 MNU[TEXTJUSTYES][TEXTJUSTNO]@CHOICE@}{\rtlch\fcs1 \af0 \ltrch\fcs0 \insrsid13762713\charrsid12784491 #}{\rtlch\fcs1 \af0 \ltrch\fcs0 _x000d__x000a_\cs17\i0\v\fs20\cf9\lang1024\langfe1024\loch\af1\hich\af1\dbch\af31501\noproof\insrsid13762713\charrsid12784491 \hich\af1\dbch\af31501\loch\f1 &lt;/OptDelPrev&gt;}{\rtlch\fcs1 \af0 \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rtlch\fcs1 \af0 \ltrch\fcs0 _x000d__x000a_\cs17\v\fs20\cf9\lang1024\langfe1024\loch\af1\hich\af1\dbch\af31501\noproof\insrsid13762713 \hich\af1\dbch\af31501\loch\f1 A\hich\af1\dbch\af31501\loch\f1 mend}{\rtlch\fcs1 \af0 \ltrch\fcs0 _x000d__x000a_\cs17\v\fs20\cf9\lang1024\langfe1024\loch\af1\hich\af1\dbch\af31501\noproof\insrsid13762713\charrsid1278449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9_x000d__x000a_b875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VTAMPART" w:val="xx"/>
    <w:docVar w:name="TVTMEMBERS1" w:val="xxx"/>
    <w:docVar w:name="TXTAUTHOR" w:val="Marek Belka"/>
    <w:docVar w:name="TXTLANGUE" w:val="DA"/>
    <w:docVar w:name="TXTLANGUEMIN" w:val="da"/>
    <w:docVar w:name="TXTNRAM" w:val="1"/>
    <w:docVar w:name="TXTNRC" w:val="0217/2023"/>
    <w:docVar w:name="TXTNRCOM" w:val="(2023)0367"/>
    <w:docVar w:name="TXTNRFIRSTAM" w:val="91"/>
    <w:docVar w:name="TXTNRLASTAM" w:val="570"/>
    <w:docVar w:name="TXTNRPE" w:val="757.115"/>
    <w:docVar w:name="TXTNRPE2" w:val="755.995"/>
    <w:docVar w:name="TXTNRPROC" w:val="2023/0210"/>
    <w:docVar w:name="TXTPEorAP" w:val="PE"/>
    <w:docVar w:name="TXTROUTE" w:val="AM\1291880DA.docx"/>
    <w:docVar w:name="TXTTITLE" w:val="&lt;Titre&gt;on the proposal for a regulation of the European Parliament and of the Council on payment services in the internal market and amending Regulation (EU) No 1093/2010&lt;/Titre&gt;_x000d_"/>
    <w:docVar w:name="TXTVERSION" w:val="01-00"/>
    <w:docVar w:name="TXTVERSION2" w:val="01-00"/>
  </w:docVars>
  <w:rsids>
    <w:rsidRoot w:val="00C3136B"/>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5AB2"/>
    <w:rsid w:val="002A1C82"/>
    <w:rsid w:val="002B6A7B"/>
    <w:rsid w:val="002C5761"/>
    <w:rsid w:val="002D7FCC"/>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15144"/>
    <w:rsid w:val="00422BB2"/>
    <w:rsid w:val="004367B3"/>
    <w:rsid w:val="00441413"/>
    <w:rsid w:val="00441D7D"/>
    <w:rsid w:val="00461E32"/>
    <w:rsid w:val="00464338"/>
    <w:rsid w:val="0047667D"/>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844D4"/>
    <w:rsid w:val="0079060C"/>
    <w:rsid w:val="00796D98"/>
    <w:rsid w:val="007A42AB"/>
    <w:rsid w:val="007C71DE"/>
    <w:rsid w:val="00822C94"/>
    <w:rsid w:val="008363E4"/>
    <w:rsid w:val="008507C9"/>
    <w:rsid w:val="00851460"/>
    <w:rsid w:val="0086319F"/>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324B3"/>
    <w:rsid w:val="00A46736"/>
    <w:rsid w:val="00A507FC"/>
    <w:rsid w:val="00A5426B"/>
    <w:rsid w:val="00A80DA9"/>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136B"/>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3B0"/>
    <w:rsid w:val="00E57F50"/>
    <w:rsid w:val="00E660E2"/>
    <w:rsid w:val="00EA25AE"/>
    <w:rsid w:val="00EB3A71"/>
    <w:rsid w:val="00EC7B45"/>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B3C476-18C7-4221-84F9-2FBF5089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47667D"/>
    <w:pPr>
      <w:widowControl/>
      <w:spacing w:before="100" w:beforeAutospacing="1" w:after="100" w:afterAutospacing="1"/>
    </w:pPr>
    <w:rPr>
      <w:szCs w:val="24"/>
    </w:rPr>
  </w:style>
  <w:style w:type="paragraph" w:styleId="Footer">
    <w:name w:val="footer"/>
    <w:link w:val="FooterChar"/>
    <w:semiHidden/>
    <w:unhideWhenUsed/>
    <w:rsid w:val="0047667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7667D"/>
    <w:rPr>
      <w:sz w:val="22"/>
    </w:rPr>
  </w:style>
  <w:style w:type="character" w:customStyle="1" w:styleId="Normal12Char">
    <w:name w:val="Normal12 Char"/>
    <w:basedOn w:val="DefaultParagraphFont"/>
    <w:link w:val="Normal12"/>
    <w:locked/>
    <w:rsid w:val="0047667D"/>
    <w:rPr>
      <w:noProof/>
      <w:sz w:val="24"/>
    </w:rPr>
  </w:style>
  <w:style w:type="paragraph" w:customStyle="1" w:styleId="Normal12">
    <w:name w:val="Normal12"/>
    <w:basedOn w:val="Normal"/>
    <w:link w:val="Normal12Char"/>
    <w:rsid w:val="0047667D"/>
    <w:pPr>
      <w:spacing w:after="240"/>
    </w:pPr>
    <w:rPr>
      <w:noProof/>
    </w:rPr>
  </w:style>
  <w:style w:type="paragraph" w:customStyle="1" w:styleId="CommitteeAM">
    <w:name w:val="CommitteeAM"/>
    <w:basedOn w:val="Normal"/>
    <w:rsid w:val="0047667D"/>
    <w:pPr>
      <w:spacing w:before="240" w:after="600"/>
      <w:jc w:val="center"/>
    </w:pPr>
    <w:rPr>
      <w:i/>
    </w:rPr>
  </w:style>
  <w:style w:type="paragraph" w:customStyle="1" w:styleId="ZDateAM">
    <w:name w:val="ZDateAM"/>
    <w:basedOn w:val="Normal"/>
    <w:rsid w:val="0047667D"/>
    <w:pPr>
      <w:tabs>
        <w:tab w:val="right" w:pos="9356"/>
      </w:tabs>
      <w:spacing w:after="480"/>
    </w:pPr>
    <w:rPr>
      <w:noProof/>
    </w:rPr>
  </w:style>
  <w:style w:type="paragraph" w:customStyle="1" w:styleId="ProjRap">
    <w:name w:val="ProjRap"/>
    <w:basedOn w:val="Normal"/>
    <w:rsid w:val="0047667D"/>
    <w:pPr>
      <w:tabs>
        <w:tab w:val="right" w:pos="9356"/>
      </w:tabs>
    </w:pPr>
    <w:rPr>
      <w:b/>
      <w:noProof/>
    </w:rPr>
  </w:style>
  <w:style w:type="paragraph" w:customStyle="1" w:styleId="PELeft">
    <w:name w:val="PELeft"/>
    <w:basedOn w:val="Normal"/>
    <w:rsid w:val="0047667D"/>
    <w:pPr>
      <w:spacing w:before="40" w:after="40"/>
    </w:pPr>
    <w:rPr>
      <w:rFonts w:ascii="Arial" w:hAnsi="Arial" w:cs="Arial"/>
      <w:sz w:val="22"/>
      <w:szCs w:val="22"/>
    </w:rPr>
  </w:style>
  <w:style w:type="paragraph" w:customStyle="1" w:styleId="PERight">
    <w:name w:val="PERight"/>
    <w:basedOn w:val="Normal"/>
    <w:next w:val="Normal"/>
    <w:rsid w:val="0047667D"/>
    <w:pPr>
      <w:jc w:val="right"/>
    </w:pPr>
    <w:rPr>
      <w:rFonts w:ascii="Arial" w:hAnsi="Arial" w:cs="Arial"/>
      <w:sz w:val="22"/>
      <w:szCs w:val="22"/>
    </w:rPr>
  </w:style>
  <w:style w:type="character" w:customStyle="1" w:styleId="Normal6Char">
    <w:name w:val="Normal6 Char"/>
    <w:basedOn w:val="DefaultParagraphFont"/>
    <w:link w:val="Normal6"/>
    <w:locked/>
    <w:rsid w:val="0047667D"/>
    <w:rPr>
      <w:sz w:val="24"/>
      <w:lang w:val="da-DK"/>
    </w:rPr>
  </w:style>
  <w:style w:type="paragraph" w:customStyle="1" w:styleId="Normal6">
    <w:name w:val="Normal6"/>
    <w:basedOn w:val="Normal"/>
    <w:link w:val="Normal6Char"/>
    <w:rsid w:val="0047667D"/>
    <w:pPr>
      <w:spacing w:after="120"/>
    </w:pPr>
  </w:style>
  <w:style w:type="character" w:customStyle="1" w:styleId="NormalBoldChar">
    <w:name w:val="NormalBold Char"/>
    <w:basedOn w:val="DefaultParagraphFont"/>
    <w:link w:val="NormalBold"/>
    <w:locked/>
    <w:rsid w:val="0047667D"/>
    <w:rPr>
      <w:b/>
      <w:sz w:val="24"/>
    </w:rPr>
  </w:style>
  <w:style w:type="paragraph" w:customStyle="1" w:styleId="Normal12Italic">
    <w:name w:val="Normal12Italic"/>
    <w:basedOn w:val="Normal12"/>
    <w:rsid w:val="0047667D"/>
    <w:rPr>
      <w:i/>
    </w:rPr>
  </w:style>
  <w:style w:type="paragraph" w:customStyle="1" w:styleId="JustificationTitle">
    <w:name w:val="JustificationTitle"/>
    <w:basedOn w:val="Normal"/>
    <w:next w:val="Normal12"/>
    <w:rsid w:val="0047667D"/>
    <w:pPr>
      <w:keepNext/>
      <w:spacing w:before="240" w:after="240"/>
      <w:jc w:val="center"/>
    </w:pPr>
    <w:rPr>
      <w:i/>
      <w:noProof/>
    </w:rPr>
  </w:style>
  <w:style w:type="paragraph" w:customStyle="1" w:styleId="Olang">
    <w:name w:val="Olang"/>
    <w:basedOn w:val="Normal"/>
    <w:rsid w:val="0047667D"/>
    <w:pPr>
      <w:spacing w:before="240" w:after="240"/>
      <w:jc w:val="right"/>
    </w:pPr>
    <w:rPr>
      <w:noProof/>
      <w:szCs w:val="24"/>
    </w:rPr>
  </w:style>
  <w:style w:type="paragraph" w:customStyle="1" w:styleId="ColumnHeading">
    <w:name w:val="ColumnHeading"/>
    <w:basedOn w:val="Normal"/>
    <w:rsid w:val="0047667D"/>
    <w:pPr>
      <w:spacing w:after="240"/>
      <w:jc w:val="center"/>
    </w:pPr>
    <w:rPr>
      <w:i/>
    </w:rPr>
  </w:style>
  <w:style w:type="paragraph" w:customStyle="1" w:styleId="AMNumberTabs0">
    <w:name w:val="AMNumberTabs"/>
    <w:basedOn w:val="Normal"/>
    <w:rsid w:val="004766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667D"/>
    <w:pPr>
      <w:spacing w:before="240"/>
    </w:pPr>
    <w:rPr>
      <w:b/>
    </w:rPr>
  </w:style>
  <w:style w:type="paragraph" w:customStyle="1" w:styleId="CrossRef">
    <w:name w:val="CrossRef"/>
    <w:basedOn w:val="Normal"/>
    <w:rsid w:val="0047667D"/>
    <w:pPr>
      <w:spacing w:before="240"/>
      <w:jc w:val="center"/>
    </w:pPr>
    <w:rPr>
      <w:i/>
    </w:rPr>
  </w:style>
  <w:style w:type="paragraph" w:customStyle="1" w:styleId="Footer2">
    <w:name w:val="Footer2"/>
    <w:basedOn w:val="Normal12"/>
    <w:rsid w:val="0047667D"/>
    <w:pPr>
      <w:tabs>
        <w:tab w:val="center" w:pos="4535"/>
        <w:tab w:val="right" w:pos="9923"/>
      </w:tabs>
      <w:spacing w:line="480" w:lineRule="auto"/>
      <w:ind w:left="-851"/>
    </w:pPr>
    <w:rPr>
      <w:rFonts w:ascii="Arial" w:cs="Arial"/>
      <w:b/>
      <w:sz w:val="48"/>
    </w:rPr>
  </w:style>
  <w:style w:type="character" w:customStyle="1" w:styleId="Footer2Middle">
    <w:name w:val="Footer2Middle"/>
    <w:rsid w:val="0047667D"/>
    <w:rPr>
      <w:rFonts w:ascii="Arial" w:hAnsi="Arial" w:cs="Arial" w:hint="default"/>
      <w:b w:val="0"/>
      <w:bCs w:val="0"/>
      <w:i/>
      <w:iCs w:val="0"/>
      <w:color w:val="C0C0C0"/>
      <w:sz w:val="22"/>
    </w:rPr>
  </w:style>
  <w:style w:type="paragraph" w:customStyle="1" w:styleId="EntPE">
    <w:name w:val="EntPE"/>
    <w:basedOn w:val="Normal12"/>
    <w:rsid w:val="0047667D"/>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33152</Words>
  <Characters>262387</Characters>
  <Application>Microsoft Office Word</Application>
  <DocSecurity>0</DocSecurity>
  <Lines>10495</Lines>
  <Paragraphs>3648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2024-01-08T15:37:00Z</dcterms:created>
  <dcterms:modified xsi:type="dcterms:W3CDTF">2024-01-08T15:37:00Z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1291880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AM\1291880DA.docx</vt:lpwstr>
  </property>
  <property fmtid="{D5CDD505-2E9C-101B-9397-08002B2CF9AE}" pid="10" name="LastEdited with">
    <vt:lpwstr>9.17.0 Build [20231101]</vt:lpwstr>
  </property>
  <property fmtid="{D5CDD505-2E9C-101B-9397-08002B2CF9AE}" pid="11" name="PE number">
    <vt:lpwstr>757.115</vt:lpwstr>
  </property>
  <property fmtid="{D5CDD505-2E9C-101B-9397-08002B2CF9AE}" pid="12" name="SDLStudio">
    <vt:lpwstr/>
  </property>
  <property fmtid="{D5CDD505-2E9C-101B-9397-08002B2CF9AE}" pid="13" name="SendToEpades">
    <vt:lpwstr>OK - 2023/12/04 15:46</vt:lpwstr>
  </property>
  <property fmtid="{D5CDD505-2E9C-101B-9397-08002B2CF9AE}" pid="14" name="Bookout">
    <vt:lpwstr>OK - 2024/01/08 16:33</vt:lpwstr>
  </property>
</Properties>
</file>