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7C7F9B" w:rsidTr="002004D0">
        <w:trPr>
          <w:trHeight w:hRule="exact" w:val="1418"/>
        </w:trPr>
        <w:tc>
          <w:tcPr>
            <w:tcW w:w="6804" w:type="dxa"/>
            <w:shd w:val="clear" w:color="auto" w:fill="auto"/>
            <w:vAlign w:val="center"/>
          </w:tcPr>
          <w:p w:rsidR="00BE5062" w:rsidRPr="007C7F9B" w:rsidRDefault="007C7F9B" w:rsidP="002004D0">
            <w:pPr>
              <w:pStyle w:val="EPName"/>
            </w:pPr>
            <w:bookmarkStart w:id="0" w:name="_GoBack"/>
            <w:bookmarkEnd w:id="0"/>
            <w:r w:rsidRPr="007C7F9B">
              <w:t>Evropský parlament</w:t>
            </w:r>
          </w:p>
          <w:p w:rsidR="00BE5062" w:rsidRPr="002004D0" w:rsidRDefault="002004D0" w:rsidP="002004D0">
            <w:pPr>
              <w:pStyle w:val="EPTerm"/>
            </w:pPr>
            <w:r>
              <w:t>2019-2024</w:t>
            </w:r>
          </w:p>
        </w:tc>
        <w:tc>
          <w:tcPr>
            <w:tcW w:w="2268" w:type="dxa"/>
            <w:shd w:val="clear" w:color="auto" w:fill="auto"/>
          </w:tcPr>
          <w:p w:rsidR="00BE5062" w:rsidRPr="007C7F9B" w:rsidRDefault="00BE5062" w:rsidP="002004D0">
            <w:pPr>
              <w:pStyle w:val="EPLogo"/>
            </w:pPr>
            <w:r w:rsidRPr="007C7F9B">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E7234" w:rsidRPr="007C7F9B" w:rsidRDefault="000E7234" w:rsidP="000E7234">
      <w:pPr>
        <w:pStyle w:val="LineTop"/>
      </w:pPr>
    </w:p>
    <w:p w:rsidR="000E7234" w:rsidRPr="007C7F9B" w:rsidRDefault="000E7234" w:rsidP="000E7234">
      <w:pPr>
        <w:pStyle w:val="EPBody"/>
      </w:pPr>
      <w:r w:rsidRPr="007C7F9B">
        <w:rPr>
          <w:rStyle w:val="HideTWBExt"/>
        </w:rPr>
        <w:t>&lt;</w:t>
      </w:r>
      <w:r w:rsidRPr="007C7F9B">
        <w:rPr>
          <w:rStyle w:val="HideTWBExt"/>
          <w:i w:val="0"/>
        </w:rPr>
        <w:t>Commission</w:t>
      </w:r>
      <w:r w:rsidRPr="007C7F9B">
        <w:rPr>
          <w:rStyle w:val="HideTWBExt"/>
        </w:rPr>
        <w:t>&gt;</w:t>
      </w:r>
      <w:r w:rsidR="002004D0" w:rsidRPr="002004D0">
        <w:rPr>
          <w:rStyle w:val="HideTWBInt"/>
        </w:rPr>
        <w:t>{ECON}</w:t>
      </w:r>
      <w:r w:rsidR="002004D0">
        <w:t>Hospodářský a měnový výbor</w:t>
      </w:r>
      <w:r w:rsidRPr="007C7F9B">
        <w:rPr>
          <w:rStyle w:val="HideTWBExt"/>
        </w:rPr>
        <w:t>&lt;/</w:t>
      </w:r>
      <w:r w:rsidRPr="007C7F9B">
        <w:rPr>
          <w:rStyle w:val="HideTWBExt"/>
          <w:i w:val="0"/>
        </w:rPr>
        <w:t>Commission</w:t>
      </w:r>
      <w:r w:rsidRPr="007C7F9B">
        <w:rPr>
          <w:rStyle w:val="HideTWBExt"/>
        </w:rPr>
        <w:t>&gt;</w:t>
      </w:r>
    </w:p>
    <w:p w:rsidR="000E7234" w:rsidRPr="007C7F9B" w:rsidRDefault="000E7234" w:rsidP="000E7234">
      <w:pPr>
        <w:pStyle w:val="LineBottom"/>
      </w:pPr>
    </w:p>
    <w:p w:rsidR="00B85286" w:rsidRPr="007C7F9B" w:rsidRDefault="00B85286">
      <w:pPr>
        <w:pStyle w:val="CoverReference"/>
      </w:pPr>
      <w:r w:rsidRPr="007C7F9B">
        <w:rPr>
          <w:rStyle w:val="HideTWBExt"/>
          <w:b w:val="0"/>
          <w:noProof w:val="0"/>
        </w:rPr>
        <w:t>&lt;RefProc&gt;</w:t>
      </w:r>
      <w:r w:rsidR="002004D0" w:rsidRPr="002004D0">
        <w:t>2023/0363</w:t>
      </w:r>
      <w:r w:rsidRPr="007C7F9B">
        <w:rPr>
          <w:rStyle w:val="HideTWBExt"/>
          <w:b w:val="0"/>
          <w:noProof w:val="0"/>
        </w:rPr>
        <w:t>&lt;/RefProc&gt;&lt;RefTypeProc&gt;</w:t>
      </w:r>
      <w:r w:rsidR="007C7F9B" w:rsidRPr="007C7F9B">
        <w:t>(</w:t>
      </w:r>
      <w:r w:rsidR="002004D0">
        <w:t>COD</w:t>
      </w:r>
      <w:r w:rsidR="007C7F9B" w:rsidRPr="007C7F9B">
        <w:t>)</w:t>
      </w:r>
      <w:r w:rsidRPr="007C7F9B">
        <w:rPr>
          <w:rStyle w:val="HideTWBExt"/>
          <w:b w:val="0"/>
          <w:noProof w:val="0"/>
        </w:rPr>
        <w:t>&lt;/RefTypeProc&gt;</w:t>
      </w:r>
    </w:p>
    <w:p w:rsidR="00B85286" w:rsidRPr="007C7F9B" w:rsidRDefault="00B85286">
      <w:pPr>
        <w:pStyle w:val="CoverDate"/>
      </w:pPr>
      <w:r w:rsidRPr="007C7F9B">
        <w:rPr>
          <w:rStyle w:val="HideTWBExt"/>
          <w:noProof w:val="0"/>
        </w:rPr>
        <w:t>&lt;Date&gt;</w:t>
      </w:r>
      <w:r w:rsidR="002004D0" w:rsidRPr="002004D0">
        <w:rPr>
          <w:rStyle w:val="HideTWBInt"/>
        </w:rPr>
        <w:t>{10/01/2024}</w:t>
      </w:r>
      <w:r w:rsidR="002004D0">
        <w:t>10.1.2024</w:t>
      </w:r>
      <w:r w:rsidRPr="007C7F9B">
        <w:rPr>
          <w:rStyle w:val="HideTWBExt"/>
          <w:noProof w:val="0"/>
        </w:rPr>
        <w:t>&lt;/Date&gt;</w:t>
      </w:r>
    </w:p>
    <w:p w:rsidR="009B0305" w:rsidRPr="007C7F9B" w:rsidRDefault="009B0305" w:rsidP="009B0305">
      <w:pPr>
        <w:pStyle w:val="CoverDocType"/>
      </w:pPr>
      <w:r w:rsidRPr="007C7F9B">
        <w:rPr>
          <w:rStyle w:val="HideTWBExt"/>
          <w:b w:val="0"/>
          <w:noProof w:val="0"/>
        </w:rPr>
        <w:t>&lt;TypeAM&gt;</w:t>
      </w:r>
      <w:r w:rsidR="002004D0">
        <w:t>POZMĚŇOVACÍ NÁVRHY</w:t>
      </w:r>
      <w:r w:rsidRPr="007C7F9B">
        <w:rPr>
          <w:rStyle w:val="HideTWBExt"/>
          <w:b w:val="0"/>
          <w:noProof w:val="0"/>
        </w:rPr>
        <w:t>&lt;/TypeAM&gt;</w:t>
      </w:r>
    </w:p>
    <w:p w:rsidR="00B85286" w:rsidRPr="007C7F9B" w:rsidRDefault="00E25DC5" w:rsidP="001C2054">
      <w:pPr>
        <w:pStyle w:val="CoverDocType24a"/>
      </w:pPr>
      <w:r w:rsidRPr="007C7F9B">
        <w:rPr>
          <w:rStyle w:val="HideTWBExt"/>
          <w:b w:val="0"/>
          <w:noProof w:val="0"/>
        </w:rPr>
        <w:t>&lt;RangeAM&gt;</w:t>
      </w:r>
      <w:r w:rsidR="002004D0" w:rsidRPr="002004D0">
        <w:t>79</w:t>
      </w:r>
      <w:r w:rsidR="002004D0">
        <w:t xml:space="preserve"> - </w:t>
      </w:r>
      <w:r w:rsidR="002004D0" w:rsidRPr="002004D0">
        <w:t>148</w:t>
      </w:r>
      <w:r w:rsidRPr="007C7F9B">
        <w:rPr>
          <w:rStyle w:val="HideTWBExt"/>
          <w:b w:val="0"/>
          <w:noProof w:val="0"/>
        </w:rPr>
        <w:t>&lt;/RangeAM&gt;</w:t>
      </w:r>
    </w:p>
    <w:p w:rsidR="001C2054" w:rsidRPr="007C7F9B" w:rsidRDefault="00A15973" w:rsidP="00A93F8C">
      <w:pPr>
        <w:pStyle w:val="CoverBold"/>
      </w:pPr>
      <w:r w:rsidRPr="007C7F9B">
        <w:rPr>
          <w:rStyle w:val="HideTWBExt"/>
          <w:b w:val="0"/>
          <w:noProof w:val="0"/>
        </w:rPr>
        <w:t>&lt;TitreType&gt;</w:t>
      </w:r>
      <w:r w:rsidR="002004D0">
        <w:t>Návrh zprávy</w:t>
      </w:r>
      <w:r w:rsidRPr="007C7F9B">
        <w:rPr>
          <w:rStyle w:val="HideTWBExt"/>
          <w:b w:val="0"/>
          <w:noProof w:val="0"/>
        </w:rPr>
        <w:t>&lt;/TitreType&gt;</w:t>
      </w:r>
    </w:p>
    <w:p w:rsidR="00B85286" w:rsidRPr="007C7F9B" w:rsidRDefault="00E25DC5" w:rsidP="00A93F8C">
      <w:pPr>
        <w:pStyle w:val="CoverBold"/>
      </w:pPr>
      <w:r w:rsidRPr="007C7F9B">
        <w:rPr>
          <w:rStyle w:val="HideTWBExt"/>
          <w:b w:val="0"/>
          <w:noProof w:val="0"/>
        </w:rPr>
        <w:t>&lt;Rapporteur&gt;</w:t>
      </w:r>
      <w:r w:rsidR="002004D0" w:rsidRPr="002004D0">
        <w:t>Othmar Karas</w:t>
      </w:r>
      <w:r w:rsidRPr="007C7F9B">
        <w:rPr>
          <w:rStyle w:val="HideTWBExt"/>
          <w:b w:val="0"/>
          <w:noProof w:val="0"/>
        </w:rPr>
        <w:t>&lt;/Rapporteur&gt;</w:t>
      </w:r>
    </w:p>
    <w:p w:rsidR="00B85286" w:rsidRPr="007C7F9B" w:rsidRDefault="00075DBE">
      <w:pPr>
        <w:pStyle w:val="CoverNormal24a"/>
      </w:pPr>
      <w:r w:rsidRPr="007C7F9B">
        <w:rPr>
          <w:rStyle w:val="HideTWBExt"/>
          <w:noProof w:val="0"/>
        </w:rPr>
        <w:t>&lt;DocRefPE&gt;</w:t>
      </w:r>
      <w:r w:rsidR="007C7F9B" w:rsidRPr="007C7F9B">
        <w:t>(PE</w:t>
      </w:r>
      <w:r w:rsidR="002004D0" w:rsidRPr="002004D0">
        <w:t>757.366</w:t>
      </w:r>
      <w:r w:rsidR="007C7F9B" w:rsidRPr="007C7F9B">
        <w:t>v</w:t>
      </w:r>
      <w:r w:rsidR="002004D0" w:rsidRPr="002004D0">
        <w:t>01-00</w:t>
      </w:r>
      <w:r w:rsidR="007C7F9B" w:rsidRPr="007C7F9B">
        <w:t>)</w:t>
      </w:r>
      <w:r w:rsidRPr="007C7F9B">
        <w:rPr>
          <w:rStyle w:val="HideTWBExt"/>
          <w:noProof w:val="0"/>
        </w:rPr>
        <w:t>&lt;/DocRefPE&gt;</w:t>
      </w:r>
    </w:p>
    <w:p w:rsidR="00B85286" w:rsidRPr="007C7F9B" w:rsidRDefault="00A15973">
      <w:pPr>
        <w:pStyle w:val="CoverNormal24a"/>
      </w:pPr>
      <w:r w:rsidRPr="007C7F9B">
        <w:rPr>
          <w:rStyle w:val="HideTWBExt"/>
          <w:noProof w:val="0"/>
        </w:rPr>
        <w:t>&lt;Titre&gt;</w:t>
      </w:r>
      <w:r w:rsidR="002004D0" w:rsidRPr="002004D0">
        <w:t xml:space="preserve">Změna nařízení </w:t>
      </w:r>
      <w:r w:rsidR="002004D0" w:rsidRPr="002004D0">
        <w:rPr>
          <w:noProof/>
        </w:rPr>
        <w:t>(EU) č. 1092/2010, (EU) č. 1093/2010, (EU) č. 1094/2010, (EU) č. 1095/2010 a (EU) 2021/523, pokud jde o některé požadavky na podávání zpráv v oblasti finančních služeb a podpory investic</w:t>
      </w:r>
      <w:r w:rsidRPr="007C7F9B">
        <w:rPr>
          <w:rStyle w:val="HideTWBExt"/>
          <w:noProof w:val="0"/>
        </w:rPr>
        <w:t>&lt;/Titre&gt;</w:t>
      </w:r>
    </w:p>
    <w:p w:rsidR="006337D4" w:rsidRPr="007C7F9B" w:rsidRDefault="00E25DC5" w:rsidP="006337D4">
      <w:pPr>
        <w:pStyle w:val="CoverNormal"/>
      </w:pPr>
      <w:r w:rsidRPr="007C7F9B">
        <w:rPr>
          <w:rStyle w:val="HideTWBExt"/>
          <w:noProof w:val="0"/>
        </w:rPr>
        <w:t>&lt;DocAmend&gt;</w:t>
      </w:r>
      <w:r w:rsidR="002004D0">
        <w:t>Návrh nařízení</w:t>
      </w:r>
      <w:r w:rsidRPr="007C7F9B">
        <w:rPr>
          <w:rStyle w:val="HideTWBExt"/>
          <w:noProof w:val="0"/>
        </w:rPr>
        <w:t>&lt;/DocAmend&gt;</w:t>
      </w:r>
    </w:p>
    <w:p w:rsidR="002004D0" w:rsidRPr="000A3393" w:rsidRDefault="002004D0" w:rsidP="002004D0">
      <w:pPr>
        <w:pStyle w:val="CoverNormal24a"/>
      </w:pPr>
      <w:r w:rsidRPr="000A3393">
        <w:rPr>
          <w:rStyle w:val="HideTWBExt"/>
        </w:rPr>
        <w:t>&lt;DocRef&gt;</w:t>
      </w:r>
      <w:r w:rsidRPr="000A3393">
        <w:t>(COM(2023)0593 – C9</w:t>
      </w:r>
      <w:r w:rsidRPr="000A3393">
        <w:noBreakHyphen/>
        <w:t>0383/2023 – 2023/0363(COD))</w:t>
      </w:r>
      <w:r w:rsidRPr="000A3393">
        <w:rPr>
          <w:rStyle w:val="HideTWBExt"/>
        </w:rPr>
        <w:t>&lt;/DocRef&gt;</w:t>
      </w:r>
    </w:p>
    <w:p w:rsidR="002004D0" w:rsidRPr="000A3393" w:rsidRDefault="002004D0" w:rsidP="002004D0">
      <w:pPr>
        <w:widowControl/>
        <w:tabs>
          <w:tab w:val="center" w:pos="4677"/>
        </w:tabs>
      </w:pPr>
      <w:r w:rsidRPr="000A3393">
        <w:br w:type="page"/>
      </w:r>
      <w:r w:rsidRPr="000A3393">
        <w:lastRenderedPageBreak/>
        <w:t>AM_Com_LegReport</w:t>
      </w:r>
    </w:p>
    <w:p w:rsidR="002004D0" w:rsidRPr="000A3393" w:rsidRDefault="002004D0" w:rsidP="002004D0">
      <w:pPr>
        <w:pStyle w:val="AmNumberTabs"/>
        <w:keepNext/>
      </w:pPr>
      <w:r w:rsidRPr="000A3393">
        <w:br w:type="page"/>
      </w:r>
      <w:bookmarkStart w:id="1" w:name="IntroB"/>
    </w:p>
    <w:p w:rsidR="00A955A4" w:rsidRPr="006F0110" w:rsidRDefault="00A955A4" w:rsidP="00A955A4">
      <w:pPr>
        <w:pStyle w:val="AMNumberTabs0"/>
        <w:keepNext/>
      </w:pPr>
      <w:bookmarkStart w:id="2" w:name="OLE_LINK4"/>
      <w:bookmarkStart w:id="3" w:name="OLE_LINK5"/>
      <w:bookmarkEnd w:id="2"/>
      <w:bookmarkEnd w:id="3"/>
      <w:bookmarkEnd w:id="1"/>
      <w:r w:rsidRPr="00A955A4">
        <w:rPr>
          <w:rStyle w:val="HideTWBExt"/>
          <w:b w:val="0"/>
        </w:rPr>
        <w:lastRenderedPageBreak/>
        <w:t>&lt;RepeatBlock-Amend&gt;</w:t>
      </w: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79</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1</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(1)</w:t>
            </w:r>
            <w:r w:rsidRPr="006F0110">
              <w:tab/>
              <w:t xml:space="preserve">Požadavky na podávání zpráv hrají klíčovou roli při zajišťování řádného monitorování a správného prosazování právních předpisů. Je však důležité tyto požadavky zefektivnit, aby </w:t>
            </w:r>
            <w:r w:rsidRPr="006F0110">
              <w:rPr>
                <w:b/>
                <w:i/>
              </w:rPr>
              <w:t>splňovaly</w:t>
            </w:r>
            <w:r w:rsidRPr="006F0110">
              <w:t xml:space="preserve"> svůj účel a </w:t>
            </w:r>
            <w:r w:rsidRPr="006F0110">
              <w:rPr>
                <w:b/>
                <w:i/>
              </w:rPr>
              <w:t>omezila</w:t>
            </w:r>
            <w:r w:rsidRPr="006F0110">
              <w:t xml:space="preserve"> se </w:t>
            </w:r>
            <w:r w:rsidRPr="006F0110">
              <w:rPr>
                <w:b/>
                <w:i/>
              </w:rPr>
              <w:t>administrativní zátěž</w:t>
            </w:r>
            <w:r w:rsidRPr="006F0110">
              <w:t>.</w:t>
            </w:r>
          </w:p>
        </w:tc>
        <w:tc>
          <w:tcPr>
            <w:tcW w:w="4876" w:type="dxa"/>
            <w:hideMark/>
          </w:tcPr>
          <w:p w:rsidR="00A955A4" w:rsidRPr="006F0110" w:rsidRDefault="00A955A4" w:rsidP="000B188B">
            <w:pPr>
              <w:pStyle w:val="Normal6"/>
              <w:rPr>
                <w:szCs w:val="24"/>
              </w:rPr>
            </w:pPr>
            <w:r w:rsidRPr="006F0110">
              <w:t>(1)</w:t>
            </w:r>
            <w:r w:rsidRPr="006F0110">
              <w:tab/>
              <w:t xml:space="preserve">Požadavky na podávání zpráv hrají klíčovou roli při zajišťování řádného monitorování a správného prosazování právních předpisů. Je však důležité tyto požadavky zefektivnit, aby </w:t>
            </w:r>
            <w:r w:rsidRPr="006F0110">
              <w:rPr>
                <w:b/>
                <w:i/>
              </w:rPr>
              <w:t>se zajistilo, že plní</w:t>
            </w:r>
            <w:r w:rsidRPr="006F0110">
              <w:t xml:space="preserve"> svůj </w:t>
            </w:r>
            <w:r w:rsidRPr="006F0110">
              <w:rPr>
                <w:b/>
                <w:i/>
              </w:rPr>
              <w:t xml:space="preserve">zamýšlený </w:t>
            </w:r>
            <w:r w:rsidRPr="006F0110">
              <w:t xml:space="preserve">účel, a </w:t>
            </w:r>
            <w:r w:rsidRPr="006F0110">
              <w:rPr>
                <w:b/>
                <w:i/>
              </w:rPr>
              <w:t>aby</w:t>
            </w:r>
            <w:r w:rsidRPr="006F0110">
              <w:t xml:space="preserve"> se </w:t>
            </w:r>
            <w:r w:rsidRPr="006F0110">
              <w:rPr>
                <w:b/>
                <w:i/>
              </w:rPr>
              <w:t>zabránilo zbytečné duplicitě, v neposlední řadě pro regulační orgány a orgány dohledu v menších finančních jurisdikcích</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80</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Laurence Sailliet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1 a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a)</w:t>
            </w:r>
            <w:r w:rsidRPr="006F0110">
              <w:rPr>
                <w:b/>
                <w:i/>
              </w:rPr>
              <w:tab/>
              <w:t>Požadavky na podávání zpráv však mohou také představovat nepřiměřenou zátěž pro zúčastněné strany, což se týká zejména malých a středních podniků a mikropodniků.</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81</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2</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(2)</w:t>
            </w:r>
            <w:r w:rsidRPr="006F0110">
              <w:tab/>
              <w:t>Prioritou je proto zjednodušení povinností podávat zprávy</w:t>
            </w:r>
            <w:r w:rsidRPr="006F0110">
              <w:rPr>
                <w:b/>
                <w:i/>
              </w:rPr>
              <w:t xml:space="preserve"> a snížení administrativní zátěže</w:t>
            </w:r>
            <w:r w:rsidRPr="006F0110">
              <w:t>, a to i pokud jde o požadavky na podávání zpráv ve finančním sektoru a četnost podávání zpráv v souvislosti s Programem InvestEU zavedeným podle nařízení Evropského parlamentu a Rady (EU) 2021/523</w:t>
            </w:r>
            <w:r w:rsidRPr="006F0110">
              <w:rPr>
                <w:vertAlign w:val="superscript"/>
              </w:rPr>
              <w:t>3</w:t>
            </w:r>
            <w:r w:rsidRPr="006F0110">
              <w:t xml:space="preserve"> .</w:t>
            </w:r>
          </w:p>
        </w:tc>
        <w:tc>
          <w:tcPr>
            <w:tcW w:w="4876" w:type="dxa"/>
            <w:hideMark/>
          </w:tcPr>
          <w:p w:rsidR="00A955A4" w:rsidRPr="006F0110" w:rsidRDefault="00A955A4" w:rsidP="000B188B">
            <w:pPr>
              <w:pStyle w:val="Normal6"/>
              <w:rPr>
                <w:szCs w:val="24"/>
              </w:rPr>
            </w:pPr>
            <w:r w:rsidRPr="006F0110">
              <w:t>(2)</w:t>
            </w:r>
            <w:r w:rsidRPr="006F0110">
              <w:tab/>
              <w:t>Prioritou je proto zjednodušení povinností podávat zprávy</w:t>
            </w:r>
            <w:r w:rsidRPr="006F0110">
              <w:rPr>
                <w:b/>
                <w:i/>
              </w:rPr>
              <w:t>, aniž by byly ohroženy politické cíle</w:t>
            </w:r>
            <w:r w:rsidRPr="006F0110">
              <w:t>, a to i pokud jde o požadavky na podávání zpráv ve finančním sektoru a četnost podávání zpráv v souvislosti s Programem InvestEU zavedeným podle nařízení Evropského parlamentu a Rady (EU) 2021/523</w:t>
            </w:r>
            <w:r w:rsidRPr="006F0110">
              <w:rPr>
                <w:vertAlign w:val="superscript"/>
              </w:rPr>
              <w:t>3</w:t>
            </w:r>
            <w:r w:rsidRPr="006F0110">
              <w:t xml:space="preserve"> .</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3</w:t>
            </w:r>
            <w:r w:rsidRPr="006F0110">
              <w:t xml:space="preserve"> Nařízení Evropského parlamentu a Rady (EU) 2021/523 ze dne 24. března 2021, kterým se zavádí Program InvestEU a mění nařízení (EU) 2015/1017 (Úř. věst. L 107, 26.3.2021, s. 30).</w:t>
            </w:r>
          </w:p>
        </w:tc>
        <w:tc>
          <w:tcPr>
            <w:tcW w:w="4876" w:type="dxa"/>
            <w:hideMark/>
          </w:tcPr>
          <w:p w:rsidR="00A955A4" w:rsidRPr="006F0110" w:rsidRDefault="00A955A4" w:rsidP="000B188B">
            <w:pPr>
              <w:pStyle w:val="Normal6"/>
              <w:rPr>
                <w:szCs w:val="24"/>
              </w:rPr>
            </w:pPr>
            <w:r w:rsidRPr="006F0110">
              <w:rPr>
                <w:vertAlign w:val="superscript"/>
              </w:rPr>
              <w:t>3</w:t>
            </w:r>
            <w:r w:rsidRPr="006F0110">
              <w:t xml:space="preserve"> Nařízení Evropského parlamentu a Rady (EU) 2021/523 ze dne 24. března 2021, kterým se zavádí Program InvestEU a mění nařízení (EU) 2015/1017 (Úř. věst. L 107, 26.3.2021, s. 30).</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82</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Laurence Sailliet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2</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(2)</w:t>
            </w:r>
            <w:r w:rsidRPr="006F0110">
              <w:tab/>
              <w:t>Prioritou je proto zjednodušení povinností podávat zprávy a snížení administrativní zátěže, a to i pokud jde o požadavky na podávání zpráv ve finančním sektoru a četnost podávání zpráv v souvislosti s Programem InvestEU zavedeným podle nařízení Evropského parlamentu a Rady (EU) 2021/523</w:t>
            </w:r>
            <w:r w:rsidRPr="006F0110">
              <w:rPr>
                <w:vertAlign w:val="superscript"/>
              </w:rPr>
              <w:t>3</w:t>
            </w:r>
            <w:r w:rsidRPr="006F0110">
              <w:t xml:space="preserve"> .</w:t>
            </w:r>
          </w:p>
        </w:tc>
        <w:tc>
          <w:tcPr>
            <w:tcW w:w="4876" w:type="dxa"/>
            <w:hideMark/>
          </w:tcPr>
          <w:p w:rsidR="00A955A4" w:rsidRPr="006F0110" w:rsidRDefault="00A955A4" w:rsidP="000B188B">
            <w:pPr>
              <w:pStyle w:val="Normal6"/>
              <w:rPr>
                <w:szCs w:val="24"/>
              </w:rPr>
            </w:pPr>
            <w:r w:rsidRPr="006F0110">
              <w:rPr>
                <w:i/>
              </w:rPr>
              <w:t>(Netýká se českého znění.)</w:t>
            </w:r>
            <w:r w:rsidRPr="006F0110">
              <w:tab/>
              <w:t xml:space="preserve"> </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 xml:space="preserve"> </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3</w:t>
            </w:r>
            <w:r w:rsidRPr="006F0110">
              <w:t xml:space="preserve"> Nařízení Evropského parlamentu a Rady (EU) 2021/523 ze dne 24. března 2021, kterým se zavádí Program InvestEU a mění nařízení (EU) 2015/1017 (Úř. věst. L 107, 26.3.2021, s. 30).</w:t>
            </w:r>
          </w:p>
        </w:tc>
        <w:tc>
          <w:tcPr>
            <w:tcW w:w="4876" w:type="dxa"/>
            <w:hideMark/>
          </w:tcPr>
          <w:p w:rsidR="00A955A4" w:rsidRPr="006F0110" w:rsidRDefault="00A955A4" w:rsidP="000B188B">
            <w:pPr>
              <w:pStyle w:val="Normal6"/>
              <w:rPr>
                <w:szCs w:val="24"/>
              </w:rPr>
            </w:pPr>
            <w:r w:rsidRPr="006F0110">
              <w:t xml:space="preserve"> </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83</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3</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(3)</w:t>
            </w:r>
            <w:r w:rsidRPr="006F0110">
              <w:tab/>
              <w:t>Nařízení Evropského parlamentu a Rady (EU) č. 1092/2010</w:t>
            </w:r>
            <w:r w:rsidRPr="006F0110">
              <w:rPr>
                <w:vertAlign w:val="superscript"/>
              </w:rPr>
              <w:t>4</w:t>
            </w:r>
            <w:r w:rsidRPr="006F0110">
              <w:t>, (EU) č. 1093/2010</w:t>
            </w:r>
            <w:r w:rsidRPr="006F0110">
              <w:rPr>
                <w:vertAlign w:val="superscript"/>
              </w:rPr>
              <w:t>5</w:t>
            </w:r>
            <w:r w:rsidRPr="006F0110">
              <w:t>, (EU) č. 1094/2010</w:t>
            </w:r>
            <w:r w:rsidRPr="006F0110">
              <w:rPr>
                <w:vertAlign w:val="superscript"/>
              </w:rPr>
              <w:t>6</w:t>
            </w:r>
            <w:r w:rsidRPr="006F0110">
              <w:t>, (EU) č. 1095/2010</w:t>
            </w:r>
            <w:r w:rsidRPr="006F0110">
              <w:rPr>
                <w:vertAlign w:val="superscript"/>
              </w:rPr>
              <w:t>7</w:t>
            </w:r>
            <w:r w:rsidRPr="006F0110">
              <w:t xml:space="preserve"> a nařízení (EU) 2021/523 obsahují řadu požadavků na podávání zpráv, které by měly být zjednodušeny</w:t>
            </w:r>
            <w:r w:rsidRPr="006F0110">
              <w:rPr>
                <w:b/>
                <w:i/>
              </w:rPr>
              <w:t xml:space="preserve"> v souladu</w:t>
            </w:r>
            <w:r w:rsidRPr="006F0110">
              <w:t xml:space="preserve"> se </w:t>
            </w:r>
            <w:r w:rsidRPr="006F0110">
              <w:rPr>
                <w:b/>
                <w:i/>
              </w:rPr>
              <w:t>sdělením Komise nazvaném „Dlouhodobá konkurenceschopnost EU: výhled po roce 2030“</w:t>
            </w:r>
            <w:r w:rsidRPr="006F0110">
              <w:rPr>
                <w:b/>
                <w:i/>
                <w:vertAlign w:val="superscript"/>
              </w:rPr>
              <w:t>8</w:t>
            </w:r>
            <w:r w:rsidRPr="006F0110">
              <w:rPr>
                <w:b/>
                <w:i/>
              </w:rPr>
              <w:t xml:space="preserve"> </w:t>
            </w:r>
            <w:r w:rsidRPr="006F0110">
              <w:t>.</w:t>
            </w:r>
          </w:p>
        </w:tc>
        <w:tc>
          <w:tcPr>
            <w:tcW w:w="4876" w:type="dxa"/>
            <w:hideMark/>
          </w:tcPr>
          <w:p w:rsidR="00A955A4" w:rsidRPr="006F0110" w:rsidRDefault="00A955A4" w:rsidP="000B188B">
            <w:pPr>
              <w:pStyle w:val="Normal6"/>
              <w:rPr>
                <w:szCs w:val="24"/>
              </w:rPr>
            </w:pPr>
            <w:r w:rsidRPr="006F0110">
              <w:t>(3)</w:t>
            </w:r>
            <w:r w:rsidRPr="006F0110">
              <w:tab/>
              <w:t>Nařízení Evropského parlamentu a Rady (EU) č. 1092/2010</w:t>
            </w:r>
            <w:r w:rsidRPr="006F0110">
              <w:rPr>
                <w:vertAlign w:val="superscript"/>
              </w:rPr>
              <w:t>4</w:t>
            </w:r>
            <w:r w:rsidRPr="006F0110">
              <w:t>, (EU) č. 1093/2010</w:t>
            </w:r>
            <w:r w:rsidRPr="006F0110">
              <w:rPr>
                <w:vertAlign w:val="superscript"/>
              </w:rPr>
              <w:t>5</w:t>
            </w:r>
            <w:r w:rsidRPr="006F0110">
              <w:t>, (EU) č. 1094/2010</w:t>
            </w:r>
            <w:r w:rsidRPr="006F0110">
              <w:rPr>
                <w:vertAlign w:val="superscript"/>
              </w:rPr>
              <w:t>6</w:t>
            </w:r>
            <w:r w:rsidRPr="006F0110">
              <w:t>, (EU) č. 1095/2010</w:t>
            </w:r>
            <w:r w:rsidRPr="006F0110">
              <w:rPr>
                <w:vertAlign w:val="superscript"/>
              </w:rPr>
              <w:t>7</w:t>
            </w:r>
            <w:r w:rsidRPr="006F0110">
              <w:t xml:space="preserve"> a nařízení (EU) 2021/523 obsahují řadu požadavků na podávání zpráv, které by měly být zjednodušeny</w:t>
            </w:r>
            <w:r w:rsidRPr="006F0110">
              <w:rPr>
                <w:b/>
                <w:i/>
              </w:rPr>
              <w:t>. Jedná</w:t>
            </w:r>
            <w:r w:rsidRPr="006F0110">
              <w:t xml:space="preserve"> se </w:t>
            </w:r>
            <w:r w:rsidRPr="006F0110">
              <w:rPr>
                <w:b/>
                <w:i/>
              </w:rPr>
              <w:t>o kvalitativní, nikoli kvantitativní přístup</w:t>
            </w:r>
            <w:r w:rsidRPr="006F0110">
              <w:t>.</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4</w:t>
            </w:r>
            <w:r w:rsidRPr="006F0110">
              <w:t xml:space="preserve"> Nařízení Evropského parlamentu a Rady (EU) č. 1092/2010 ze dne 24. listopadu 2010 o makroobezřetnostním dohledu nad finančním systémem na úrovni Evropské unie a o zřízení Evropské rady pro systémová rizika (Úř. věst. L 331, 15.12.2010, s. 1).</w:t>
            </w:r>
          </w:p>
        </w:tc>
        <w:tc>
          <w:tcPr>
            <w:tcW w:w="4876" w:type="dxa"/>
            <w:hideMark/>
          </w:tcPr>
          <w:p w:rsidR="00A955A4" w:rsidRPr="006F0110" w:rsidRDefault="00A955A4" w:rsidP="000B188B">
            <w:pPr>
              <w:pStyle w:val="Normal6"/>
              <w:rPr>
                <w:szCs w:val="24"/>
              </w:rPr>
            </w:pPr>
            <w:r w:rsidRPr="006F0110">
              <w:rPr>
                <w:vertAlign w:val="superscript"/>
              </w:rPr>
              <w:t>4</w:t>
            </w:r>
            <w:r w:rsidRPr="006F0110">
              <w:t xml:space="preserve"> Nařízení Evropského parlamentu a Rady (EU) č. 1092/2010 ze dne 24. listopadu 2010 o makroobezřetnostním dohledu nad finančním systémem na úrovni Evropské unie a o zřízení Evropské rady pro systémová rizika (Úř. věst. L 331, 15.12.2010, s. 1).</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5</w:t>
            </w:r>
            <w:r w:rsidRPr="006F0110">
              <w:t xml:space="preserve"> Nařízení Evropského parlamentu a Rady (EU) č. 1093/2010 ze dne 24. listopadu 2010 o zřízení Evropského orgánu dohledu (Evropského orgánu pro bankovnictví), o změně rozhodnutí č. 716/2009/ES a o zrušení rozhodnutí Komise 2009/78/ES (Úř. věst. L 331, 15.12.2010, s. 12).</w:t>
            </w:r>
          </w:p>
        </w:tc>
        <w:tc>
          <w:tcPr>
            <w:tcW w:w="4876" w:type="dxa"/>
            <w:hideMark/>
          </w:tcPr>
          <w:p w:rsidR="00A955A4" w:rsidRPr="006F0110" w:rsidRDefault="00A955A4" w:rsidP="000B188B">
            <w:pPr>
              <w:pStyle w:val="Normal6"/>
              <w:rPr>
                <w:szCs w:val="24"/>
              </w:rPr>
            </w:pPr>
            <w:r w:rsidRPr="006F0110">
              <w:rPr>
                <w:vertAlign w:val="superscript"/>
              </w:rPr>
              <w:t>5</w:t>
            </w:r>
            <w:r w:rsidRPr="006F0110">
              <w:t xml:space="preserve"> Nařízení Evropského parlamentu a Rady (EU) č. 1093/2010 ze dne 24. listopadu 2010 o zřízení Evropského orgánu dohledu (Evropského orgánu pro bankovnictví), o změně rozhodnutí č. 716/2009/ES a o zrušení rozhodnutí Komise 2009/78/ES (Úř. věst. L 331, 15.12.2010, s. 12).</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6</w:t>
            </w:r>
            <w:r w:rsidRPr="006F0110">
              <w:t xml:space="preserve"> 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 (Úř. věst. L 331, 15.12.2010, s. 48).</w:t>
            </w:r>
          </w:p>
        </w:tc>
        <w:tc>
          <w:tcPr>
            <w:tcW w:w="4876" w:type="dxa"/>
            <w:hideMark/>
          </w:tcPr>
          <w:p w:rsidR="00A955A4" w:rsidRPr="006F0110" w:rsidRDefault="00A955A4" w:rsidP="000B188B">
            <w:pPr>
              <w:pStyle w:val="Normal6"/>
              <w:rPr>
                <w:szCs w:val="24"/>
              </w:rPr>
            </w:pPr>
            <w:r w:rsidRPr="006F0110">
              <w:rPr>
                <w:vertAlign w:val="superscript"/>
              </w:rPr>
              <w:t>6</w:t>
            </w:r>
            <w:r w:rsidRPr="006F0110">
              <w:t xml:space="preserve"> 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 (Úř. věst. L 331, 15.12.2010, s. 48).</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7</w:t>
            </w:r>
            <w:r w:rsidRPr="006F0110">
              <w:t xml:space="preserve"> Nařízení Evropského parlamentu a Rady (EU) č. 1095/2010 ze dne 24. listopadu 2010 o zřízení Evropského orgánu dohledu (Evropského orgánu pro cenné papíry a trhy), o změně rozhodnutí č. 716/2009/ES a o zrušení rozhodnutí Komise 2009/77/ES (Úř. věst. L 331, 15.12.2010, s. 84).</w:t>
            </w:r>
          </w:p>
        </w:tc>
        <w:tc>
          <w:tcPr>
            <w:tcW w:w="4876" w:type="dxa"/>
            <w:hideMark/>
          </w:tcPr>
          <w:p w:rsidR="00A955A4" w:rsidRPr="006F0110" w:rsidRDefault="00A955A4" w:rsidP="000B188B">
            <w:pPr>
              <w:pStyle w:val="Normal6"/>
              <w:rPr>
                <w:szCs w:val="24"/>
              </w:rPr>
            </w:pPr>
            <w:r w:rsidRPr="006F0110">
              <w:rPr>
                <w:vertAlign w:val="superscript"/>
              </w:rPr>
              <w:t>7</w:t>
            </w:r>
            <w:r w:rsidRPr="006F0110">
              <w:t xml:space="preserve"> Nařízení Evropského parlamentu a Rady (EU) č. 1095/2010 ze dne 24. listopadu 2010 o zřízení Evropského orgánu dohledu (Evropského orgánu pro cenné papíry a trhy), o změně rozhodnutí č. 716/2009/ES a o zrušení rozhodnutí Komise 2009/77/ES (Úř. věst. L 331, 15.12.2010, s. 84).</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8</w:t>
            </w:r>
            <w:r w:rsidRPr="006F0110">
              <w:t xml:space="preserve"> COM(2023)168.</w:t>
            </w:r>
          </w:p>
        </w:tc>
        <w:tc>
          <w:tcPr>
            <w:tcW w:w="4876" w:type="dxa"/>
            <w:hideMark/>
          </w:tcPr>
          <w:p w:rsidR="00A955A4" w:rsidRPr="006F0110" w:rsidRDefault="00A955A4" w:rsidP="000B188B">
            <w:pPr>
              <w:pStyle w:val="Normal6"/>
              <w:rPr>
                <w:szCs w:val="24"/>
              </w:rPr>
            </w:pPr>
            <w:r w:rsidRPr="006F0110">
              <w:rPr>
                <w:vertAlign w:val="superscript"/>
              </w:rPr>
              <w:t>8</w:t>
            </w:r>
            <w:r w:rsidRPr="006F0110">
              <w:t xml:space="preserve"> COM(2023)168.</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84</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3 a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(3a)</w:t>
            </w:r>
            <w:r w:rsidRPr="006F0110">
              <w:rPr>
                <w:b/>
                <w:i/>
              </w:rPr>
              <w:tab/>
              <w:t>Tento postup nemá ohrozit žádný úspěch politiky EU a obzvláště uznává rostoucí poptávku po údajích potřebných ke splnění cílů legislativních návrhů, které se týkají  agendy udržitelného financování. Soudržnost a standardizace napříč právními rámci, jurisdikcemi a časem však mohou zvýšit funkčnost požadavků, aniž by to ovlivnilo skutečný obsah standardů pro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85</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3 b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(3b)</w:t>
            </w:r>
            <w:r w:rsidRPr="006F0110">
              <w:rPr>
                <w:b/>
                <w:i/>
              </w:rPr>
              <w:tab/>
              <w:t>Rozdíly v údajích mezi členskými státy by rovněž měly být analyzovány kvalitativně. Zejména některé právní předpisy EU jsou na základě svého právního základu určeny k zajištění částečné nebo minimální harmonizace. Některé standardy pro podávání zpráv jsou navíc dobrovolné nebo se řídí režimem dobrovolné účasti. Členské státy mohou rovněž vypracovat osvědčené postupy nebo být průkopníky v oblasti požadavků na podávání zpráv, pokud dodržují požadavky stanovené v právních předpisech Unie.</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86</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4</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 xml:space="preserve">Finanční instituce a další subjekty působící na finančních trzích jsou povinny vykazovat širokou škálu informací, aby mohly orgány Unie a vnitrostátní orgány dohlížející na finanční systém sledovat rizika, zajistit finanční stabilitu a integritu trhu a chránit investory a spotřebitele finančních služeb v Unii. Evropské orgány dohledu by měly pravidelně přezkoumávat požadavky na podávání zpráv a v příslušných případech navrhovat zjednodušení a odstranění nadbytečných nebo zastaralých požadavků. </w:t>
            </w:r>
            <w:r w:rsidRPr="006F0110">
              <w:rPr>
                <w:b/>
                <w:i/>
              </w:rPr>
              <w:t>Tuto činnost</w:t>
            </w:r>
            <w:r w:rsidRPr="006F0110">
              <w:t xml:space="preserve"> by měly koordinovat prostřednictvím Společného výboru evropských orgánů dohledu. Usnadnění sdílení a opakovaného použití informací shromážděných orgány při současném zajištění ochrany údajů, služebního tajemství a práv duševního vlastnictví by mělo snížit zátěž pro vykazující subjekty a orgány tím, že se zamezí duplicitním žádostem v souladu se Strategií pro údaje v oblasti dohledu ve finančních službách EU. Sdílení informací by mělo rovněž přispět k lepší koordinaci činností dohledu a ke sbližování dohledu.</w:t>
            </w:r>
          </w:p>
        </w:tc>
        <w:tc>
          <w:tcPr>
            <w:tcW w:w="4876" w:type="dxa"/>
            <w:hideMark/>
          </w:tcPr>
          <w:p w:rsidR="00A955A4" w:rsidRPr="006F0110" w:rsidRDefault="00A955A4" w:rsidP="000B188B">
            <w:pPr>
              <w:pStyle w:val="Normal6"/>
              <w:rPr>
                <w:szCs w:val="24"/>
              </w:rPr>
            </w:pPr>
            <w:r w:rsidRPr="006F0110">
              <w:t>(4)</w:t>
            </w:r>
            <w:r w:rsidRPr="006F0110">
              <w:tab/>
              <w:t xml:space="preserve">Finanční instituce a další subjekty působící na finančních trzích jsou povinny vykazovat širokou škálu informací, aby mohly orgány Unie a vnitrostátní orgány dohlížející na finanční systém sledovat rizika, zajistit finanční stabilitu a integritu trhu a chránit investory a spotřebitele finančních služeb v Unii. Evropské orgány dohledu by měly pravidelně přezkoumávat požadavky na podávání zpráv a v příslušných případech navrhovat zjednodušení a odstranění nadbytečných nebo zastaralých požadavků. </w:t>
            </w:r>
            <w:r w:rsidRPr="006F0110">
              <w:rPr>
                <w:b/>
                <w:i/>
              </w:rPr>
              <w:t>Tato práce by totiž měla být prováděna na stálém základě, zejména prostřednictvím vzájemných hodnocení, na něž by mělo být podle potřeby přiděleno více lidských a materiálních zdrojů, aby se zajistilo, že duplicita, propouštění a zastaralé požadavky budou odstraněny co nejdříve a co nejrychleji. Evropské orgány dohledu</w:t>
            </w:r>
            <w:r w:rsidRPr="006F0110">
              <w:t xml:space="preserve"> by měly</w:t>
            </w:r>
            <w:r w:rsidRPr="006F0110">
              <w:rPr>
                <w:b/>
                <w:i/>
              </w:rPr>
              <w:t xml:space="preserve"> tuto činnost</w:t>
            </w:r>
            <w:r w:rsidRPr="006F0110">
              <w:t xml:space="preserve"> koordinovat prostřednictvím Společného výboru evropských orgánů dohledu. Usnadnění sdílení a opakovaného použití informací shromážděných orgány při současném zajištění ochrany údajů, služebního tajemství a práv duševního vlastnictví by mělo snížit zátěž pro vykazující subjekty a orgány tím, že se zamezí duplicitním žádostem v souladu se Strategií pro údaje v oblasti dohledu ve finančních službách EU. Sdílení informací by mělo rovněž přispět k lepší koordinaci činností dohledu a ke sbližování dohledu.</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87</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Laurence Sailliet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4</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 xml:space="preserve">Finanční instituce a další subjekty působící na finančních trzích jsou povinny vykazovat širokou škálu informací, aby mohly orgány Unie a vnitrostátní orgány dohlížející na finanční systém sledovat rizika, zajistit finanční stabilitu a integritu trhu a chránit investory a spotřebitele finančních služeb v Unii. Evropské orgány dohledu </w:t>
            </w:r>
            <w:r w:rsidRPr="006F0110">
              <w:rPr>
                <w:b/>
                <w:i/>
              </w:rPr>
              <w:t>by měly pravidelně přezkoumávat</w:t>
            </w:r>
            <w:r w:rsidRPr="006F0110">
              <w:t xml:space="preserve"> požadavky na podávání zpráv a </w:t>
            </w:r>
            <w:r w:rsidRPr="006F0110">
              <w:rPr>
                <w:b/>
                <w:i/>
              </w:rPr>
              <w:t>v příslušných případech</w:t>
            </w:r>
            <w:r w:rsidRPr="006F0110">
              <w:t xml:space="preserve"> navrhovat zjednodušení a odstranění nadbytečných nebo </w:t>
            </w:r>
            <w:r w:rsidRPr="006F0110">
              <w:rPr>
                <w:b/>
                <w:i/>
              </w:rPr>
              <w:t>zastaralých</w:t>
            </w:r>
            <w:r w:rsidRPr="006F0110">
              <w:t xml:space="preserve"> požadavků. Tuto činnost by měly koordinovat prostřednictvím Společného výboru evropských orgánů dohledu. </w:t>
            </w:r>
            <w:r w:rsidRPr="006F0110">
              <w:rPr>
                <w:b/>
                <w:i/>
              </w:rPr>
              <w:t>Usnadnění</w:t>
            </w:r>
            <w:r w:rsidRPr="006F0110">
              <w:t xml:space="preserve"> sdílení a </w:t>
            </w:r>
            <w:r w:rsidRPr="006F0110">
              <w:rPr>
                <w:b/>
                <w:i/>
              </w:rPr>
              <w:t>opakovaného</w:t>
            </w:r>
            <w:r w:rsidRPr="006F0110">
              <w:t xml:space="preserve"> použití informací shromážděných orgány při současném zajištění ochrany údajů, služebního tajemství a práv duševního vlastnictví by mělo snížit zátěž pro vykazující subjekty a orgány tím, že se zamezí duplicitním žádostem v souladu se Strategií pro údaje v oblasti dohledu ve finančních službách EU. Sdílení informací by mělo rovněž přispět k lepší koordinaci činností dohledu a ke sbližování dohledu.</w:t>
            </w:r>
          </w:p>
        </w:tc>
        <w:tc>
          <w:tcPr>
            <w:tcW w:w="4876" w:type="dxa"/>
            <w:hideMark/>
          </w:tcPr>
          <w:p w:rsidR="00A955A4" w:rsidRPr="006F0110" w:rsidRDefault="00A955A4" w:rsidP="000B188B">
            <w:pPr>
              <w:pStyle w:val="Normal6"/>
              <w:rPr>
                <w:szCs w:val="24"/>
              </w:rPr>
            </w:pPr>
            <w:r w:rsidRPr="006F0110">
              <w:t>(4)</w:t>
            </w:r>
            <w:r w:rsidRPr="006F0110">
              <w:tab/>
              <w:t xml:space="preserve">Finanční instituce a další subjekty působící na finančních trzích jsou povinny vykazovat širokou škálu informací, aby mohly orgány Unie a vnitrostátní orgány dohlížející na finanční systém sledovat rizika, zajistit finanční stabilitu a integritu trhu a chránit investory a spotřebitele finančních služeb v Unii. Evropské orgány dohledu </w:t>
            </w:r>
            <w:r w:rsidRPr="006F0110">
              <w:rPr>
                <w:b/>
                <w:i/>
              </w:rPr>
              <w:t>a evropský orgán pro boj proti praní peněz a financování terorismu (AMLA) by měly</w:t>
            </w:r>
            <w:r w:rsidRPr="006F0110">
              <w:t xml:space="preserve"> požadavky na podávání zpráv a </w:t>
            </w:r>
            <w:r w:rsidRPr="006F0110">
              <w:rPr>
                <w:b/>
                <w:i/>
              </w:rPr>
              <w:t>zveřejňování pravidelně přezkoumávat a případně</w:t>
            </w:r>
            <w:r w:rsidRPr="006F0110">
              <w:t xml:space="preserve"> navrhovat zjednodušení a odstranění nadbytečných</w:t>
            </w:r>
            <w:r w:rsidRPr="006F0110">
              <w:rPr>
                <w:b/>
                <w:i/>
              </w:rPr>
              <w:t>, zastaralých</w:t>
            </w:r>
            <w:r w:rsidRPr="006F0110">
              <w:t xml:space="preserve"> nebo </w:t>
            </w:r>
            <w:r w:rsidRPr="006F0110">
              <w:rPr>
                <w:b/>
                <w:i/>
              </w:rPr>
              <w:t>nepřiměřených</w:t>
            </w:r>
            <w:r w:rsidRPr="006F0110">
              <w:t xml:space="preserve"> požadavků. Tuto činnost by měly koordinovat prostřednictvím Společného výboru evropských orgánů dohledu. </w:t>
            </w:r>
            <w:r w:rsidRPr="006F0110">
              <w:rPr>
                <w:b/>
                <w:i/>
              </w:rPr>
              <w:t>Tuto činnost by měly usnadnit ke</w:t>
            </w:r>
            <w:r w:rsidRPr="006F0110">
              <w:t xml:space="preserve"> sdílení a </w:t>
            </w:r>
            <w:r w:rsidRPr="006F0110">
              <w:rPr>
                <w:b/>
                <w:i/>
              </w:rPr>
              <w:t>opakovanému</w:t>
            </w:r>
            <w:r w:rsidRPr="006F0110">
              <w:t xml:space="preserve"> použití informací shromážděných orgány při současném zajištění ochrany údajů, služebního tajemství a práv duševního vlastnictví by mělo snížit zátěž pro vykazující subjekty a orgány tím, že se zamezí duplicitním žádostem v souladu se Strategií pro údaje v oblasti dohledu ve finančních službách EU. Sdílení informací by mělo rovněž přispět k lepší koordinaci činností dohledu a ke sbližování dohledu.</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NormalBold"/>
      </w:pPr>
      <w:r w:rsidRPr="006F0110">
        <w:rPr>
          <w:rStyle w:val="HideTWBExt"/>
          <w:b w:val="0"/>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Laurence Sailliet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4 a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(4a)</w:t>
            </w:r>
            <w:r w:rsidRPr="006F0110">
              <w:rPr>
                <w:b/>
                <w:i/>
              </w:rPr>
              <w:tab/>
              <w:t>S cílem podpořit výměnu informací v rámci celého finančního sektoru by do oblasti působnosti tohoto pozměňujícího nařízení měly být zahrnuty všechny orgány odpovědné za dohled ve finančním sektoru, včetně ESRB, evropských orgánů dohledu, AMLA, jednotného mechanismu dohledu, Jednotného výboru pro řešení krizí, jakož i všech příslušných orgánů dohledu a orgánů příslušných k řešení krize v členských státech.</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89</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5 a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(5a)</w:t>
            </w:r>
            <w:r w:rsidRPr="006F0110">
              <w:rPr>
                <w:b/>
                <w:i/>
              </w:rPr>
              <w:tab/>
              <w:t>Evropské orgány dohledu by měly posoudit možnosti politiky pro další integraci procesů podávání zpráv z procesního a obsahového hlediska. Orgán pro pojišťovnictví by měl řádně posoudit příležitosti vyplývající ze zvýšeného využívání digitálních technologií podporujících účinné a efektivní formáty zahrnující metriky, metody a parametry, které podpoří konkurenceschopnost odvětví pojišťovnictví, zajištění a zaměstnaneckého penzijního pojištění.</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90</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6 a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(6a)</w:t>
            </w:r>
            <w:r w:rsidRPr="006F0110">
              <w:rPr>
                <w:b/>
                <w:i/>
              </w:rPr>
              <w:tab/>
              <w:t>Některé datové body, které finanční instituce potřebují od společností ke splnění svých oznamovacích povinností, se stále nepromítají do rámce EU pro podávání zpráv a je třeba je doplnit. Kromě potřeby řešit nadbytečné, duplicitní nebo zastaralé požadavky na podávání zpráv by proto měly být zváženy mezery v právních předpisech. Proto je rovněž důležité zajistit soulad mezi požadavky na finanční a nefinanční výkaznictví.</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91</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6 b (nový)</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(6b)</w:t>
            </w:r>
            <w:r w:rsidRPr="006F0110">
              <w:rPr>
                <w:b/>
                <w:i/>
              </w:rPr>
              <w:tab/>
              <w:t>Finanční instituce by případně měly mít možnost spolehnout se na postupný přístup, což znamená, že mohou odkazovat na informace, které již byly zveřejněny společnostmi v jejich hodnotovém řetězci.</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92</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Bod odůvodnění 8</w:t>
      </w:r>
      <w:r w:rsidRPr="006F011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(8)</w:t>
            </w:r>
            <w:r w:rsidRPr="006F0110">
              <w:tab/>
              <w:t>Inovační cykly ve finančním sektoru se zrychlují, jsou stále otevřenější a stále více založené na spolupráci. Za tímto účelem by orgány měly mít možnost sdílet informace s finančními institucemi, výzkumnými pracovníky a dalšími subjekty pro účely výzkumu a inovací, a to nad rámec původního účelu, pro který byly informace shromážděny. Sdílení těchto informací v držení orgánů by mělo zvýšit jejich užitečnost rozšířením spektra informací dostupných pro výzkum v rámci finančního sektoru a poskytnout více příležitostí k testování produktů a obchodních modelů, jakož i k větší spolupráci mezi různými účastníky finančního trhu, včetně začínajících podniků v oblasti finančních technologií a zavedených finančních institucí. Opakované použití údajů sdílených příslušným orgánem se řídí obecným rámcem pro opakované použití údajů stanoveným v kapitole II nařízení Evropského parlamentu a Rady (EU) 2022/868</w:t>
            </w:r>
            <w:r w:rsidRPr="006F0110">
              <w:rPr>
                <w:vertAlign w:val="superscript"/>
              </w:rPr>
              <w:t>9</w:t>
            </w:r>
            <w:r w:rsidRPr="006F0110">
              <w:t xml:space="preserve"> . Vzhledem k citlivé povaze údajů, které orgány finančního sektoru získávají pro účely dohledu, by však měly být zavedeny zvláštní povinné podmínky pro opakované použití těchto údajů, včetně anonymizace osobních a neosobních údajů, které by neumožňovaly identifikaci jednotlivých finančních institucí, a ochrany důvěrných informací.</w:t>
            </w:r>
          </w:p>
        </w:tc>
        <w:tc>
          <w:tcPr>
            <w:tcW w:w="4876" w:type="dxa"/>
            <w:hideMark/>
          </w:tcPr>
          <w:p w:rsidR="00A955A4" w:rsidRPr="006F0110" w:rsidRDefault="00A955A4" w:rsidP="000B188B">
            <w:pPr>
              <w:pStyle w:val="Normal6"/>
              <w:rPr>
                <w:szCs w:val="24"/>
              </w:rPr>
            </w:pPr>
            <w:r w:rsidRPr="006F0110">
              <w:t>(8)</w:t>
            </w:r>
            <w:r w:rsidRPr="006F0110">
              <w:tab/>
              <w:t>Inovační cykly ve finančním sektoru se zrychlují, jsou stále otevřenější a stále více založené na spolupráci. Za tímto účelem by orgány měly mít možnost sdílet informace s finančními institucemi, výzkumnými pracovníky a dalšími subjekty pro účely výzkumu a inovací, a to nad rámec původního účelu, pro který byly informace shromážděny. Sdílení těchto informací v držení orgánů by mělo zvýšit jejich užitečnost rozšířením spektra informací dostupných pro výzkum v rámci finančního sektoru a poskytnout více příležitostí k testování produktů a obchodních modelů, jakož i k větší spolupráci mezi různými účastníky finančního trhu, včetně začínajících podniků v oblasti finančních technologií a zavedených finančních institucí. Opakované použití údajů sdílených příslušným orgánem se řídí obecným rámcem pro opakované použití údajů stanoveným v kapitole II nařízení Evropského parlamentu a Rady (EU) 2022/868</w:t>
            </w:r>
            <w:r w:rsidRPr="006F0110">
              <w:rPr>
                <w:vertAlign w:val="superscript"/>
              </w:rPr>
              <w:t>9</w:t>
            </w:r>
            <w:r w:rsidRPr="006F0110">
              <w:t xml:space="preserve"> . Vzhledem k citlivé povaze údajů, které orgány finančního sektoru získávají pro účely dohledu, by však měly být zavedeny zvláštní povinné podmínky pro opakované použití těchto údajů, včetně anonymizace osobních a neosobních údajů, které by neumožňovaly identifikaci jednotlivých finančních institucí, a ochrany důvěrných informací. </w:t>
            </w:r>
            <w:r w:rsidRPr="006F0110">
              <w:rPr>
                <w:b/>
                <w:i/>
              </w:rPr>
              <w:t>Z toho vyplývá, že všechny postupy a kroky při shromažďování, standardizaci, anonymizaci, uchovávání a sdílení údajů budou neustále uchovávány v souladu s nejnovějšími opatřeními v oblasti kybernetické bezpečnosti stanovenými právem Unie.</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9</w:t>
            </w:r>
            <w:r w:rsidRPr="006F0110">
              <w:t xml:space="preserve"> Nařízení Evropského parlamentu a Rady (EU) 2022/868 ze dne 30. května 2022 o evropské správě dat a o změně nařízení (EU) 2018/1724 (akt o správě dat) (Úř. věst. L 152, 3.6.2022, s. 1).</w:t>
            </w:r>
          </w:p>
        </w:tc>
        <w:tc>
          <w:tcPr>
            <w:tcW w:w="4876" w:type="dxa"/>
            <w:hideMark/>
          </w:tcPr>
          <w:p w:rsidR="00A955A4" w:rsidRPr="006F0110" w:rsidRDefault="00A955A4" w:rsidP="000B188B">
            <w:pPr>
              <w:pStyle w:val="Normal6"/>
              <w:rPr>
                <w:szCs w:val="24"/>
              </w:rPr>
            </w:pPr>
            <w:r w:rsidRPr="006F0110">
              <w:t>9 Nařízení Evropského parlamentu a Rady (EU) 2022/868 ze dne 30. května 2022 o evropské správě dat a o změně nařízení (EU) 2018/1724 (akt o správě dat) (Úř. věst. L 152, 3.6.2022, s. 1).</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93</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1 – odst. 1 – bod 2</w:t>
      </w:r>
      <w:r w:rsidRPr="006F0110">
        <w:rPr>
          <w:rStyle w:val="HideTWBExt"/>
          <w:b w:val="0"/>
        </w:rPr>
        <w:t>&lt;/Article&gt;</w:t>
      </w:r>
    </w:p>
    <w:p w:rsidR="00A955A4" w:rsidRPr="006F0110" w:rsidRDefault="00A955A4" w:rsidP="00A955A4">
      <w:pPr>
        <w:pStyle w:val="NormalBold"/>
        <w:keepNext/>
        <w:rPr>
          <w:b w:val="0"/>
        </w:rPr>
      </w:pPr>
      <w:r w:rsidRPr="006F0110">
        <w:rPr>
          <w:rStyle w:val="HideTWBExt"/>
          <w:b w:val="0"/>
        </w:rPr>
        <w:t>&lt;Article2&gt;</w:t>
      </w:r>
      <w:r w:rsidRPr="006F0110">
        <w:rPr>
          <w:b w:val="0"/>
        </w:rPr>
        <w:t>Nařízení (EU) č. 1092/2010</w:t>
      </w:r>
      <w:r w:rsidRPr="006F0110">
        <w:rPr>
          <w:rStyle w:val="HideTWBExt"/>
          <w:b w:val="0"/>
        </w:rPr>
        <w:t>&lt;/Article2&gt;</w:t>
      </w:r>
    </w:p>
    <w:p w:rsidR="00A955A4" w:rsidRPr="006F0110" w:rsidRDefault="00A955A4" w:rsidP="00A955A4">
      <w:pPr>
        <w:pStyle w:val="NormalBold"/>
        <w:keepNext/>
        <w:rPr>
          <w:b w:val="0"/>
        </w:rPr>
      </w:pPr>
      <w:r w:rsidRPr="006F0110">
        <w:rPr>
          <w:rStyle w:val="HideTWBExt"/>
          <w:b w:val="0"/>
        </w:rPr>
        <w:t>&lt;DocAmend2&gt;</w:t>
      </w:r>
      <w:r w:rsidRPr="006F0110">
        <w:rPr>
          <w:b w:val="0"/>
        </w:rPr>
        <w:t>Čl. 15 – odst. 8</w:t>
      </w:r>
      <w:r w:rsidRPr="006F0110">
        <w:rPr>
          <w:rStyle w:val="HideTWBExt"/>
          <w:b w:val="0"/>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8.</w:t>
            </w:r>
            <w:r w:rsidRPr="006F0110">
              <w:tab/>
              <w:t>ESRB sdílí v jednotlivých případech nebo pravidelně informace, které získala od jiného orgánu uvedeného v odstavci 2 nebo od jiného členského orgánu ESFS při plnění svých povinností, pokud o to požádá jiný z těchto orgánů nebo jiný příslušný orgán vymezený v čl. 4 bodě 2 nařízení (EU) č. 1093/2010, v čl. 4 bodě 2 nařízení (EU) č. 1094/2010 nebo v čl. 4 bodě 3 nařízení (EU) č. 1095/2010 nebo orgány vymezené v čl. 2 bodě 1 směrnice Evropského parlamentu a Rady (EU) .../...</w:t>
            </w:r>
            <w:r w:rsidRPr="006F0110">
              <w:rPr>
                <w:vertAlign w:val="superscript"/>
              </w:rPr>
              <w:t>10</w:t>
            </w:r>
            <w:r w:rsidRPr="006F0110">
              <w:rPr>
                <w:b/>
                <w:i/>
              </w:rPr>
              <w:t>,</w:t>
            </w:r>
            <w:r w:rsidRPr="006F0110">
              <w:t xml:space="preserve"> za předpokladu, že dožadující orgán má podle práva Unie pravomoc získat tytéž informace od finančních institucí nebo jiných příslušných orgánů.</w:t>
            </w:r>
          </w:p>
        </w:tc>
        <w:tc>
          <w:tcPr>
            <w:tcW w:w="4876" w:type="dxa"/>
            <w:hideMark/>
          </w:tcPr>
          <w:p w:rsidR="00A955A4" w:rsidRPr="006F0110" w:rsidRDefault="00A955A4" w:rsidP="000B188B">
            <w:pPr>
              <w:pStyle w:val="Normal6"/>
              <w:rPr>
                <w:szCs w:val="24"/>
              </w:rPr>
            </w:pPr>
            <w:r w:rsidRPr="006F0110">
              <w:t>8.</w:t>
            </w:r>
            <w:r w:rsidRPr="006F0110">
              <w:tab/>
              <w:t>ESRB sdílí v jednotlivých případech nebo pravidelně informace, které získala od jiného orgánu uvedeného v odstavci 2 nebo od jiného členského orgánu ESFS při plnění svých povinností, pokud o to požádá jiný z těchto orgánů nebo jiný příslušný orgán vymezený v čl. 4 bodě 2 nařízení (EU) č. 1093/2010, v čl. 4 bodě 2 nařízení (EU) č. 1094/2010 nebo v čl. 4 bodě 3 nařízení (EU) č. 1095/2010 nebo orgány vymezené v čl. 2 bodě 1 směrnice Evropského parlamentu a Rady (EU) .../...</w:t>
            </w:r>
            <w:r w:rsidRPr="006F0110">
              <w:rPr>
                <w:vertAlign w:val="superscript"/>
              </w:rPr>
              <w:t>10</w:t>
            </w:r>
            <w:r w:rsidRPr="006F0110">
              <w:rPr>
                <w:b/>
                <w:i/>
              </w:rPr>
              <w:t xml:space="preserve"> nebo jednotný mechanismus dohledu vymezený v čl. 2 bodě 9 nařízení (EU) č. 1024/2013 nebo Jednotný výbor pro řešení krizí</w:t>
            </w:r>
            <w:r w:rsidRPr="006F0110">
              <w:t xml:space="preserve"> za předpokladu, že dožadující orgán má podle práva Unie pravomoc získat tytéž informace od finančních institucí nebo jiných příslušných orgánů.</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b/>
                <w:i/>
                <w:vertAlign w:val="superscript"/>
              </w:rPr>
              <w:t>10</w:t>
            </w:r>
            <w:r w:rsidRPr="006F0110">
              <w:rPr>
                <w:b/>
                <w:i/>
              </w:rPr>
              <w:t xml:space="preserve"> OP :</w:t>
            </w:r>
            <w:r w:rsidRPr="006F0110">
              <w:t xml:space="preserve"> vložte do textu číslo směrnice obsažené v dokumentu 2021/0250(COD) (návrh šesté směrnice o boji proti praní peněz – COM(2021) 423 final) a do poznámky pod čarou vložte číslo, datum a název této směrnice a odkaz na Úřední věstník.</w:t>
            </w:r>
          </w:p>
        </w:tc>
        <w:tc>
          <w:tcPr>
            <w:tcW w:w="4876" w:type="dxa"/>
            <w:hideMark/>
          </w:tcPr>
          <w:p w:rsidR="00A955A4" w:rsidRPr="006F0110" w:rsidRDefault="00A955A4" w:rsidP="000B188B">
            <w:pPr>
              <w:pStyle w:val="Normal6"/>
              <w:rPr>
                <w:szCs w:val="24"/>
              </w:rPr>
            </w:pPr>
            <w:r w:rsidRPr="006F0110">
              <w:rPr>
                <w:vertAlign w:val="superscript"/>
              </w:rPr>
              <w:t>10</w:t>
            </w:r>
            <w:r w:rsidRPr="006F0110">
              <w:t xml:space="preserve"> OP : vložte do textu číslo směrnice obsažené v dokumentu 2021/0250(COD) (návrh šesté směrnice o boji proti praní peněz – COM(2021) 423 final) a do poznámky pod čarou vložte číslo, datum a název této směrnice a odkaz na Úřední věstník.</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94</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1 – odst. 1 – bod 2</w:t>
      </w:r>
      <w:r w:rsidRPr="006F0110">
        <w:rPr>
          <w:rStyle w:val="HideTWBExt"/>
          <w:b w:val="0"/>
        </w:rPr>
        <w:t>&lt;/Article&gt;</w:t>
      </w:r>
    </w:p>
    <w:p w:rsidR="00A955A4" w:rsidRPr="006F0110" w:rsidRDefault="00A955A4" w:rsidP="00A955A4">
      <w:pPr>
        <w:pStyle w:val="NormalBold"/>
        <w:rPr>
          <w:b w:val="0"/>
        </w:rPr>
      </w:pPr>
      <w:r w:rsidRPr="006F0110">
        <w:rPr>
          <w:rStyle w:val="HideTWBExt"/>
          <w:b w:val="0"/>
        </w:rPr>
        <w:t>&lt;Article2&gt;</w:t>
      </w:r>
      <w:r w:rsidRPr="006F0110">
        <w:rPr>
          <w:b w:val="0"/>
        </w:rPr>
        <w:t>Nařízení (EU) č. 1092/2010</w:t>
      </w:r>
      <w:r w:rsidRPr="006F0110">
        <w:rPr>
          <w:rStyle w:val="HideTWBExt"/>
          <w:b w:val="0"/>
        </w:rPr>
        <w:t>&lt;/Article2&gt;</w:t>
      </w:r>
    </w:p>
    <w:p w:rsidR="00A955A4" w:rsidRPr="006F0110" w:rsidRDefault="00A955A4" w:rsidP="00A955A4">
      <w:pPr>
        <w:pStyle w:val="NormalBold"/>
        <w:keepNext/>
      </w:pPr>
      <w:r w:rsidRPr="006F0110">
        <w:rPr>
          <w:rStyle w:val="HideTWBExt"/>
          <w:b w:val="0"/>
        </w:rPr>
        <w:t>&lt;DocAmend2&gt;</w:t>
      </w:r>
      <w:r w:rsidRPr="006F0110">
        <w:rPr>
          <w:b w:val="0"/>
        </w:rPr>
        <w:t>Čl. 15 – odst. 11</w:t>
      </w:r>
      <w:r w:rsidRPr="006F011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11.</w:t>
            </w:r>
            <w:r w:rsidRPr="006F0110">
              <w:tab/>
              <w:t>Pro sdílení informací podle odstavců 8, 9 a 10 mohou orgány uvedené v odstavci 8 uzavřít memoranda o porozumění, v nichž se upřesní způsoby výměny informací. Mohou rovněž stanovit opatření pro sdílení zdrojů pro shromažďování a zpracování těchto sdílených údajů.</w:t>
            </w:r>
          </w:p>
        </w:tc>
        <w:tc>
          <w:tcPr>
            <w:tcW w:w="4876" w:type="dxa"/>
            <w:hideMark/>
          </w:tcPr>
          <w:p w:rsidR="00A955A4" w:rsidRPr="006F0110" w:rsidRDefault="00A955A4" w:rsidP="000B188B">
            <w:pPr>
              <w:pStyle w:val="Normal6"/>
              <w:rPr>
                <w:szCs w:val="24"/>
              </w:rPr>
            </w:pPr>
            <w:r w:rsidRPr="006F0110">
              <w:t>11.</w:t>
            </w:r>
            <w:r w:rsidRPr="006F0110">
              <w:tab/>
              <w:t xml:space="preserve">Pro sdílení informací podle odstavců 8, 9 a 10 mohou orgány uvedené v odstavci 8 uzavřít memoranda o porozumění, v nichž se upřesní způsoby výměny informací. Mohou rovněž stanovit opatření pro sdílení zdrojů pro shromažďování a zpracování těchto sdílených údajů. </w:t>
            </w:r>
            <w:r w:rsidRPr="006F0110">
              <w:rPr>
                <w:b/>
                <w:i/>
              </w:rPr>
              <w:t>Memoranda o porozumění se po dohodě mezi všemi dotčenými orgány řídí standardizovaným formátem, který je v případě potřeby přizpůsoben zvláštním provozním podmínkám, které se mohou vztahovat na konkrétní orgány.</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95</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pPr>
      <w:r>
        <w:rPr>
          <w:rStyle w:val="HideTWBExt"/>
          <w:b w:val="0"/>
        </w:rPr>
        <w:t>&lt;Article&gt;</w:t>
      </w:r>
      <w:r>
        <w:t>Čl. 1 – odst. 1 – bod 2</w:t>
      </w:r>
      <w:r>
        <w:rPr>
          <w:rStyle w:val="HideTWBExt"/>
          <w:b w:val="0"/>
        </w:rPr>
        <w:t>&lt;/Article&gt;</w:t>
      </w:r>
    </w:p>
    <w:p w:rsidR="00A955A4" w:rsidRPr="000A3393" w:rsidRDefault="00A955A4" w:rsidP="00A955A4">
      <w:pPr>
        <w:pStyle w:val="NormalBold"/>
        <w:keepNext/>
        <w:rPr>
          <w:b w:val="0"/>
        </w:rPr>
      </w:pPr>
      <w:r>
        <w:rPr>
          <w:rStyle w:val="HideTWBExt"/>
          <w:b w:val="0"/>
        </w:rPr>
        <w:t>&lt;DocAmend2&gt;</w:t>
      </w:r>
      <w:r>
        <w:rPr>
          <w:b w:val="0"/>
        </w:rPr>
        <w:t>Nařízení (EU) č. 1092/2010</w:t>
      </w:r>
      <w:r>
        <w:rPr>
          <w:rStyle w:val="HideTWBExt"/>
          <w:b w:val="0"/>
        </w:rPr>
        <w:t>&lt;/DocAmend2&gt;</w:t>
      </w:r>
    </w:p>
    <w:p w:rsidR="00A955A4" w:rsidRPr="000A3393" w:rsidRDefault="00A955A4" w:rsidP="00A955A4">
      <w:pPr>
        <w:pStyle w:val="NormalBold"/>
        <w:keepNext/>
      </w:pPr>
      <w:r>
        <w:rPr>
          <w:rStyle w:val="HideTWBExt"/>
          <w:b w:val="0"/>
        </w:rPr>
        <w:t>&lt;Article2&gt;</w:t>
      </w:r>
      <w:r>
        <w:rPr>
          <w:b w:val="0"/>
        </w:rPr>
        <w:t>Čl. 15 – odst. 11</w:t>
      </w:r>
      <w:r>
        <w:rPr>
          <w:rStyle w:val="HideTWBExt"/>
          <w:b w:val="0"/>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11.</w:t>
            </w:r>
            <w:r>
              <w:tab/>
              <w:t>Pro sdílení informací podle odstavců 8, 9 a 10 mohou orgány uvedené v odstavci 8 uzavřít memoranda o porozumění, v nichž se upřesní způsoby výměny informací. Mohou rovněž stanovit opatření pro sdílení zdrojů pro shromažďování a zpracování těchto sdílených údajů.</w:t>
            </w:r>
          </w:p>
        </w:tc>
        <w:tc>
          <w:tcPr>
            <w:tcW w:w="4876" w:type="dxa"/>
            <w:hideMark/>
          </w:tcPr>
          <w:p w:rsidR="00A955A4" w:rsidRPr="000A3393" w:rsidRDefault="00A955A4" w:rsidP="000B188B">
            <w:pPr>
              <w:pStyle w:val="Normal6"/>
              <w:rPr>
                <w:szCs w:val="24"/>
              </w:rPr>
            </w:pPr>
            <w:r>
              <w:t>11.</w:t>
            </w:r>
            <w:r>
              <w:tab/>
              <w:t>Pro sdílení informací podle odstavců 8, 9 a 10 mohou orgány uvedené v odstavci 8 uzavřít memoranda o porozumění, v nichž se upřesní způsoby výměny informací. Mohou rovněž stanovit opatření pro sdílení zdrojů pro shromažďování a zpracování těchto sdílených údajů</w:t>
            </w:r>
            <w:r>
              <w:rPr>
                <w:b/>
                <w:i/>
              </w:rPr>
              <w:t xml:space="preserve"> za předpokladu, že jsou v souladu s platnými pravidly o ochraně údajů, duševním vlastnictví a profesním tajemství</w:t>
            </w:r>
            <w:r>
              <w:t>.</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96</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1 – odst. 1 – bod 2</w:t>
      </w:r>
      <w:r w:rsidRPr="006F0110">
        <w:rPr>
          <w:rStyle w:val="HideTWBExt"/>
          <w:b w:val="0"/>
        </w:rPr>
        <w:t>&lt;/Article&gt;</w:t>
      </w:r>
    </w:p>
    <w:p w:rsidR="00A955A4" w:rsidRPr="006F0110" w:rsidRDefault="00A955A4" w:rsidP="00A955A4">
      <w:pPr>
        <w:pStyle w:val="NormalBold"/>
        <w:rPr>
          <w:b w:val="0"/>
        </w:rPr>
      </w:pPr>
      <w:r w:rsidRPr="006F0110">
        <w:rPr>
          <w:rStyle w:val="HideTWBExt"/>
          <w:b w:val="0"/>
        </w:rPr>
        <w:t>&lt;Article2&gt;</w:t>
      </w:r>
      <w:r w:rsidRPr="006F0110">
        <w:rPr>
          <w:b w:val="0"/>
        </w:rPr>
        <w:t>Nařízení (EU) č. 1092/2010</w:t>
      </w:r>
      <w:r w:rsidRPr="006F0110">
        <w:rPr>
          <w:rStyle w:val="HideTWBExt"/>
          <w:b w:val="0"/>
        </w:rPr>
        <w:t>&lt;/Article2&gt;</w:t>
      </w:r>
    </w:p>
    <w:p w:rsidR="00A955A4" w:rsidRPr="006F0110" w:rsidRDefault="00A955A4" w:rsidP="00A955A4">
      <w:pPr>
        <w:pStyle w:val="NormalBold"/>
      </w:pPr>
      <w:r w:rsidRPr="006F0110">
        <w:rPr>
          <w:rStyle w:val="HideTWBExt"/>
          <w:b w:val="0"/>
        </w:rPr>
        <w:t>&lt;DocAmend2&gt;</w:t>
      </w:r>
      <w:r w:rsidRPr="006F0110">
        <w:rPr>
          <w:b w:val="0"/>
        </w:rPr>
        <w:t>Čl. 15 – odst. 13</w:t>
      </w:r>
      <w:r w:rsidRPr="006F011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13.</w:t>
            </w:r>
            <w:r w:rsidRPr="006F0110">
              <w:tab/>
              <w:t>Aniž jsou dotčeny jiné povinnosti stanovené v právu Unie pro sdílení informací, ESRB na odůvodněnou žádost a v jednotlivých případech sdílí s Komisí nebo některým z orgánů uvedených v odstavci 8 informace, které jí jiné orgány oznámily v souladu se svými povinnostmi podle práva Unie. ESRB předává tyto informace ve formě, která neumožňuje identifikaci jednotlivých subjektů a neobsahuje osobní údaje.</w:t>
            </w:r>
          </w:p>
        </w:tc>
        <w:tc>
          <w:tcPr>
            <w:tcW w:w="4876" w:type="dxa"/>
            <w:hideMark/>
          </w:tcPr>
          <w:p w:rsidR="00A955A4" w:rsidRPr="006F0110" w:rsidRDefault="00A955A4" w:rsidP="000B188B">
            <w:pPr>
              <w:pStyle w:val="Normal6"/>
              <w:rPr>
                <w:szCs w:val="24"/>
              </w:rPr>
            </w:pPr>
            <w:r w:rsidRPr="006F0110">
              <w:t>13.</w:t>
            </w:r>
            <w:r w:rsidRPr="006F0110">
              <w:tab/>
              <w:t xml:space="preserve">Aniž jsou dotčeny jiné povinnosti stanovené v právu Unie pro sdílení informací, ESRB na odůvodněnou žádost a v jednotlivých případech sdílí s Komisí nebo některým z orgánů uvedených v odstavci 8 informace, které jí jiné orgány oznámily v souladu se svými povinnostmi podle práva Unie. ESRB předává tyto informace ve formě, která neumožňuje identifikaci jednotlivých subjektů a neobsahuje osobní údaje. </w:t>
            </w:r>
            <w:r w:rsidRPr="006F0110">
              <w:rPr>
                <w:b/>
                <w:i/>
              </w:rPr>
              <w:t>Orgány, které tyto informace poskytly, musí být o tomto sdílení řádně informovány.</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97</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1 – odst. 1 – bod 2</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1092/2010</w:t>
      </w:r>
      <w:r>
        <w:rPr>
          <w:rStyle w:val="HideTWBExt"/>
          <w:b w:val="0"/>
        </w:rPr>
        <w:t>&lt;/Article2&gt;</w:t>
      </w:r>
    </w:p>
    <w:p w:rsidR="00A955A4" w:rsidRPr="000A3393" w:rsidRDefault="00A955A4" w:rsidP="00A955A4">
      <w:pPr>
        <w:keepNext/>
      </w:pPr>
      <w:r>
        <w:rPr>
          <w:rStyle w:val="HideTWBExt"/>
        </w:rPr>
        <w:t>&lt;DocAmend2&gt;</w:t>
      </w:r>
      <w:r>
        <w:rPr>
          <w:b/>
        </w:rPr>
        <w:t xml:space="preserve">Čl. 15 – odst. </w:t>
      </w:r>
      <w:r>
        <w:t>14 – písm. c (nové)</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tcPr>
          <w:p w:rsidR="00A955A4" w:rsidRPr="000A3393" w:rsidRDefault="00A955A4" w:rsidP="000B188B">
            <w:pPr>
              <w:pStyle w:val="Normal6"/>
              <w:rPr>
                <w:lang w:val="en-GB"/>
              </w:rPr>
            </w:pPr>
          </w:p>
        </w:tc>
        <w:tc>
          <w:tcPr>
            <w:tcW w:w="4876" w:type="dxa"/>
            <w:hideMark/>
          </w:tcPr>
          <w:p w:rsidR="00A955A4" w:rsidRPr="000A3393" w:rsidRDefault="00A955A4" w:rsidP="000B188B">
            <w:pPr>
              <w:pStyle w:val="Normal6"/>
              <w:rPr>
                <w:szCs w:val="24"/>
              </w:rPr>
            </w:pPr>
            <w:r>
              <w:rPr>
                <w:b/>
                <w:i/>
              </w:rPr>
              <w:t>c) subjekty údajů prokázaly, že jsou technicky vybaveny nástroji schopnými zajistit plnou ochranu soukromí a důvěrnosti,</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98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1 – odst. 1 – bod 2</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1092/2010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15 – odst.</w:t>
      </w:r>
      <w:r w:rsidRPr="006F0110">
        <w:rPr>
          <w:b/>
        </w:rPr>
        <w:t xml:space="preserve"> </w:t>
      </w:r>
      <w:r w:rsidRPr="006F0110">
        <w:t>14 – pododstavec 22</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Informace získané od jiného orgánu se sdílejí pouze se souhlasem orgánu, který je původně získal.</w:t>
            </w:r>
          </w:p>
        </w:tc>
        <w:tc>
          <w:tcPr>
            <w:tcW w:w="4876" w:type="dxa"/>
            <w:hideMark/>
          </w:tcPr>
          <w:p w:rsidR="00A955A4" w:rsidRPr="006F0110" w:rsidRDefault="00A955A4" w:rsidP="000B188B">
            <w:pPr>
              <w:pStyle w:val="Normal6"/>
              <w:rPr>
                <w:szCs w:val="24"/>
              </w:rPr>
            </w:pPr>
            <w:r w:rsidRPr="006F0110">
              <w:t xml:space="preserve">Informace získané od jiného orgánu se sdílejí pouze </w:t>
            </w:r>
            <w:r w:rsidRPr="006F0110">
              <w:rPr>
                <w:b/>
                <w:i/>
              </w:rPr>
              <w:t xml:space="preserve">tímto postupem </w:t>
            </w:r>
            <w:r w:rsidRPr="006F0110">
              <w:t>se souhlasem orgánu, který je původně získal.</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99</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pPr>
      <w:r>
        <w:rPr>
          <w:rStyle w:val="HideTWBExt"/>
          <w:b w:val="0"/>
        </w:rPr>
        <w:t>&lt;Article&gt;</w:t>
      </w:r>
      <w:r>
        <w:t>Čl. 1 – odst. 1 – bod 2</w:t>
      </w:r>
      <w:r>
        <w:rPr>
          <w:rStyle w:val="HideTWBExt"/>
          <w:b w:val="0"/>
        </w:rPr>
        <w:t>&lt;/Article&gt;</w:t>
      </w:r>
    </w:p>
    <w:p w:rsidR="00A955A4" w:rsidRPr="000A3393" w:rsidRDefault="00A955A4" w:rsidP="00A955A4">
      <w:pPr>
        <w:pStyle w:val="NormalBold"/>
        <w:keepNext/>
      </w:pPr>
      <w:r>
        <w:rPr>
          <w:rStyle w:val="HideTWBExt"/>
          <w:b w:val="0"/>
        </w:rPr>
        <w:t>&lt;Article2&gt;</w:t>
      </w:r>
      <w:r>
        <w:rPr>
          <w:b w:val="0"/>
        </w:rPr>
        <w:t>Nařízení (EU) č. 1092/2010</w:t>
      </w:r>
      <w:r>
        <w:rPr>
          <w:rStyle w:val="HideTWBExt"/>
          <w:b w:val="0"/>
        </w:rPr>
        <w:t>&lt;/Article2&gt;</w:t>
      </w:r>
    </w:p>
    <w:p w:rsidR="00A955A4" w:rsidRPr="000A3393" w:rsidRDefault="00A955A4" w:rsidP="00A955A4">
      <w:pPr>
        <w:pStyle w:val="NormalBold"/>
        <w:keepNext/>
      </w:pPr>
      <w:r>
        <w:rPr>
          <w:rStyle w:val="HideTWBExt"/>
          <w:b w:val="0"/>
        </w:rPr>
        <w:t>&lt;DocAmend2&gt;</w:t>
      </w:r>
      <w:r>
        <w:rPr>
          <w:b w:val="0"/>
        </w:rPr>
        <w:t>Článek 14 a (nový)</w:t>
      </w:r>
      <w:r>
        <w:rPr>
          <w:rStyle w:val="HideTWBExt"/>
          <w:b w:val="0"/>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tcPr>
          <w:p w:rsidR="00A955A4" w:rsidRPr="000A3393" w:rsidRDefault="00A955A4" w:rsidP="000B188B">
            <w:pPr>
              <w:pStyle w:val="Normal6"/>
              <w:rPr>
                <w:lang w:val="en-GB"/>
              </w:rPr>
            </w:pPr>
          </w:p>
        </w:tc>
        <w:tc>
          <w:tcPr>
            <w:tcW w:w="4876" w:type="dxa"/>
            <w:hideMark/>
          </w:tcPr>
          <w:p w:rsidR="00A955A4" w:rsidRPr="000A3393" w:rsidRDefault="00A955A4" w:rsidP="000B188B">
            <w:pPr>
              <w:pStyle w:val="Normal6"/>
              <w:rPr>
                <w:szCs w:val="24"/>
              </w:rPr>
            </w:pPr>
            <w:r>
              <w:rPr>
                <w:b/>
                <w:i/>
              </w:rPr>
              <w:t>14a.</w:t>
            </w:r>
            <w:r>
              <w:rPr>
                <w:b/>
                <w:i/>
              </w:rPr>
              <w:tab/>
              <w:t>ESRB do 31. prosince 2024 podá Komisi zprávu o všech právních překážkách v odvětvových právních předpisech, které ESRB jakýmkoli způsobem brání ve výměně informací s jinými orgány nebo institucemi. Na základě této zprávy a s náležitým ohledem na ochranu práv duševního vlastnictví, profesní tajemství a ochranu údajů Komise případně předloží Evropskému parlamentu a Radě legislativní návrh na odstranění těchto právních překážek v odvětvových právních předpisech s cílem usnadnit výměnu informací mezi orgány a s jinými subjekty.</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100</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1 – odst. 1 – bod 2</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1092/2010</w:t>
      </w:r>
      <w:r w:rsidRPr="006F0110">
        <w:rPr>
          <w:rStyle w:val="HideTWBExt"/>
          <w:b w:val="0"/>
        </w:rPr>
        <w:t>&lt;/Article2&gt;</w:t>
      </w:r>
    </w:p>
    <w:p w:rsidR="00A955A4" w:rsidRPr="006F0110" w:rsidRDefault="00A955A4" w:rsidP="00A955A4">
      <w:pPr>
        <w:pStyle w:val="NormalBold"/>
        <w:keepNext/>
      </w:pPr>
      <w:r w:rsidRPr="006F0110">
        <w:rPr>
          <w:rStyle w:val="HideTWBExt"/>
          <w:b w:val="0"/>
        </w:rPr>
        <w:t>&lt;DocAmend2&gt;</w:t>
      </w:r>
      <w:r w:rsidRPr="006F0110">
        <w:rPr>
          <w:b w:val="0"/>
        </w:rPr>
        <w:t>Čl. 15 – odst. 14 a (nový)</w:t>
      </w:r>
      <w:r w:rsidRPr="006F0110">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14a.</w:t>
            </w:r>
            <w:r w:rsidRPr="006F0110">
              <w:rPr>
                <w:b/>
                <w:i/>
              </w:rPr>
              <w:tab/>
              <w:t>ESRB se vyzývá, aby vypracovala zprávu pro Komisi s překážkami pro sdílení údajů. Zpráva může rovněž obsahovat nepodstatné, zastaralé, duplicitní nebo jinak irelevantní požadavky na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101</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Othmar Karas</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2 – odst. 1 – bod 1</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1093/2010</w:t>
      </w:r>
      <w:r w:rsidRPr="006F0110">
        <w:rPr>
          <w:rStyle w:val="HideTWBExt"/>
        </w:rPr>
        <w:t>&lt;/DocAmend2&gt;</w:t>
      </w:r>
    </w:p>
    <w:p w:rsidR="00A955A4" w:rsidRPr="006F0110" w:rsidRDefault="00A955A4" w:rsidP="00A955A4">
      <w:r w:rsidRPr="006F0110">
        <w:rPr>
          <w:rStyle w:val="HideTWBExt"/>
        </w:rPr>
        <w:t>&lt;Article2&gt;</w:t>
      </w:r>
      <w:r w:rsidRPr="006F0110">
        <w:t>Čl. 29 – odst. 1 – písm. d</w:t>
      </w:r>
      <w:r w:rsidRPr="006F011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 nebo zastaralých požadavků na podávání zpráv a minimalizaci nákladů;</w:t>
            </w:r>
          </w:p>
        </w:tc>
        <w:tc>
          <w:tcPr>
            <w:tcW w:w="4876" w:type="dxa"/>
            <w:hideMark/>
          </w:tcPr>
          <w:p w:rsidR="00A955A4" w:rsidRPr="006F0110" w:rsidRDefault="00A955A4" w:rsidP="000B188B">
            <w:pPr>
              <w:pStyle w:val="Normal6"/>
              <w:rPr>
                <w:szCs w:val="24"/>
              </w:rPr>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w:t>
            </w:r>
            <w:r w:rsidRPr="006F0110">
              <w:rPr>
                <w:b/>
                <w:i/>
              </w:rPr>
              <w:t xml:space="preserve">nepřiměřených, </w:t>
            </w:r>
            <w:r w:rsidRPr="006F0110">
              <w:t xml:space="preserve">nadbytečných nebo zastaralých požadavků na podávání zpráv a </w:t>
            </w:r>
            <w:r w:rsidRPr="006F0110">
              <w:rPr>
                <w:b/>
                <w:i/>
              </w:rPr>
              <w:t xml:space="preserve">zveřejňování a </w:t>
            </w:r>
            <w:r w:rsidRPr="006F0110">
              <w:t>minimalizaci nákladů</w:t>
            </w:r>
            <w:r w:rsidRPr="006F0110">
              <w:rPr>
                <w:b/>
                <w:i/>
              </w:rPr>
              <w:t xml:space="preserve"> při současném zachování použitelnosti a kvality údajů</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Aby se zajistilo, že požadavek na minimalizaci nákladů nebude oddělen od jiných cílů shromažďování a sdílení údajů, měl by tento požadavek rovněž zahrnovat „zachování použitelnosti a kvality údajů“.</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102</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2 – odst. 1 – bod 1</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29 – odst. 1 – písm. d</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w:t>
            </w:r>
            <w:r w:rsidRPr="006F0110">
              <w:rPr>
                <w:b/>
                <w:i/>
              </w:rPr>
              <w:t>mimo jiné</w:t>
            </w:r>
            <w:r w:rsidRPr="006F0110">
              <w:t xml:space="preserve"> k</w:t>
            </w:r>
            <w:r w:rsidRPr="006F0110">
              <w:rPr>
                <w:b/>
                <w:i/>
              </w:rPr>
              <w:t> </w:t>
            </w:r>
            <w:r w:rsidRPr="006F0110">
              <w:t xml:space="preserve">odstranění nadbytečných nebo zastaralých požadavků na podávání zpráv a </w:t>
            </w:r>
            <w:r w:rsidRPr="006F0110">
              <w:rPr>
                <w:b/>
                <w:i/>
              </w:rPr>
              <w:t>minimalizaci</w:t>
            </w:r>
            <w:r w:rsidRPr="006F0110">
              <w:t xml:space="preserve"> nákladů;</w:t>
            </w:r>
          </w:p>
        </w:tc>
        <w:tc>
          <w:tcPr>
            <w:tcW w:w="4876" w:type="dxa"/>
            <w:hideMark/>
          </w:tcPr>
          <w:p w:rsidR="00A955A4" w:rsidRPr="006F0110" w:rsidRDefault="00A955A4" w:rsidP="000B188B">
            <w:pPr>
              <w:pStyle w:val="Normal6"/>
              <w:rPr>
                <w:szCs w:val="24"/>
              </w:rPr>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w:t>
            </w:r>
            <w:r w:rsidRPr="006F0110">
              <w:rPr>
                <w:b/>
                <w:i/>
              </w:rPr>
              <w:t>včetně řešení mezer v regulaci,</w:t>
            </w:r>
            <w:r w:rsidRPr="006F0110">
              <w:t xml:space="preserve"> k</w:t>
            </w:r>
            <w:r w:rsidRPr="006F0110">
              <w:rPr>
                <w:b/>
                <w:i/>
              </w:rPr>
              <w:t xml:space="preserve"> </w:t>
            </w:r>
            <w:r w:rsidRPr="006F0110">
              <w:t>odstranění nadbytečných</w:t>
            </w:r>
            <w:r w:rsidRPr="006F0110">
              <w:rPr>
                <w:b/>
                <w:i/>
              </w:rPr>
              <w:t>, duplicitních</w:t>
            </w:r>
            <w:r w:rsidRPr="006F0110">
              <w:t xml:space="preserve"> nebo zastaralých požadavků na podávání zpráv</w:t>
            </w:r>
            <w:r w:rsidRPr="006F0110">
              <w:rPr>
                <w:b/>
                <w:i/>
              </w:rPr>
              <w:t>, standardizace těchto požadavků</w:t>
            </w:r>
            <w:r w:rsidRPr="006F0110">
              <w:t xml:space="preserve"> a </w:t>
            </w:r>
            <w:r w:rsidRPr="006F0110">
              <w:rPr>
                <w:b/>
                <w:i/>
              </w:rPr>
              <w:t>minimalizace</w:t>
            </w:r>
            <w:r w:rsidRPr="006F0110">
              <w:t xml:space="preserve"> nákladů;</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103</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rPr>
          <w:b w:val="0"/>
        </w:rPr>
      </w:pPr>
      <w:r>
        <w:rPr>
          <w:rStyle w:val="HideTWBExt"/>
          <w:b w:val="0"/>
        </w:rPr>
        <w:t>&lt;Article&gt;</w:t>
      </w:r>
      <w:r>
        <w:t>Čl. 2 – odst. 1 – bod 1</w:t>
      </w:r>
      <w:r>
        <w:rPr>
          <w:rStyle w:val="HideTWBExt"/>
          <w:b w:val="0"/>
        </w:rPr>
        <w:t>&lt;/Article&gt;</w:t>
      </w:r>
    </w:p>
    <w:p w:rsidR="00A955A4" w:rsidRPr="000A3393" w:rsidRDefault="00A955A4" w:rsidP="00A955A4">
      <w:pPr>
        <w:pStyle w:val="NormalBold"/>
        <w:rPr>
          <w:b w:val="0"/>
        </w:rPr>
      </w:pPr>
      <w:r>
        <w:rPr>
          <w:rStyle w:val="HideTWBExt"/>
          <w:b w:val="0"/>
        </w:rPr>
        <w:t>&lt;Article2&gt;</w:t>
      </w:r>
      <w:r>
        <w:rPr>
          <w:b w:val="0"/>
        </w:rPr>
        <w:t>Nařízení (EU) č. 1093/2010</w:t>
      </w:r>
      <w:r>
        <w:rPr>
          <w:rStyle w:val="HideTWBExt"/>
          <w:b w:val="0"/>
        </w:rPr>
        <w:t>&lt;/Article2&gt;</w:t>
      </w:r>
    </w:p>
    <w:p w:rsidR="00A955A4" w:rsidRPr="000A3393" w:rsidRDefault="00A955A4" w:rsidP="00A955A4">
      <w:pPr>
        <w:pStyle w:val="NormalBold"/>
        <w:rPr>
          <w:b w:val="0"/>
        </w:rPr>
      </w:pPr>
      <w:r>
        <w:rPr>
          <w:rStyle w:val="HideTWBExt"/>
          <w:b w:val="0"/>
        </w:rPr>
        <w:t>&lt;DocAmend2&gt;</w:t>
      </w:r>
      <w:r>
        <w:rPr>
          <w:b w:val="0"/>
        </w:rPr>
        <w:t>Čl. 29 – odst. 1 – písm.</w:t>
      </w:r>
      <w:r>
        <w:t xml:space="preserve"> </w:t>
      </w:r>
      <w:r>
        <w:rPr>
          <w:b w:val="0"/>
        </w:rPr>
        <w:t>dd</w:t>
      </w:r>
      <w:r>
        <w:rPr>
          <w:rStyle w:val="HideTWBExt"/>
          <w:b w:val="0"/>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hideMark/>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d)</w:t>
            </w:r>
            <w:r>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 nebo zastaralých požadavků na podávání zpráv a minimalizaci nákladů;</w:t>
            </w:r>
          </w:p>
        </w:tc>
        <w:tc>
          <w:tcPr>
            <w:tcW w:w="4876" w:type="dxa"/>
            <w:hideMark/>
          </w:tcPr>
          <w:p w:rsidR="00A955A4" w:rsidRPr="000A3393" w:rsidRDefault="00A955A4" w:rsidP="000B188B">
            <w:pPr>
              <w:pStyle w:val="Normal6"/>
              <w:rPr>
                <w:szCs w:val="24"/>
              </w:rPr>
            </w:pPr>
            <w:r>
              <w:t>d)</w:t>
            </w:r>
            <w:r>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w:t>
            </w:r>
            <w:r>
              <w:rPr>
                <w:b/>
                <w:i/>
              </w:rPr>
              <w:t>, nepřiměřených</w:t>
            </w:r>
            <w:r>
              <w:t xml:space="preserve"> nebo zastaralých požadavků na podávání zpráv a minimalizaci nákladů</w:t>
            </w:r>
            <w:r>
              <w:rPr>
                <w:b/>
                <w:i/>
              </w:rPr>
              <w:t>, přičemž se zachovává použitelnost a kvalita údajů</w:t>
            </w:r>
            <w:r>
              <w:t>;</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104</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Laurence Sailliet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2 – odst. 1 – bod 1</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1093/2010</w:t>
      </w:r>
      <w:r w:rsidRPr="006F0110">
        <w:rPr>
          <w:rStyle w:val="HideTWBExt"/>
        </w:rPr>
        <w:t>&lt;/DocAmend2&gt;</w:t>
      </w:r>
    </w:p>
    <w:p w:rsidR="00A955A4" w:rsidRPr="006F0110" w:rsidRDefault="00A955A4" w:rsidP="00A955A4">
      <w:r w:rsidRPr="006F0110">
        <w:rPr>
          <w:rStyle w:val="HideTWBExt"/>
        </w:rPr>
        <w:t>&lt;Article2&gt;</w:t>
      </w:r>
      <w:r w:rsidRPr="006F0110">
        <w:t>Čl. 29 – odst. 1 – písm. d</w:t>
      </w:r>
      <w:r w:rsidRPr="006F011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 nebo </w:t>
            </w:r>
            <w:r w:rsidRPr="006F0110">
              <w:rPr>
                <w:b/>
                <w:i/>
              </w:rPr>
              <w:t>zastaralých</w:t>
            </w:r>
            <w:r w:rsidRPr="006F0110">
              <w:t xml:space="preserve"> požadavků na podávání zpráv a </w:t>
            </w:r>
            <w:r w:rsidRPr="006F0110">
              <w:rPr>
                <w:b/>
                <w:i/>
              </w:rPr>
              <w:t>minimalizaci nákladů</w:t>
            </w:r>
            <w:r w:rsidRPr="006F0110">
              <w:t>;</w:t>
            </w:r>
          </w:p>
        </w:tc>
        <w:tc>
          <w:tcPr>
            <w:tcW w:w="4876" w:type="dxa"/>
            <w:hideMark/>
          </w:tcPr>
          <w:p w:rsidR="00A955A4" w:rsidRPr="006F0110" w:rsidRDefault="00A955A4" w:rsidP="000B188B">
            <w:pPr>
              <w:pStyle w:val="Normal6"/>
              <w:rPr>
                <w:szCs w:val="24"/>
              </w:rPr>
            </w:pPr>
            <w:r w:rsidRPr="006F0110">
              <w:t>(d)</w:t>
            </w:r>
            <w:r w:rsidRPr="006F0110">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w:t>
            </w:r>
            <w:r w:rsidRPr="006F0110">
              <w:rPr>
                <w:b/>
                <w:i/>
              </w:rPr>
              <w:t>, zastaralých</w:t>
            </w:r>
            <w:r w:rsidRPr="006F0110">
              <w:t xml:space="preserve"> nebo </w:t>
            </w:r>
            <w:r w:rsidRPr="006F0110">
              <w:rPr>
                <w:b/>
                <w:i/>
              </w:rPr>
              <w:t>nepřiměřených</w:t>
            </w:r>
            <w:r w:rsidRPr="006F0110">
              <w:t xml:space="preserve"> požadavků na podávání zpráv a </w:t>
            </w:r>
            <w:r w:rsidRPr="006F0110">
              <w:rPr>
                <w:b/>
                <w:i/>
              </w:rPr>
              <w:t>jejich zveřejňování, aby se minimalizovaly náklady</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105</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2 – odst. 1 – bod 2</w:t>
      </w:r>
      <w:r w:rsidRPr="006F0110">
        <w:rPr>
          <w:rStyle w:val="HideTWBExt"/>
          <w:b w:val="0"/>
        </w:rPr>
        <w:t>&lt;/Article&gt;</w:t>
      </w:r>
    </w:p>
    <w:p w:rsidR="00A955A4" w:rsidRPr="006F0110" w:rsidRDefault="00A955A4" w:rsidP="00A955A4">
      <w:pPr>
        <w:pStyle w:val="NormalBold"/>
        <w:rPr>
          <w:b w:val="0"/>
        </w:rPr>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30 – odst. 3 – písm. e</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(e)</w:t>
            </w:r>
            <w:r w:rsidRPr="006F0110">
              <w:tab/>
              <w:t>účinnosti vnitrostátních požadavků na podávání zpráv a úrovně sbližování těchto požadavků s požadavky stanovenými v právu Unie</w:t>
            </w:r>
            <w:r w:rsidRPr="006F0110">
              <w:rPr>
                <w:b/>
                <w:i/>
              </w:rPr>
              <w:t>.</w:t>
            </w:r>
            <w:r w:rsidRPr="006F0110">
              <w:t>;</w:t>
            </w:r>
          </w:p>
        </w:tc>
        <w:tc>
          <w:tcPr>
            <w:tcW w:w="4876" w:type="dxa"/>
            <w:hideMark/>
          </w:tcPr>
          <w:p w:rsidR="00A955A4" w:rsidRPr="006F0110" w:rsidRDefault="00A955A4" w:rsidP="000B188B">
            <w:pPr>
              <w:pStyle w:val="Normal6"/>
              <w:rPr>
                <w:szCs w:val="24"/>
              </w:rPr>
            </w:pPr>
            <w:r w:rsidRPr="006F0110">
              <w:t>(e)</w:t>
            </w:r>
            <w:r w:rsidRPr="006F0110">
              <w:tab/>
              <w:t>účinnosti vnitrostátních požadavků na podávání zpráv a úrovně sbližování těchto požadavků s požadavky stanovenými v právu Unie</w:t>
            </w:r>
            <w:r w:rsidRPr="006F0110">
              <w:rPr>
                <w:b/>
                <w:i/>
              </w:rPr>
              <w:t xml:space="preserve"> při zohlednění zvláštních charakteristik vnitrostátních finančních jurisdikcí</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106</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pPr>
      <w:r>
        <w:rPr>
          <w:rStyle w:val="HideTWBExt"/>
          <w:b w:val="0"/>
        </w:rPr>
        <w:t>&lt;Article&gt;</w:t>
      </w:r>
      <w:r>
        <w:t>Čl. 2 – odst. 1 – bod 2</w:t>
      </w:r>
      <w:r>
        <w:rPr>
          <w:rStyle w:val="HideTWBExt"/>
          <w:b w:val="0"/>
        </w:rPr>
        <w:t>&lt;/Article&gt;</w:t>
      </w:r>
    </w:p>
    <w:p w:rsidR="00A955A4" w:rsidRPr="000A3393" w:rsidRDefault="00A955A4" w:rsidP="00A955A4">
      <w:pPr>
        <w:pStyle w:val="NormalBold"/>
        <w:rPr>
          <w:b w:val="0"/>
        </w:rPr>
      </w:pPr>
      <w:r>
        <w:rPr>
          <w:rStyle w:val="HideTWBExt"/>
          <w:b w:val="0"/>
        </w:rPr>
        <w:t>&lt;Article2&gt;</w:t>
      </w:r>
      <w:r>
        <w:rPr>
          <w:b w:val="0"/>
        </w:rPr>
        <w:t>Nařízení (EU) č. 1093/2010</w:t>
      </w:r>
      <w:r>
        <w:rPr>
          <w:rStyle w:val="HideTWBExt"/>
          <w:b w:val="0"/>
        </w:rPr>
        <w:t>&lt;/Article2&gt;</w:t>
      </w:r>
    </w:p>
    <w:p w:rsidR="00A955A4" w:rsidRPr="000A3393" w:rsidRDefault="00A955A4" w:rsidP="00A955A4">
      <w:pPr>
        <w:keepNext/>
      </w:pPr>
      <w:r>
        <w:rPr>
          <w:rStyle w:val="HideTWBExt"/>
        </w:rPr>
        <w:t>&lt;DocAmend2&gt;</w:t>
      </w:r>
      <w:r>
        <w:t>Čl. 30 – odst. 3 – písm. ee</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e)</w:t>
            </w:r>
            <w:r>
              <w:tab/>
              <w:t xml:space="preserve">účinnosti vnitrostátních požadavků na podávání zpráv a úrovně sbližování těchto požadavků </w:t>
            </w:r>
            <w:r>
              <w:rPr>
                <w:b/>
                <w:i/>
              </w:rPr>
              <w:t>s</w:t>
            </w:r>
            <w:r>
              <w:t> </w:t>
            </w:r>
            <w:r>
              <w:rPr>
                <w:b/>
                <w:i/>
              </w:rPr>
              <w:t>požadavky stanovenými</w:t>
            </w:r>
            <w:r>
              <w:t xml:space="preserve"> v právu Unie.;</w:t>
            </w:r>
          </w:p>
        </w:tc>
        <w:tc>
          <w:tcPr>
            <w:tcW w:w="4876" w:type="dxa"/>
            <w:hideMark/>
          </w:tcPr>
          <w:p w:rsidR="00A955A4" w:rsidRPr="000A3393" w:rsidRDefault="00A955A4" w:rsidP="000B188B">
            <w:pPr>
              <w:pStyle w:val="Normal6"/>
              <w:rPr>
                <w:szCs w:val="24"/>
              </w:rPr>
            </w:pPr>
            <w:r>
              <w:t>e)</w:t>
            </w:r>
            <w:r>
              <w:tab/>
              <w:t xml:space="preserve">účinnosti vnitrostátních požadavků na podávání zpráv a úrovně sbližování </w:t>
            </w:r>
            <w:r>
              <w:rPr>
                <w:b/>
                <w:i/>
              </w:rPr>
              <w:t xml:space="preserve">a adekvátnosti </w:t>
            </w:r>
            <w:r>
              <w:t xml:space="preserve">těchto požadavků </w:t>
            </w:r>
            <w:r>
              <w:rPr>
                <w:b/>
                <w:i/>
              </w:rPr>
              <w:t>vůči</w:t>
            </w:r>
            <w:r>
              <w:t> </w:t>
            </w:r>
            <w:r>
              <w:rPr>
                <w:b/>
                <w:i/>
              </w:rPr>
              <w:t>požadavkům stanoveným</w:t>
            </w:r>
            <w:r>
              <w:t xml:space="preserve"> v právu Unie.;</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107</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2 – odst. 1 – bod 3</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 – odst. 4</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 xml:space="preserve">Před vyžádáním informací podle tohoto článku, a aby se </w:t>
            </w:r>
            <w:r w:rsidRPr="006F0110">
              <w:rPr>
                <w:b/>
                <w:i/>
              </w:rPr>
              <w:t>zabránilo</w:t>
            </w:r>
            <w:r w:rsidRPr="006F0110">
              <w:t xml:space="preserve"> zdvojování oznamovacích povinností, orgán pro bankovnictví zohlední informace shromážděné jinými orgány uvedenými v čl. 35a odst. 1 a příslušné existující statistiky vypracovávané a šířené Evropským statistickým systémem a Evropským systémem centrálních bank.;</w:t>
            </w:r>
          </w:p>
        </w:tc>
        <w:tc>
          <w:tcPr>
            <w:tcW w:w="4876" w:type="dxa"/>
            <w:hideMark/>
          </w:tcPr>
          <w:p w:rsidR="00A955A4" w:rsidRPr="006F0110" w:rsidRDefault="00A955A4" w:rsidP="000B188B">
            <w:pPr>
              <w:pStyle w:val="Normal6"/>
              <w:rPr>
                <w:szCs w:val="24"/>
              </w:rPr>
            </w:pPr>
            <w:r w:rsidRPr="006F0110">
              <w:t>4.</w:t>
            </w:r>
            <w:r w:rsidRPr="006F0110">
              <w:tab/>
              <w:t xml:space="preserve">Před vyžádáním informací podle tohoto článku, a aby se </w:t>
            </w:r>
            <w:r w:rsidRPr="006F0110">
              <w:rPr>
                <w:b/>
                <w:i/>
              </w:rPr>
              <w:t>zajistilo zabránění</w:t>
            </w:r>
            <w:r w:rsidRPr="006F0110">
              <w:t xml:space="preserve"> zdvojování oznamovacích povinností, orgán pro bankovnictví zohlední informace shromážděné jinými orgány uvedenými v čl. 35a odst. 1 a příslušné existující statistiky vypracovávané a šířené Evropským statistickým systémem a Evropským systémem centrálních bank.</w:t>
            </w:r>
            <w:r w:rsidRPr="006F0110">
              <w:rPr>
                <w:b/>
                <w:i/>
              </w:rPr>
              <w:t>“</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2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1</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1.</w:t>
            </w:r>
            <w:r w:rsidRPr="006F0110">
              <w:tab/>
              <w:t>Orgán pro bankovnictví a příslušné orgány sdílejí s jinými orgány v jednotlivých případech nebo pravidelně informace, které získaly od finančních institucí nebo jiných příslušných orgánů při plnění svých povinností, pokud o to požádají ostatní evropské orgány dohledu, ESRB nebo příslušné orgány vymezené v čl. 4 bodě 2 tohoto nařízení, v čl. 4 bodě 2 nařízení (EU) č. 1094/2010 nebo v čl. 4 bodě 3 nařízení (EU) č. 1095/2010 nebo orgány vymezené v čl. 2 bodě 1 směrnice Evropského parlamentu a Rady (EU) .../...</w:t>
            </w:r>
            <w:r w:rsidRPr="006F0110">
              <w:rPr>
                <w:vertAlign w:val="superscript"/>
              </w:rPr>
              <w:t>11</w:t>
            </w:r>
            <w:r w:rsidRPr="006F0110">
              <w:t>, za předpokladu, že orgán, který tyto informace požaduje, je podle práva Unie oprávněn získat tytéž informace od finančních institucí nebo jiných příslušných orgánů. Pro účely tohoto článku se „finanční institucí“ rozumí „finanční instituce“ ve smyslu čl. 2 písm. a) nařízení (EU) č. 1092/2010.</w:t>
            </w:r>
          </w:p>
        </w:tc>
        <w:tc>
          <w:tcPr>
            <w:tcW w:w="4876" w:type="dxa"/>
            <w:hideMark/>
          </w:tcPr>
          <w:p w:rsidR="00A955A4" w:rsidRPr="006F0110" w:rsidRDefault="00A955A4" w:rsidP="000B188B">
            <w:pPr>
              <w:pStyle w:val="Normal6"/>
              <w:rPr>
                <w:szCs w:val="24"/>
              </w:rPr>
            </w:pPr>
            <w:r w:rsidRPr="006F0110">
              <w:t>1.</w:t>
            </w:r>
            <w:r w:rsidRPr="006F0110">
              <w:tab/>
              <w:t>Orgán pro bankovnictví a příslušné orgány sdílejí s jinými orgány v jednotlivých případech nebo pravidelně informace, které získaly od finančních institucí nebo jiných příslušných orgánů při plnění svých povinností, pokud o to požádají ostatní evropské orgány dohledu, ESRB nebo příslušné orgány vymezené v čl. 4 bodě 2 tohoto nařízení, v čl. 4 bodě 2 nařízení (EU) č. 1094/2010 nebo v čl. 4 bodě 3 nařízení (EU) č. 1095/2010 nebo orgány vymezené v čl. 2 bodě 1 směrnice Evropského parlamentu a Rady (EU) .../...</w:t>
            </w:r>
            <w:r w:rsidRPr="006F0110">
              <w:rPr>
                <w:vertAlign w:val="superscript"/>
              </w:rPr>
              <w:t>11</w:t>
            </w:r>
            <w:r w:rsidRPr="006F0110">
              <w:t xml:space="preserve">, </w:t>
            </w:r>
            <w:r w:rsidRPr="006F0110">
              <w:rPr>
                <w:b/>
                <w:i/>
              </w:rPr>
              <w:t xml:space="preserve">nebo jednotný mechanismus dohledu vymezený v čl. 2 bodě 9 nařízení (EU) č. 1024/2013 nebo Jednotný výbor pro řešení krizí </w:t>
            </w:r>
            <w:r w:rsidRPr="006F0110">
              <w:t>za předpokladu, že orgán, který tyto informace požaduje, je podle práva Unie oprávněn získat tytéž informace od finančních institucí nebo jiných příslušných orgánů. Pro účely tohoto článku se „finanční institucí“ rozumí „finanční instituce“ ve smyslu čl. 2 písm. a) nařízení (EU) č. 1092/2010.</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11</w:t>
            </w:r>
            <w:r w:rsidRPr="006F0110">
              <w:t xml:space="preserve"> OP: Vložte do textu číslo směrnice obsažené v dokumentu 2021/0250(COD) (návrh šesté směrnice o boji proti praní peněz – COM(2021) 423 final) a do poznámky pod čarou vložte číslo, datum a název této směrnice a odkaz na Úřední věstník.</w:t>
            </w:r>
          </w:p>
        </w:tc>
        <w:tc>
          <w:tcPr>
            <w:tcW w:w="4876" w:type="dxa"/>
            <w:hideMark/>
          </w:tcPr>
          <w:p w:rsidR="00A955A4" w:rsidRPr="006F0110" w:rsidRDefault="00A955A4" w:rsidP="000B188B">
            <w:pPr>
              <w:pStyle w:val="Normal6"/>
              <w:rPr>
                <w:szCs w:val="24"/>
              </w:rPr>
            </w:pPr>
            <w:r w:rsidRPr="006F0110">
              <w:rPr>
                <w:vertAlign w:val="superscript"/>
              </w:rPr>
              <w:t>11</w:t>
            </w:r>
            <w:r w:rsidRPr="006F0110">
              <w:t xml:space="preserve"> OP: Vložte do textu číslo směrnice obsažené v dokumentu 2021/0250(COD) (návrh šesté směrnice o boji proti praní peněz – COM(2021) 423 final) a do poznámky pod čarou vložte číslo, datum a název této směrnice a odkaz na Úřední věstník.</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109</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2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4</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Pro sdílení informací podle odstavců 1, 2 a 3 mohou orgány uvedené v odstavci 1 uzavřít memoranda o porozumění, v nichž se upřesní způsoby výměny informací. Mohou rovněž stanovit opatření pro sdílení zdrojů pro shromažďování a zpracování těchto sdílených údajů.</w:t>
            </w:r>
          </w:p>
        </w:tc>
        <w:tc>
          <w:tcPr>
            <w:tcW w:w="4876" w:type="dxa"/>
            <w:hideMark/>
          </w:tcPr>
          <w:p w:rsidR="00A955A4" w:rsidRPr="006F0110" w:rsidRDefault="00A955A4" w:rsidP="000B188B">
            <w:pPr>
              <w:pStyle w:val="Normal6"/>
              <w:rPr>
                <w:szCs w:val="24"/>
              </w:rPr>
            </w:pPr>
            <w:r w:rsidRPr="006F0110">
              <w:t>4.</w:t>
            </w:r>
            <w:r w:rsidRPr="006F0110">
              <w:tab/>
              <w:t xml:space="preserve">Pro sdílení informací podle odstavců 1, 2 a 3 mohou orgány uvedené v odstavci 1 uzavřít memoranda o porozumění, v nichž se upřesní způsoby výměny informací. Mohou rovněž stanovit opatření pro sdílení zdrojů pro shromažďování a zpracování těchto sdílených údajů. </w:t>
            </w:r>
            <w:r w:rsidRPr="006F0110">
              <w:rPr>
                <w:b/>
                <w:i/>
              </w:rPr>
              <w:t>Memoranda o porozumění se po dohodě mezi všemi dotčenými orgány řídí standardizovaným formátem, který je v případě potřeby přizpůsoben zvláštním provozním podmínkám, které se mohou vztahovat na konkrétní orgány.</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110</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2 – odst. 1 – bod 4</w:t>
      </w:r>
      <w:r w:rsidRPr="006F0110">
        <w:rPr>
          <w:rStyle w:val="HideTWBExt"/>
          <w:b w:val="0"/>
        </w:rPr>
        <w:t>&lt;/Article&gt;</w:t>
      </w:r>
    </w:p>
    <w:p w:rsidR="00A955A4" w:rsidRPr="006F0110" w:rsidRDefault="00A955A4" w:rsidP="00A955A4">
      <w:pPr>
        <w:pStyle w:val="NormalBold"/>
        <w:keepNext/>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7 – pododstavec 2</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Informace získané od jiného orgánu se sdílejí pouze se souhlasem orgánu, který je původně získal.</w:t>
            </w:r>
            <w:r w:rsidRPr="006F0110">
              <w:rPr>
                <w:b/>
                <w:i/>
              </w:rPr>
              <w:t>;</w:t>
            </w:r>
          </w:p>
        </w:tc>
        <w:tc>
          <w:tcPr>
            <w:tcW w:w="4876" w:type="dxa"/>
            <w:hideMark/>
          </w:tcPr>
          <w:p w:rsidR="00A955A4" w:rsidRPr="006F0110" w:rsidRDefault="00A955A4" w:rsidP="000B188B">
            <w:pPr>
              <w:pStyle w:val="Normal6"/>
              <w:rPr>
                <w:szCs w:val="24"/>
              </w:rPr>
            </w:pPr>
            <w:r w:rsidRPr="006F0110">
              <w:t xml:space="preserve">Informace získané od jiného orgánu se sdílejí pouze </w:t>
            </w:r>
            <w:r w:rsidRPr="006F0110">
              <w:rPr>
                <w:b/>
                <w:i/>
              </w:rPr>
              <w:t xml:space="preserve">tímto postupem </w:t>
            </w:r>
            <w:r w:rsidRPr="006F0110">
              <w:t>se souhlasem orgánu, který je původně získal.</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111</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2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1093/2010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7a (nový)</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7a.</w:t>
            </w:r>
            <w:r w:rsidRPr="006F0110">
              <w:rPr>
                <w:b/>
                <w:i/>
              </w:rPr>
              <w:tab/>
              <w:t>ESRB se vyzývá, aby vypracovala zprávu pro Komisi s překážkami pro sdílení údajů. Zpráva může rovněž obsahovat nepodstatné, zastaralé, duplicitní nebo jinak irelevantní požadavky na podávání zpráv a návrhy na zajištění souladu mezi požadavky finančních a nefinančních společností na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112</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2 – odst. 1 – bod 5</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1093/2010</w:t>
      </w:r>
      <w:r>
        <w:rPr>
          <w:rStyle w:val="HideTWBExt"/>
          <w:b w:val="0"/>
        </w:rPr>
        <w:t>&lt;/Article2&gt;</w:t>
      </w:r>
    </w:p>
    <w:p w:rsidR="00A955A4" w:rsidRPr="000A3393" w:rsidRDefault="00A955A4" w:rsidP="00A955A4">
      <w:pPr>
        <w:keepNext/>
      </w:pPr>
      <w:r>
        <w:rPr>
          <w:rStyle w:val="HideTWBExt"/>
        </w:rPr>
        <w:t>&lt;DocAmend2&gt;</w:t>
      </w:r>
      <w:r>
        <w:t>Čl. 54 – odst. 2 – odrážka 9</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w:t>
            </w:r>
            <w:r>
              <w:tab/>
              <w:t>požadavky na podávání zpráv a shromažďování informací od finančních institucí.;</w:t>
            </w:r>
          </w:p>
        </w:tc>
        <w:tc>
          <w:tcPr>
            <w:tcW w:w="4876" w:type="dxa"/>
            <w:hideMark/>
          </w:tcPr>
          <w:p w:rsidR="00A955A4" w:rsidRPr="000A3393" w:rsidRDefault="00A955A4" w:rsidP="000B188B">
            <w:pPr>
              <w:pStyle w:val="Normal6"/>
              <w:rPr>
                <w:szCs w:val="24"/>
              </w:rPr>
            </w:pPr>
            <w:r>
              <w:t>—</w:t>
            </w:r>
            <w:r>
              <w:tab/>
              <w:t xml:space="preserve">požadavky na podávání zpráv a </w:t>
            </w:r>
            <w:r>
              <w:rPr>
                <w:b/>
                <w:i/>
              </w:rPr>
              <w:t xml:space="preserve">šíření a </w:t>
            </w:r>
            <w:r>
              <w:t>shromažďování informací od finančních institucí.;</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113</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Erik Poulsen</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2 – odst. 1 – bod 6 a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1093/2010</w:t>
      </w:r>
      <w:r w:rsidRPr="006F0110">
        <w:rPr>
          <w:rStyle w:val="HideTWBExt"/>
        </w:rPr>
        <w:t>&lt;/DocAmend2&gt;</w:t>
      </w:r>
    </w:p>
    <w:p w:rsidR="00A955A4" w:rsidRPr="006F0110" w:rsidRDefault="00A955A4" w:rsidP="00A955A4">
      <w:r w:rsidRPr="006F0110">
        <w:rPr>
          <w:rStyle w:val="HideTWBExt"/>
        </w:rPr>
        <w:t>&lt;Article2&gt;</w:t>
      </w:r>
      <w:r w:rsidRPr="006F0110">
        <w:t>Článek 80a</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(6a) vkládá se nový článek, který zní:</w:t>
            </w:r>
          </w:p>
        </w:tc>
      </w:tr>
      <w:tr w:rsidR="00A955A4" w:rsidRPr="006F0110" w:rsidTr="000B188B">
        <w:trPr>
          <w:jc w:val="center"/>
        </w:trPr>
        <w:tc>
          <w:tcPr>
            <w:tcW w:w="4876" w:type="dxa"/>
            <w:hideMark/>
          </w:tcPr>
          <w:p w:rsidR="00A955A4" w:rsidRPr="006F0110" w:rsidRDefault="00A955A4" w:rsidP="000B188B">
            <w:pPr>
              <w:pStyle w:val="Normal6"/>
              <w:rPr>
                <w:lang w:val="pt-PT"/>
              </w:rPr>
            </w:pPr>
          </w:p>
        </w:tc>
        <w:tc>
          <w:tcPr>
            <w:tcW w:w="4876" w:type="dxa"/>
            <w:hideMark/>
          </w:tcPr>
          <w:p w:rsidR="00A955A4" w:rsidRPr="006F0110" w:rsidRDefault="00A955A4" w:rsidP="000B188B">
            <w:pPr>
              <w:pStyle w:val="Normal6"/>
            </w:pPr>
            <w:r w:rsidRPr="006F0110">
              <w:t>„Článek 80a</w:t>
            </w:r>
          </w:p>
          <w:p w:rsidR="00A955A4" w:rsidRPr="006F0110" w:rsidRDefault="00A955A4" w:rsidP="000B188B">
            <w:pPr>
              <w:pStyle w:val="Normal6"/>
              <w:rPr>
                <w:szCs w:val="24"/>
              </w:rPr>
            </w:pPr>
            <w:r w:rsidRPr="006F0110">
              <w:rPr>
                <w:b/>
                <w:i/>
              </w:rPr>
              <w:t>Do 31. června 2025 podá úřad Komisi zprávu o vhodnosti těchto právních předpisů:</w:t>
            </w:r>
          </w:p>
        </w:tc>
      </w:tr>
      <w:tr w:rsidR="00A955A4" w:rsidRPr="006F0110" w:rsidTr="000B188B">
        <w:trPr>
          <w:jc w:val="center"/>
        </w:trPr>
        <w:tc>
          <w:tcPr>
            <w:tcW w:w="4876" w:type="dxa"/>
          </w:tcPr>
          <w:p w:rsidR="00A955A4" w:rsidRPr="006F0110" w:rsidRDefault="00A955A4" w:rsidP="000B188B">
            <w:pPr>
              <w:pStyle w:val="Normal6"/>
              <w:rPr>
                <w:lang w:val="pt-PT"/>
              </w:rPr>
            </w:pPr>
          </w:p>
        </w:tc>
        <w:tc>
          <w:tcPr>
            <w:tcW w:w="4876" w:type="dxa"/>
            <w:hideMark/>
          </w:tcPr>
          <w:p w:rsidR="00A955A4" w:rsidRPr="006F0110" w:rsidRDefault="00A955A4" w:rsidP="000B188B">
            <w:pPr>
              <w:pStyle w:val="Normal6"/>
              <w:rPr>
                <w:szCs w:val="24"/>
              </w:rPr>
            </w:pPr>
            <w:r w:rsidRPr="006F0110">
              <w:rPr>
                <w:b/>
                <w:i/>
              </w:rPr>
              <w:t>- Nařízení 2019/2088 (SFDR)</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Nařízení 575/2013 (CRR)</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Nařízení 596/2014 (MAR)</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Navíc úřad v příslušných případech posoudí, zda jsou výše uvedené právní předpisy v souladu s těmito zásadami:</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jsou údaje požadované od finanční instituce pro použití příslušným orgánem nezbytně nutné pro účely dohledu</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údaje požadované od finanční instituce pro použití příslušným orgánem respektují zásadu proporcionality, pokud jde o velikost a povahu činností finanční instituce</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jsou stejné údaje vyžadovány odlišnými právními předpisy a zda jsou tyto údaje předávány jednotně příslušnému orgánu</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je kumulativní dopad oznamovací povinnosti nezbytně nutný pro ochranu spotřebitele</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Pro účely této zprávy úřad náležitě zohlední příspěvky příslušných zúčastněných stran.</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Na základě této zprávy Komise do 31. prosince 2025 předloží Parlamentu a Radě legislativní návrh na snížení nadměrných požadavků na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(32010R1093)</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114</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Othmar Karas</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3 – odst. 1 – bod 1</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1094/2010</w:t>
      </w:r>
      <w:r w:rsidRPr="006F0110">
        <w:rPr>
          <w:rStyle w:val="HideTWBExt"/>
        </w:rPr>
        <w:t>&lt;/DocAmend2&gt;</w:t>
      </w:r>
    </w:p>
    <w:p w:rsidR="00A955A4" w:rsidRPr="006F0110" w:rsidRDefault="00A955A4" w:rsidP="00A955A4">
      <w:r w:rsidRPr="006F0110">
        <w:rPr>
          <w:rStyle w:val="HideTWBExt"/>
        </w:rPr>
        <w:t>&lt;Article2&gt;</w:t>
      </w:r>
      <w:r w:rsidRPr="006F0110">
        <w:t>Čl. 29 – odst. 1 – písm. d</w:t>
      </w:r>
      <w:r w:rsidRPr="006F011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 nebo zastaralých požadavků na podávání zpráv a minimalizaci nákladů;</w:t>
            </w:r>
          </w:p>
        </w:tc>
        <w:tc>
          <w:tcPr>
            <w:tcW w:w="4876" w:type="dxa"/>
            <w:hideMark/>
          </w:tcPr>
          <w:p w:rsidR="00A955A4" w:rsidRPr="006F0110" w:rsidRDefault="00A955A4" w:rsidP="000B188B">
            <w:pPr>
              <w:pStyle w:val="Normal6"/>
              <w:rPr>
                <w:szCs w:val="24"/>
              </w:rPr>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w:t>
            </w:r>
            <w:r w:rsidRPr="006F0110">
              <w:rPr>
                <w:b/>
                <w:i/>
              </w:rPr>
              <w:t xml:space="preserve">nepřiměřených, </w:t>
            </w:r>
            <w:r w:rsidRPr="006F0110">
              <w:t xml:space="preserve">nadbytečných nebo zastaralých požadavků na podávání zpráv a </w:t>
            </w:r>
            <w:r w:rsidRPr="006F0110">
              <w:rPr>
                <w:b/>
                <w:i/>
              </w:rPr>
              <w:t xml:space="preserve">zveřejňování a </w:t>
            </w:r>
            <w:r w:rsidRPr="006F0110">
              <w:t>minimalizaci nákladů</w:t>
            </w:r>
            <w:r w:rsidRPr="006F0110">
              <w:rPr>
                <w:b/>
                <w:i/>
              </w:rPr>
              <w:t xml:space="preserve"> při současném zachování použitelnosti a kvality údajů</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Aby se zajistilo, že požadavek na minimalizaci nákladů nebude oddělen od jiných cílů shromažďování a sdílení údajů, měl by tento požadavek rovněž zahrnovat „zachování použitelnosti a kvality údajů“.</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115</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3 – odst. 1 – bod 1</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1094/2010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29 – odst. 1 – písm. d</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w:t>
            </w:r>
            <w:r w:rsidRPr="006F0110">
              <w:rPr>
                <w:b/>
                <w:i/>
              </w:rPr>
              <w:t>mimo jiné</w:t>
            </w:r>
            <w:r w:rsidRPr="006F0110">
              <w:t xml:space="preserve"> k</w:t>
            </w:r>
            <w:r w:rsidRPr="006F0110">
              <w:rPr>
                <w:b/>
                <w:i/>
              </w:rPr>
              <w:t> </w:t>
            </w:r>
            <w:r w:rsidRPr="006F0110">
              <w:t xml:space="preserve">odstranění nadbytečných nebo zastaralých požadavků na podávání zpráv a </w:t>
            </w:r>
            <w:r w:rsidRPr="006F0110">
              <w:rPr>
                <w:b/>
                <w:i/>
              </w:rPr>
              <w:t>minimalizaci</w:t>
            </w:r>
            <w:r w:rsidRPr="006F0110">
              <w:t xml:space="preserve"> nákladů;</w:t>
            </w:r>
          </w:p>
        </w:tc>
        <w:tc>
          <w:tcPr>
            <w:tcW w:w="4876" w:type="dxa"/>
            <w:hideMark/>
          </w:tcPr>
          <w:p w:rsidR="00A955A4" w:rsidRPr="006F0110" w:rsidRDefault="00A955A4" w:rsidP="000B188B">
            <w:pPr>
              <w:pStyle w:val="Normal6"/>
              <w:rPr>
                <w:szCs w:val="24"/>
              </w:rPr>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w:t>
            </w:r>
            <w:r w:rsidRPr="006F0110">
              <w:rPr>
                <w:b/>
                <w:i/>
              </w:rPr>
              <w:t>včetně řešení mezer v regulaci,</w:t>
            </w:r>
            <w:r w:rsidRPr="006F0110">
              <w:t xml:space="preserve"> k</w:t>
            </w:r>
            <w:r w:rsidRPr="006F0110">
              <w:rPr>
                <w:b/>
                <w:i/>
              </w:rPr>
              <w:t xml:space="preserve"> </w:t>
            </w:r>
            <w:r w:rsidRPr="006F0110">
              <w:t>odstranění nadbytečných</w:t>
            </w:r>
            <w:r w:rsidRPr="006F0110">
              <w:rPr>
                <w:b/>
                <w:i/>
              </w:rPr>
              <w:t>, duplicitních</w:t>
            </w:r>
            <w:r w:rsidRPr="006F0110">
              <w:t xml:space="preserve"> nebo zastaralých požadavků na podávání zpráv</w:t>
            </w:r>
            <w:r w:rsidRPr="006F0110">
              <w:rPr>
                <w:b/>
                <w:i/>
              </w:rPr>
              <w:t>, standardizace těchto požadavků</w:t>
            </w:r>
            <w:r w:rsidRPr="006F0110">
              <w:t xml:space="preserve"> a </w:t>
            </w:r>
            <w:r w:rsidRPr="006F0110">
              <w:rPr>
                <w:b/>
                <w:i/>
              </w:rPr>
              <w:t>minimalizace</w:t>
            </w:r>
            <w:r w:rsidRPr="006F0110">
              <w:t xml:space="preserve"> nákladů;</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116</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3 – odst. 1 – bod 2</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1094/2010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30 – odst. 3 – písm. e</w:t>
      </w:r>
      <w:r w:rsidRPr="006F0110">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(e)</w:t>
            </w:r>
            <w:r w:rsidRPr="006F0110">
              <w:tab/>
              <w:t>účinnosti vnitrostátních požadavků na podávání zpráv a úrovně sbližování těchto požadavků s požadavky stanovenými v právu Unie</w:t>
            </w:r>
            <w:r w:rsidRPr="006F0110">
              <w:rPr>
                <w:b/>
                <w:i/>
              </w:rPr>
              <w:t>.</w:t>
            </w:r>
            <w:r w:rsidRPr="006F0110">
              <w:t>;</w:t>
            </w:r>
          </w:p>
        </w:tc>
        <w:tc>
          <w:tcPr>
            <w:tcW w:w="4876" w:type="dxa"/>
            <w:hideMark/>
          </w:tcPr>
          <w:p w:rsidR="00A955A4" w:rsidRPr="006F0110" w:rsidRDefault="00A955A4" w:rsidP="000B188B">
            <w:pPr>
              <w:pStyle w:val="Normal6"/>
              <w:rPr>
                <w:szCs w:val="24"/>
              </w:rPr>
            </w:pPr>
            <w:r w:rsidRPr="006F0110">
              <w:t>(e)</w:t>
            </w:r>
            <w:r w:rsidRPr="006F0110">
              <w:tab/>
              <w:t>účinnosti vnitrostátních požadavků na podávání zpráv a úrovně sbližování těchto požadavků s požadavky stanovenými v právu Unie</w:t>
            </w:r>
            <w:r w:rsidRPr="006F0110">
              <w:rPr>
                <w:b/>
                <w:i/>
              </w:rPr>
              <w:t xml:space="preserve"> při zohlednění zvláštních charakteristik vnitrostátních pojišťovacích trhů a jurisdikcí</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117</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3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1094/2010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1</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1.</w:t>
            </w:r>
            <w:r w:rsidRPr="006F0110">
              <w:tab/>
              <w:t>Orgán pro pojišťovnictví a příslušné orgány sdílejí s jinými orgány v</w:t>
            </w:r>
            <w:r w:rsidRPr="006F0110">
              <w:rPr>
                <w:b/>
                <w:i/>
              </w:rPr>
              <w:t xml:space="preserve"> </w:t>
            </w:r>
            <w:r w:rsidRPr="006F0110">
              <w:t>jednotlivých případech nebo pravidelně informace, které získaly od finančních institucí nebo jiných příslušných orgánů při plnění svých povinností, pokud o to požádají ostatní evropské orgány dohledu, ESRB nebo příslušné orgány vymezené v čl. 4 bodě 2 tohoto nařízení, v čl. 4 bodě 2 nařízení (EU) č. 1093/2010 nebo v čl. 4 bodě 3 nařízení (EU) č. 1095/2010 nebo orgány vymezené v čl. 2 bodě 1 směrnice Evropského parlamentu a Rady (EU) .../...</w:t>
            </w:r>
            <w:r w:rsidRPr="006F0110">
              <w:rPr>
                <w:vertAlign w:val="superscript"/>
              </w:rPr>
              <w:t>13</w:t>
            </w:r>
            <w:r w:rsidRPr="006F0110">
              <w:t>, za předpokladu, že orgán, který tyto informace požaduje, je podle práva Unie oprávněn získat tytéž informace od finančních institucí nebo jiných příslušných orgánů. Pro účely tohoto článku se „finanční institucí“ rozumí „finanční instituce“ ve smyslu čl. 2 písm. a) nařízení (EU) č. 1092/2010.</w:t>
            </w:r>
          </w:p>
        </w:tc>
        <w:tc>
          <w:tcPr>
            <w:tcW w:w="4876" w:type="dxa"/>
            <w:hideMark/>
          </w:tcPr>
          <w:p w:rsidR="00A955A4" w:rsidRPr="006F0110" w:rsidRDefault="00A955A4" w:rsidP="000B188B">
            <w:pPr>
              <w:pStyle w:val="Normal6"/>
              <w:rPr>
                <w:szCs w:val="24"/>
              </w:rPr>
            </w:pPr>
            <w:r w:rsidRPr="006F0110">
              <w:t>1.</w:t>
            </w:r>
            <w:r w:rsidRPr="006F0110">
              <w:tab/>
              <w:t>Orgán pro pojišťovnictví a příslušné orgány sdílejí s jinými orgány v</w:t>
            </w:r>
            <w:r w:rsidRPr="006F0110">
              <w:rPr>
                <w:b/>
                <w:i/>
              </w:rPr>
              <w:t> </w:t>
            </w:r>
            <w:r w:rsidRPr="006F0110">
              <w:t>jednotlivých případech nebo pravidelně informace, které získaly od finančních institucí nebo jiných příslušných orgánů při plnění svých povinností, pokud o to požádají ostatní evropské orgány dohledu, ESRB nebo příslušné orgány vymezené v čl. 4 bodě 2 tohoto nařízení, v čl. 4 bodě 2 nařízení (EU) č. 1093/2010 nebo v čl. 4 bodě 3 nařízení (EU) č. 1095/2010 nebo orgány vymezené v čl. 2 bodě 1 směrnice Evropského parlamentu a Rady (EU) .../...</w:t>
            </w:r>
            <w:r w:rsidRPr="006F0110">
              <w:rPr>
                <w:vertAlign w:val="superscript"/>
              </w:rPr>
              <w:t>13</w:t>
            </w:r>
            <w:r w:rsidRPr="006F0110">
              <w:t>,</w:t>
            </w:r>
            <w:r w:rsidRPr="006F0110">
              <w:rPr>
                <w:b/>
                <w:i/>
              </w:rPr>
              <w:t xml:space="preserve"> nebo jednotný mechanismus dohledu vymezený v čl. 2 bodě 9 nařízení (EU) č. 1024/2013 nebo Jednotný výbor pro řešení krizí</w:t>
            </w:r>
            <w:r w:rsidRPr="006F0110">
              <w:t xml:space="preserve"> za předpokladu, že orgán, který tyto informace požaduje, je podle práva Unie oprávněn získat tytéž informace od finančních institucí nebo jiných příslušných orgánů. Pro účely tohoto článku se „finanční institucí“ rozumí „finanční instituce“ ve smyslu čl. 2 písm. a) nařízení (EU) č. 1092/2010.</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13</w:t>
            </w:r>
            <w:r w:rsidRPr="006F0110">
              <w:t xml:space="preserve"> OP: Vložte do textu číslo směrnice obsažené v dokumentu 2021/0250(COD) (návrh šesté směrnice o boji proti praní peněz – COM(2021) 423 final) a do poznámky pod čarou vložte číslo, datum a název této směrnice a odkaz na Úřední věstník.</w:t>
            </w:r>
          </w:p>
        </w:tc>
        <w:tc>
          <w:tcPr>
            <w:tcW w:w="4876" w:type="dxa"/>
            <w:hideMark/>
          </w:tcPr>
          <w:p w:rsidR="00A955A4" w:rsidRPr="006F0110" w:rsidRDefault="00A955A4" w:rsidP="000B188B">
            <w:pPr>
              <w:pStyle w:val="Normal6"/>
              <w:rPr>
                <w:szCs w:val="24"/>
              </w:rPr>
            </w:pPr>
            <w:r w:rsidRPr="006F0110">
              <w:rPr>
                <w:vertAlign w:val="superscript"/>
              </w:rPr>
              <w:t>13</w:t>
            </w:r>
            <w:r w:rsidRPr="006F0110">
              <w:t xml:space="preserve"> OP: Vložte do textu číslo směrnice obsažené v dokumentu 2021/0250(COD) (návrh šesté směrnice o boji proti praní peněz – COM(2021) 423 final) a do poznámky pod čarou vložte číslo, datum a název této směrnice a odkaz na Úřední věstník.</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3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1094/2010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4</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Pro sdílení informací podle odstavců 1, 2 a 3 mohou orgány uvedené v odstavci 1 uzavřít memoranda o porozumění, v nichž upřesní způsoby výměny informací. Mohou rovněž stanovit opatření pro sdílení zdrojů pro shromažďování a zpracování těchto sdílených údajů.</w:t>
            </w:r>
          </w:p>
        </w:tc>
        <w:tc>
          <w:tcPr>
            <w:tcW w:w="4876" w:type="dxa"/>
            <w:hideMark/>
          </w:tcPr>
          <w:p w:rsidR="00A955A4" w:rsidRPr="006F0110" w:rsidRDefault="00A955A4" w:rsidP="000B188B">
            <w:pPr>
              <w:pStyle w:val="Normal6"/>
              <w:rPr>
                <w:szCs w:val="24"/>
              </w:rPr>
            </w:pPr>
            <w:r w:rsidRPr="006F0110">
              <w:t>4.</w:t>
            </w:r>
            <w:r w:rsidRPr="006F0110">
              <w:tab/>
              <w:t>Pro sdílení informací podle odstavců 1, 2 a 3 mohou orgány uvedené v odstavci 1 uzavřít memoranda o porozumění, v nichž upřesní způsoby výměny informací. Mohou rovněž stanovit opatření pro sdílení zdrojů pro shromažďování a zpracování těchto sdílených údajů.</w:t>
            </w:r>
            <w:r w:rsidRPr="006F0110">
              <w:rPr>
                <w:b/>
                <w:i/>
              </w:rPr>
              <w:t xml:space="preserve"> Memoranda o porozumění se po dohodě mezi všemi dotčenými orgány řídí standardizovaným formátem, který je v případě potřeby přizpůsoben zvláštním provozním podmínkám, které se mohou vztahovat na konkrétní orgány.</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119</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3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1094/2010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7 – pododstavec 2</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Informace získané od jiného orgánu se sdílejí pouze se souhlasem orgánu, který je původně získal. ;</w:t>
            </w:r>
          </w:p>
        </w:tc>
        <w:tc>
          <w:tcPr>
            <w:tcW w:w="4876" w:type="dxa"/>
            <w:hideMark/>
          </w:tcPr>
          <w:p w:rsidR="00A955A4" w:rsidRPr="006F0110" w:rsidRDefault="00A955A4" w:rsidP="000B188B">
            <w:pPr>
              <w:pStyle w:val="Normal6"/>
              <w:rPr>
                <w:szCs w:val="24"/>
              </w:rPr>
            </w:pPr>
            <w:r w:rsidRPr="006F0110">
              <w:t xml:space="preserve">Informace získané od jiného orgánu se sdílejí pouze </w:t>
            </w:r>
            <w:r w:rsidRPr="006F0110">
              <w:rPr>
                <w:b/>
                <w:i/>
              </w:rPr>
              <w:t xml:space="preserve">tímto postupem </w:t>
            </w:r>
            <w:r w:rsidRPr="006F0110">
              <w:t>se souhlasem orgánu, který je původně získal. ;</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120</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3 – odst. 1 – bod 4</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1094/2010</w:t>
      </w:r>
      <w:r>
        <w:rPr>
          <w:rStyle w:val="HideTWBExt"/>
          <w:b w:val="0"/>
        </w:rPr>
        <w:t>&lt;/Article2&gt;</w:t>
      </w:r>
    </w:p>
    <w:p w:rsidR="00A955A4" w:rsidRPr="000A3393" w:rsidRDefault="00A955A4" w:rsidP="00A955A4">
      <w:pPr>
        <w:keepNext/>
      </w:pPr>
      <w:r>
        <w:rPr>
          <w:rStyle w:val="HideTWBExt"/>
        </w:rPr>
        <w:t>&lt;DocAmend2&gt;</w:t>
      </w:r>
      <w:r>
        <w:t>Čl. 35a – odst. 7a (nový)</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tcPr>
          <w:p w:rsidR="00A955A4" w:rsidRPr="000A3393" w:rsidRDefault="00A955A4" w:rsidP="000B188B">
            <w:pPr>
              <w:pStyle w:val="Normal6"/>
              <w:rPr>
                <w:lang w:val="en-GB"/>
              </w:rPr>
            </w:pPr>
          </w:p>
        </w:tc>
        <w:tc>
          <w:tcPr>
            <w:tcW w:w="4876" w:type="dxa"/>
            <w:hideMark/>
          </w:tcPr>
          <w:p w:rsidR="00A955A4" w:rsidRPr="000A3393" w:rsidRDefault="00A955A4" w:rsidP="000B188B">
            <w:pPr>
              <w:pStyle w:val="Normal6"/>
              <w:rPr>
                <w:szCs w:val="24"/>
              </w:rPr>
            </w:pPr>
            <w:r>
              <w:rPr>
                <w:b/>
                <w:i/>
              </w:rPr>
              <w:t>7 bis.</w:t>
            </w:r>
            <w:r>
              <w:rPr>
                <w:b/>
                <w:i/>
              </w:rPr>
              <w:tab/>
              <w:t>Orgán a příslušné orgány do 31. prosince 2024 předloží Komisi zprávu o všech právních překážkách v odvětvových právních předpisech, které jim jakýmkoli způsobem brání ve výměně informací s jinými orgány nebo institucemi. Na základě této zprávy a s náležitým ohledem na povinnosti týkající se ochrany práv duševního vlastnictví, profesního tajemství a ochrany údajů Komise případně předloží Evropskému parlamentu a Radě do 30. června 2025 legislativní návrh na odstranění těchto právních překážek v odvětvových právních předpisech s cílem usnadnit výměnu informací mezi orgány a s jinými subjekty.</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121</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3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1094/2010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7a (odst.)</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7 a.</w:t>
            </w:r>
            <w:r w:rsidRPr="006F0110">
              <w:rPr>
                <w:b/>
                <w:i/>
              </w:rPr>
              <w:tab/>
              <w:t>Orgán se vyzývá, aby vypracoval zprávu pro Komisi s překážkami pro sdílení údajů. Zpráva může rovněž obsahovat nepodstatné, zastaralé, duplicitní nebo jinak irelevantní požadavky na podávání zpráv a návrhy na zajištění souladu mezi požadavky finančních a nefinančních společností na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122</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pPr>
      <w:r>
        <w:rPr>
          <w:rStyle w:val="HideTWBExt"/>
          <w:b w:val="0"/>
        </w:rPr>
        <w:t>&lt;Article&gt;</w:t>
      </w:r>
      <w:r>
        <w:t>Čl. 3 – odst. 1 – bod 5</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1094/2010</w:t>
      </w:r>
      <w:r>
        <w:rPr>
          <w:rStyle w:val="HideTWBExt"/>
          <w:b w:val="0"/>
        </w:rPr>
        <w:t>&lt;/Article2&gt;</w:t>
      </w:r>
    </w:p>
    <w:p w:rsidR="00A955A4" w:rsidRPr="000A3393" w:rsidRDefault="00A955A4" w:rsidP="00A955A4">
      <w:r>
        <w:rPr>
          <w:rStyle w:val="HideTWBExt"/>
        </w:rPr>
        <w:t>&lt;DocAmend2&gt;</w:t>
      </w:r>
      <w:r>
        <w:t>Čl. 54 – odst. 2 – odrážka 9</w:t>
      </w:r>
      <w:r>
        <w:rPr>
          <w:rStyle w:val="HideTWBExt"/>
        </w:rPr>
        <w:t>&lt;/DocAmend2&gt;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w:t>
            </w:r>
            <w:r>
              <w:tab/>
              <w:t>požadavky na podávání zpráv a shromažďování informací od finančních institucí.;</w:t>
            </w:r>
          </w:p>
        </w:tc>
        <w:tc>
          <w:tcPr>
            <w:tcW w:w="4876" w:type="dxa"/>
            <w:hideMark/>
          </w:tcPr>
          <w:p w:rsidR="00A955A4" w:rsidRPr="000A3393" w:rsidRDefault="00A955A4" w:rsidP="000B188B">
            <w:pPr>
              <w:pStyle w:val="Normal6"/>
              <w:rPr>
                <w:szCs w:val="24"/>
              </w:rPr>
            </w:pPr>
            <w:r>
              <w:t>—</w:t>
            </w:r>
            <w:r>
              <w:tab/>
              <w:t xml:space="preserve">požadavky na podávání zpráv a </w:t>
            </w:r>
            <w:r>
              <w:rPr>
                <w:b/>
                <w:i/>
              </w:rPr>
              <w:t xml:space="preserve">šíření a </w:t>
            </w:r>
            <w:r>
              <w:t>shromažďování informací od finančních institucí.;</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123</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Erik Poulsen</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3 – odst. 1 – bod 6a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1094/2010</w:t>
      </w:r>
      <w:r w:rsidRPr="006F0110">
        <w:rPr>
          <w:rStyle w:val="HideTWBExt"/>
        </w:rPr>
        <w:t>&lt;/DocAmend2&gt;</w:t>
      </w:r>
    </w:p>
    <w:p w:rsidR="00A955A4" w:rsidRPr="006F0110" w:rsidRDefault="00A955A4" w:rsidP="00A955A4">
      <w:r w:rsidRPr="006F0110">
        <w:rPr>
          <w:rStyle w:val="HideTWBExt"/>
        </w:rPr>
        <w:t>&lt;Article2&gt;</w:t>
      </w:r>
      <w:r w:rsidRPr="006F0110">
        <w:t>Článek 80 a (nový)</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(6a) vkládá se nový článek, který zní: :</w:t>
            </w:r>
          </w:p>
        </w:tc>
      </w:tr>
      <w:tr w:rsidR="00A955A4" w:rsidRPr="006F0110" w:rsidTr="000B188B">
        <w:trPr>
          <w:jc w:val="center"/>
        </w:trPr>
        <w:tc>
          <w:tcPr>
            <w:tcW w:w="4876" w:type="dxa"/>
            <w:hideMark/>
          </w:tcPr>
          <w:p w:rsidR="00A955A4" w:rsidRPr="006F0110" w:rsidRDefault="00A955A4" w:rsidP="000B188B">
            <w:pPr>
              <w:pStyle w:val="Normal6"/>
            </w:pPr>
            <w:r w:rsidRPr="006F0110">
              <w:t>Článek 16</w:t>
            </w:r>
          </w:p>
        </w:tc>
        <w:tc>
          <w:tcPr>
            <w:tcW w:w="4876" w:type="dxa"/>
            <w:hideMark/>
          </w:tcPr>
          <w:p w:rsidR="00A955A4" w:rsidRPr="006F0110" w:rsidRDefault="00A955A4" w:rsidP="000B188B">
            <w:pPr>
              <w:pStyle w:val="Normal6"/>
            </w:pPr>
            <w:r w:rsidRPr="006F0110">
              <w:t>„Článek 80a</w:t>
            </w:r>
          </w:p>
          <w:p w:rsidR="00A955A4" w:rsidRPr="006F0110" w:rsidRDefault="00A955A4" w:rsidP="000B188B">
            <w:pPr>
              <w:pStyle w:val="Normal6"/>
              <w:rPr>
                <w:szCs w:val="24"/>
              </w:rPr>
            </w:pPr>
            <w:r w:rsidRPr="006F0110">
              <w:rPr>
                <w:b/>
                <w:i/>
              </w:rPr>
              <w:t>Do 31. června 2025 podá orgán Komisi zprávu o vhodnosti těchto právních předpisů:</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Směrnice 2009/138 (Solventnost II)</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Směrnice 2022/2464 CSRD</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Nařízení 2019/2088 (SFDR)</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Nařízení 2020/852 (nařízení o taxonomii)</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Směrnice 2000/31 (směrnice o elektronickém obchodu)</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Nařízení 2016/679 (GDPR)</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Nařízení 1286/2014 (PRIIPS)</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Směrnice 2016/97 (IDD)</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Směrnice 2002/87 (směrnice o finančních konglomerátech)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Navíc orgán v příslušných případech posoudí, zda jsou výše uvedené právní předpisy v souladu s těmito zásadami:</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jsou údaje požadované od finanční instituce pro použití příslušným orgánem nezbytně nutné pro účely dohledu</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údaje požadované od finanční instituce pro použití příslušným orgánem respektují zásadu proporcionality, pokud jde o velikost a povahu činností finanční instituce</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jsou stejné údaje vyžadovány odlišnými právními předpisy a zda jsou tyto údaje předávány jednotně příslušnému orgánu</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 Zda je kumulativní dopad oznamovací povinnosti nezbytně nutný pro ochranu spotřebitele</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Pro účely této zprávy orgán náležitě zohlední příspěvky příslušných zúčastněných stran.</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Na základě této zprávy Komise do 31. prosince 2025 předloží Parlamentu a Radě legislativní návrh na snížení nadměrných požadavků na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(02010R1094)</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124</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Othmar Karas</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4 – odst. 1 – bod 1</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1095/2010</w:t>
      </w:r>
      <w:r w:rsidRPr="006F0110">
        <w:rPr>
          <w:rStyle w:val="HideTWBExt"/>
        </w:rPr>
        <w:t>&lt;/DocAmend2&gt;</w:t>
      </w:r>
    </w:p>
    <w:p w:rsidR="00A955A4" w:rsidRPr="006F0110" w:rsidRDefault="00A955A4" w:rsidP="00A955A4">
      <w:r w:rsidRPr="006F0110">
        <w:rPr>
          <w:rStyle w:val="HideTWBExt"/>
        </w:rPr>
        <w:t>&lt;Article2&gt;</w:t>
      </w:r>
      <w:r w:rsidRPr="006F0110">
        <w:t>Čl. 29 – odst. 1 – písm. d</w:t>
      </w:r>
      <w:r w:rsidRPr="006F0110">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 nebo zastaralých požadavků na podávání zpráv a minimalizaci nákladů;</w:t>
            </w:r>
          </w:p>
        </w:tc>
        <w:tc>
          <w:tcPr>
            <w:tcW w:w="4876" w:type="dxa"/>
            <w:hideMark/>
          </w:tcPr>
          <w:p w:rsidR="00A955A4" w:rsidRPr="006F0110" w:rsidRDefault="00A955A4" w:rsidP="000B188B">
            <w:pPr>
              <w:pStyle w:val="Normal6"/>
              <w:rPr>
                <w:szCs w:val="24"/>
              </w:rPr>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w:t>
            </w:r>
            <w:r w:rsidRPr="006F0110">
              <w:rPr>
                <w:b/>
                <w:i/>
              </w:rPr>
              <w:t xml:space="preserve">nepřiměřených, </w:t>
            </w:r>
            <w:r w:rsidRPr="006F0110">
              <w:t xml:space="preserve">nadbytečných nebo zastaralých požadavků na podávání zpráv a </w:t>
            </w:r>
            <w:r w:rsidRPr="006F0110">
              <w:rPr>
                <w:b/>
                <w:i/>
              </w:rPr>
              <w:t xml:space="preserve">zveřejňování a </w:t>
            </w:r>
            <w:r w:rsidRPr="006F0110">
              <w:t>minimalizaci nákladů</w:t>
            </w:r>
            <w:r w:rsidRPr="006F0110">
              <w:rPr>
                <w:b/>
                <w:i/>
              </w:rPr>
              <w:t xml:space="preserve"> při současném zachování použitelnosti a kvality údajů</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Aby se zajistilo, že požadavek na minimalizaci nákladů nebude oddělen od jiných cílů shromažďování a sdílení údajů, měl by tento požadavek rovněž zahrnovat „zachování použitelnosti a kvality údajů“.</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125</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4 – odst. 1 – bod 1</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1095/2010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29 – odst. 1 – písm. d</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w:t>
            </w:r>
            <w:r w:rsidRPr="006F0110">
              <w:rPr>
                <w:b/>
                <w:i/>
              </w:rPr>
              <w:t>mimo jiné</w:t>
            </w:r>
            <w:r w:rsidRPr="006F0110">
              <w:t xml:space="preserve"> k</w:t>
            </w:r>
            <w:r w:rsidRPr="006F0110">
              <w:rPr>
                <w:b/>
                <w:i/>
              </w:rPr>
              <w:t> </w:t>
            </w:r>
            <w:r w:rsidRPr="006F0110">
              <w:t xml:space="preserve">odstranění nadbytečných nebo zastaralých požadavků na podávání zpráv a </w:t>
            </w:r>
            <w:r w:rsidRPr="006F0110">
              <w:rPr>
                <w:b/>
                <w:i/>
              </w:rPr>
              <w:t>minimalizaci</w:t>
            </w:r>
            <w:r w:rsidRPr="006F0110">
              <w:t xml:space="preserve"> nákladů;</w:t>
            </w:r>
          </w:p>
        </w:tc>
        <w:tc>
          <w:tcPr>
            <w:tcW w:w="4876" w:type="dxa"/>
            <w:hideMark/>
          </w:tcPr>
          <w:p w:rsidR="00A955A4" w:rsidRPr="006F0110" w:rsidRDefault="00A955A4" w:rsidP="000B188B">
            <w:pPr>
              <w:pStyle w:val="Normal6"/>
              <w:rPr>
                <w:szCs w:val="24"/>
              </w:rPr>
            </w:pPr>
            <w:r w:rsidRPr="006F0110">
              <w:t>(d)</w:t>
            </w:r>
            <w:r w:rsidRPr="006F0110">
              <w:tab/>
              <w:t xml:space="preserve">přezkoumává uplatňování příslušných regulačních technických norem a prováděcích technických norem přijatých Komisí a obecných pokynů a doporučení vydaných orgánem pro bankovnictví a v příslušných případech navrhuje změny, </w:t>
            </w:r>
            <w:r w:rsidRPr="006F0110">
              <w:rPr>
                <w:b/>
                <w:i/>
              </w:rPr>
              <w:t>včetně řešení mezer v regulaci,</w:t>
            </w:r>
            <w:r w:rsidRPr="006F0110">
              <w:t xml:space="preserve"> k</w:t>
            </w:r>
            <w:r w:rsidRPr="006F0110">
              <w:rPr>
                <w:b/>
                <w:i/>
              </w:rPr>
              <w:t xml:space="preserve"> </w:t>
            </w:r>
            <w:r w:rsidRPr="006F0110">
              <w:t>odstranění nadbytečných</w:t>
            </w:r>
            <w:r w:rsidRPr="006F0110">
              <w:rPr>
                <w:b/>
                <w:i/>
              </w:rPr>
              <w:t>, duplicitních</w:t>
            </w:r>
            <w:r w:rsidRPr="006F0110">
              <w:t xml:space="preserve"> nebo zastaralých požadavků na podávání zpráv</w:t>
            </w:r>
            <w:r w:rsidRPr="006F0110">
              <w:rPr>
                <w:b/>
                <w:i/>
              </w:rPr>
              <w:t>, standardizace těchto požadavků</w:t>
            </w:r>
            <w:r w:rsidRPr="006F0110">
              <w:t xml:space="preserve"> a </w:t>
            </w:r>
            <w:r w:rsidRPr="006F0110">
              <w:rPr>
                <w:b/>
                <w:i/>
              </w:rPr>
              <w:t>minimalizace</w:t>
            </w:r>
            <w:r w:rsidRPr="006F0110">
              <w:t xml:space="preserve"> nákladů;</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126</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4 – odst. 1 – bod 1</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1095/2010</w:t>
      </w:r>
      <w:r>
        <w:rPr>
          <w:rStyle w:val="HideTWBExt"/>
          <w:b w:val="0"/>
        </w:rPr>
        <w:t>&lt;/Article2&gt;</w:t>
      </w:r>
    </w:p>
    <w:p w:rsidR="00A955A4" w:rsidRPr="000A3393" w:rsidRDefault="00A955A4" w:rsidP="00A955A4">
      <w:pPr>
        <w:keepNext/>
      </w:pPr>
      <w:r>
        <w:rPr>
          <w:rStyle w:val="HideTWBExt"/>
        </w:rPr>
        <w:t>&lt;DocAmend2&gt;</w:t>
      </w:r>
      <w:r>
        <w:t>Čl. 29 – odst. 1 – písm. d</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d)</w:t>
            </w:r>
            <w:r>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 nebo zastaralých požadavků na podávání zpráv a minimalizaci nákladů;</w:t>
            </w:r>
          </w:p>
        </w:tc>
        <w:tc>
          <w:tcPr>
            <w:tcW w:w="4876" w:type="dxa"/>
            <w:hideMark/>
          </w:tcPr>
          <w:p w:rsidR="00A955A4" w:rsidRPr="000A3393" w:rsidRDefault="00A955A4" w:rsidP="000B188B">
            <w:pPr>
              <w:pStyle w:val="Normal6"/>
              <w:rPr>
                <w:szCs w:val="24"/>
              </w:rPr>
            </w:pPr>
            <w:r>
              <w:t>d)</w:t>
            </w:r>
            <w:r>
              <w:tab/>
              <w:t>přezkoumává uplatňování příslušných regulačních technických norem a prováděcích technických norem přijatých Komisí a obecných pokynů a doporučení vydaných orgánem pro bankovnictví a v příslušných případech navrhuje změny, mimo jiné k odstranění nadbytečných</w:t>
            </w:r>
            <w:r>
              <w:rPr>
                <w:b/>
                <w:i/>
              </w:rPr>
              <w:t>, nepřiměřených</w:t>
            </w:r>
            <w:r>
              <w:t xml:space="preserve"> nebo zastaralých požadavků na podávání zpráv a minimalizaci nákladů</w:t>
            </w:r>
            <w:r>
              <w:rPr>
                <w:b/>
                <w:i/>
              </w:rPr>
              <w:t>, přičemž se zachovává použitelnost a kvalita údajů</w:t>
            </w:r>
            <w:r>
              <w:t>;</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127</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4 – odst. 1 – bod 2</w:t>
      </w:r>
      <w:r w:rsidRPr="006F0110">
        <w:rPr>
          <w:rStyle w:val="HideTWBExt"/>
          <w:b w:val="0"/>
        </w:rPr>
        <w:t>&lt;/Article&gt;</w:t>
      </w:r>
    </w:p>
    <w:p w:rsidR="00A955A4" w:rsidRPr="006F0110" w:rsidRDefault="00A955A4" w:rsidP="00A955A4">
      <w:pPr>
        <w:pStyle w:val="NormalBold"/>
        <w:rPr>
          <w:b w:val="0"/>
        </w:rPr>
      </w:pPr>
      <w:r w:rsidRPr="006F0110">
        <w:rPr>
          <w:rStyle w:val="HideTWBExt"/>
          <w:b w:val="0"/>
        </w:rPr>
        <w:t>&lt;Article2&gt;</w:t>
      </w:r>
      <w:r w:rsidRPr="006F0110">
        <w:rPr>
          <w:b w:val="0"/>
        </w:rPr>
        <w:t>Nařízení (EU) č. 1095/2010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30 – odst. 3 – písm. e</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(e)</w:t>
            </w:r>
            <w:r w:rsidRPr="006F0110">
              <w:tab/>
              <w:t>účinnosti vnitrostátních požadavků na podávání zpráv a úrovně sbližování těchto požadavků s požadavky stanovenými v právu Unie</w:t>
            </w:r>
            <w:r w:rsidRPr="006F0110">
              <w:rPr>
                <w:b/>
                <w:i/>
              </w:rPr>
              <w:t>.</w:t>
            </w:r>
            <w:r w:rsidRPr="006F0110">
              <w:t>;</w:t>
            </w:r>
          </w:p>
        </w:tc>
        <w:tc>
          <w:tcPr>
            <w:tcW w:w="4876" w:type="dxa"/>
            <w:hideMark/>
          </w:tcPr>
          <w:p w:rsidR="00A955A4" w:rsidRPr="006F0110" w:rsidRDefault="00A955A4" w:rsidP="000B188B">
            <w:pPr>
              <w:pStyle w:val="Normal6"/>
              <w:rPr>
                <w:szCs w:val="24"/>
              </w:rPr>
            </w:pPr>
            <w:r w:rsidRPr="006F0110">
              <w:t>(e)</w:t>
            </w:r>
            <w:r w:rsidRPr="006F0110">
              <w:tab/>
              <w:t>účinnosti vnitrostátních požadavků na podávání zpráv a úrovně sbližování těchto požadavků s požadavky stanovenými v právu Unie</w:t>
            </w:r>
            <w:r w:rsidRPr="006F0110">
              <w:rPr>
                <w:b/>
                <w:i/>
              </w:rPr>
              <w:t>,  aniž by byla zbytečně omezena možnost vlastní volby vnitrostátních osvědčených postupů v souladu s písmenem c) tohoto odstavce</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4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1095/2010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1</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1.</w:t>
            </w:r>
            <w:r w:rsidRPr="006F0110">
              <w:tab/>
              <w:t xml:space="preserve">Orgán pro cenné papíry a trhy a příslušné orgány sdílejí s ostatními orgány v jednotlivých případech nebo pravidelně informace, které získaly od finančních institucí nebo jiných příslušných orgánů při plnění svých povinností, pokud o to požádají ostatní evropské orgány dohledu, ESRB nebo příslušné orgány vymezené v čl. 4 bodě 3 tohoto nařízení, v čl. 4 bodě </w:t>
            </w:r>
            <w:r w:rsidRPr="006F0110">
              <w:rPr>
                <w:b/>
                <w:i/>
              </w:rPr>
              <w:t>2</w:t>
            </w:r>
            <w:r w:rsidRPr="006F0110">
              <w:t xml:space="preserve"> nařízení (EU) č. 1093/2010 nebo v čl. 4 bodě 2 nařízení (EU) č. 1094/2010 nebo orgány vymezené v čl. 2 bodě 1 směrnice Evropského parlamentu a Rady (EU) .../..., za předpokladu, že orgán, který tyto informace požaduje, je podle práva Unie oprávněn získat tytéž informace od finančních institucí nebo jiných příslušných orgánů. Pro účely tohoto článku se „finanční institucí“ rozumí „finanční instituce“ ve smyslu čl. 2 písm. a) nařízení (EU) č. 1092/2010.</w:t>
            </w:r>
          </w:p>
        </w:tc>
        <w:tc>
          <w:tcPr>
            <w:tcW w:w="4876" w:type="dxa"/>
            <w:hideMark/>
          </w:tcPr>
          <w:p w:rsidR="00A955A4" w:rsidRPr="006F0110" w:rsidRDefault="00A955A4" w:rsidP="000B188B">
            <w:pPr>
              <w:pStyle w:val="Normal6"/>
              <w:rPr>
                <w:szCs w:val="24"/>
              </w:rPr>
            </w:pPr>
            <w:r w:rsidRPr="006F0110">
              <w:t>1.</w:t>
            </w:r>
            <w:r w:rsidRPr="006F0110">
              <w:tab/>
              <w:t xml:space="preserve">Orgán pro cenné papíry a trhy a příslušné orgány sdílejí s ostatními orgány v jednotlivých případech nebo pravidelně informace, které získaly od finančních institucí nebo jiných příslušných orgánů při plnění svých povinností, pokud o to požádají ostatní evropské orgány dohledu, ESRB nebo příslušné orgány vymezené v čl. 4 bodě 3 tohoto nařízení, v čl. 4 bodě </w:t>
            </w:r>
            <w:r w:rsidRPr="006F0110">
              <w:rPr>
                <w:b/>
                <w:i/>
              </w:rPr>
              <w:t>3</w:t>
            </w:r>
            <w:r w:rsidRPr="006F0110">
              <w:t xml:space="preserve"> nařízení (EU) č. 1093/2010 nebo v čl. 4 bodě 2 nařízení (EU) č. 1094/2010 nebo orgány vymezené v čl. 2 bodě 1 směrnice Evropského parlamentu a Rady (EU) .../...,</w:t>
            </w:r>
            <w:r w:rsidRPr="006F0110">
              <w:rPr>
                <w:b/>
                <w:i/>
                <w:vertAlign w:val="superscript"/>
              </w:rPr>
              <w:t xml:space="preserve">15 </w:t>
            </w:r>
            <w:r w:rsidRPr="006F0110">
              <w:rPr>
                <w:b/>
                <w:i/>
              </w:rPr>
              <w:t>nebo jednotný mechanismus dohledu vymezený v čl. 2 bodě 9 nařízení (EU) č. 1024/2013 nebo Jednotný výbor pro řešení krizí</w:t>
            </w:r>
            <w:r w:rsidRPr="006F0110">
              <w:t xml:space="preserve"> za předpokladu, že orgán, který tyto informace požaduje, je podle práva Unie oprávněn získat tytéž informace od finančních institucí nebo jiných příslušných orgánů. Pro účely tohoto článku se „finanční institucí“ rozumí „finanční instituce“ ve smyslu čl. 2 písm. a) nařízení (EU) č. 1092/2010.</w:t>
            </w:r>
          </w:p>
        </w:tc>
      </w:tr>
      <w:tr w:rsidR="00A955A4" w:rsidRPr="006F0110" w:rsidTr="000B188B">
        <w:trPr>
          <w:jc w:val="center"/>
        </w:trPr>
        <w:tc>
          <w:tcPr>
            <w:tcW w:w="4876" w:type="dxa"/>
            <w:hideMark/>
          </w:tcPr>
          <w:p w:rsidR="00A955A4" w:rsidRPr="006F0110" w:rsidRDefault="00A955A4" w:rsidP="000B188B">
            <w:pPr>
              <w:pStyle w:val="Normal6"/>
            </w:pPr>
            <w:r w:rsidRPr="006F0110">
              <w:t>__________________</w:t>
            </w:r>
          </w:p>
        </w:tc>
        <w:tc>
          <w:tcPr>
            <w:tcW w:w="4876" w:type="dxa"/>
            <w:hideMark/>
          </w:tcPr>
          <w:p w:rsidR="00A955A4" w:rsidRPr="006F0110" w:rsidRDefault="00A955A4" w:rsidP="000B188B">
            <w:pPr>
              <w:pStyle w:val="Normal6"/>
              <w:rPr>
                <w:szCs w:val="24"/>
              </w:rPr>
            </w:pPr>
            <w:r w:rsidRPr="006F0110">
              <w:t>__________________</w:t>
            </w:r>
          </w:p>
        </w:tc>
      </w:tr>
      <w:tr w:rsidR="00A955A4" w:rsidRPr="006F0110" w:rsidTr="000B188B">
        <w:trPr>
          <w:jc w:val="center"/>
        </w:trPr>
        <w:tc>
          <w:tcPr>
            <w:tcW w:w="4876" w:type="dxa"/>
            <w:hideMark/>
          </w:tcPr>
          <w:p w:rsidR="00A955A4" w:rsidRPr="006F0110" w:rsidRDefault="00A955A4" w:rsidP="000B188B">
            <w:pPr>
              <w:pStyle w:val="Normal6"/>
            </w:pPr>
            <w:r w:rsidRPr="006F0110">
              <w:rPr>
                <w:vertAlign w:val="superscript"/>
              </w:rPr>
              <w:t>15</w:t>
            </w:r>
            <w:r w:rsidRPr="006F0110">
              <w:t xml:space="preserve"> OP: Vložte do textu číslo směrnice obsažené v dokumentu 2021/0250(COD) (návrh šesté směrnice o boji proti praní peněz – COM(2021) 423 final) a do poznámky pod čarou vložte číslo, datum a název této směrnice a odkaz na Úřední věstník.</w:t>
            </w:r>
          </w:p>
        </w:tc>
        <w:tc>
          <w:tcPr>
            <w:tcW w:w="4876" w:type="dxa"/>
            <w:hideMark/>
          </w:tcPr>
          <w:p w:rsidR="00A955A4" w:rsidRPr="006F0110" w:rsidRDefault="00A955A4" w:rsidP="000B188B">
            <w:pPr>
              <w:pStyle w:val="Normal6"/>
              <w:rPr>
                <w:szCs w:val="24"/>
              </w:rPr>
            </w:pPr>
            <w:r w:rsidRPr="006F0110">
              <w:rPr>
                <w:vertAlign w:val="superscript"/>
              </w:rPr>
              <w:t>15</w:t>
            </w:r>
            <w:r w:rsidRPr="006F0110">
              <w:t xml:space="preserve"> OP: Vložte do textu číslo směrnice obsažené v dokumentu 2021/0250(COD) (návrh šesté směrnice o boji proti praní peněz – COM(2021) 423 final) a do poznámky pod čarou vložte číslo, datum a název této směrnice a odkaz na Úřední věstník.</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129</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4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1095/2010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4</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Pro sdílení informací podle odstavců 1, 2 a 3 mohou orgány uvedené v odstavci 1 uzavřít memoranda o porozumění, v nichž se upřesní způsoby výměny informací. Mohou rovněž stanovit opatření pro sdílení zdrojů pro shromažďování a zpracování těchto sdílených údajů.</w:t>
            </w:r>
          </w:p>
        </w:tc>
        <w:tc>
          <w:tcPr>
            <w:tcW w:w="4876" w:type="dxa"/>
            <w:hideMark/>
          </w:tcPr>
          <w:p w:rsidR="00A955A4" w:rsidRPr="006F0110" w:rsidRDefault="00A955A4" w:rsidP="000B188B">
            <w:pPr>
              <w:pStyle w:val="Normal6"/>
              <w:rPr>
                <w:szCs w:val="24"/>
              </w:rPr>
            </w:pPr>
            <w:r w:rsidRPr="006F0110">
              <w:t>4.</w:t>
            </w:r>
            <w:r w:rsidRPr="006F0110">
              <w:tab/>
              <w:t xml:space="preserve">Pro sdílení informací podle odstavců 1, 2 a 3 mohou orgány uvedené v odstavci 1 uzavřít memoranda o porozumění, v nichž se upřesní způsoby výměny informací. Mohou rovněž stanovit opatření pro sdílení zdrojů pro shromažďování a zpracování těchto sdílených údajů. </w:t>
            </w:r>
            <w:r w:rsidRPr="006F0110">
              <w:rPr>
                <w:b/>
                <w:i/>
              </w:rPr>
              <w:t>Memoranda o porozumění se po dohodě mezi všemi dotčenými orgány řídí standardizovaným formátem, který je v případě potřeby přizpůsoben zvláštním provozním podmínkám, které se mohou vztahovat na konkrétní orgány.</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130</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4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1095/2010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7 – pododstavec 2</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 xml:space="preserve"> 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Informace získané od jiného orgánu se sdílejí pouze se souhlasem orgánu, který je původně získal.</w:t>
            </w:r>
            <w:r w:rsidRPr="006F0110">
              <w:rPr>
                <w:b/>
                <w:i/>
              </w:rPr>
              <w:t>;</w:t>
            </w:r>
          </w:p>
        </w:tc>
        <w:tc>
          <w:tcPr>
            <w:tcW w:w="4876" w:type="dxa"/>
            <w:hideMark/>
          </w:tcPr>
          <w:p w:rsidR="00A955A4" w:rsidRPr="006F0110" w:rsidRDefault="00A955A4" w:rsidP="000B188B">
            <w:pPr>
              <w:pStyle w:val="Normal6"/>
              <w:rPr>
                <w:szCs w:val="24"/>
              </w:rPr>
            </w:pPr>
            <w:r w:rsidRPr="006F0110">
              <w:t xml:space="preserve">Informace získané od jiného orgánu se sdílejí pouze </w:t>
            </w:r>
            <w:r w:rsidRPr="006F0110">
              <w:rPr>
                <w:b/>
                <w:i/>
              </w:rPr>
              <w:t xml:space="preserve">tímto postupem </w:t>
            </w:r>
            <w:r w:rsidRPr="006F0110">
              <w:t>se souhlasem orgánu, který je původně získal.</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131</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4 – odst. 1 – bod 4</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1095/2010</w:t>
      </w:r>
      <w:r>
        <w:rPr>
          <w:rStyle w:val="HideTWBExt"/>
          <w:b w:val="0"/>
        </w:rPr>
        <w:t>&lt;/Article2&gt;</w:t>
      </w:r>
    </w:p>
    <w:p w:rsidR="00A955A4" w:rsidRPr="000A3393" w:rsidRDefault="00A955A4" w:rsidP="00A955A4">
      <w:pPr>
        <w:keepNext/>
      </w:pPr>
      <w:r>
        <w:rPr>
          <w:rStyle w:val="HideTWBExt"/>
        </w:rPr>
        <w:t>&lt;DocAmend2&gt;</w:t>
      </w:r>
      <w:r>
        <w:t>Čl. 35a – odst. 7a (nový)</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tcPr>
          <w:p w:rsidR="00A955A4" w:rsidRPr="000A3393" w:rsidRDefault="00A955A4" w:rsidP="000B188B">
            <w:pPr>
              <w:pStyle w:val="Normal6"/>
              <w:rPr>
                <w:lang w:val="en-GB"/>
              </w:rPr>
            </w:pPr>
          </w:p>
        </w:tc>
        <w:tc>
          <w:tcPr>
            <w:tcW w:w="4876" w:type="dxa"/>
            <w:hideMark/>
          </w:tcPr>
          <w:p w:rsidR="00A955A4" w:rsidRPr="000A3393" w:rsidRDefault="00A955A4" w:rsidP="000B188B">
            <w:pPr>
              <w:pStyle w:val="Normal6"/>
              <w:rPr>
                <w:szCs w:val="24"/>
              </w:rPr>
            </w:pPr>
            <w:r>
              <w:rPr>
                <w:b/>
                <w:i/>
              </w:rPr>
              <w:t>7 bis.</w:t>
            </w:r>
            <w:r>
              <w:rPr>
                <w:b/>
                <w:i/>
              </w:rPr>
              <w:tab/>
              <w:t>Orgán a příslušné orgány do 31. prosince 2024 předloží Komisi zprávu o všech právních překážkách v odvětvových právních předpisech, které jim jakýmkoli způsobem brání ve výměně informací s jinými orgány nebo institucemi. Na základě této zprávy a s náležitým ohledem na povinnosti týkající se ochrany práv duševního vlastnictví, profesního tajemství a ochrany údajů Komise případně předloží Evropskému parlamentu a Radě do 30. června 2025 legislativní návrh na odstranění těchto právních překážek v odvětvových právních předpisech s cílem usnadnit výměnu informací mezi orgány a s jinými subjekty.</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132</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4 – odst. 1 – bod 4</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1095/2010</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35a – odst. 7a (nový)</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7 a.</w:t>
            </w:r>
            <w:r w:rsidRPr="006F0110">
              <w:rPr>
                <w:b/>
                <w:i/>
              </w:rPr>
              <w:tab/>
              <w:t>Orgán se vyzývá, aby vypracoval zprávu pro Komisi s překážkami pro sdílení údajů. Zpráva může rovněž obsahovat nepodstatné, zastaralé, duplicitní nebo jinak irelevantní požadavky na podávání zpráv a návrhy na zajištění souladu mezi požadavky finančních a nefinančních společností na podávání zpráv.</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133</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4 – odst. 1 – bod 4 a (nový)</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1095/2010</w:t>
      </w:r>
      <w:r>
        <w:rPr>
          <w:rStyle w:val="HideTWBExt"/>
          <w:b w:val="0"/>
        </w:rPr>
        <w:t>&lt;/Article2&gt;</w:t>
      </w:r>
    </w:p>
    <w:p w:rsidR="00A955A4" w:rsidRPr="000A3393" w:rsidRDefault="00A955A4" w:rsidP="00A955A4">
      <w:pPr>
        <w:keepNext/>
      </w:pPr>
      <w:r>
        <w:rPr>
          <w:rStyle w:val="HideTWBExt"/>
        </w:rPr>
        <w:t>&lt;DocAmend2&gt;</w:t>
      </w:r>
      <w:r>
        <w:t>Čl. 35a – odst. 7aa</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tcPr>
          <w:p w:rsidR="00A955A4" w:rsidRPr="000A3393" w:rsidRDefault="00A955A4" w:rsidP="000B188B">
            <w:pPr>
              <w:pStyle w:val="Normal6"/>
              <w:rPr>
                <w:lang w:val="en-GB"/>
              </w:rPr>
            </w:pPr>
          </w:p>
        </w:tc>
        <w:tc>
          <w:tcPr>
            <w:tcW w:w="4876" w:type="dxa"/>
            <w:hideMark/>
          </w:tcPr>
          <w:p w:rsidR="00A955A4" w:rsidRPr="000A3393" w:rsidRDefault="00A955A4" w:rsidP="000B188B">
            <w:pPr>
              <w:pStyle w:val="Normal6"/>
              <w:rPr>
                <w:szCs w:val="24"/>
              </w:rPr>
            </w:pPr>
            <w:r>
              <w:rPr>
                <w:b/>
                <w:i/>
              </w:rPr>
              <w:t>7 bis.</w:t>
            </w:r>
            <w:r>
              <w:rPr>
                <w:b/>
                <w:i/>
              </w:rPr>
              <w:tab/>
              <w:t>Orgán a příslušné orgány do 31. prosince 2024 předloží Komisi zprávu o všech právních překážkách v odvětvových právních předpisech, které jim jakýmkoli způsobem brání ve výměně informací s jinými orgány nebo institucemi. Na základě této zprávy a s náležitým ohledem na povinnosti týkající se ochrany práv duševního vlastnictví, profesního tajemství a ochrany údajů Komise případně předloží Evropskému parlamentu a Radě do 30. června 2025 legislativní návrh na odstranění těchto právních překážek v odvětvových právních předpisech s cílem usnadnit výměnu informací mezi orgány a s jinými subjekty.</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134</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4 – odst. 1 – bod 5</w:t>
      </w:r>
      <w:r>
        <w:rPr>
          <w:rStyle w:val="HideTWBExt"/>
          <w:b w:val="0"/>
        </w:rPr>
        <w:t>&lt;/Article&gt;</w:t>
      </w:r>
    </w:p>
    <w:p w:rsidR="00A955A4" w:rsidRPr="000A3393" w:rsidRDefault="00A955A4" w:rsidP="00A955A4">
      <w:pPr>
        <w:pStyle w:val="NormalBold"/>
      </w:pPr>
      <w:r>
        <w:rPr>
          <w:rStyle w:val="HideTWBExt"/>
          <w:b w:val="0"/>
        </w:rPr>
        <w:t>&lt;Article2&gt;</w:t>
      </w:r>
      <w:r>
        <w:rPr>
          <w:b w:val="0"/>
        </w:rPr>
        <w:t xml:space="preserve"> Nařízení (EU) č. 1095/2010</w:t>
      </w:r>
      <w:r>
        <w:rPr>
          <w:rStyle w:val="HideTWBExt"/>
          <w:b w:val="0"/>
        </w:rPr>
        <w:t>&lt;/Article2&gt;</w:t>
      </w:r>
    </w:p>
    <w:p w:rsidR="00A955A4" w:rsidRPr="000A3393" w:rsidRDefault="00A955A4" w:rsidP="00A955A4">
      <w:pPr>
        <w:keepNext/>
      </w:pPr>
      <w:r>
        <w:rPr>
          <w:rStyle w:val="HideTWBExt"/>
        </w:rPr>
        <w:t>&lt;DocAmend2&gt;</w:t>
      </w:r>
      <w:r>
        <w:t>Čl. 54 – odst. 2 – odrážka 99</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Znění navržené Komisí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w:t>
            </w:r>
            <w:r>
              <w:tab/>
              <w:t>požadavky na podávání zpráv a shromažďování informací od účastníků finančního trhu.;</w:t>
            </w:r>
          </w:p>
        </w:tc>
        <w:tc>
          <w:tcPr>
            <w:tcW w:w="4876" w:type="dxa"/>
            <w:hideMark/>
          </w:tcPr>
          <w:p w:rsidR="00A955A4" w:rsidRPr="000A3393" w:rsidRDefault="00A955A4" w:rsidP="000B188B">
            <w:pPr>
              <w:pStyle w:val="Normal6"/>
              <w:rPr>
                <w:szCs w:val="24"/>
              </w:rPr>
            </w:pPr>
            <w:r>
              <w:t>—</w:t>
            </w:r>
            <w:r>
              <w:tab/>
              <w:t xml:space="preserve">požadavky na podávání zpráv a </w:t>
            </w:r>
            <w:r>
              <w:rPr>
                <w:b/>
                <w:i/>
              </w:rPr>
              <w:t xml:space="preserve">šíření a </w:t>
            </w:r>
            <w:r>
              <w:t>shromažďování informací od účastníků finančního trhu.;</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135</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Othmar Karas</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8 – odst. 6 – návětí</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w:t>
            </w:r>
            <w:r w:rsidRPr="006F0110">
              <w:rPr>
                <w:b/>
                <w:i/>
              </w:rPr>
              <w:tab/>
              <w:t>V čl. 8 odst. 6 se návětí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Komise vypracuje pokyny k udržitelnosti, které v souladu s environmentálními a sociálními cíli a standardy Unie a s náležitým zřetelem k zásadě „významně nepoškozovat“, umožní:</w:t>
            </w:r>
          </w:p>
        </w:tc>
        <w:tc>
          <w:tcPr>
            <w:tcW w:w="4876" w:type="dxa"/>
            <w:hideMark/>
          </w:tcPr>
          <w:p w:rsidR="00A955A4" w:rsidRPr="006F0110" w:rsidRDefault="00A955A4" w:rsidP="000B188B">
            <w:pPr>
              <w:pStyle w:val="Normal6"/>
              <w:rPr>
                <w:szCs w:val="24"/>
              </w:rPr>
            </w:pPr>
            <w:r w:rsidRPr="006F0110">
              <w:t>Komise vypracuje pokyny k udržitelnosti, které v souladu s environmentálními a sociálními cíli a standardy Unie a s náležitým zřetelem k zásadě „významně nepoškozovat“</w:t>
            </w:r>
            <w:r w:rsidRPr="006F0110">
              <w:rPr>
                <w:b/>
                <w:i/>
              </w:rPr>
              <w:t xml:space="preserve"> a k rozdílům v typech  projektů v oblasti infrastruktury</w:t>
            </w:r>
            <w:r w:rsidRPr="006F0110">
              <w:t>, umožní:</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(32021R0523)</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Cílem tohoto pozměňovacího návrhu je zavést do pokynů Komise k udržitelnosti princip proporcionality a jasně stanovit, že by měly být zohledněny typy infrastrukturních projektů, aniž by došlo ke změně výchozích podmínek.</w:t>
      </w:r>
    </w:p>
    <w:p w:rsidR="00A955A4" w:rsidRPr="006F0110" w:rsidRDefault="00A955A4" w:rsidP="00A955A4">
      <w:pPr>
        <w:pStyle w:val="AMNumberTabs0"/>
        <w:keepNext/>
      </w:pPr>
      <w:r w:rsidRPr="006F0110">
        <w:rPr>
          <w:rStyle w:val="HideTWBExt"/>
          <w:b w:val="0"/>
          <w:lang w:val="cs-CZ"/>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136</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Erik Poulsen</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rPr>
          <w:rStyle w:val="HideTWBExt"/>
        </w:rPr>
      </w:pP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8 – odst. 6 – návětí</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jc w:val="center"/>
              <w:rPr>
                <w:szCs w:val="24"/>
                <w:lang w:val="en-GB"/>
              </w:rPr>
            </w:pP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V čl. 8 odst. 6 se návětí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Komise vypracuje pokyny k udržitelnosti, které v souladu s environmentálními a sociálními cíli a standardy Unie a s náležitým zřetelem k zásadě „významně nepoškozovat“, umožní:</w:t>
            </w:r>
          </w:p>
        </w:tc>
        <w:tc>
          <w:tcPr>
            <w:tcW w:w="4876" w:type="dxa"/>
            <w:hideMark/>
          </w:tcPr>
          <w:p w:rsidR="00A955A4" w:rsidRPr="006F0110" w:rsidRDefault="00A955A4" w:rsidP="000B188B">
            <w:pPr>
              <w:pStyle w:val="Normal6"/>
              <w:rPr>
                <w:szCs w:val="24"/>
              </w:rPr>
            </w:pPr>
            <w:r w:rsidRPr="006F0110">
              <w:t>Komise vypracuje pokyny k udržitelnosti, které v souladu s environmentálními a sociálními cíli a standardy Unie a s náležitým zřetelem k zásadě „významně nepoškozovat“</w:t>
            </w:r>
            <w:r w:rsidRPr="006F0110">
              <w:rPr>
                <w:b/>
                <w:i/>
              </w:rPr>
              <w:t xml:space="preserve"> a s ohledem na rozdíly mezi jednotlivými typy projektů v oblasti infrastruktury</w:t>
            </w:r>
            <w:r w:rsidRPr="006F0110">
              <w:t>, umožní:</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(32021R0523)</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137</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Fabio Massimo Castaldo</w:t>
      </w:r>
      <w:r w:rsidRPr="006F0110">
        <w:rPr>
          <w:rStyle w:val="HideTWBExt"/>
          <w:b w:val="0"/>
        </w:rPr>
        <w:t>&lt;/Members&gt;</w:t>
      </w:r>
    </w:p>
    <w:p w:rsidR="00A955A4" w:rsidRPr="006F0110" w:rsidRDefault="00A955A4" w:rsidP="00A955A4">
      <w:pPr>
        <w:rPr>
          <w:rStyle w:val="HideTWBExt"/>
        </w:rPr>
      </w:pPr>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8 – odst. 6 – návětí</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V čl. 8 odst. 6 se návětí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Komise vypracuje pokyny k udržitelnosti, které v souladu s environmentálními a sociálními cíli a standardy Unie a s náležitým zřetelem k zásadě „významně nepoškozovat“, umožní:</w:t>
            </w:r>
          </w:p>
        </w:tc>
        <w:tc>
          <w:tcPr>
            <w:tcW w:w="4876" w:type="dxa"/>
            <w:hideMark/>
          </w:tcPr>
          <w:p w:rsidR="00A955A4" w:rsidRPr="006F0110" w:rsidRDefault="00A955A4" w:rsidP="000B188B">
            <w:pPr>
              <w:pStyle w:val="Normal6"/>
              <w:rPr>
                <w:szCs w:val="24"/>
              </w:rPr>
            </w:pPr>
            <w:r w:rsidRPr="006F0110">
              <w:rPr>
                <w:i/>
              </w:rPr>
              <w:t>Komise vypracuje pokyny k udržitelnosti, které v souladu s environmentálními a sociálními cíli a standardy Unie a s náležitým zřetelem k zásadě „významně nepoškozovat“ a s ohledem na rozdíly mezi jednotlivými typy projektů v oblasti infrastruktury, umožní:</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138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5 – odst. 1 – bod -1 (nový)</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2021/523</w:t>
      </w:r>
      <w:r w:rsidRPr="006F0110">
        <w:rPr>
          <w:rStyle w:val="HideTWBExt"/>
          <w:b w:val="0"/>
        </w:rPr>
        <w:t>&lt;/Article2&gt;</w:t>
      </w:r>
    </w:p>
    <w:p w:rsidR="00A955A4" w:rsidRPr="006F0110" w:rsidRDefault="00A955A4" w:rsidP="00A955A4">
      <w:pPr>
        <w:keepNext/>
        <w:rPr>
          <w:rStyle w:val="HideTWBExt"/>
        </w:rPr>
      </w:pPr>
      <w:r w:rsidRPr="006F0110">
        <w:rPr>
          <w:rStyle w:val="HideTWBExt"/>
        </w:rPr>
        <w:t>&lt;DocAmend2&gt;</w:t>
      </w:r>
      <w:r w:rsidRPr="006F0110">
        <w:t>Čl. 8 – odst. 66</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Komise vypracuje pokyny k udržitelnosti, které v souladu s environmentálními a sociálními cíli a standardy Unie a s náležitým zřetelem k zásadě „významně nepoškozovat“, umožní:</w:t>
            </w:r>
          </w:p>
        </w:tc>
        <w:tc>
          <w:tcPr>
            <w:tcW w:w="4876" w:type="dxa"/>
            <w:hideMark/>
          </w:tcPr>
          <w:p w:rsidR="00A955A4" w:rsidRPr="006F0110" w:rsidRDefault="00A955A4" w:rsidP="000B188B">
            <w:pPr>
              <w:pStyle w:val="Normal6"/>
              <w:rPr>
                <w:b/>
                <w:i/>
              </w:rPr>
            </w:pPr>
            <w:r w:rsidRPr="006F0110">
              <w:rPr>
                <w:b/>
                <w:i/>
              </w:rPr>
              <w:t xml:space="preserve">-1. V čl. 8 odst. 6 se návětí nahrazuje tímto: </w:t>
            </w:r>
          </w:p>
          <w:p w:rsidR="00A955A4" w:rsidRPr="006F0110" w:rsidRDefault="00A955A4" w:rsidP="000B188B">
            <w:pPr>
              <w:pStyle w:val="Normal6"/>
              <w:rPr>
                <w:szCs w:val="24"/>
              </w:rPr>
            </w:pPr>
            <w:r w:rsidRPr="006F0110">
              <w:rPr>
                <w:i/>
              </w:rPr>
              <w:t>Komise vypracuje pokyny k udržitelnosti, které v souladu s environmentálními a sociálními cíli a standardy Unie a s náležitým zřetelem k zásadě „významně nepoškozovat“ a s ohledem na rozdíly mezi jednotlivými typy projektů v oblasti infrastruktury, umožní:</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rPr>
          <w:rStyle w:val="HideTWBExt"/>
        </w:rPr>
      </w:pPr>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139</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keepNext/>
      </w:pPr>
      <w:r>
        <w:rPr>
          <w:rStyle w:val="HideTWBExt"/>
          <w:b w:val="0"/>
        </w:rPr>
        <w:t>&lt;Article&gt;</w:t>
      </w:r>
      <w:r>
        <w:t>Čl. 5 – odst. -1 (nový)</w:t>
      </w:r>
      <w:r>
        <w:rPr>
          <w:rStyle w:val="HideTWBExt"/>
          <w:b w:val="0"/>
        </w:rPr>
        <w:t>&lt;/Article&gt;</w:t>
      </w:r>
    </w:p>
    <w:p w:rsidR="00A955A4" w:rsidRPr="000A3393" w:rsidRDefault="00A955A4" w:rsidP="00A955A4">
      <w:pPr>
        <w:pStyle w:val="NormalBold"/>
      </w:pPr>
      <w:r>
        <w:rPr>
          <w:rStyle w:val="HideTWBExt"/>
          <w:b w:val="0"/>
        </w:rPr>
        <w:t>&lt;Article2&gt;</w:t>
      </w:r>
      <w:r>
        <w:rPr>
          <w:b w:val="0"/>
        </w:rPr>
        <w:t>Nařízení (EU) č. 2021/523</w:t>
      </w:r>
      <w:r>
        <w:rPr>
          <w:rStyle w:val="HideTWBExt"/>
          <w:b w:val="0"/>
        </w:rPr>
        <w:t>&lt;/Article2&gt;</w:t>
      </w:r>
    </w:p>
    <w:p w:rsidR="00A955A4" w:rsidRPr="000A3393" w:rsidRDefault="00A955A4" w:rsidP="00A955A4">
      <w:pPr>
        <w:keepNext/>
      </w:pPr>
      <w:r>
        <w:rPr>
          <w:rStyle w:val="HideTWBExt"/>
        </w:rPr>
        <w:t>&lt;DocAmend2&gt;</w:t>
      </w:r>
      <w:r>
        <w:t>Čl. 8 – odst. 6 – návětí</w:t>
      </w:r>
      <w:r>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pPr>
          </w:p>
        </w:tc>
      </w:tr>
      <w:tr w:rsidR="00A955A4" w:rsidTr="000B188B">
        <w:trPr>
          <w:jc w:val="center"/>
        </w:trPr>
        <w:tc>
          <w:tcPr>
            <w:tcW w:w="4876" w:type="dxa"/>
            <w:hideMark/>
          </w:tcPr>
          <w:p w:rsidR="00A955A4" w:rsidRPr="000A3393" w:rsidRDefault="00A955A4" w:rsidP="000B188B">
            <w:pPr>
              <w:pStyle w:val="ColumnHeading"/>
              <w:keepNext/>
            </w:pPr>
            <w:r>
              <w:t>Platné znění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 xml:space="preserve">. Komise vypracuje pokyny k udržitelnosti, které v souladu s environmentálními a sociálními cíli a standardy Unie a s náležitým zřetelem k zásadě „významně nepoškozovat“, umožní: </w:t>
            </w:r>
          </w:p>
        </w:tc>
        <w:tc>
          <w:tcPr>
            <w:tcW w:w="4876" w:type="dxa"/>
            <w:hideMark/>
          </w:tcPr>
          <w:p w:rsidR="00A955A4" w:rsidRPr="000A3393" w:rsidRDefault="00A955A4" w:rsidP="000B188B">
            <w:pPr>
              <w:pStyle w:val="Normal6"/>
              <w:rPr>
                <w:szCs w:val="24"/>
              </w:rPr>
            </w:pPr>
            <w:r>
              <w:t>Komise vypracuje pokyny k udržitelnosti, které v souladu s environmentálními a sociálními cíli a standardy Unie a s náležitým zřetelem k zásadě „významně nepoškozovat“</w:t>
            </w:r>
            <w:r>
              <w:rPr>
                <w:b/>
                <w:i/>
              </w:rPr>
              <w:t xml:space="preserve"> a s ohledem na rozdíly mezi jednotlivými typy projektů v oblasti infrastruktury</w:t>
            </w:r>
            <w:r>
              <w:t>, umožní:</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pPr>
        <w:pStyle w:val="CrossRef"/>
      </w:pPr>
      <w:r>
        <w:t>(https://eur-lex.europa.eu/legal-content/IT/TXT/PDF/?uri=CELEX:32021R0523&amp;from=GA)</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140</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Othmar Karas</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a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13 – odst. 7 – pododstavec 2</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a</w:t>
            </w:r>
            <w:r w:rsidRPr="006F0110">
              <w:rPr>
                <w:b/>
                <w:i/>
              </w:rPr>
              <w:tab/>
              <w:t>v čl. 13 odst. 7 se pododstavec 2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Smlouvy mezi prováděcím partnerem a konečným příjemcem nebo finančním zprostředkovatelem nebo jiným subjektem podle čl.</w:t>
            </w:r>
            <w:r w:rsidRPr="006F0110">
              <w:rPr>
                <w:b/>
                <w:i/>
              </w:rPr>
              <w:t xml:space="preserve"> </w:t>
            </w:r>
            <w:r w:rsidRPr="006F0110">
              <w:t>16 odst.</w:t>
            </w:r>
            <w:r w:rsidRPr="006F0110">
              <w:rPr>
                <w:b/>
                <w:i/>
              </w:rPr>
              <w:t xml:space="preserve"> </w:t>
            </w:r>
            <w:r w:rsidRPr="006F0110">
              <w:t xml:space="preserve">1 písm. a) v rámci záruky EU uvedené v čl. 4 odst. 2 prvním pododstavci musí být podepsány nejpozději do </w:t>
            </w:r>
            <w:r w:rsidRPr="006F0110">
              <w:rPr>
                <w:b/>
                <w:i/>
              </w:rPr>
              <w:t>jednoho roku od schválení příslušné finanční nebo investiční operace prováděcího partnera</w:t>
            </w:r>
            <w:r w:rsidRPr="006F0110">
              <w:t>. V ostatních případech musí být smlouvy mezi prováděcím partnerem a konečným příjemcem nebo finančním zprostředkovatelem nebo jiným subjektem podle čl. 16 odst. 1 písm. a) podepsány do 31. prosince 2028.</w:t>
            </w:r>
          </w:p>
        </w:tc>
        <w:tc>
          <w:tcPr>
            <w:tcW w:w="4876" w:type="dxa"/>
            <w:hideMark/>
          </w:tcPr>
          <w:p w:rsidR="00A955A4" w:rsidRPr="006F0110" w:rsidRDefault="00A955A4" w:rsidP="000B188B">
            <w:pPr>
              <w:pStyle w:val="Normal6"/>
              <w:rPr>
                <w:szCs w:val="24"/>
              </w:rPr>
            </w:pPr>
            <w:r w:rsidRPr="006F0110">
              <w:t>Smlouvy mezi prováděcím partnerem a konečným příjemcem nebo finančním zprostředkovatelem nebo jiným subjektem podle čl.</w:t>
            </w:r>
            <w:r w:rsidRPr="006F0110">
              <w:rPr>
                <w:b/>
                <w:i/>
              </w:rPr>
              <w:t> </w:t>
            </w:r>
            <w:r w:rsidRPr="006F0110">
              <w:t>16 odst.</w:t>
            </w:r>
            <w:r w:rsidRPr="006F0110">
              <w:rPr>
                <w:b/>
                <w:i/>
              </w:rPr>
              <w:t> </w:t>
            </w:r>
            <w:r w:rsidRPr="006F0110">
              <w:t xml:space="preserve">1 písm. a) v rámci záruky EU uvedené v čl. 4 odst. 2 prvním pododstavci musí být podepsány nejpozději do </w:t>
            </w:r>
            <w:r w:rsidRPr="006F0110">
              <w:rPr>
                <w:b/>
                <w:i/>
              </w:rPr>
              <w:t>31. srpna 2026</w:t>
            </w:r>
            <w:r w:rsidRPr="006F0110">
              <w:t>. V ostatních případech musí být smlouvy mezi prováděcím partnerem a konečným příjemcem nebo finančním zprostředkovatelem nebo jiným subjektem podle čl. 16 odst. 1 písm. a) podepsány do 31. prosince 2028.</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(32021R0523)</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Tento pozměňovací návrh prodlužuje lhůtu týkající se záruky EU, neboť současná lhůta vedla k tomu, že se lhůta pro provádění pro prováděcí partnery neodůvodněně předsouvala. Vzhledem ke stávajícím harmonogramům projektů by tato nově navržená lhůta umožnila řádnější provádění, aby bylo možné dokončit uzavírání smluv o již schválených transakcích.</w:t>
      </w:r>
    </w:p>
    <w:p w:rsidR="00A955A4" w:rsidRPr="006F0110" w:rsidRDefault="00A955A4" w:rsidP="00A955A4">
      <w:pPr>
        <w:pStyle w:val="AMNumberTabs0"/>
        <w:keepNext/>
      </w:pPr>
      <w:r w:rsidRPr="006F0110">
        <w:rPr>
          <w:rStyle w:val="HideTWBExt"/>
          <w:b w:val="0"/>
          <w:lang w:val="cs-CZ"/>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141</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Erik Poulsen</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a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13 – odst. 7 – pododstavec 2</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jc w:val="center"/>
              <w:rPr>
                <w:szCs w:val="24"/>
                <w:lang w:val="en-GB"/>
              </w:rPr>
            </w:pP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a</w:t>
            </w:r>
            <w:r w:rsidRPr="006F0110">
              <w:rPr>
                <w:b/>
                <w:i/>
              </w:rPr>
              <w:tab/>
              <w:t>v čl. 13 odst. 7 se pododstavec 2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Smlouvy mezi prováděcím partnerem a konečným příjemcem nebo finančním zprostředkovatelem nebo jiným subjektem podle čl.</w:t>
            </w:r>
            <w:r w:rsidRPr="006F0110">
              <w:rPr>
                <w:b/>
                <w:i/>
              </w:rPr>
              <w:t xml:space="preserve"> </w:t>
            </w:r>
            <w:r w:rsidRPr="006F0110">
              <w:t>16 odst.</w:t>
            </w:r>
            <w:r w:rsidRPr="006F0110">
              <w:rPr>
                <w:b/>
                <w:i/>
              </w:rPr>
              <w:t xml:space="preserve"> </w:t>
            </w:r>
            <w:r w:rsidRPr="006F0110">
              <w:t xml:space="preserve">1 písm. a) v rámci záruky EU uvedené v čl. 4 odst. 2 prvním pododstavci musí být podepsány nejpozději do </w:t>
            </w:r>
            <w:r w:rsidRPr="006F0110">
              <w:rPr>
                <w:b/>
                <w:i/>
              </w:rPr>
              <w:t>jednoho roku od schválení příslušné finanční nebo investiční operace prováděcího partnera</w:t>
            </w:r>
            <w:r w:rsidRPr="006F0110">
              <w:t>. V ostatních případech musí být smlouvy mezi prováděcím partnerem a konečným příjemcem nebo finančním zprostředkovatelem nebo jiným subjektem podle čl. 16 odst. 1 písm. a) podepsány do 31. prosince 2028.</w:t>
            </w:r>
          </w:p>
        </w:tc>
        <w:tc>
          <w:tcPr>
            <w:tcW w:w="4876" w:type="dxa"/>
            <w:hideMark/>
          </w:tcPr>
          <w:p w:rsidR="00A955A4" w:rsidRPr="006F0110" w:rsidRDefault="00A955A4" w:rsidP="000B188B">
            <w:pPr>
              <w:pStyle w:val="Normal6"/>
              <w:rPr>
                <w:szCs w:val="24"/>
              </w:rPr>
            </w:pPr>
            <w:r w:rsidRPr="006F0110">
              <w:t>Smlouvy mezi prováděcím partnerem a konečným příjemcem nebo finančním zprostředkovatelem nebo jiným subjektem podle čl.</w:t>
            </w:r>
            <w:r w:rsidRPr="006F0110">
              <w:rPr>
                <w:b/>
                <w:i/>
              </w:rPr>
              <w:t> </w:t>
            </w:r>
            <w:r w:rsidRPr="006F0110">
              <w:t>16 odst.</w:t>
            </w:r>
            <w:r w:rsidRPr="006F0110">
              <w:rPr>
                <w:b/>
                <w:i/>
              </w:rPr>
              <w:t> </w:t>
            </w:r>
            <w:r w:rsidRPr="006F0110">
              <w:t xml:space="preserve">1 písm. a) v rámci záruky EU uvedené v čl. 4 odst. 2 prvním pododstavci musí být podepsány nejpozději do </w:t>
            </w:r>
            <w:r w:rsidRPr="006F0110">
              <w:rPr>
                <w:b/>
                <w:i/>
              </w:rPr>
              <w:t>31. srpna 2026</w:t>
            </w:r>
            <w:r w:rsidRPr="006F0110">
              <w:t>. V ostatních případech musí být smlouvy mezi prováděcím partnerem a konečným příjemcem nebo finančním zprostředkovatelem nebo jiným subjektem podle čl. 16 odst. 1 písm. a) podepsány do 31. prosince 2028.</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(32021R0523)</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Tento pozměňovací návrh se zabývá obavami EIB v souvislosti s nuceným předsunutím finančních prostředků na projekty InvestEU financované z NGEU.</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142</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Fabio Massimo Castaldo</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a (nový)</w:t>
      </w:r>
      <w:r w:rsidRPr="006F0110">
        <w:rPr>
          <w:rStyle w:val="HideTWBExt"/>
          <w:b w:val="0"/>
        </w:rPr>
        <w:t>&lt;/Article&gt;</w:t>
      </w:r>
    </w:p>
    <w:p w:rsidR="00A955A4" w:rsidRPr="006F0110" w:rsidRDefault="00A955A4" w:rsidP="00A955A4">
      <w:pPr>
        <w:pStyle w:val="NormalBold"/>
      </w:pPr>
      <w:r w:rsidRPr="006F0110">
        <w:rPr>
          <w:rStyle w:val="HideTWBExt"/>
          <w:b w:val="0"/>
        </w:rPr>
        <w:t>&lt;DocAmend2&gt;</w:t>
      </w:r>
      <w:r w:rsidRPr="006F0110">
        <w:rPr>
          <w:b w:val="0"/>
        </w:rPr>
        <w:t>Nařízení (EU) č. 2021/523</w:t>
      </w:r>
      <w:r w:rsidRPr="006F0110">
        <w:rPr>
          <w:rStyle w:val="HideTWBExt"/>
          <w:b w:val="0"/>
        </w:rPr>
        <w:t>&lt;/DocAmend2&gt;</w:t>
      </w:r>
    </w:p>
    <w:p w:rsidR="00A955A4" w:rsidRPr="006F0110" w:rsidRDefault="00A955A4" w:rsidP="00A955A4">
      <w:r w:rsidRPr="006F0110">
        <w:rPr>
          <w:rStyle w:val="HideTWBExt"/>
        </w:rPr>
        <w:t>&lt;Article2&gt;</w:t>
      </w:r>
      <w:r w:rsidRPr="006F0110">
        <w:t>Čl. 13 – odst. 7 – pododstavec 2</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a</w:t>
            </w:r>
            <w:r w:rsidRPr="006F0110">
              <w:rPr>
                <w:b/>
                <w:i/>
              </w:rPr>
              <w:tab/>
              <w:t>v čl. 13 odst. 7 se pododstavec 2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Smlouvy mezi prováděcím partnerem a konečným příjemcem nebo finančním zprostředkovatelem nebo jiným subjektem podle čl.</w:t>
            </w:r>
            <w:r w:rsidRPr="006F0110">
              <w:rPr>
                <w:b/>
                <w:i/>
              </w:rPr>
              <w:t xml:space="preserve"> </w:t>
            </w:r>
            <w:r w:rsidRPr="006F0110">
              <w:t>16 odst.</w:t>
            </w:r>
            <w:r w:rsidRPr="006F0110">
              <w:rPr>
                <w:b/>
                <w:i/>
              </w:rPr>
              <w:t xml:space="preserve"> </w:t>
            </w:r>
            <w:r w:rsidRPr="006F0110">
              <w:t xml:space="preserve">1 písm. a) v rámci záruky EU uvedené v čl. 4 odst. 2 prvním pododstavci musí být podepsány nejpozději do </w:t>
            </w:r>
            <w:r w:rsidRPr="006F0110">
              <w:rPr>
                <w:b/>
                <w:i/>
              </w:rPr>
              <w:t>jednoho roku od schválení příslušné finanční nebo investiční operace prováděcího partnera</w:t>
            </w:r>
            <w:r w:rsidRPr="006F0110">
              <w:t>. V ostatních případech musí být smlouvy mezi prováděcím partnerem a konečným příjemcem nebo finančním zprostředkovatelem nebo jiným subjektem podle čl. 16 odst. 1 písm. a) podepsány do 31. prosince 2028.</w:t>
            </w:r>
          </w:p>
        </w:tc>
        <w:tc>
          <w:tcPr>
            <w:tcW w:w="4876" w:type="dxa"/>
            <w:hideMark/>
          </w:tcPr>
          <w:p w:rsidR="00A955A4" w:rsidRPr="006F0110" w:rsidRDefault="00A955A4" w:rsidP="000B188B">
            <w:pPr>
              <w:pStyle w:val="Normal6"/>
              <w:rPr>
                <w:szCs w:val="24"/>
              </w:rPr>
            </w:pPr>
            <w:r w:rsidRPr="006F0110">
              <w:rPr>
                <w:b/>
                <w:i/>
              </w:rPr>
              <w:t>Smlouvy mezi prováděcím partnerem a konečným příjemcem nebo finančním zprostředkovatelem nebo jiným subjektem podle čl. 16 odst. 1 písm. a) v rámci záruky EU uvedené v čl. 4 odst. 2 prvním pododstavci musí být podepsány nejpozději do 31. srpna 2026. V ostatních případech musí být smlouvy mezi prováděcím partnerem a konečným příjemcem nebo finančním zprostředkovatelem nebo jiným subjektem podle čl. 16 odst. 1 písm. a) podepsány do 31. prosince 2028.</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rPr>
          <w:rStyle w:val="HideTWBExt"/>
        </w:rPr>
      </w:pPr>
      <w:r w:rsidRPr="006F0110">
        <w:rPr>
          <w:rStyle w:val="HideTWBExt"/>
        </w:rPr>
        <w:t>&lt;/Amend&gt;</w:t>
      </w:r>
    </w:p>
    <w:p w:rsidR="00A955A4" w:rsidRPr="000A3393" w:rsidRDefault="00A955A4" w:rsidP="00A955A4">
      <w:pPr>
        <w:pStyle w:val="AMNumberTabs0"/>
      </w:pPr>
      <w:r>
        <w:rPr>
          <w:rStyle w:val="HideTWBExt"/>
        </w:rPr>
        <w:t>&lt;Amend&gt;</w:t>
      </w:r>
      <w:r>
        <w:t>Pozměňovací návrh</w:t>
      </w:r>
      <w:r>
        <w:tab/>
      </w:r>
      <w:r>
        <w:tab/>
      </w:r>
      <w:r>
        <w:rPr>
          <w:rStyle w:val="HideTWBExt"/>
        </w:rPr>
        <w:t>&lt;NumAm&gt;</w:t>
      </w:r>
      <w:r>
        <w:t>143</w:t>
      </w:r>
      <w:r>
        <w:rPr>
          <w:rStyle w:val="HideTWBExt"/>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pPr>
      <w:r>
        <w:rPr>
          <w:rStyle w:val="HideTWBExt"/>
          <w:b w:val="0"/>
        </w:rPr>
        <w:t>&lt;Article&gt;</w:t>
      </w:r>
      <w:r>
        <w:t>Čl. 5 – odst. -1 a (nový)</w:t>
      </w:r>
      <w:r>
        <w:rPr>
          <w:rStyle w:val="HideTWBExt"/>
          <w:b w:val="0"/>
        </w:rPr>
        <w:t>&lt;/Article&gt;</w:t>
      </w:r>
    </w:p>
    <w:p w:rsidR="00A955A4" w:rsidRPr="000A3393" w:rsidRDefault="00A955A4" w:rsidP="00A955A4">
      <w:pPr>
        <w:keepNext/>
      </w:pPr>
      <w:r>
        <w:rPr>
          <w:rStyle w:val="HideTWBExt"/>
        </w:rPr>
        <w:t>&lt;DocAmend2&gt;</w:t>
      </w:r>
      <w:r>
        <w:t>Nařízení (EU) č. 2021/523</w:t>
      </w:r>
      <w:r>
        <w:rPr>
          <w:rStyle w:val="HideTWBExt"/>
        </w:rPr>
        <w:t>&lt;/DocAmend2&gt;</w:t>
      </w:r>
    </w:p>
    <w:p w:rsidR="00A955A4" w:rsidRPr="000A3393" w:rsidRDefault="00A955A4" w:rsidP="00A955A4">
      <w:r>
        <w:rPr>
          <w:rStyle w:val="HideTWBExt"/>
        </w:rPr>
        <w:t>&lt;Article2&gt;</w:t>
      </w:r>
      <w:r>
        <w:t>Čl. 13 – odst. 7 – pododstavec 2</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keepNext/>
              <w:rPr>
                <w:lang w:val="fr-FR"/>
              </w:rPr>
            </w:pPr>
          </w:p>
        </w:tc>
      </w:tr>
      <w:tr w:rsidR="00A955A4" w:rsidTr="000B188B">
        <w:trPr>
          <w:jc w:val="center"/>
        </w:trPr>
        <w:tc>
          <w:tcPr>
            <w:tcW w:w="4876" w:type="dxa"/>
            <w:hideMark/>
          </w:tcPr>
          <w:p w:rsidR="00A955A4" w:rsidRPr="000A3393" w:rsidRDefault="00A955A4" w:rsidP="000B188B">
            <w:pPr>
              <w:pStyle w:val="ColumnHeading"/>
              <w:keepNext/>
            </w:pPr>
            <w:r>
              <w:t>Platné znění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 xml:space="preserve">Smlouvy mezi prováděcím partnerem a konečným příjemcem nebo finančním zprostředkovatelem nebo jiným subjektem podle čl. 16 odst. 1 písm. a) v rámci záruky EU uvedené v čl. 4 odst. 2 prvním pododstavci musí být podepsány nejpozději do </w:t>
            </w:r>
            <w:r>
              <w:rPr>
                <w:b/>
                <w:i/>
              </w:rPr>
              <w:t>jednoho roku od schválení příslušné finanční nebo investiční operace prováděcího partnera</w:t>
            </w:r>
            <w:r>
              <w:t>.</w:t>
            </w:r>
            <w:r>
              <w:rPr>
                <w:b/>
                <w:i/>
              </w:rPr>
              <w:t xml:space="preserve"> </w:t>
            </w:r>
            <w:r>
              <w:t>V ostatních případech musí být smlouvy mezi prováděcím partnerem a konečným příjemcem nebo finančním zprostředkovatelem nebo jiným subjektem podle čl. 16 odst. 1 písm. a) podepsány do 31. prosince 2028.</w:t>
            </w:r>
          </w:p>
        </w:tc>
        <w:tc>
          <w:tcPr>
            <w:tcW w:w="4876" w:type="dxa"/>
            <w:hideMark/>
          </w:tcPr>
          <w:p w:rsidR="00A955A4" w:rsidRPr="000A3393" w:rsidRDefault="00A955A4" w:rsidP="000B188B">
            <w:pPr>
              <w:pStyle w:val="Normal6"/>
              <w:rPr>
                <w:szCs w:val="24"/>
              </w:rPr>
            </w:pPr>
            <w:r>
              <w:t xml:space="preserve">Smlouvy mezi prováděcím partnerem a konečným příjemcem nebo finančním zprostředkovatelem nebo jiným subjektem podle čl. 16 odst. 1 písm. a) v rámci záruky EU uvedené v čl. 4 odst. 2 prvním pododstavci musí být podepsány nejpozději do </w:t>
            </w:r>
            <w:r>
              <w:rPr>
                <w:b/>
                <w:i/>
              </w:rPr>
              <w:t>31. srpna 2026</w:t>
            </w:r>
            <w:r>
              <w:t>.</w:t>
            </w:r>
            <w:r>
              <w:rPr>
                <w:b/>
                <w:i/>
              </w:rPr>
              <w:t xml:space="preserve"> </w:t>
            </w:r>
            <w:r>
              <w:t>V ostatních případech musí být smlouvy mezi prováděcím partnerem a konečným příjemcem nebo finančním zprostředkovatelem nebo jiným subjektem podle čl. 16 odst. 1 písm. a) podepsány do 31. prosince 2028.</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pPr>
        <w:pStyle w:val="CrossRef"/>
      </w:pPr>
      <w:r>
        <w:t>(https://eur-lex.europa.eu/legal-content/IT/TXT/PDF/?uri=CELEX:32021R0523&amp;from=GA)</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144</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Othmar Karas</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b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17 – odst. 2 – písm. h)</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b</w:t>
            </w:r>
            <w:r w:rsidRPr="006F0110">
              <w:rPr>
                <w:b/>
                <w:i/>
              </w:rPr>
              <w:tab/>
              <w:t>v čl. 17 odst. 2 se písmeno h)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(h) podávání finančních a operačních zpráv a monitorování finančních a investičních operací, na něž se vztahuje záruka EU;</w:t>
            </w:r>
          </w:p>
        </w:tc>
        <w:tc>
          <w:tcPr>
            <w:tcW w:w="4876" w:type="dxa"/>
            <w:hideMark/>
          </w:tcPr>
          <w:p w:rsidR="00A955A4" w:rsidRPr="006F0110" w:rsidRDefault="00A955A4" w:rsidP="000B188B">
            <w:pPr>
              <w:pStyle w:val="Normal6"/>
              <w:rPr>
                <w:szCs w:val="24"/>
              </w:rPr>
            </w:pPr>
            <w:r w:rsidRPr="006F0110">
              <w:t>(h) podávání finančních a operačních zpráv a monitorování finančních a investičních operací, na něž se vztahuje záruka EU</w:t>
            </w:r>
            <w:r w:rsidRPr="006F0110">
              <w:rPr>
                <w:b/>
                <w:i/>
              </w:rPr>
              <w:t>, zajištění přiměřenosti požadavků na podávání zpráv a monitorování, jakož i minimalizace jejich nákladů, aniž by byly ohroženy příslušné cíle InvestEU</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pStyle w:val="CrossRef"/>
      </w:pPr>
      <w:r w:rsidRPr="006F0110">
        <w:t>(32021R0523)</w:t>
      </w:r>
    </w:p>
    <w:p w:rsidR="00A955A4" w:rsidRPr="006F0110" w:rsidRDefault="00A955A4" w:rsidP="00A955A4">
      <w:pPr>
        <w:pStyle w:val="JustificationTitle"/>
        <w:rPr>
          <w:noProof w:val="0"/>
        </w:rPr>
      </w:pPr>
      <w:r w:rsidRPr="006F0110">
        <w:rPr>
          <w:rStyle w:val="HideTWBExt"/>
          <w:i w:val="0"/>
          <w:lang w:val="cs-CZ"/>
        </w:rPr>
        <w:t>&lt;TitreJust&gt;</w:t>
      </w:r>
      <w:r w:rsidRPr="006F0110">
        <w:t>Odůvodnění</w:t>
      </w:r>
      <w:r w:rsidRPr="006F0110">
        <w:rPr>
          <w:rStyle w:val="HideTWBExt"/>
          <w:i w:val="0"/>
          <w:lang w:val="cs-CZ"/>
        </w:rPr>
        <w:t>&lt;/TitreJust&gt;</w:t>
      </w:r>
    </w:p>
    <w:p w:rsidR="00A955A4" w:rsidRPr="006F0110" w:rsidRDefault="00A955A4" w:rsidP="00A955A4">
      <w:pPr>
        <w:pStyle w:val="Normal12Italic"/>
        <w:rPr>
          <w:noProof w:val="0"/>
        </w:rPr>
      </w:pPr>
      <w:r w:rsidRPr="006F0110">
        <w:t>Cílem tohoto pozměňovacího návrhu je zavést do záruční dohody přiměřené finanční a provozní požadavky na podávání zpráv a monitorování, aniž by byly ohroženy příslušné cíle InvestEU.</w:t>
      </w:r>
    </w:p>
    <w:p w:rsidR="00A955A4" w:rsidRPr="006F0110" w:rsidRDefault="00A955A4" w:rsidP="00A955A4">
      <w:pPr>
        <w:pStyle w:val="AMNumberTabs0"/>
        <w:keepNext/>
        <w:rPr>
          <w:b w:val="0"/>
        </w:rPr>
      </w:pPr>
      <w:r w:rsidRPr="006F0110">
        <w:rPr>
          <w:rStyle w:val="HideTWBExt"/>
          <w:b w:val="0"/>
          <w:lang w:val="cs-CZ"/>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145</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Fabio Massimo Castaldo</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pPr>
      <w:r w:rsidRPr="006F0110">
        <w:rPr>
          <w:rStyle w:val="HideTWBExt"/>
          <w:b w:val="0"/>
        </w:rPr>
        <w:t>&lt;Article&gt;</w:t>
      </w:r>
      <w:r w:rsidRPr="006F0110">
        <w:t>Čl. 5 – odst. -1 b (nový)</w:t>
      </w:r>
      <w:r w:rsidRPr="006F0110">
        <w:rPr>
          <w:rStyle w:val="HideTWBExt"/>
          <w:b w:val="0"/>
        </w:rPr>
        <w:t>&lt;/Article&gt;</w:t>
      </w:r>
    </w:p>
    <w:p w:rsidR="00A955A4" w:rsidRPr="006F0110" w:rsidRDefault="00A955A4" w:rsidP="00A955A4">
      <w:pPr>
        <w:keepNext/>
      </w:pPr>
      <w:r w:rsidRPr="006F0110">
        <w:rPr>
          <w:rStyle w:val="HideTWBExt"/>
        </w:rPr>
        <w:t>&lt;DocAmend2&gt;</w:t>
      </w:r>
      <w:r w:rsidRPr="006F0110">
        <w:t>Nařízení (EU) č. 2021/523</w:t>
      </w:r>
      <w:r w:rsidRPr="006F0110">
        <w:rPr>
          <w:rStyle w:val="HideTWBExt"/>
        </w:rPr>
        <w:t>&lt;/DocAmend2&gt;</w:t>
      </w:r>
    </w:p>
    <w:p w:rsidR="00A955A4" w:rsidRPr="006F0110" w:rsidRDefault="00A955A4" w:rsidP="00A955A4">
      <w:r w:rsidRPr="006F0110">
        <w:rPr>
          <w:rStyle w:val="HideTWBExt"/>
        </w:rPr>
        <w:t>&lt;Article2&gt;</w:t>
      </w:r>
      <w:r w:rsidRPr="006F0110">
        <w:t>Čl. 17 – odst. 2 – písm. h)</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 b</w:t>
            </w:r>
            <w:r w:rsidRPr="006F0110">
              <w:rPr>
                <w:b/>
                <w:i/>
              </w:rPr>
              <w:tab/>
              <w:t>v čl. 17 odst. 2 se písmeno h)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(h) podávání finančních a operačních zpráv a monitorování finančních a investičních operací, na něž se vztahuje záruka EU;</w:t>
            </w:r>
          </w:p>
        </w:tc>
        <w:tc>
          <w:tcPr>
            <w:tcW w:w="4876" w:type="dxa"/>
            <w:hideMark/>
          </w:tcPr>
          <w:p w:rsidR="00A955A4" w:rsidRPr="006F0110" w:rsidRDefault="00A955A4" w:rsidP="000B188B">
            <w:pPr>
              <w:pStyle w:val="Normal6"/>
              <w:rPr>
                <w:szCs w:val="24"/>
              </w:rPr>
            </w:pPr>
            <w:r w:rsidRPr="006F0110">
              <w:t>(h) podávání finančních a operačních zpráv a monitorování finančních a investičních operací, na něž se vztahuje záruka EU</w:t>
            </w:r>
            <w:r w:rsidRPr="006F0110">
              <w:rPr>
                <w:b/>
                <w:i/>
              </w:rPr>
              <w:t>, zajištění toho, aby požadavky na podávání zpráv byly přiměřené a umožňovaly dosáhnout cílů InvestEU a aby se zároveň minimalizovaly náklady pro všechny zúčastněné strany a konečné příjemce v souladu s cílem Unie snížit administrativní zátěž</w:t>
            </w:r>
            <w:r w:rsidRPr="006F0110">
              <w:t>;</w:t>
            </w:r>
            <w:r w:rsidRPr="006F0110">
              <w:rPr>
                <w:b/>
                <w:i/>
              </w:rPr>
              <w:t>“</w:t>
            </w:r>
          </w:p>
        </w:tc>
      </w:tr>
    </w:tbl>
    <w:p w:rsidR="00A955A4" w:rsidRPr="006F0110" w:rsidRDefault="00A955A4" w:rsidP="00A955A4">
      <w:pPr>
        <w:pStyle w:val="AmOrLang"/>
      </w:pPr>
      <w:r w:rsidRPr="006F0110">
        <w:t xml:space="preserve">Or. </w:t>
      </w:r>
      <w:r w:rsidRPr="006F0110">
        <w:rPr>
          <w:rStyle w:val="HideTWBExt"/>
          <w:rFonts w:eastAsiaTheme="majorEastAsia"/>
        </w:rPr>
        <w:t>&lt;Original&gt;</w:t>
      </w:r>
      <w:r w:rsidRPr="006F0110">
        <w:rPr>
          <w:rStyle w:val="HideTWBInt"/>
          <w:rFonts w:eastAsiaTheme="majorEastAsia"/>
        </w:rPr>
        <w:t>{EN}</w:t>
      </w:r>
      <w:r w:rsidRPr="006F0110">
        <w:t>en</w:t>
      </w:r>
      <w:r w:rsidRPr="006F0110">
        <w:rPr>
          <w:rStyle w:val="HideTWBExt"/>
          <w:rFonts w:eastAsiaTheme="majorEastAsia"/>
        </w:rPr>
        <w:t>&lt;/Original&gt;</w:t>
      </w:r>
    </w:p>
    <w:p w:rsidR="00A955A4" w:rsidRPr="006F0110" w:rsidRDefault="00A955A4" w:rsidP="00A955A4">
      <w:r w:rsidRPr="006F0110">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146</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rPr>
          <w:rStyle w:val="HideTWBExt"/>
        </w:rPr>
      </w:pPr>
    </w:p>
    <w:p w:rsidR="00A955A4" w:rsidRPr="006F0110" w:rsidRDefault="00A955A4" w:rsidP="00A955A4">
      <w:pPr>
        <w:pStyle w:val="NormalBold"/>
      </w:pPr>
      <w:r w:rsidRPr="006F0110">
        <w:rPr>
          <w:rStyle w:val="HideTWBExt"/>
          <w:b w:val="0"/>
        </w:rPr>
        <w:t>&lt;Article&gt;</w:t>
      </w:r>
      <w:r w:rsidRPr="006F0110">
        <w:t>Čl. 5 – odst. -1 b (nový)</w:t>
      </w:r>
      <w:r w:rsidRPr="006F0110">
        <w:rPr>
          <w:rStyle w:val="HideTWBExt"/>
          <w:b w:val="0"/>
        </w:rPr>
        <w:t>&lt;/Article&gt;</w:t>
      </w:r>
    </w:p>
    <w:p w:rsidR="00A955A4" w:rsidRPr="006F0110" w:rsidRDefault="00A955A4" w:rsidP="00A955A4">
      <w:pPr>
        <w:pStyle w:val="NormalBold"/>
        <w:rPr>
          <w:b w:val="0"/>
        </w:rPr>
      </w:pPr>
      <w:r w:rsidRPr="006F0110">
        <w:rPr>
          <w:rStyle w:val="HideTWBExt"/>
          <w:b w:val="0"/>
        </w:rPr>
        <w:t>&lt;DocAmend2&gt;</w:t>
      </w:r>
      <w:r w:rsidRPr="006F0110">
        <w:rPr>
          <w:b w:val="0"/>
        </w:rPr>
        <w:t>Nařízení (EU) č. 2021/523</w:t>
      </w:r>
      <w:r w:rsidRPr="006F0110">
        <w:rPr>
          <w:rStyle w:val="HideTWBExt"/>
          <w:b w:val="0"/>
        </w:rPr>
        <w:t>&lt;/DocAmend2&gt;</w:t>
      </w:r>
    </w:p>
    <w:p w:rsidR="00A955A4" w:rsidRPr="006F0110" w:rsidRDefault="00A955A4" w:rsidP="00A955A4">
      <w:r w:rsidRPr="006F0110">
        <w:rPr>
          <w:rStyle w:val="HideTWBExt"/>
        </w:rPr>
        <w:t>&lt;Article2&gt;</w:t>
      </w:r>
      <w:r w:rsidRPr="006F0110">
        <w:t>Čl. 17 – odst. 2 – písm. h)</w:t>
      </w:r>
      <w:r w:rsidRPr="006F0110">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rPr>
                <w:lang w:val="fr-FR"/>
              </w:rPr>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Platné znění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tcPr>
          <w:p w:rsidR="00A955A4" w:rsidRPr="006F0110" w:rsidRDefault="00A955A4" w:rsidP="000B188B">
            <w:pPr>
              <w:pStyle w:val="Normal6"/>
              <w:rPr>
                <w:lang w:val="en-GB"/>
              </w:rPr>
            </w:pPr>
          </w:p>
        </w:tc>
        <w:tc>
          <w:tcPr>
            <w:tcW w:w="4876" w:type="dxa"/>
            <w:hideMark/>
          </w:tcPr>
          <w:p w:rsidR="00A955A4" w:rsidRPr="006F0110" w:rsidRDefault="00A955A4" w:rsidP="000B188B">
            <w:pPr>
              <w:pStyle w:val="Normal6"/>
              <w:rPr>
                <w:szCs w:val="24"/>
              </w:rPr>
            </w:pPr>
            <w:r w:rsidRPr="006F0110">
              <w:rPr>
                <w:b/>
                <w:i/>
              </w:rPr>
              <w:t>-1b. v čl. 17 odst. 2 se písmeno h) nahrazuje tímto:</w:t>
            </w:r>
          </w:p>
        </w:tc>
      </w:tr>
      <w:tr w:rsidR="00A955A4" w:rsidRPr="006F0110" w:rsidTr="000B188B">
        <w:trPr>
          <w:jc w:val="center"/>
        </w:trPr>
        <w:tc>
          <w:tcPr>
            <w:tcW w:w="4876" w:type="dxa"/>
            <w:hideMark/>
          </w:tcPr>
          <w:p w:rsidR="00A955A4" w:rsidRPr="006F0110" w:rsidRDefault="00A955A4" w:rsidP="000B188B">
            <w:pPr>
              <w:pStyle w:val="Normal6"/>
            </w:pPr>
            <w:r w:rsidRPr="006F0110">
              <w:t xml:space="preserve">(h) podávání finančních a operačních zpráv a monitorování finančních a investičních operací, na </w:t>
            </w:r>
            <w:r w:rsidRPr="006F0110">
              <w:rPr>
                <w:b/>
                <w:i/>
              </w:rPr>
              <w:t>něž</w:t>
            </w:r>
            <w:r w:rsidRPr="006F0110">
              <w:t xml:space="preserve"> se </w:t>
            </w:r>
            <w:r w:rsidRPr="006F0110">
              <w:rPr>
                <w:b/>
                <w:i/>
              </w:rPr>
              <w:t>vztahuje záruka EU</w:t>
            </w:r>
            <w:r w:rsidRPr="006F0110">
              <w:t>;</w:t>
            </w:r>
          </w:p>
        </w:tc>
        <w:tc>
          <w:tcPr>
            <w:tcW w:w="4876" w:type="dxa"/>
            <w:hideMark/>
          </w:tcPr>
          <w:p w:rsidR="00A955A4" w:rsidRPr="006F0110" w:rsidRDefault="00A955A4" w:rsidP="000B188B">
            <w:pPr>
              <w:pStyle w:val="Normal6"/>
              <w:rPr>
                <w:szCs w:val="24"/>
              </w:rPr>
            </w:pPr>
            <w:r w:rsidRPr="006F0110">
              <w:t xml:space="preserve">(h) podávání finančních a operačních zpráv a monitorování finančních a investičních operací, </w:t>
            </w:r>
            <w:r w:rsidRPr="006F0110">
              <w:rPr>
                <w:b/>
                <w:i/>
              </w:rPr>
              <w:t xml:space="preserve">zajištění toho,  aby požadavky </w:t>
            </w:r>
            <w:r w:rsidRPr="006F0110">
              <w:t xml:space="preserve">na </w:t>
            </w:r>
            <w:r w:rsidRPr="006F0110">
              <w:rPr>
                <w:b/>
                <w:i/>
              </w:rPr>
              <w:t>podávání zpráv byly přiměřené a aby</w:t>
            </w:r>
            <w:r w:rsidRPr="006F0110">
              <w:t xml:space="preserve"> se </w:t>
            </w:r>
            <w:r w:rsidRPr="006F0110">
              <w:rPr>
                <w:b/>
                <w:i/>
              </w:rPr>
              <w:t>zároveň minimalizovaly náklady pro všechny zúčastněné strany a konečné příjemce</w:t>
            </w:r>
            <w:r w:rsidRPr="006F0110">
              <w:t>;</w:t>
            </w:r>
          </w:p>
        </w:tc>
      </w:tr>
    </w:tbl>
    <w:p w:rsidR="00A955A4" w:rsidRPr="006F0110" w:rsidRDefault="00A955A4" w:rsidP="00A955A4">
      <w:pPr>
        <w:pStyle w:val="O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Pr="006F0110" w:rsidRDefault="00A955A4" w:rsidP="00A955A4">
      <w:pPr>
        <w:rPr>
          <w:rStyle w:val="HideTWBExt"/>
        </w:rPr>
      </w:pPr>
      <w:r w:rsidRPr="006F0110">
        <w:rPr>
          <w:rStyle w:val="HideTWBExt"/>
        </w:rPr>
        <w:t>&lt;/Amend&gt;</w:t>
      </w:r>
    </w:p>
    <w:p w:rsidR="00A955A4" w:rsidRPr="000A3393" w:rsidRDefault="00A955A4" w:rsidP="00A955A4">
      <w:pPr>
        <w:pStyle w:val="AMNumberTabs0"/>
        <w:keepNext/>
      </w:pPr>
      <w:r>
        <w:rPr>
          <w:rStyle w:val="HideTWBExt"/>
          <w:b w:val="0"/>
          <w:lang w:val="en-GB"/>
        </w:rPr>
        <w:t>&lt;Amend&gt;</w:t>
      </w:r>
      <w:r>
        <w:t>Pozměňovací návrh</w:t>
      </w:r>
      <w:r>
        <w:tab/>
      </w:r>
      <w:r>
        <w:tab/>
      </w:r>
      <w:r>
        <w:rPr>
          <w:rStyle w:val="HideTWBExt"/>
          <w:b w:val="0"/>
          <w:lang w:val="en-GB"/>
        </w:rPr>
        <w:t>&lt;NumAm&gt;</w:t>
      </w:r>
      <w:r>
        <w:t>147</w:t>
      </w:r>
      <w:r>
        <w:rPr>
          <w:rStyle w:val="HideTWBExt"/>
          <w:b w:val="0"/>
          <w:lang w:val="en-GB"/>
        </w:rPr>
        <w:t>&lt;/NumAm&gt;</w:t>
      </w:r>
    </w:p>
    <w:p w:rsidR="00A955A4" w:rsidRPr="000A3393" w:rsidRDefault="00A955A4" w:rsidP="00A955A4">
      <w:pPr>
        <w:pStyle w:val="NormalBold"/>
      </w:pPr>
      <w:r>
        <w:rPr>
          <w:rStyle w:val="HideTWBExt"/>
          <w:b w:val="0"/>
        </w:rPr>
        <w:t>&lt;RepeatBlock-By&gt;&lt;Members&gt;</w:t>
      </w:r>
      <w:r>
        <w:t>Denis Nesci</w:t>
      </w:r>
      <w:r>
        <w:rPr>
          <w:rStyle w:val="HideTWBExt"/>
          <w:b w:val="0"/>
        </w:rPr>
        <w:t>&lt;/Members&gt;</w:t>
      </w:r>
    </w:p>
    <w:p w:rsidR="00A955A4" w:rsidRPr="000A3393" w:rsidRDefault="00A955A4" w:rsidP="00A955A4">
      <w:pPr>
        <w:rPr>
          <w:rStyle w:val="HideTWBExt"/>
        </w:rPr>
      </w:pPr>
      <w:r>
        <w:rPr>
          <w:rStyle w:val="HideTWBExt"/>
        </w:rPr>
        <w:t>&lt;/RepeatBlock-By&gt;</w:t>
      </w:r>
    </w:p>
    <w:p w:rsidR="00A955A4" w:rsidRPr="000A3393" w:rsidRDefault="00A955A4" w:rsidP="00A955A4">
      <w:pPr>
        <w:pStyle w:val="NormalBold"/>
        <w:keepNext/>
      </w:pPr>
      <w:r>
        <w:rPr>
          <w:rStyle w:val="HideTWBExt"/>
          <w:b w:val="0"/>
        </w:rPr>
        <w:t>&lt;DocAmend&gt;</w:t>
      </w:r>
      <w:r>
        <w:t>Návrh nařízení</w:t>
      </w:r>
      <w:r>
        <w:rPr>
          <w:rStyle w:val="HideTWBExt"/>
          <w:b w:val="0"/>
        </w:rPr>
        <w:t>&lt;/DocAmend&gt;</w:t>
      </w:r>
    </w:p>
    <w:p w:rsidR="00A955A4" w:rsidRPr="000A3393" w:rsidRDefault="00A955A4" w:rsidP="00A955A4">
      <w:pPr>
        <w:pStyle w:val="NormalBold"/>
      </w:pPr>
      <w:r>
        <w:rPr>
          <w:rStyle w:val="HideTWBExt"/>
          <w:b w:val="0"/>
        </w:rPr>
        <w:t>&lt;Article&gt;</w:t>
      </w:r>
      <w:r>
        <w:t>Čl. 5 – odst. -1 b (nový)</w:t>
      </w:r>
      <w:r>
        <w:rPr>
          <w:rStyle w:val="HideTWBExt"/>
          <w:b w:val="0"/>
        </w:rPr>
        <w:t>&lt;/Article&gt;</w:t>
      </w:r>
    </w:p>
    <w:p w:rsidR="00A955A4" w:rsidRPr="000A3393" w:rsidRDefault="00A955A4" w:rsidP="00A955A4">
      <w:pPr>
        <w:keepNext/>
      </w:pPr>
      <w:r>
        <w:rPr>
          <w:rStyle w:val="HideTWBExt"/>
        </w:rPr>
        <w:t>&lt;DocAmend2&gt;</w:t>
      </w:r>
      <w:r>
        <w:t>Nařízení (EU) č. 2021/523</w:t>
      </w:r>
      <w:r>
        <w:rPr>
          <w:rStyle w:val="HideTWBExt"/>
        </w:rPr>
        <w:t>&lt;/DocAmend2&gt;</w:t>
      </w:r>
    </w:p>
    <w:p w:rsidR="00A955A4" w:rsidRPr="000A3393" w:rsidRDefault="00A955A4" w:rsidP="00A955A4">
      <w:r>
        <w:rPr>
          <w:rStyle w:val="HideTWBExt"/>
        </w:rPr>
        <w:t>&lt;Article2&gt;</w:t>
      </w:r>
      <w:r>
        <w:t>Čl. 17 – odst. 2 – písm. h)</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Tr="000B188B">
        <w:trPr>
          <w:jc w:val="center"/>
        </w:trPr>
        <w:tc>
          <w:tcPr>
            <w:tcW w:w="9752" w:type="dxa"/>
            <w:gridSpan w:val="2"/>
          </w:tcPr>
          <w:p w:rsidR="00A955A4" w:rsidRPr="000A3393" w:rsidRDefault="00A955A4" w:rsidP="000B188B">
            <w:pPr>
              <w:rPr>
                <w:lang w:val="fr-FR"/>
              </w:rPr>
            </w:pPr>
          </w:p>
        </w:tc>
      </w:tr>
      <w:tr w:rsidR="00A955A4" w:rsidTr="000B188B">
        <w:trPr>
          <w:jc w:val="center"/>
        </w:trPr>
        <w:tc>
          <w:tcPr>
            <w:tcW w:w="4876" w:type="dxa"/>
            <w:hideMark/>
          </w:tcPr>
          <w:p w:rsidR="00A955A4" w:rsidRPr="000A3393" w:rsidRDefault="00A955A4" w:rsidP="000B188B">
            <w:pPr>
              <w:pStyle w:val="ColumnHeading"/>
              <w:keepNext/>
            </w:pPr>
            <w:r>
              <w:t>Platné znění</w:t>
            </w:r>
          </w:p>
        </w:tc>
        <w:tc>
          <w:tcPr>
            <w:tcW w:w="4876" w:type="dxa"/>
            <w:hideMark/>
          </w:tcPr>
          <w:p w:rsidR="00A955A4" w:rsidRPr="000A3393" w:rsidRDefault="00A955A4" w:rsidP="000B188B">
            <w:pPr>
              <w:pStyle w:val="ColumnHeading"/>
              <w:keepNext/>
            </w:pPr>
            <w:r>
              <w:t>Pozměňovací návrh</w:t>
            </w:r>
          </w:p>
        </w:tc>
      </w:tr>
      <w:tr w:rsidR="00A955A4" w:rsidTr="000B188B">
        <w:trPr>
          <w:jc w:val="center"/>
        </w:trPr>
        <w:tc>
          <w:tcPr>
            <w:tcW w:w="4876" w:type="dxa"/>
            <w:hideMark/>
          </w:tcPr>
          <w:p w:rsidR="00A955A4" w:rsidRPr="000A3393" w:rsidRDefault="00A955A4" w:rsidP="000B188B">
            <w:pPr>
              <w:pStyle w:val="Normal6"/>
            </w:pPr>
            <w:r>
              <w:t>h) podávání finančních a operačních zpráv a monitorování finančních a investičních operací, na něž se vztahuje záruka EU;</w:t>
            </w:r>
          </w:p>
        </w:tc>
        <w:tc>
          <w:tcPr>
            <w:tcW w:w="4876" w:type="dxa"/>
            <w:hideMark/>
          </w:tcPr>
          <w:p w:rsidR="00A955A4" w:rsidRPr="000A3393" w:rsidRDefault="00A955A4" w:rsidP="000B188B">
            <w:pPr>
              <w:pStyle w:val="Normal6"/>
              <w:rPr>
                <w:szCs w:val="24"/>
              </w:rPr>
            </w:pPr>
            <w:r>
              <w:t>"h) podávání finančních a operačních zpráv a monitorování finančních a investičních operací, na něž se vztahuje záruka EU</w:t>
            </w:r>
            <w:r>
              <w:rPr>
                <w:b/>
                <w:i/>
              </w:rPr>
              <w:t>, zajištění toho, aby požadavky na podávání zpráv byly přiměřené a umožňovaly dosažení cílů Programu InvestEU, přičemž se minimalizují náklady pro všechny zúčastněné strany a konečné příjemce v souladu s cílem Unie snížit administrativní zátěž;“</w:t>
            </w:r>
          </w:p>
        </w:tc>
      </w:tr>
    </w:tbl>
    <w:p w:rsidR="00A955A4" w:rsidRPr="000A3393" w:rsidRDefault="00A955A4" w:rsidP="00A955A4">
      <w:pPr>
        <w:pStyle w:val="Olang"/>
      </w:pPr>
      <w:r w:rsidRPr="000A3393">
        <w:t xml:space="preserve">Or. </w:t>
      </w:r>
      <w:r w:rsidRPr="000A3393">
        <w:rPr>
          <w:rStyle w:val="HideTWBExt"/>
        </w:rPr>
        <w:t>&lt;Original&gt;</w:t>
      </w:r>
      <w:r w:rsidRPr="000A3393">
        <w:rPr>
          <w:rStyle w:val="HideTWBInt"/>
          <w:rFonts w:eastAsiaTheme="majorEastAsia"/>
        </w:rPr>
        <w:t>{IT}</w:t>
      </w:r>
      <w:r w:rsidRPr="000A3393">
        <w:t>it</w:t>
      </w:r>
      <w:r w:rsidRPr="000A3393">
        <w:rPr>
          <w:rStyle w:val="HideTWBExt"/>
        </w:rPr>
        <w:t>&lt;/Original&gt;</w:t>
      </w:r>
    </w:p>
    <w:p w:rsidR="00A955A4" w:rsidRPr="000A3393" w:rsidRDefault="00A955A4" w:rsidP="00A955A4">
      <w:pPr>
        <w:pStyle w:val="CrossRef"/>
      </w:pPr>
      <w:r>
        <w:t>(https://eur-lex.europa.eu/legal-content/IT/TXT/PDF/?uri=CELEX:32021R0523&amp;from=GA)</w:t>
      </w:r>
    </w:p>
    <w:p w:rsidR="00A955A4" w:rsidRPr="000A3393" w:rsidRDefault="00A955A4" w:rsidP="00A955A4">
      <w:r>
        <w:rPr>
          <w:rStyle w:val="HideTWBExt"/>
        </w:rPr>
        <w:t>&lt;/Amend&gt;</w:t>
      </w:r>
    </w:p>
    <w:p w:rsidR="00A955A4" w:rsidRPr="006F0110" w:rsidRDefault="00A955A4" w:rsidP="00A955A4">
      <w:pPr>
        <w:pStyle w:val="AMNumberTabs0"/>
        <w:keepNext/>
      </w:pPr>
      <w:r w:rsidRPr="006F0110">
        <w:rPr>
          <w:rStyle w:val="HideTWBExt"/>
          <w:b w:val="0"/>
          <w:lang w:val="cs-CZ"/>
        </w:rPr>
        <w:t>&lt;Amend&gt;</w:t>
      </w:r>
      <w:r w:rsidRPr="006F0110">
        <w:t>Pozměňovací návrh</w:t>
      </w:r>
      <w:r w:rsidRPr="006F0110">
        <w:tab/>
      </w:r>
      <w:r w:rsidRPr="006F0110">
        <w:tab/>
      </w:r>
      <w:r w:rsidRPr="006F0110">
        <w:rPr>
          <w:rStyle w:val="HideTWBExt"/>
          <w:b w:val="0"/>
          <w:lang w:val="cs-CZ"/>
        </w:rPr>
        <w:t>&lt;NumAm&gt;</w:t>
      </w:r>
      <w:r w:rsidRPr="006F0110">
        <w:t>148</w:t>
      </w:r>
      <w:r w:rsidRPr="006F0110">
        <w:rPr>
          <w:rStyle w:val="HideTWBExt"/>
          <w:b w:val="0"/>
          <w:lang w:val="cs-CZ"/>
        </w:rPr>
        <w:t>&lt;/NumAm&gt;</w:t>
      </w:r>
    </w:p>
    <w:p w:rsidR="00A955A4" w:rsidRPr="006F0110" w:rsidRDefault="00A955A4" w:rsidP="00A955A4">
      <w:pPr>
        <w:pStyle w:val="NormalBold"/>
      </w:pPr>
      <w:r w:rsidRPr="006F0110">
        <w:rPr>
          <w:rStyle w:val="HideTWBExt"/>
          <w:b w:val="0"/>
        </w:rPr>
        <w:t>&lt;RepeatBlock-By&gt;&lt;Members&gt;</w:t>
      </w:r>
      <w:r w:rsidRPr="006F0110">
        <w:t>Alfred Sant</w:t>
      </w:r>
      <w:r w:rsidRPr="006F0110">
        <w:rPr>
          <w:rStyle w:val="HideTWBExt"/>
          <w:b w:val="0"/>
        </w:rPr>
        <w:t>&lt;/Members&gt;</w:t>
      </w:r>
    </w:p>
    <w:p w:rsidR="00A955A4" w:rsidRPr="006F0110" w:rsidRDefault="00A955A4" w:rsidP="00A955A4">
      <w:r w:rsidRPr="006F0110">
        <w:rPr>
          <w:rStyle w:val="HideTWBExt"/>
        </w:rPr>
        <w:t>&lt;/RepeatBlock-By&gt;</w:t>
      </w:r>
    </w:p>
    <w:p w:rsidR="00A955A4" w:rsidRPr="006F0110" w:rsidRDefault="00A955A4" w:rsidP="00A955A4">
      <w:pPr>
        <w:pStyle w:val="NormalBold"/>
        <w:keepNext/>
      </w:pPr>
      <w:r w:rsidRPr="006F0110">
        <w:rPr>
          <w:rStyle w:val="HideTWBExt"/>
          <w:b w:val="0"/>
        </w:rPr>
        <w:t>&lt;DocAmend&gt;</w:t>
      </w:r>
      <w:r w:rsidRPr="006F0110">
        <w:t>Návrh nařízení</w:t>
      </w:r>
      <w:r w:rsidRPr="006F0110">
        <w:rPr>
          <w:rStyle w:val="HideTWBExt"/>
          <w:b w:val="0"/>
        </w:rPr>
        <w:t>&lt;/DocAmend&gt;</w:t>
      </w:r>
    </w:p>
    <w:p w:rsidR="00A955A4" w:rsidRPr="006F0110" w:rsidRDefault="00A955A4" w:rsidP="00A955A4">
      <w:pPr>
        <w:pStyle w:val="NormalBold"/>
        <w:keepNext/>
      </w:pPr>
      <w:r w:rsidRPr="006F0110">
        <w:rPr>
          <w:rStyle w:val="HideTWBExt"/>
          <w:b w:val="0"/>
        </w:rPr>
        <w:t>&lt;Article&gt;</w:t>
      </w:r>
      <w:r w:rsidRPr="006F0110">
        <w:t>Čl. 5 – odst. 1 – bod 1</w:t>
      </w:r>
      <w:r w:rsidRPr="006F0110">
        <w:rPr>
          <w:rStyle w:val="HideTWBExt"/>
          <w:b w:val="0"/>
        </w:rPr>
        <w:t>&lt;/Article&gt;</w:t>
      </w:r>
    </w:p>
    <w:p w:rsidR="00A955A4" w:rsidRPr="006F0110" w:rsidRDefault="00A955A4" w:rsidP="00A955A4">
      <w:pPr>
        <w:pStyle w:val="NormalBold"/>
      </w:pPr>
      <w:r w:rsidRPr="006F0110">
        <w:rPr>
          <w:rStyle w:val="HideTWBExt"/>
          <w:b w:val="0"/>
        </w:rPr>
        <w:t>&lt;Article2&gt;</w:t>
      </w:r>
      <w:r w:rsidRPr="006F0110">
        <w:rPr>
          <w:b w:val="0"/>
        </w:rPr>
        <w:t>Nařízení (EU) č. 2021/523</w:t>
      </w:r>
      <w:r w:rsidRPr="006F0110">
        <w:rPr>
          <w:rStyle w:val="HideTWBExt"/>
          <w:b w:val="0"/>
        </w:rPr>
        <w:t>&lt;/Article2&gt;</w:t>
      </w:r>
    </w:p>
    <w:p w:rsidR="00A955A4" w:rsidRPr="006F0110" w:rsidRDefault="00A955A4" w:rsidP="00A955A4">
      <w:pPr>
        <w:keepNext/>
      </w:pPr>
      <w:r w:rsidRPr="006F0110">
        <w:rPr>
          <w:rStyle w:val="HideTWBExt"/>
        </w:rPr>
        <w:t>&lt;DocAmend2&gt;</w:t>
      </w:r>
      <w:r w:rsidRPr="006F0110">
        <w:t>Čl. 28 – odst. 4</w:t>
      </w:r>
      <w:r w:rsidRPr="006F0110">
        <w:rPr>
          <w:rStyle w:val="HideTWBExt"/>
        </w:rPr>
        <w:t>&lt;/DocAmend2&gt;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55A4" w:rsidRPr="006F0110" w:rsidTr="000B188B">
        <w:trPr>
          <w:jc w:val="center"/>
        </w:trPr>
        <w:tc>
          <w:tcPr>
            <w:tcW w:w="9752" w:type="dxa"/>
            <w:gridSpan w:val="2"/>
          </w:tcPr>
          <w:p w:rsidR="00A955A4" w:rsidRPr="006F0110" w:rsidRDefault="00A955A4" w:rsidP="000B188B">
            <w:pPr>
              <w:keepNext/>
            </w:pPr>
          </w:p>
        </w:tc>
      </w:tr>
      <w:tr w:rsidR="00A955A4" w:rsidRPr="006F0110" w:rsidTr="000B188B">
        <w:trPr>
          <w:jc w:val="center"/>
        </w:trPr>
        <w:tc>
          <w:tcPr>
            <w:tcW w:w="4876" w:type="dxa"/>
            <w:hideMark/>
          </w:tcPr>
          <w:p w:rsidR="00A955A4" w:rsidRPr="006F0110" w:rsidRDefault="00A955A4" w:rsidP="000B188B">
            <w:pPr>
              <w:pStyle w:val="ColumnHeading"/>
              <w:keepNext/>
            </w:pPr>
            <w:r w:rsidRPr="006F0110">
              <w:t>Znění navržené Komisí</w:t>
            </w:r>
          </w:p>
        </w:tc>
        <w:tc>
          <w:tcPr>
            <w:tcW w:w="4876" w:type="dxa"/>
            <w:hideMark/>
          </w:tcPr>
          <w:p w:rsidR="00A955A4" w:rsidRPr="006F0110" w:rsidRDefault="00A955A4" w:rsidP="000B188B">
            <w:pPr>
              <w:pStyle w:val="ColumnHeading"/>
              <w:keepNext/>
            </w:pPr>
            <w:r w:rsidRPr="006F0110">
              <w:t>Pozměňovací návrh</w:t>
            </w:r>
          </w:p>
        </w:tc>
      </w:tr>
      <w:tr w:rsidR="00A955A4" w:rsidRPr="006F0110" w:rsidTr="000B188B">
        <w:trPr>
          <w:jc w:val="center"/>
        </w:trPr>
        <w:tc>
          <w:tcPr>
            <w:tcW w:w="4876" w:type="dxa"/>
            <w:hideMark/>
          </w:tcPr>
          <w:p w:rsidR="00A955A4" w:rsidRPr="006F0110" w:rsidRDefault="00A955A4" w:rsidP="000B188B">
            <w:pPr>
              <w:pStyle w:val="Normal6"/>
            </w:pPr>
            <w:r w:rsidRPr="006F0110">
              <w:t>4.</w:t>
            </w:r>
            <w:r w:rsidRPr="006F0110">
              <w:tab/>
              <w:t>Každý prováděcí partner předloží Komisi jednou ročně zprávu o finančních a investičních operacích, na něž se vztahuje toto nařízení a jež se ve zprávě v příslušných případech rozdělí na složku EU a složku členského státu. Každý prováděcí partner rovněž předloží informace o složce členského státu tomu členskému státu, jehož složku provádí. Zpráva musí obsahovat posouzení dodržování požadavků ohledně využití záruky EU a souladu s klíčovými ukazateli výkonnosti uvedenými v příloze III tohoto nařízení. Zpráva musí rovněž obsahovat operační, statistické, finanční a účetní údaje ke každé finanční nebo investiční operaci a odhad očekávaných peněžních toků na úrovni složky, oblasti politiky a Fondu InvestEU. Ve zprávě skupiny EIB a případně dalších prováděcích partnerů musí být uvedeny rovněž informace o překážkách pro investice, které se vyskytly při provádění finančních a investičních operací, na něž se vztahuje toto nařízení. Ve zprávách musí být uvedeny informace, které mají prováděcí partneři povinnost poskytovat podle čl. 155 odst. 1 písm. a) finančního nařízení.</w:t>
            </w:r>
          </w:p>
        </w:tc>
        <w:tc>
          <w:tcPr>
            <w:tcW w:w="4876" w:type="dxa"/>
            <w:hideMark/>
          </w:tcPr>
          <w:p w:rsidR="00A955A4" w:rsidRPr="006F0110" w:rsidRDefault="00A955A4" w:rsidP="000B188B">
            <w:pPr>
              <w:pStyle w:val="Normal6"/>
              <w:rPr>
                <w:szCs w:val="24"/>
              </w:rPr>
            </w:pPr>
            <w:r w:rsidRPr="006F0110">
              <w:t>4.</w:t>
            </w:r>
            <w:r w:rsidRPr="006F0110">
              <w:tab/>
              <w:t>Každý prováděcí partner předloží Komisi jednou ročně zprávu o finančních a investičních operacích, na něž se vztahuje toto nařízení a jež se ve zprávě v příslušných případech rozdělí na složku EU a složku členského státu. Každý prováděcí partner rovněž předloží informace o složce členského státu tomu členskému státu, jehož složku provádí. Zpráva musí obsahovat posouzení dodržování požadavků ohledně využití záruky EU a souladu s klíčovými ukazateli výkonnosti uvedenými v příloze III tohoto nařízení. Zpráva musí rovněž obsahovat operační, statistické, finanční a účetní údaje</w:t>
            </w:r>
            <w:r w:rsidRPr="006F0110">
              <w:rPr>
                <w:b/>
                <w:i/>
              </w:rPr>
              <w:t>, včetně výsledků všech zveřejněných auditů,</w:t>
            </w:r>
            <w:r w:rsidRPr="006F0110">
              <w:t xml:space="preserve"> ke každé finanční nebo investiční operaci a odhad očekávaných peněžních toků na úrovni složky, oblasti politiky a Fondu InvestEU. Ve zprávě skupiny EIB a případně dalších prováděcích partnerů musí být uvedeny rovněž informace o překážkách pro investice, které se vyskytly při provádění finančních a investičních operací, na něž se vztahuje toto nařízení. Ve zprávách musí být uvedeny informace, které mají prováděcí partneři povinnost poskytovat podle čl. 155 odst. 1 písm. a) finančního nařízení.</w:t>
            </w:r>
          </w:p>
        </w:tc>
      </w:tr>
    </w:tbl>
    <w:p w:rsidR="00A955A4" w:rsidRPr="006F0110" w:rsidRDefault="00A955A4" w:rsidP="00A955A4">
      <w:pPr>
        <w:pStyle w:val="AmOrLang"/>
      </w:pPr>
      <w:r w:rsidRPr="006F0110">
        <w:t xml:space="preserve">Or. </w:t>
      </w:r>
      <w:r w:rsidRPr="006F0110">
        <w:rPr>
          <w:rStyle w:val="HideTWBExt"/>
        </w:rPr>
        <w:t>&lt;Original&gt;</w:t>
      </w:r>
      <w:r w:rsidRPr="006F0110">
        <w:rPr>
          <w:rStyle w:val="HideTWBInt"/>
          <w:rFonts w:eastAsiaTheme="majorEastAsia"/>
        </w:rPr>
        <w:t>{EN}</w:t>
      </w:r>
      <w:r w:rsidRPr="006F0110">
        <w:t>en</w:t>
      </w:r>
      <w:r w:rsidRPr="006F0110">
        <w:rPr>
          <w:rStyle w:val="HideTWBExt"/>
        </w:rPr>
        <w:t>&lt;/Original&gt;</w:t>
      </w:r>
    </w:p>
    <w:p w:rsidR="00A955A4" w:rsidRDefault="00A955A4" w:rsidP="00A955A4">
      <w:r w:rsidRPr="006F0110">
        <w:rPr>
          <w:rStyle w:val="HideTWBExt"/>
        </w:rPr>
        <w:t>&lt;/Amend&gt;</w:t>
      </w:r>
      <w:r w:rsidRPr="00A955A4">
        <w:rPr>
          <w:rStyle w:val="HideTWBExt"/>
        </w:rPr>
        <w:t>&lt;/RepeatBlock-Amend&gt;</w:t>
      </w:r>
    </w:p>
    <w:p w:rsidR="002004D0" w:rsidRPr="000A3393" w:rsidRDefault="002004D0" w:rsidP="00A955A4"/>
    <w:p w:rsidR="008363E4" w:rsidRPr="007C7F9B" w:rsidRDefault="008363E4" w:rsidP="002004D0">
      <w:pPr>
        <w:pStyle w:val="CoverNormal24a"/>
      </w:pPr>
    </w:p>
    <w:sectPr w:rsidR="008363E4" w:rsidRPr="007C7F9B"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4D0" w:rsidRPr="007C7F9B" w:rsidRDefault="002004D0">
      <w:r w:rsidRPr="007C7F9B">
        <w:separator/>
      </w:r>
    </w:p>
  </w:endnote>
  <w:endnote w:type="continuationSeparator" w:id="0">
    <w:p w:rsidR="002004D0" w:rsidRPr="007C7F9B" w:rsidRDefault="002004D0">
      <w:r w:rsidRPr="007C7F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4D0" w:rsidRPr="007C7F9B" w:rsidRDefault="002004D0" w:rsidP="00EA25AE">
    <w:pPr>
      <w:pStyle w:val="EPFooter"/>
    </w:pPr>
    <w:r w:rsidRPr="007C7F9B">
      <w:t>PE</w:t>
    </w:r>
    <w:r w:rsidRPr="007C7F9B">
      <w:rPr>
        <w:rStyle w:val="HideTWBExt"/>
      </w:rPr>
      <w:t>&lt;NoPE&gt;</w:t>
    </w:r>
    <w:r w:rsidRPr="002004D0">
      <w:t>757.995</w:t>
    </w:r>
    <w:r w:rsidRPr="007C7F9B">
      <w:rPr>
        <w:rStyle w:val="HideTWBExt"/>
      </w:rPr>
      <w:t>&lt;/NoPE&gt;&lt;Version&gt;</w:t>
    </w:r>
    <w:r w:rsidRPr="007C7F9B">
      <w:t>v</w:t>
    </w:r>
    <w:r w:rsidRPr="002004D0">
      <w:t>01-00</w:t>
    </w:r>
    <w:r w:rsidRPr="007C7F9B">
      <w:rPr>
        <w:rStyle w:val="HideTWBExt"/>
      </w:rPr>
      <w:t>&lt;/Version&gt;</w:t>
    </w:r>
    <w:r w:rsidRPr="007C7F9B">
      <w:tab/>
    </w:r>
    <w:r w:rsidRPr="007C7F9B">
      <w:fldChar w:fldCharType="begin"/>
    </w:r>
    <w:r w:rsidRPr="007C7F9B">
      <w:instrText xml:space="preserve"> PAGE </w:instrText>
    </w:r>
    <w:r w:rsidRPr="007C7F9B">
      <w:fldChar w:fldCharType="separate"/>
    </w:r>
    <w:r w:rsidR="004D3158">
      <w:rPr>
        <w:noProof/>
      </w:rPr>
      <w:t>2</w:t>
    </w:r>
    <w:r w:rsidRPr="007C7F9B">
      <w:fldChar w:fldCharType="end"/>
    </w:r>
    <w:r w:rsidRPr="007C7F9B">
      <w:t>/</w:t>
    </w:r>
    <w:r w:rsidRPr="007C7F9B">
      <w:fldChar w:fldCharType="begin"/>
    </w:r>
    <w:r w:rsidRPr="007C7F9B">
      <w:instrText xml:space="preserve"> NUMPAGES </w:instrText>
    </w:r>
    <w:r w:rsidRPr="007C7F9B">
      <w:fldChar w:fldCharType="separate"/>
    </w:r>
    <w:r w:rsidR="004D3158">
      <w:rPr>
        <w:noProof/>
      </w:rPr>
      <w:t>45</w:t>
    </w:r>
    <w:r w:rsidRPr="007C7F9B">
      <w:rPr>
        <w:noProof/>
      </w:rPr>
      <w:fldChar w:fldCharType="end"/>
    </w:r>
    <w:r w:rsidRPr="007C7F9B">
      <w:tab/>
    </w:r>
    <w:r w:rsidRPr="007C7F9B">
      <w:rPr>
        <w:rStyle w:val="HideTWBExt"/>
      </w:rPr>
      <w:t>&lt;PathFdR&gt;</w:t>
    </w:r>
    <w:r w:rsidRPr="002004D0">
      <w:t>AM\1293725CS.docx</w:t>
    </w:r>
    <w:r w:rsidRPr="007C7F9B">
      <w:rPr>
        <w:rStyle w:val="HideTWBExt"/>
      </w:rPr>
      <w:t>&lt;/PathFdR&gt;</w:t>
    </w:r>
  </w:p>
  <w:p w:rsidR="002004D0" w:rsidRPr="007C7F9B" w:rsidRDefault="002004D0">
    <w:pPr>
      <w:pStyle w:val="EPFooter2"/>
    </w:pPr>
    <w:r w:rsidRPr="007C7F9B">
      <w:fldChar w:fldCharType="begin"/>
    </w:r>
    <w:r w:rsidRPr="007C7F9B">
      <w:instrText xml:space="preserve"> DOCPROPERTY "&lt;Extension&gt;" </w:instrText>
    </w:r>
    <w:r w:rsidRPr="007C7F9B">
      <w:fldChar w:fldCharType="separate"/>
    </w:r>
    <w:r w:rsidR="004D3158">
      <w:t>CS</w:t>
    </w:r>
    <w:r w:rsidRPr="007C7F9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4D0" w:rsidRPr="007C7F9B" w:rsidRDefault="002004D0" w:rsidP="00EA25AE">
    <w:pPr>
      <w:pStyle w:val="EPFooter"/>
    </w:pPr>
    <w:r w:rsidRPr="007C7F9B">
      <w:rPr>
        <w:rStyle w:val="HideTWBExt"/>
      </w:rPr>
      <w:t>&lt;PathFdR&gt;</w:t>
    </w:r>
    <w:r w:rsidRPr="002004D0">
      <w:t>AM\1293725CS.docx</w:t>
    </w:r>
    <w:r w:rsidRPr="007C7F9B">
      <w:rPr>
        <w:rStyle w:val="HideTWBExt"/>
      </w:rPr>
      <w:t>&lt;/PathFdR&gt;</w:t>
    </w:r>
    <w:r w:rsidRPr="007C7F9B">
      <w:tab/>
    </w:r>
    <w:r w:rsidRPr="007C7F9B">
      <w:fldChar w:fldCharType="begin"/>
    </w:r>
    <w:r w:rsidRPr="007C7F9B">
      <w:instrText xml:space="preserve"> PAGE </w:instrText>
    </w:r>
    <w:r w:rsidRPr="007C7F9B">
      <w:fldChar w:fldCharType="separate"/>
    </w:r>
    <w:r w:rsidR="004D3158">
      <w:rPr>
        <w:noProof/>
      </w:rPr>
      <w:t>45</w:t>
    </w:r>
    <w:r w:rsidRPr="007C7F9B">
      <w:fldChar w:fldCharType="end"/>
    </w:r>
    <w:r w:rsidRPr="007C7F9B">
      <w:t>/</w:t>
    </w:r>
    <w:r w:rsidRPr="007C7F9B">
      <w:fldChar w:fldCharType="begin"/>
    </w:r>
    <w:r w:rsidRPr="007C7F9B">
      <w:instrText xml:space="preserve"> NUMPAGES </w:instrText>
    </w:r>
    <w:r w:rsidRPr="007C7F9B">
      <w:fldChar w:fldCharType="separate"/>
    </w:r>
    <w:r w:rsidR="004D3158">
      <w:rPr>
        <w:noProof/>
      </w:rPr>
      <w:t>45</w:t>
    </w:r>
    <w:r w:rsidRPr="007C7F9B">
      <w:rPr>
        <w:noProof/>
      </w:rPr>
      <w:fldChar w:fldCharType="end"/>
    </w:r>
    <w:r w:rsidRPr="007C7F9B">
      <w:tab/>
      <w:t>PE</w:t>
    </w:r>
    <w:r w:rsidRPr="007C7F9B">
      <w:rPr>
        <w:rStyle w:val="HideTWBExt"/>
      </w:rPr>
      <w:t>&lt;NoPE&gt;</w:t>
    </w:r>
    <w:r w:rsidRPr="002004D0">
      <w:t>757.995</w:t>
    </w:r>
    <w:r w:rsidRPr="007C7F9B">
      <w:rPr>
        <w:rStyle w:val="HideTWBExt"/>
      </w:rPr>
      <w:t>&lt;/NoPE&gt;&lt;Version&gt;</w:t>
    </w:r>
    <w:r w:rsidRPr="007C7F9B">
      <w:t>v</w:t>
    </w:r>
    <w:r w:rsidRPr="002004D0">
      <w:t>01-00</w:t>
    </w:r>
    <w:r w:rsidRPr="007C7F9B">
      <w:rPr>
        <w:rStyle w:val="HideTWBExt"/>
      </w:rPr>
      <w:t>&lt;/Version&gt;</w:t>
    </w:r>
  </w:p>
  <w:p w:rsidR="002004D0" w:rsidRPr="007C7F9B" w:rsidRDefault="002004D0">
    <w:pPr>
      <w:pStyle w:val="EPFooter2"/>
    </w:pPr>
    <w:r w:rsidRPr="007C7F9B">
      <w:tab/>
    </w:r>
    <w:r w:rsidRPr="007C7F9B">
      <w:tab/>
    </w:r>
    <w:r w:rsidRPr="007C7F9B">
      <w:fldChar w:fldCharType="begin"/>
    </w:r>
    <w:r w:rsidRPr="007C7F9B">
      <w:instrText xml:space="preserve"> DOCPROPERTY "&lt;Extension&gt;" </w:instrText>
    </w:r>
    <w:r w:rsidRPr="007C7F9B">
      <w:fldChar w:fldCharType="separate"/>
    </w:r>
    <w:r w:rsidR="004D3158">
      <w:t>CS</w:t>
    </w:r>
    <w:r w:rsidRPr="007C7F9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04D0" w:rsidRPr="007C7F9B" w:rsidRDefault="002004D0" w:rsidP="00EA25AE">
    <w:pPr>
      <w:pStyle w:val="EPFooter"/>
    </w:pPr>
    <w:r w:rsidRPr="007C7F9B">
      <w:rPr>
        <w:rStyle w:val="HideTWBExt"/>
      </w:rPr>
      <w:t>&lt;PathFdR&gt;</w:t>
    </w:r>
    <w:r w:rsidRPr="002004D0">
      <w:t>AM\1293725CS.docx</w:t>
    </w:r>
    <w:r w:rsidRPr="007C7F9B">
      <w:rPr>
        <w:rStyle w:val="HideTWBExt"/>
      </w:rPr>
      <w:t>&lt;/PathFdR&gt;</w:t>
    </w:r>
    <w:r w:rsidRPr="007C7F9B">
      <w:tab/>
    </w:r>
    <w:r w:rsidRPr="007C7F9B">
      <w:tab/>
      <w:t>PE</w:t>
    </w:r>
    <w:r w:rsidRPr="007C7F9B">
      <w:rPr>
        <w:rStyle w:val="HideTWBExt"/>
      </w:rPr>
      <w:t>&lt;NoPE&gt;</w:t>
    </w:r>
    <w:r w:rsidRPr="002004D0">
      <w:t>757.995</w:t>
    </w:r>
    <w:r w:rsidRPr="007C7F9B">
      <w:rPr>
        <w:rStyle w:val="HideTWBExt"/>
      </w:rPr>
      <w:t>&lt;/NoPE&gt;&lt;Version&gt;</w:t>
    </w:r>
    <w:r w:rsidRPr="007C7F9B">
      <w:t>v</w:t>
    </w:r>
    <w:r w:rsidRPr="002004D0">
      <w:t>01-00</w:t>
    </w:r>
    <w:r w:rsidRPr="007C7F9B">
      <w:rPr>
        <w:rStyle w:val="HideTWBExt"/>
      </w:rPr>
      <w:t>&lt;/Version&gt;</w:t>
    </w:r>
  </w:p>
  <w:p w:rsidR="002004D0" w:rsidRPr="007C7F9B" w:rsidRDefault="002004D0" w:rsidP="00CC3983">
    <w:pPr>
      <w:pStyle w:val="EPFooter2"/>
      <w:tabs>
        <w:tab w:val="clear" w:pos="4535"/>
        <w:tab w:val="center" w:pos="4536"/>
      </w:tabs>
    </w:pPr>
    <w:r w:rsidRPr="007C7F9B">
      <w:fldChar w:fldCharType="begin"/>
    </w:r>
    <w:r w:rsidRPr="007C7F9B">
      <w:instrText xml:space="preserve"> DOCPROPERTY "&lt;Extension&gt;" </w:instrText>
    </w:r>
    <w:r w:rsidRPr="007C7F9B">
      <w:fldChar w:fldCharType="separate"/>
    </w:r>
    <w:r w:rsidR="004D3158">
      <w:t>CS</w:t>
    </w:r>
    <w:r w:rsidRPr="007C7F9B">
      <w:fldChar w:fldCharType="end"/>
    </w:r>
    <w:r w:rsidRPr="007C7F9B">
      <w:tab/>
    </w:r>
    <w:r>
      <w:rPr>
        <w:b w:val="0"/>
        <w:i/>
        <w:color w:val="C0C0C0"/>
        <w:sz w:val="22"/>
        <w:szCs w:val="22"/>
      </w:rPr>
      <w:t>Jednotná v rozmanitosti</w:t>
    </w:r>
    <w:r w:rsidRPr="007C7F9B">
      <w:tab/>
    </w:r>
    <w:r w:rsidRPr="007C7F9B">
      <w:fldChar w:fldCharType="begin"/>
    </w:r>
    <w:r w:rsidRPr="007C7F9B">
      <w:instrText xml:space="preserve"> DOCPROPERTY "&lt;Extension&gt;" </w:instrText>
    </w:r>
    <w:r w:rsidRPr="007C7F9B">
      <w:fldChar w:fldCharType="separate"/>
    </w:r>
    <w:r w:rsidR="004D3158">
      <w:t>CS</w:t>
    </w:r>
    <w:r w:rsidRPr="007C7F9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4D0" w:rsidRPr="007C7F9B" w:rsidRDefault="002004D0">
      <w:r w:rsidRPr="007C7F9B">
        <w:separator/>
      </w:r>
    </w:p>
  </w:footnote>
  <w:footnote w:type="continuationSeparator" w:id="0">
    <w:p w:rsidR="002004D0" w:rsidRPr="007C7F9B" w:rsidRDefault="002004D0">
      <w:r w:rsidRPr="007C7F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5A4" w:rsidRDefault="00A955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5A4" w:rsidRDefault="00A955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5A4" w:rsidRDefault="00A955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MKEY" w:val="ECON"/>
    <w:docVar w:name="DOCCODMNU" w:val=" 1"/>
    <w:docVar w:name="DOCDT" w:val="10/01/2024"/>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02013 HideTWBExt;}{\*\cs18 \additive \v\f1\fs20\cf15 _x000d__x000a_\spriority0 \styrsid1202013 HideTWBInt;}{\s19\ql \li0\ri0\sa120\nowidctlpar\wrapdefault\aspalpha\aspnum\faauto\adjustright\rin0\lin0\itap0 \rtlch\fcs1 \af0\afs20\alang1025 \ltrch\fcs0 \fs24\lang1029\langfe2057\cgrid\langnp1029\langfenp2057 _x000d__x000a_\sbasedon0 \snext19 \spriority0 \styrsid1202013 Normal6a;}{\s20\ql \li0\ri0\nowidctlpar\wrapdefault\aspalpha\aspnum\faauto\adjustright\rin0\lin0\itap0 \rtlch\fcs1 \af0\afs20\alang1025 \ltrch\fcs0 \b\fs24\lang1029\langfe2057\cgrid\langnp1029\langfenp2057 _x000d__x000a_\sbasedon0 \snext20 \spriority0 \styrsid1202013 NormalBold;}{\s21\qr \li0\ri0\sb240\sa240\nowidctlpar\wrapdefault\aspalpha\aspnum\faauto\adjustright\rin0\lin0\itap0 \rtlch\fcs1 \af0\afs20\alang1025 \ltrch\fcs0 _x000d__x000a_\fs24\lang1029\langfe2057\cgrid\langnp1029\langfenp2057 \sbasedon0 \snext21 \spriority0 \styrsid1202013 AmOrLang;}{\s22\qc \li0\ri0\sa240\nowidctlpar\wrapdefault\aspalpha\aspnum\faauto\adjustright\rin0\lin0\itap0 \rtlch\fcs1 \af0\afs20\alang1025 _x000d__x000a_\ltrch\fcs0 \i\fs24\lang1029\langfe2057\cgrid\langnp1029\langfenp2057 \sbasedon0 \snext22 \spriority0 \styrsid12020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202013 AmNumberTabs;}}{\*\rsidtbl \rsid24658\rsid223860\rsid735077\rsid1202013\rsid1718133\rsid2892074\rsid3565327\rsid4666813\rsid6641733_x000d__x000a_\rsid7823322\rsid9636012\rsid10377208\rsid11093738\rsid11215221\rsid11549030\rsid12154954\rsid14382809\rsid14424199\rsid15204470\rsid15285974\rsid15950462\rsid16324206\rsid16662270}{\mmathPr\mmathFont34\mbrkBin0\mbrkBinSub0\msmallFrac0\mdispDef1\mlMargin0_x000d__x000a_\mrMargin0\mdefJc1\mwrapIndent1440\mintLim0\mnaryLim1}{\info{\author SODOMKOVA Renata}{\operator SODOMKOVA Renata}{\creatim\yr2022\mo11\dy25\hr10\min2}{\revtim\yr2022\mo11\dy25\hr10\min2}{\version1}{\edmins0}{\nofpages1}{\nofwords73}{\nofchars419}_x000d__x000a_{\nofcharsws49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02013\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1093738 \chftnsep _x000d__x000a_\par }}{\*\ftnsepc \ltrpar \pard\plain \ltrpar\ql \li0\ri0\widctlpar\wrapdefault\aspalpha\aspnum\faauto\adjustright\rin0\lin0\itap0 \rtlch\fcs1 \af0\afs20\alang1025 \ltrch\fcs0 \fs24\lang2057\langfe2057\cgrid\langnp2057\langfenp2057 {\rtlch\fcs1 \af0 _x000d__x000a_\ltrch\fcs0 \insrsid11093738 \chftnsepc _x000d__x000a_\par }}{\*\aftnsep \ltrpar \pard\plain \ltrpar\ql \li0\ri0\widctlpar\wrapdefault\aspalpha\aspnum\faauto\adjustright\rin0\lin0\itap0 \rtlch\fcs1 \af0\afs20\alang1025 \ltrch\fcs0 \fs24\lang2057\langfe2057\cgrid\langnp2057\langfenp2057 {\rtlch\fcs1 \af0 _x000d__x000a_\ltrch\fcs0 \insrsid11093738 \chftnsep _x000d__x000a_\par }}{\*\aftnsepc \ltrpar \pard\plain \ltrpar\ql \li0\ri0\widctlpar\wrapdefault\aspalpha\aspnum\faauto\adjustright\rin0\lin0\itap0 \rtlch\fcs1 \af0\afs20\alang1025 \ltrch\fcs0 \fs24\lang2057\langfe2057\cgrid\langnp2057\langfenp2057 {\rtlch\fcs1 \af0 _x000d__x000a_\ltrch\fcs0 \insrsid11093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2013 \rtlch\fcs1 _x000d__x000a_\af0\afs20\alang1025 \ltrch\fcs0 \b\fs24\lang1029\langfe2057\cgrid\langnp1029\langfenp2057 {\rtlch\fcs1 \af0 \ltrch\fcs0 \cs17\b0\v\fs20\cf9\lang1024\langfe1024\loch\af1\hich\af1\dbch\af31501\noproof\insrsid1202013\charrsid16458291 {\*\bkmkstart restartA}_x000d__x000a_\hich\af1\dbch\af31501\loch\f1 &lt;AmendA&gt;}{\rtlch\fcs1 \af307 \ltrch\fcs0 \f307\insrsid1202013\charrsid16458291 Pozm\'ec\'f2ovac\'ed n\'e1vrh}{\rtlch\fcs1 \af0 \ltrch\fcs0 \insrsid1202013\charrsid16458291 \tab \tab }{\rtlch\fcs1 \af0 \ltrch\fcs0 _x000d__x000a_\cs17\b0\v\fs20\cf9\lang1024\langfe1024\loch\af1\hich\af1\dbch\af31501\noproof\insrsid1202013\charrsid16458291 \hich\af1\dbch\af31501\loch\f1 &lt;NumAmA&gt;}{\rtlch\fcs1 \af0 \ltrch\fcs0 \insrsid1202013\charrsid16458291 #}{\rtlch\fcs1 \af1 \ltrch\fcs0 _x000d__x000a_\cs18\v\f1\fs20\cf15\insrsid1202013\charrsid16458291 ENMIENDA@NRAM@}{\rtlch\fcs1 \af0 \ltrch\fcs0 \insrsid1202013\charrsid16458291 #}{\rtlch\fcs1 \af0 \ltrch\fcs0 _x000d__x000a_\cs17\b0\v\fs20\cf9\lang1024\langfe1024\loch\af1\hich\af1\dbch\af31501\noproof\insrsid1202013\charrsid16458291 \hich\af1\dbch\af31501\loch\f1 &lt;/NumAmA&gt;}{\rtlch\fcs1 \af0 \ltrch\fcs0 \insrsid1202013\charrsid16458291 _x000d__x000a_\par }\pard\plain \ltrpar\s20\ql \li0\ri0\nowidctlpar\wrapdefault\aspalpha\aspnum\faauto\adjustright\rin0\lin0\itap0\pararsid1202013 \rtlch\fcs1 \af0\afs20\alang1025 \ltrch\fcs0 \b\fs24\lang1029\langfe2057\cgrid\langnp1029\langfenp2057 {\rtlch\fcs1 \af0 _x000d__x000a_\ltrch\fcs0 \cs17\b0\v\fs20\cf9\lang1024\langfe1024\loch\af1\hich\af1\dbch\af31501\noproof\insrsid1202013\charrsid16458291 \hich\af1\dbch\af31501\loch\f1 &lt;RepeatBlock-By&gt;}{\rtlch\fcs1 \af0 \ltrch\fcs0 \insrsid1202013\charrsid16458291 #}{\rtlch\fcs1 \af1 _x000d__x000a_\ltrch\fcs0 \cs18\v\f1\fs20\cf15\insrsid1202013\charrsid16458291 (MOD@InsideLoop()}{\rtlch\fcs1 \af0 \ltrch\fcs0 \insrsid1202013\charrsid16458291 ##}{\rtlch\fcs1 \af1 \ltrch\fcs0 \cs18\v\f1\fs20\cf15\insrsid1202013\charrsid16458291 &gt;&gt;&gt;@[ZMEMBERSMSG]@}{_x000d__x000a_\rtlch\fcs1 \af0 \ltrch\fcs0 \insrsid1202013\charrsid16458291 #}{\rtlch\fcs1 \af0 \ltrch\fcs0 \cs17\b0\v\fs20\cf9\lang1024\langfe1024\loch\af1\hich\af1\dbch\af31501\noproof\insrsid1202013\charrsid16458291 \hich\af1\dbch\af31501\loch\f1 &lt;Members&gt;}{_x000d__x000a_\rtlch\fcs1 \af0 \ltrch\fcs0 \insrsid1202013\charrsid16458291 #}{\rtlch\fcs1 \af1 \ltrch\fcs0 \cs18\v\f1\fs20\cf15\insrsid1202013\charrsid16458291 (MOD@InsideLoop(\'a7)}{\rtlch\fcs1 \af0 \ltrch\fcs0 \insrsid1202013\charrsid16458291 #}{\rtlch\fcs1 \af0 _x000d__x000a_\ltrch\fcs0 \cf10\insrsid1202013\charrsid16458291 \u9668\'3f}{\rtlch\fcs1 \af0 \ltrch\fcs0 \insrsid1202013\charrsid16458291 #}{\rtlch\fcs1 \af1 \ltrch\fcs0 \cs18\v\f1\fs20\cf15\insrsid1202013\charrsid16458291 TVTMEMBERS\'a7@MEMBERS@}{\rtlch\fcs1 \af0 _x000d__x000a_\ltrch\fcs0 \insrsid1202013\charrsid16458291 #}{\rtlch\fcs1 \af0 \ltrch\fcs0 \cf10\insrsid1202013\charrsid16458291 \u9658\'3f}{\rtlch\fcs1 \af0 \ltrch\fcs0 _x000d__x000a_\cs17\b0\v\fs20\cf9\lang1024\langfe1024\loch\af1\hich\af1\dbch\af31501\noproof\insrsid1202013\charrsid16458291 \hich\af1\dbch\af31501\loch\f1 &lt;/Members&gt;}{\rtlch\fcs1 \af0 \ltrch\fcs0 \insrsid1202013\charrsid16458291 _x000d__x000a_\par }\pard\plain \ltrpar\ql \li0\ri0\widctlpar\wrapdefault\aspalpha\aspnum\faauto\adjustright\rin0\lin0\itap0\pararsid1202013 \rtlch\fcs1 \af0\afs20\alang1025 \ltrch\fcs0 \fs24\lang2057\langfe2057\cgrid\langnp2057\langfenp2057 {\rtlch\fcs1 \af0 \ltrch\fcs0 _x000d__x000a_\cs17\v\fs20\cf9\lang1024\langfe1024\loch\af1\hich\af1\dbch\af31501\noproof\langnp1029\insrsid1202013\charrsid16458291 \hich\af1\dbch\af31501\loch\f1 &lt;AuNomDe&gt;&lt;OptDel&gt;}{\rtlch\fcs1 \af0 \ltrch\fcs0 _x000d__x000a_\lang1029\langfe2057\langnp1029\insrsid1202013\charrsid16458291 #}{\rtlch\fcs1 \af1 \ltrch\fcs0 \cs18\v\f1\fs20\cf15\lang1029\langfe2057\langnp1029\insrsid1202013\charrsid16458291 MNU[ONBEHALFYES][NOTAPP]@CHOICE@}{\rtlch\fcs1 \af0 \ltrch\fcs0 _x000d__x000a_\lang1029\langfe2057\langnp1029\insrsid1202013\charrsid16458291 #}{\rtlch\fcs1 \af0 \ltrch\fcs0 \cs17\v\fs20\cf9\lang1024\langfe1024\loch\af1\hich\af1\dbch\af31501\noproof\langnp1029\insrsid1202013\charrsid16458291 \hich\af1\dbch\af31501\loch\f1 _x000d__x000a_&lt;/OptDel&gt;&lt;/AuNomDe&gt;}{\rtlch\fcs1 \af0 \ltrch\fcs0 \lang1029\langfe2057\langnp1029\insrsid1202013\charrsid16458291 _x000d__x000a_\par &lt;&lt;&lt;}{\rtlch\fcs1 \af0 \ltrch\fcs0 \cs17\v\fs20\cf9\lang1024\langfe1024\loch\af1\hich\af1\dbch\af31501\noproof\langnp1029\insrsid1202013\charrsid16458291 \hich\af1\dbch\af31501\loch\f1 &lt;/RepeatBlock-By&gt;}{\rtlch\fcs1 \af0 \ltrch\fcs0 _x000d__x000a_\lang1029\langfe2057\langnp1029\insrsid1202013\charrsid16458291 _x000d__x000a_\par }\pard\plain \ltrpar\s20\ql \li0\ri0\nowidctlpar\wrapdefault\aspalpha\aspnum\faauto\adjustright\rin0\lin0\itap0\pararsid1202013 \rtlch\fcs1 \af0\afs20\alang1025 \ltrch\fcs0 \b\fs24\lang1029\langfe2057\cgrid\langnp1029\langfenp2057 {\rtlch\fcs1 \af0 _x000d__x000a_\ltrch\fcs0 \cs17\b0\v\fs20\cf9\lang1024\langfe1024\loch\af1\hich\af1\dbch\af31501\noproof\insrsid1202013\charrsid16458291 \hich\af1\dbch\af31501\loch\f1 &lt;DocAmend&gt;}{\rtlch\fcs1 \af0 \ltrch\fcs0 \insrsid1202013\charrsid16458291 N\'e1vrh legislativn\'ed_x000d__x000a_ho usnesen\'ed}{\rtlch\fcs1 \af0 \ltrch\fcs0 \cs17\b0\v\fs20\cf9\lang1024\langfe1024\loch\af1\hich\af1\dbch\af31501\noproof\insrsid1202013\charrsid16458291 \hich\af1\dbch\af31501\loch\f1 &lt;/DocAmend&gt;}{\rtlch\fcs1 \af0 \ltrch\fcs0 _x000d__x000a_\insrsid1202013\charrsid16458291 _x000d__x000a_\par }{\rtlch\fcs1 \af0 \ltrch\fcs0 \cs17\b0\v\fs20\cf9\lang1024\langfe1024\loch\af1\hich\af1\dbch\af31501\noproof\insrsid1202013\charrsid16458291 \hich\af1\dbch\af31501\loch\f1 &lt;Article&gt;}{\rtlch\fcs1 \af0 \ltrch\fcs0 \cf10\insrsid1202013\charrsid16458291 _x000d__x000a_\u9668\'3f}{\rtlch\fcs1 \af0 \ltrch\fcs0 \insrsid1202013\charrsid16458291 #}{\rtlch\fcs1 \af1 \ltrch\fcs0 \cs18\v\f1\fs20\cf15\insrsid1202013\charrsid16458291 TVTRESPART@RESPART@}{\rtlch\fcs1 \af0 \ltrch\fcs0 \insrsid1202013\charrsid16458291 #}{_x000d__x000a_\rtlch\fcs1 \af0 \ltrch\fcs0 \cf10\insrsid1202013\charrsid16458291 \u9658\'3f}{\rtlch\fcs1 \af0 \ltrch\fcs0 \cs17\b0\v\fs20\cf9\lang1024\langfe1024\loch\af1\hich\af1\dbch\af31501\noproof\insrsid1202013\charrsid16458291 \hich\af1\dbch\af31501\loch\f1 _x000d__x000a_&lt;/Article&gt;}{\rtlch\fcs1 \af0 \ltrch\fcs0 \insrsid1202013\charrsid164582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202013\charrsid16458291 \cell }\pard\plain \ltrpar_x000d__x000a_\ql \li0\ri0\widctlpar\intbl\wrapdefault\aspalpha\aspnum\faauto\adjustright\rin0\lin0 \rtlch\fcs1 \af0\afs20\alang1025 \ltrch\fcs0 \fs24\lang2057\langfe2057\cgrid\langnp2057\langfenp2057 {\rtlch\fcs1 \af0 \ltrch\fcs0 _x000d__x000a_\lang1029\langfe2057\langnp1029\insrsid1202013\charrsid16458291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202013\charrsid16458291 N\'e1vrh legislativn\'edho usnesen\'ed\cell }{\rtlch\fcs1 \af307 \ltrch\fcs0 \f307\insrsid1202013\charrsid16458291 Pozm\'ec\'f2ovac\'ed n\'e1vrh}{\rtlch\fcs1 \af0 \ltrch\fcs0 \insrsid1202013\charrsid16458291 \cell _x000d__x000a_}\pard\plain \ltrpar\ql \li0\ri0\widctlpar\intbl\wrapdefault\aspalpha\aspnum\faauto\adjustright\rin0\lin0 \rtlch\fcs1 \af0\afs20\alang1025 \ltrch\fcs0 \fs24\lang2057\langfe2057\cgrid\langnp2057\langfenp2057 {\rtlch\fcs1 \af0 \ltrch\fcs0 _x000d__x000a_\lang1029\langfe2057\langnp1029\insrsid1202013\charrsid16458291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1202013\charrsid16458291 ##\cell ##}{\rtlch\fcs1 \af0\afs24 \ltrch\fcs0 \insrsid1202013\charrsid16458291 \cell }\pard\plain \ltrpar\ql \li0\ri0\widctlpar\intbl\wrapdefault\aspalpha\aspnum\faauto\adjustright\rin0\lin0 _x000d__x000a_\rtlch\fcs1 \af0\afs20\alang1025 \ltrch\fcs0 \fs24\lang2057\langfe2057\cgrid\langnp2057\langfenp2057 {\rtlch\fcs1 \af0 \ltrch\fcs0 \lang1029\langfe2057\langnp1029\insrsid1202013\charrsid164582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202013 \rtlch\fcs1 \af0\afs20\alang1025 \ltrch\fcs0 \fs24\lang1029\langfe2057\cgrid\langnp1029\langfenp2057 {\rtlch\fcs1 \af0 \ltrch\fcs0 _x000d__x000a_\insrsid1202013\charrsid16458291 Or. }{\rtlch\fcs1 \af0 \ltrch\fcs0 \cs17\v\fs20\cf9\lang1024\langfe1024\loch\af1\hich\af1\dbch\af31501\noproof\insrsid1202013\charrsid16458291 \hich\af1\dbch\af31501\loch\f1 &lt;Original&gt;}{\rtlch\fcs1 \af0 \ltrch\fcs0 _x000d__x000a_\insrsid1202013\charrsid16458291 #}{\rtlch\fcs1 \af1 \ltrch\fcs0 \cs18\v\f1\fs20\cf15\insrsid1202013\charrsid16458291 KEY(MAIN/LANGMIN)sh@ORLANGMSG@}{\rtlch\fcs1 \af0 \ltrch\fcs0 \insrsid1202013\charrsid16458291 #}{\rtlch\fcs1 \af0 \ltrch\fcs0 _x000d__x000a_\cs17\v\fs20\cf9\lang1024\langfe1024\loch\af1\hich\af1\dbch\af31501\noproof\insrsid1202013\charrsid16458291 \hich\af1\dbch\af31501\loch\f1 &lt;/Original&gt;}{\rtlch\fcs1 \af0 \ltrch\fcs0 \insrsid1202013\charrsid16458291 _x000d__x000a_\par }\pard\plain \ltrpar\ql \li0\ri0\widctlpar\wrapdefault\aspalpha\aspnum\faauto\adjustright\rin0\lin0\itap0\pararsid1202013 \rtlch\fcs1 \af0\afs20\alang1025 \ltrch\fcs0 \fs24\lang2057\langfe2057\cgrid\langnp2057\langfenp2057 {\rtlch\fcs1 \af0 \ltrch\fcs0 _x000d__x000a_\cs17\v\fs20\cf9\lang1024\langfe1024\loch\af1\hich\af1\dbch\af31501\noproof\langnp1029\insrsid1202013\charrsid164582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b_x000d__x000a_f6aaac0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7\fbidi \froman\fcharset238\fprq2 Times New Roman CE;}{\f308\fbidi \froman\fcharset204\fprq2 Times New Roman Cyr;}_x000d__x000a_{\f310\fbidi \froman\fcharset161\fprq2 Times New Roman Greek;}{\f311\fbidi \froman\fcharset162\fprq2 Times New Roman Tur;}{\f312\fbidi \froman\fcharset177\fprq2 Times New Roman (Hebrew);}{\f313\fbidi \froman\fcharset178\fprq2 Times New Roman (Arabic);}_x000d__x000a_{\f314\fbidi \froman\fcharset186\fprq2 Times New Roman Baltic;}{\f315\fbidi \froman\fcharset163\fprq2 Times New Roman (Vietnamese);}{\f317\fbidi \fswiss\fcharset238\fprq2 Arial CE;}{\f318\fbidi \fswiss\fcharset204\fprq2 Arial Cyr;}_x000d__x000a_{\f320\fbidi \fswiss\fcharset161\fprq2 Arial Greek;}{\f321\fbidi \fswiss\fcharset162\fprq2 Arial Tur;}{\f322\fbidi \fswiss\fcharset177\fprq2 Arial (Hebrew);}{\f323\fbidi \fswiss\fcharset178\fprq2 Arial (Arabic);}_x000d__x000a_{\f324\fbidi \fswiss\fcharset186\fprq2 Arial Baltic;}{\f325\fbidi \fswiss\fcharset163\fprq2 Arial (Vietnamese);}{\f647\fbidi \froman\fcharset238\fprq2 Cambria Math CE;}{\f648\fbidi \froman\fcharset204\fprq2 Cambria Math Cyr;}_x000d__x000a_{\f650\fbidi \froman\fcharset161\fprq2 Cambria Math Greek;}{\f651\fbidi \froman\fcharset162\fprq2 Cambria Math Tur;}{\f654\fbidi \froman\fcharset186\fprq2 Cambria Math Baltic;}{\f65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628329 HideTWBExt;}{\*\cs18 \additive \v\f1\fs20\cf15 _x000d__x000a_\spriority0 \styrsid2628329 HideTWBInt;}{\s19\ql \li0\ri0\sa120\nowidctlpar\wrapdefault\aspalpha\aspnum\faauto\adjustright\rin0\lin0\itap0 \rtlch\fcs1 \af0\afs20\alang1025 \ltrch\fcs0 \fs24\lang1029\langfe2057\cgrid\langnp1029\langfenp2057 _x000d__x000a_\sbasedon0 \snext19 \spriority0 \styrsid2628329 Normal6a;}{\s20\ql \li0\ri0\nowidctlpar\wrapdefault\aspalpha\aspnum\faauto\adjustright\rin0\lin0\itap0 \rtlch\fcs1 \af0\afs20\alang1025 \ltrch\fcs0 \b\fs24\lang1029\langfe2057\cgrid\langnp1029\langfenp2057 _x000d__x000a_\sbasedon0 \snext20 \spriority0 \styrsid2628329 NormalBold;}{\s21\ql \li0\ri0\sa240\nowidctlpar\wrapdefault\aspalpha\aspnum\faauto\adjustright\rin0\lin0\itap0 \rtlch\fcs1 \af0\afs20\alang1025 \ltrch\fcs0 _x000d__x000a_\i\fs24\lang1029\langfe2057\cgrid\langnp1029\langfenp2057 \sbasedon0 \snext21 \spriority0 \styrsid2628329 AmJustText;}{\s22\qc \li0\ri0\sb240\sa240\nowidctlpar\wrapdefault\aspalpha\aspnum\faauto\adjustright\rin0\lin0\itap0 \rtlch\fcs1 _x000d__x000a_\af0\afs20\alang1025 \ltrch\fcs0 \i\fs24\lang1029\langfe2057\cgrid\langnp1029\langfenp2057 \sbasedon0 \snext22 \spriority0 \styrsid2628329 AmCrossRef;}{_x000d__x000a_\s23\qc \li0\ri0\sb240\sa240\keepn\nowidctlpar\wrapdefault\aspalpha\aspnum\faauto\adjustright\rin0\lin0\itap0 \rtlch\fcs1 \af0\afs20\alang1025 \ltrch\fcs0 \i\fs24\lang1029\langfe2057\cgrid\langnp1029\langfenp2057 _x000d__x000a_\sbasedon0 \snext21 \spriority0 \styrsid2628329 AmJustTitle;}{\s24\qr \li0\ri0\sb240\sa240\nowidctlpar\wrapdefault\aspalpha\aspnum\faauto\adjustright\rin0\lin0\itap0 \rtlch\fcs1 \af0\afs20\alang1025 \ltrch\fcs0 _x000d__x000a_\fs24\lang1029\langfe2057\cgrid\langnp1029\langfenp2057 \sbasedon0 \snext24 \spriority0 \styrsid2628329 AmOrLang;}{\s25\qc \li0\ri0\sa240\nowidctlpar\wrapdefault\aspalpha\aspnum\faauto\adjustright\rin0\lin0\itap0 \rtlch\fcs1 \af0\afs20\alang1025 _x000d__x000a_\ltrch\fcs0 \i\fs24\lang1029\langfe2057\cgrid\langnp1029\langfenp2057 \sbasedon0 \snext25 \spriority0 \styrsid262832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2628329 AmNumberTabs;}}{\*\rsidtbl \rsid24658\rsid223860\rsid735077\rsid1718133\rsid2628329\rsid2892074\rsid3565327\rsid4666813\rsid6641733_x000d__x000a_\rsid7823322\rsid9636012\rsid10377208\rsid11215221\rsid11549030\rsid11955040\rsid12154954\rsid14382809\rsid14424199\rsid15204470\rsid15285974\rsid15950462\rsid16324206\rsid16662270}{\mmathPr\mmathFont34\mbrkBin0\mbrkBinSub0\msmallFrac0\mdispDef1\mlMargin0_x000d__x000a_\mrMargin0\mdefJc1\mwrapIndent1440\mintLim0\mnaryLim1}{\info{\author SODOMKOVA Renata}{\operator SODOMKOVA Renata}{\creatim\yr2022\mo11\dy25\hr10\min2}{\revtim\yr2022\mo11\dy25\hr10\min2}{\version1}{\edmins0}{\nofpages1}{\nofwords133}{\nofchars759}_x000d__x000a_{\nofcharsws89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628329\newtblstyruls\nogrowautofit\usenormstyforlist\noindnmbrts\felnbrelev\nocxsptable\indrlsweleven\noafcnsttbl\afelev\utinl\hwelev\spltpgpar\notcvasp\notbrkcnstfrctbl\notvatxbx\krnprsnet\cachedcolbal _x000d__x000a_\nouicompat \fet0{\*\wgrffmtfilter 013f}\nofeaturethrottle1\ilfomacatclnup0{\*\template C:\\Users\\RSODOM~1\\AppData\\Local\\Temp\\Blank1.dotx}{\*\ftnsep \ltrpar \pard\plain \ltrpar_x000d__x000a_\ql \li0\ri0\widctlpar\wrapdefault\aspalpha\aspnum\faauto\adjustright\rin0\lin0\itap0 \rtlch\fcs1 \af0\afs20\alang1025 \ltrch\fcs0 \fs24\lang2057\langfe2057\cgrid\langnp2057\langfenp2057 {\rtlch\fcs1 \af0 \ltrch\fcs0 \insrsid11955040 \chftnsep _x000d__x000a_\par }}{\*\ftnsepc \ltrpar \pard\plain \ltrpar\ql \li0\ri0\widctlpar\wrapdefault\aspalpha\aspnum\faauto\adjustright\rin0\lin0\itap0 \rtlch\fcs1 \af0\afs20\alang1025 \ltrch\fcs0 \fs24\lang2057\langfe2057\cgrid\langnp2057\langfenp2057 {\rtlch\fcs1 \af0 _x000d__x000a_\ltrch\fcs0 \insrsid11955040 \chftnsepc _x000d__x000a_\par }}{\*\aftnsep \ltrpar \pard\plain \ltrpar\ql \li0\ri0\widctlpar\wrapdefault\aspalpha\aspnum\faauto\adjustright\rin0\lin0\itap0 \rtlch\fcs1 \af0\afs20\alang1025 \ltrch\fcs0 \fs24\lang2057\langfe2057\cgrid\langnp2057\langfenp2057 {\rtlch\fcs1 \af0 _x000d__x000a_\ltrch\fcs0 \insrsid11955040 \chftnsep _x000d__x000a_\par }}{\*\aftnsepc \ltrpar \pard\plain \ltrpar\ql \li0\ri0\widctlpar\wrapdefault\aspalpha\aspnum\faauto\adjustright\rin0\lin0\itap0 \rtlch\fcs1 \af0\afs20\alang1025 \ltrch\fcs0 \fs24\lang2057\langfe2057\cgrid\langnp2057\langfenp2057 {\rtlch\fcs1 \af0 _x000d__x000a_\ltrch\fcs0 \insrsid119550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628329 \rtlch\fcs1 _x000d__x000a_\af0\afs20\alang1025 \ltrch\fcs0 \b\fs24\lang1029\langfe2057\cgrid\langnp1029\langfenp2057 {\rtlch\fcs1 \af0 \ltrch\fcs0 \cs17\b0\v\fs20\cf9\lang1024\langfe1024\loch\af1\hich\af1\dbch\af31501\noproof\insrsid2628329\charrsid16458291 {\*\bkmkstart restartB}_x000d__x000a_\hich\af1\dbch\af31501\loch\f1 &lt;AmendB&gt;}{\rtlch\fcs1 \af307 \ltrch\fcs0 \f307\insrsid2628329\charrsid16458291 Pozm\'ec\'f2ovac\'ed n\'e1vrh}{\rtlch\fcs1 \af0 \ltrch\fcs0 \insrsid2628329\charrsid16458291 \tab \tab }{\rtlch\fcs1 \af0 \ltrch\fcs0 _x000d__x000a_\cs17\b0\v\fs20\cf9\lang1024\langfe1024\loch\af1\hich\af1\dbch\af31501\noproof\insrsid2628329\charrsid16458291 \hich\af1\dbch\af31501\loch\f1 &lt;NumAmB&gt;}{\rtlch\fcs1 \af0 \ltrch\fcs0 \insrsid2628329\charrsid16458291 #}{\rtlch\fcs1 \af1 \ltrch\fcs0 _x000d__x000a_\cs18\v\f1\fs20\cf15\insrsid2628329\charrsid16458291 ENMIENDA@NRAM@}{\rtlch\fcs1 \af0 \ltrch\fcs0 \insrsid2628329\charrsid16458291 #}{\rtlch\fcs1 \af0 \ltrch\fcs0 _x000d__x000a_\cs17\b0\v\fs20\cf9\lang1024\langfe1024\loch\af1\hich\af1\dbch\af31501\noproof\insrsid2628329\charrsid16458291 \hich\af1\dbch\af31501\loch\f1 &lt;/NumAmB&gt;}{\rtlch\fcs1 \af0 \ltrch\fcs0 \insrsid2628329\charrsid16458291 _x000d__x000a_\par }\pard\plain \ltrpar\s20\ql \li0\ri0\nowidctlpar\wrapdefault\aspalpha\aspnum\faauto\adjustright\rin0\lin0\itap0\pararsid2628329 \rtlch\fcs1 \af0\afs20\alang1025 \ltrch\fcs0 \b\fs24\lang1029\langfe2057\cgrid\langnp1029\langfenp2057 {\rtlch\fcs1 \af0 _x000d__x000a_\ltrch\fcs0 \cs17\b0\v\fs20\cf9\lang1024\langfe1024\loch\af1\hich\af1\dbch\af31501\noproof\insrsid2628329\charrsid16458291 \hich\af1\dbch\af31501\loch\f1 &lt;RepeatBlock-By&gt;}{\rtlch\fcs1 \af0 \ltrch\fcs0 \insrsid2628329\charrsid16458291 #}{\rtlch\fcs1 \af1 _x000d__x000a_\ltrch\fcs0 \cs18\v\f1\fs20\cf15\insrsid2628329\charrsid16458291 (MOD@InsideLoop()}{\rtlch\fcs1 \af0 \ltrch\fcs0 \insrsid2628329\charrsid16458291 ##}{\rtlch\fcs1 \af1 \ltrch\fcs0 \cs18\v\f1\fs20\cf15\insrsid2628329\charrsid16458291 &gt;&gt;&gt;@[ZMEMBERSMSG]@}{_x000d__x000a_\rtlch\fcs1 \af0 \ltrch\fcs0 \insrsid2628329\charrsid16458291 #}{\rtlch\fcs1 \af0 \ltrch\fcs0 \cs17\b0\v\fs20\cf9\lang1024\langfe1024\loch\af1\hich\af1\dbch\af31501\noproof\insrsid2628329\charrsid16458291 \hich\af1\dbch\af31501\loch\f1 &lt;Members&gt;}{_x000d__x000a_\rtlch\fcs1 \af0 \ltrch\fcs0 \insrsid2628329\charrsid16458291 #}{\rtlch\fcs1 \af1 \ltrch\fcs0 \cs18\v\f1\fs20\cf15\insrsid2628329\charrsid16458291 (MOD@InsideLoop(\'a7)}{\rtlch\fcs1 \af0 \ltrch\fcs0 \insrsid2628329\charrsid16458291 #}{\rtlch\fcs1 \af0 _x000d__x000a_\ltrch\fcs0 \cf10\insrsid2628329\charrsid16458291 \u9668\'3f}{\rtlch\fcs1 \af0 \ltrch\fcs0 \insrsid2628329\charrsid16458291 #}{\rtlch\fcs1 \af1 \ltrch\fcs0 \cs18\v\f1\fs20\cf15\insrsid2628329\charrsid16458291 TVTMEMBERS\'a7@MEMBERS@}{\rtlch\fcs1 \af0 _x000d__x000a_\ltrch\fcs0 \insrsid2628329\charrsid16458291 #}{\rtlch\fcs1 \af0 \ltrch\fcs0 \cf10\insrsid2628329\charrsid16458291 \u9658\'3f}{\rtlch\fcs1 \af0 \ltrch\fcs0 _x000d__x000a_\cs17\b0\v\fs20\cf9\lang1024\langfe1024\loch\af1\hich\af1\dbch\af31501\noproof\insrsid2628329\charrsid16458291 \hich\af1\dbch\af31501\loch\f1 &lt;/Members&gt;}{\rtlch\fcs1 \af0 \ltrch\fcs0 \insrsid2628329\charrsid16458291 _x000d__x000a_\par }\pard\plain \ltrpar\ql \li0\ri0\widctlpar\wrapdefault\aspalpha\aspnum\faauto\adjustright\rin0\lin0\itap0\pararsid2628329 \rtlch\fcs1 \af0\afs20\alang1025 \ltrch\fcs0 \fs24\lang2057\langfe2057\cgrid\langnp2057\langfenp2057 {\rtlch\fcs1 \af0 \ltrch\fcs0 _x000d__x000a_\cs17\v\fs20\cf9\lang1024\langfe1024\loch\af1\hich\af1\dbch\af31501\noproof\langnp1029\insrsid2628329\charrsid16458291 \hich\af1\dbch\af31501\loch\f1 &lt;AuNomDe&gt;&lt;OptDel&gt;}{\rtlch\fcs1 \af0 \ltrch\fcs0 _x000d__x000a_\lang1029\langfe2057\langnp1029\insrsid2628329\charrsid16458291 #}{\rtlch\fcs1 \af1 \ltrch\fcs0 \cs18\v\f1\fs20\cf15\lang1029\langfe2057\langnp1029\insrsid2628329\charrsid16458291 MNU[ONBEHALFYES][NOTAPP]@CHOICE@}{\rtlch\fcs1 \af0 \ltrch\fcs0 _x000d__x000a_\lang1029\langfe2057\langnp1029\insrsid2628329\charrsid16458291 #}{\rtlch\fcs1 \af0 \ltrch\fcs0 \cs17\v\fs20\cf9\lang1024\langfe1024\loch\af1\hich\af1\dbch\af31501\noproof\langnp1029\insrsid2628329\charrsid16458291 \hich\af1\dbch\af31501\loch\f1 _x000d__x000a_&lt;/OptDel&gt;&lt;/AuNomDe&gt;}{\rtlch\fcs1 \af0 \ltrch\fcs0 \lang1029\langfe2057\langnp1029\insrsid2628329\charrsid16458291 _x000d__x000a_\par &lt;&lt;&lt;}{\rtlch\fcs1 \af0 \ltrch\fcs0 \cs17\v\fs20\cf9\lang1024\langfe1024\loch\af1\hich\af1\dbch\af31501\noproof\langnp1029\insrsid2628329\charrsid16458291 \hich\af1\dbch\af31501\loch\f1 &lt;/RepeatBlock-By&gt;}{\rtlch\fcs1 \af0 \ltrch\fcs0 _x000d__x000a_\lang1029\langfe2057\langnp1029\insrsid2628329\charrsid16458291 _x000d__x000a_\par }\pard\plain \ltrpar\s20\ql \li0\ri0\nowidctlpar\wrapdefault\aspalpha\aspnum\faauto\adjustright\rin0\lin0\itap0\pararsid2628329 \rtlch\fcs1 \af0\afs20\alang1025 \ltrch\fcs0 \b\fs24\lang1029\langfe2057\cgrid\langnp1029\langfenp2057 {\rtlch\fcs1 \af0 _x000d__x000a_\ltrch\fcs0 \cs17\b0\v\fs20\cf9\lang1024\langfe1024\loch\af1\hich\af1\dbch\af31501\noproof\insrsid2628329\charrsid16458291 \hich\af1\dbch\af31501\loch\f1 &lt;DocAmend&gt;}{\rtlch\fcs1 \af0 \ltrch\fcs0 \insrsid2628329\charrsid16458291 #}{\rtlch\fcs1 \af1 _x000d__x000a_\ltrch\fcs0 \cs18\v\f1\fs20\cf15\insrsid2628329\charrsid16458291 MNU[OPTPROPOSALCOD][OPTPROPOSALCNS][OPTPROPOSALNLE]@CHOICE@CODEMNU}{\rtlch\fcs1 \af0 \ltrch\fcs0 \insrsid2628329\charrsid16458291 #}{\rtlch\fcs1 \af0 \ltrch\fcs0 _x000d__x000a_\cs17\b0\v\fs20\cf9\lang1024\langfe1024\loch\af1\hich\af1\dbch\af31501\noproof\insrsid2628329\charrsid16458291 \hich\af1\dbch\af31501\loch\f1 &lt;/DocAmend&gt;}{\rtlch\fcs1 \af0 \ltrch\fcs0 \insrsid2628329\charrsid16458291 _x000d__x000a_\par }\pard \ltrpar\s20\ql \li0\ri0\keepn\nowidctlpar\wrapdefault\aspalpha\aspnum\faauto\adjustright\rin0\lin0\itap0\pararsid2628329 {\rtlch\fcs1 \af0 \ltrch\fcs0 _x000d__x000a_\cs17\b0\v\fs20\cf9\lang1024\langfe1024\loch\af1\hich\af1\dbch\af31501\noproof\insrsid2628329\charrsid16458291 \hich\af1\dbch\af31501\loch\f1 &lt;Article&gt;}{\rtlch\fcs1 \af0 \ltrch\fcs0 \insrsid2628329\charrsid16458291 #}{\rtlch\fcs1 \af1 \ltrch\fcs0 _x000d__x000a_\cs18\v\f1\fs20\cf15\insrsid2628329\charrsid16458291 MNU[AMACTPARTYES][AMACTPARTNO]@CHOICE@AMACTMNU}{\rtlch\fcs1 \af0 \ltrch\fcs0 \insrsid2628329\charrsid16458291 #}{\rtlch\fcs1 \af0 \ltrch\fcs0 _x000d__x000a_\cs17\b0\v\fs20\cf9\lang1024\langfe1024\loch\af1\hich\af1\dbch\af31501\noproof\insrsid2628329\charrsid16458291 \hich\af1\dbch\af31501\loch\f1 &lt;/Article&gt;}{\rtlch\fcs1 \af0 \ltrch\fcs0 \insrsid2628329\charrsid16458291 _x000d__x000a_\par }\pard\plain \ltrpar\ql \li0\ri0\keepn\widctlpar\wrapdefault\aspalpha\aspnum\faauto\adjustright\rin0\lin0\itap0\pararsid2628329 \rtlch\fcs1 \af0\afs20\alang1025 \ltrch\fcs0 \fs24\lang2057\langfe2057\cgrid\langnp2057\langfenp2057 {\rtlch\fcs1 \af0 _x000d__x000a_\ltrch\fcs0 \cs17\v\fs20\cf9\lang1024\langfe1024\loch\af1\hich\af1\dbch\af31501\noproof\langnp1029\insrsid2628329\charrsid16458291 \hich\af1\dbch\af31501\loch\f1 &lt;DocAmend2&gt;&lt;OptDel&gt;}{\rtlch\fcs1 \af0 \ltrch\fcs0 _x000d__x000a_\lang1029\langfe2057\langnp1029\insrsid2628329\charrsid16458291 #}{\rtlch\fcs1 \af1 \ltrch\fcs0 \cs18\v\f1\fs20\cf15\lang1029\langfe2057\langnp1029\insrsid2628329\charrsid16458291 MNU[OPTNRACTYES][NOTAPP]@CHOICE@AMACTMNU}{\rtlch\fcs1 \af0 \ltrch\fcs0 _x000d__x000a_\lang1029\langfe2057\langnp1029\insrsid2628329\charrsid16458291 #}{\rtlch\fcs1 \af0 \ltrch\fcs0 \cs17\v\fs20\cf9\lang1024\langfe1024\loch\af1\hich\af1\dbch\af31501\noproof\langnp1029\insrsid2628329\charrsid16458291 \hich\af1\dbch\af31501\loch\f1 _x000d__x000a_&lt;/OptDel&gt;&lt;/DocAmend2&gt;}{\rtlch\fcs1 \af0 \ltrch\fcs0 \lang1029\langfe2057\langnp1029\insrsid2628329\charrsid16458291 _x000d__x000a_\par }\pard \ltrpar\ql \li0\ri0\widctlpar\wrapdefault\aspalpha\aspnum\faauto\adjustright\rin0\lin0\itap0\pararsid2628329 {\rtlch\fcs1 \af0 \ltrch\fcs0 _x000d__x000a_\cs17\v\fs20\cf9\lang1024\langfe1024\loch\af1\hich\af1\dbch\af31501\noproof\langnp1029\insrsid2628329\charrsid16458291 \hich\af1\dbch\af31501\loch\f1 &lt;Article2&gt;&lt;OptDel&gt;}{\rtlch\fcs1 \af0 \ltrch\fcs0 _x000d__x000a_\lang1029\langfe2057\langnp1029\insrsid2628329\charrsid16458291 #}{\rtlch\fcs1 \af1 \ltrch\fcs0 \cs18\v\f1\fs20\cf15\lang1029\langfe2057\langnp1029\insrsid2628329\charrsid16458291 MNU[OPTACTPARTYES][NOTAPP]@CHOICE@AMACTMNU}{\rtlch\fcs1 \af0 \ltrch\fcs0 _x000d__x000a_\lang1029\langfe2057\langnp1029\insrsid2628329\charrsid16458291 #}{\rtlch\fcs1 \af0 \ltrch\fcs0 \cs17\v\fs20\cf9\lang1024\langfe1024\loch\af1\hich\af1\dbch\af31501\noproof\langnp1029\insrsid2628329\charrsid16458291 \hich\af1\dbch\af31501\loch\f1 _x000d__x000a_&lt;/OptDel&gt;&lt;/Article2&gt;}{\rtlch\fcs1 \af0 \ltrch\fcs0 \lang1029\langfe2057\langnp1029\insrsid2628329\charrsid164582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2628329\charrsid16458291 \cell }\pard\plain \ltrpar_x000d__x000a_\ql \li0\ri0\widctlpar\intbl\wrapdefault\aspalpha\aspnum\faauto\adjustright\rin0\lin0 \rtlch\fcs1 \af0\afs20\alang1025 \ltrch\fcs0 \fs24\lang2057\langfe2057\cgrid\langnp2057\langfenp2057 {\rtlch\fcs1 \af0 \ltrch\fcs0 _x000d__x000a_\lang1029\langfe2057\langnp1029\insrsid2628329\charrsid16458291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2628329\charrsid16458291 #}{\rtlch\fcs1 \af1 \ltrch\fcs0 \cs18\v\f1\fs20\cf15\insrsid2628329\charrsid16458291 MNU[OPTLEFTAMACT][LEFTPROP]@CHOICE@AMACTMNU}{\rtlch\fcs1 \af0 \ltrch\fcs0 \insrsid2628329\charrsid16458291 #\cell }{\rtlch\fcs1 \af307 _x000d__x000a_\ltrch\fcs0 \f307\insrsid2628329\charrsid16458291 Pozm\'ec\'f2ovac\'ed n\'e1vrh}{\rtlch\fcs1 \af0 \ltrch\fcs0 \insrsid2628329\charrsid16458291 \cell }\pard\plain \ltrpar\ql \li0\ri0\widctlpar\intbl\wrapdefault\aspalpha\aspnum\faauto\adjustright\rin0\lin0 _x000d__x000a_\rtlch\fcs1 \af0\afs20\alang1025 \ltrch\fcs0 \fs24\lang2057\langfe2057\cgrid\langnp2057\langfenp2057 {\rtlch\fcs1 \af0 \ltrch\fcs0 \lang1029\langfe2057\langnp1029\insrsid2628329\charrsid164582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2628329\charrsid16458291 ##\cell ##}{\rtlch\fcs1 \af0\afs24 \ltrch\fcs0 \insrsid2628329\charrsid16458291 \cell }\pard\plain \ltrpar\ql \li0\ri0\widctlpar\intbl\wrapdefault\aspalpha\aspnum\faauto\adjustright\rin0\lin0 \rtlch\fcs1 _x000d__x000a_\af0\afs20\alang1025 \ltrch\fcs0 \fs24\lang2057\langfe2057\cgrid\langnp2057\langfenp2057 {\rtlch\fcs1 \af0 \ltrch\fcs0 \lang1029\langfe2057\langnp1029\insrsid2628329\charrsid164582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628329 \rtlch\fcs1 \af0\afs20\alang1025 \ltrch\fcs0 \fs24\lang1029\langfe2057\cgrid\langnp1029\langfenp2057 {\rtlch\fcs1 \af0 \ltrch\fcs0 _x000d__x000a_\insrsid2628329\charrsid16458291 Or. }{\rtlch\fcs1 \af0 \ltrch\fcs0 \cs17\v\fs20\cf9\lang1024\langfe1024\loch\af1\hich\af1\dbch\af31501\noproof\insrsid2628329\charrsid16458291 \hich\af1\dbch\af31501\loch\f1 &lt;Original&gt;}{\rtlch\fcs1 \af0 \ltrch\fcs0 _x000d__x000a_\insrsid2628329\charrsid16458291 #}{\rtlch\fcs1 \af1 \ltrch\fcs0 \cs18\v\f1\fs20\cf15\insrsid2628329\charrsid16458291 KEY(MAIN/LANGMIN)sh@ORLANGMSG@}{\rtlch\fcs1 \af0 \ltrch\fcs0 \insrsid2628329\charrsid16458291 #}{\rtlch\fcs1 \af0 \ltrch\fcs0 _x000d__x000a_\cs17\v\fs20\cf9\lang1024\langfe1024\loch\af1\hich\af1\dbch\af31501\noproof\insrsid2628329\charrsid16458291 \hich\af1\dbch\af31501\loch\f1 &lt;/Original&gt;}{\rtlch\fcs1 \af0 \ltrch\fcs0 \insrsid2628329\charrsid16458291 _x000d__x000a_\par }\pard\plain \ltrpar\s22\qc \li0\ri0\sb240\sa240\nowidctlpar\wrapdefault\aspalpha\aspnum\faauto\adjustright\rin0\lin0\itap0\pararsid2628329 \rtlch\fcs1 \af0\afs20\alang1025 \ltrch\fcs0 \i\fs24\lang1029\langfe2057\cgrid\langnp1029\langfenp2057 {_x000d__x000a_\rtlch\fcs1 \af0 \ltrch\fcs0 \cs17\i0\v\fs20\cf9\lang1024\langfe1024\loch\af1\hich\af1\dbch\af31501\noproof\insrsid2628329\charrsid16458291 \hich\af1\dbch\af31501\loch\f1 &lt;OptDel&gt;}{\rtlch\fcs1 \af0 \ltrch\fcs0 \insrsid2628329\charrsid16458291 #}{_x000d__x000a_\rtlch\fcs1 \af1 \ltrch\fcs0 \cs18\v\f1\fs20\cf15\insrsid2628329\charrsid16458291 MNU[CROSSREFNO][CROSSREFYES]@CHOICE@}{\rtlch\fcs1 \af0 \ltrch\fcs0 \insrsid2628329\charrsid16458291 #}{\rtlch\fcs1 \af0 \ltrch\fcs0 _x000d__x000a_\cs17\i0\v\fs20\cf9\lang1024\langfe1024\loch\af1\hich\af1\dbch\af31501\noproof\insrsid2628329\charrsid16458291 \hich\af1\dbch\af31501\loch\f1 &lt;/OptDel&gt;}{\rtlch\fcs1 \af0 \ltrch\fcs0 \insrsid2628329\charrsid16458291 _x000d__x000a_\par }\pard\plain \ltrpar\s23\qc \li0\ri0\sb240\sa240\keepn\nowidctlpar\wrapdefault\aspalpha\aspnum\faauto\adjustright\rin0\lin0\itap0\pararsid2628329 \rtlch\fcs1 \af0\afs20\alang1025 \ltrch\fcs0 \i\fs24\lang1029\langfe2057\cgrid\langnp1029\langfenp2057 {_x000d__x000a_\rtlch\fcs1 \af0 \ltrch\fcs0 \cs17\i0\v\fs20\cf9\lang1024\langfe1024\loch\af1\hich\af1\dbch\af31501\noproof\insrsid2628329\charrsid16458291 \hich\af1\dbch\af31501\loch\f1 &lt;TitreJust&gt;}{\rtlch\fcs1 \af307 \ltrch\fcs0 \f307\insrsid2628329\charrsid16458291 Od_x000d__x000a_\'f9vodn\'ecn\'ed}{\rtlch\fcs1 \af0 \ltrch\fcs0 \cs17\i0\v\fs20\cf9\lang1024\langfe1024\loch\af1\hich\af1\dbch\af31501\noproof\insrsid2628329\charrsid16458291 \hich\af1\dbch\af31501\loch\f1 &lt;/TitreJust&gt;}{\rtlch\fcs1 \af0 \ltrch\fcs0 _x000d__x000a_\insrsid2628329\charrsid16458291 _x000d__x000a_\par }\pard\plain \ltrpar\s21\ql \li0\ri0\sa240\nowidctlpar\wrapdefault\aspalpha\aspnum\faauto\adjustright\rin0\lin0\itap0\pararsid2628329 \rtlch\fcs1 \af0\afs20\alang1025 \ltrch\fcs0 \i\fs24\lang1029\langfe2057\cgrid\langnp1029\langfenp2057 {\rtlch\fcs1 \af0 _x000d__x000a_\ltrch\fcs0 \cs17\i0\v\fs20\cf9\lang1024\langfe1024\loch\af1\hich\af1\dbch\af31501\noproof\insrsid2628329\charrsid16458291 \hich\af1\dbch\af31501\loch\f1 &lt;OptDelPrev&gt;}{\rtlch\fcs1 \af0 \ltrch\fcs0 \insrsid2628329\charrsid16458291 #}{\rtlch\fcs1 \af1 _x000d__x000a_\ltrch\fcs0 \cs18\v\f1\fs20\cf15\insrsid2628329\charrsid16458291 MNU[TEXTJUSTYES][TEXTJUSTNO]@CHOICE@}{\rtlch\fcs1 \af0 \ltrch\fcs0 \insrsid2628329\charrsid16458291 #}{\rtlch\fcs1 \af0 \ltrch\fcs0 _x000d__x000a_\cs17\i0\v\fs20\cf9\lang1024\langfe1024\loch\af1\hich\af1\dbch\af31501\noproof\insrsid2628329\charrsid16458291 \hich\af1\dbch\af31501\loch\f1 &lt;/OptDelPrev&gt;}{\rtlch\fcs1 \af0 \ltrch\fcs0 \insrsid2628329\charrsid16458291 _x000d__x000a_\par }\pard\plain \ltrpar\ql \li0\ri0\widctlpar\wrapdefault\aspalpha\aspnum\faauto\adjustright\rin0\lin0\itap0\pararsid2628329 \rtlch\fcs1 \af0\afs20\alang1025 \ltrch\fcs0 \fs24\lang2057\langfe2057\cgrid\langnp2057\langfenp2057 {\rtlch\fcs1 \af0 \ltrch\fcs0 _x000d__x000a_\cs17\v\fs20\cf9\lang1024\langfe1024\loch\af1\hich\af1\dbch\af31501\noproof\langnp1029\insrsid2628329\charrsid164582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99_x000d__x000a_98abac00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3"/>
    <w:docVar w:name="TXTAUTHOR" w:val="Othmar Karas"/>
    <w:docVar w:name="TXTLANGUE" w:val="CS"/>
    <w:docVar w:name="TXTLANGUEMIN" w:val="cs"/>
    <w:docVar w:name="TXTNRFIRSTAM" w:val="79"/>
    <w:docVar w:name="TXTNRLASTAM" w:val="148"/>
    <w:docVar w:name="TXTNRPE" w:val="757.995"/>
    <w:docVar w:name="TXTNRPE2" w:val="757.366"/>
    <w:docVar w:name="TXTNRPROC" w:val="2023/0363"/>
    <w:docVar w:name="TXTPEorAP" w:val="PE"/>
    <w:docVar w:name="TXTROUTE" w:val="AM\1293725CS.docx"/>
    <w:docVar w:name="TXTTITLE" w:val="Změna nařízení Evropského parlamentu a Rady, kterým se mění nařízení (EU) č. 1092/2010, (EU) č. 1093/2010, (EU) č. 1094/2010, (EU) č. 1095/2010 a (EU) 2021/523, pokud jde o některé požadavky na podávání zpráv v oblasti finančních služeb a podpory investic"/>
    <w:docVar w:name="TXTVERSION" w:val="01-00"/>
    <w:docVar w:name="TXTVERSION2" w:val="01-00"/>
  </w:docVars>
  <w:rsids>
    <w:rsidRoot w:val="007C7F9B"/>
    <w:rsid w:val="000111BD"/>
    <w:rsid w:val="00073830"/>
    <w:rsid w:val="00075DBE"/>
    <w:rsid w:val="000B0781"/>
    <w:rsid w:val="000D446F"/>
    <w:rsid w:val="000E7234"/>
    <w:rsid w:val="000F2A80"/>
    <w:rsid w:val="000F7815"/>
    <w:rsid w:val="00126BC4"/>
    <w:rsid w:val="00150057"/>
    <w:rsid w:val="00166CCB"/>
    <w:rsid w:val="001809DD"/>
    <w:rsid w:val="00186370"/>
    <w:rsid w:val="001A4802"/>
    <w:rsid w:val="001B761C"/>
    <w:rsid w:val="001C2054"/>
    <w:rsid w:val="001C502E"/>
    <w:rsid w:val="001D13C9"/>
    <w:rsid w:val="001D5CC4"/>
    <w:rsid w:val="001D7A49"/>
    <w:rsid w:val="001F0FDD"/>
    <w:rsid w:val="002004D0"/>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D3158"/>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2EAB"/>
    <w:rsid w:val="007A42AB"/>
    <w:rsid w:val="007C71DE"/>
    <w:rsid w:val="007C7F9B"/>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955A4"/>
    <w:rsid w:val="00AA0426"/>
    <w:rsid w:val="00AB74D6"/>
    <w:rsid w:val="00AC7149"/>
    <w:rsid w:val="00AD730A"/>
    <w:rsid w:val="00AE4459"/>
    <w:rsid w:val="00AF25FC"/>
    <w:rsid w:val="00AF2819"/>
    <w:rsid w:val="00B0638A"/>
    <w:rsid w:val="00B10564"/>
    <w:rsid w:val="00B41B4D"/>
    <w:rsid w:val="00B77A45"/>
    <w:rsid w:val="00B80634"/>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745F7"/>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A079A37-59C5-44B0-84EF-AF93C95A5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link w:val="NormalBold"/>
    <w:locked/>
    <w:rsid w:val="002004D0"/>
    <w:rPr>
      <w:b/>
      <w:sz w:val="24"/>
      <w:lang w:val="cs-CZ"/>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styleId="Hyperlink">
    <w:name w:val="Hyperlink"/>
    <w:basedOn w:val="DefaultParagraphFont"/>
    <w:unhideWhenUsed/>
    <w:rsid w:val="002004D0"/>
    <w:rPr>
      <w:color w:val="0563C1" w:themeColor="hyperlink"/>
      <w:u w:val="single"/>
    </w:rPr>
  </w:style>
  <w:style w:type="character" w:styleId="FollowedHyperlink">
    <w:name w:val="FollowedHyperlink"/>
    <w:basedOn w:val="DefaultParagraphFont"/>
    <w:unhideWhenUsed/>
    <w:rsid w:val="002004D0"/>
    <w:rPr>
      <w:color w:val="954F72" w:themeColor="followedHyperlink"/>
      <w:u w:val="single"/>
    </w:rPr>
  </w:style>
  <w:style w:type="paragraph" w:customStyle="1" w:styleId="msonormal0">
    <w:name w:val="msonormal"/>
    <w:basedOn w:val="Normal"/>
    <w:rsid w:val="002004D0"/>
    <w:pPr>
      <w:widowControl/>
      <w:spacing w:before="100" w:beforeAutospacing="1" w:after="100" w:afterAutospacing="1"/>
    </w:pPr>
    <w:rPr>
      <w:szCs w:val="24"/>
      <w:lang w:val="en-GB"/>
    </w:rPr>
  </w:style>
  <w:style w:type="paragraph" w:styleId="CommentText">
    <w:name w:val="annotation text"/>
    <w:basedOn w:val="Normal"/>
    <w:link w:val="CommentTextChar"/>
    <w:unhideWhenUsed/>
    <w:rsid w:val="002004D0"/>
    <w:pPr>
      <w:widowControl/>
    </w:pPr>
    <w:rPr>
      <w:sz w:val="20"/>
      <w:lang w:val="en-GB"/>
    </w:rPr>
  </w:style>
  <w:style w:type="character" w:customStyle="1" w:styleId="CommentTextChar">
    <w:name w:val="Comment Text Char"/>
    <w:basedOn w:val="DefaultParagraphFont"/>
    <w:link w:val="CommentText"/>
    <w:rsid w:val="002004D0"/>
  </w:style>
  <w:style w:type="character" w:customStyle="1" w:styleId="FooterChar">
    <w:name w:val="Footer Char"/>
    <w:basedOn w:val="DefaultParagraphFont"/>
    <w:link w:val="Footer"/>
    <w:semiHidden/>
    <w:rsid w:val="002004D0"/>
    <w:rPr>
      <w:sz w:val="22"/>
    </w:rPr>
  </w:style>
  <w:style w:type="paragraph" w:styleId="Footer">
    <w:name w:val="footer"/>
    <w:link w:val="FooterChar"/>
    <w:semiHidden/>
    <w:unhideWhenUsed/>
    <w:rsid w:val="002004D0"/>
    <w:pPr>
      <w:tabs>
        <w:tab w:val="center" w:pos="4536"/>
        <w:tab w:val="right" w:pos="9072"/>
      </w:tabs>
      <w:spacing w:before="240" w:after="240" w:line="220" w:lineRule="auto"/>
    </w:pPr>
    <w:rPr>
      <w:sz w:val="22"/>
    </w:rPr>
  </w:style>
  <w:style w:type="character" w:customStyle="1" w:styleId="CommentSubjectChar">
    <w:name w:val="Comment Subject Char"/>
    <w:basedOn w:val="CommentTextChar"/>
    <w:link w:val="CommentSubject"/>
    <w:semiHidden/>
    <w:rsid w:val="002004D0"/>
    <w:rPr>
      <w:b/>
      <w:bCs/>
    </w:rPr>
  </w:style>
  <w:style w:type="paragraph" w:styleId="CommentSubject">
    <w:name w:val="annotation subject"/>
    <w:basedOn w:val="CommentText"/>
    <w:next w:val="CommentText"/>
    <w:link w:val="CommentSubjectChar"/>
    <w:semiHidden/>
    <w:unhideWhenUsed/>
    <w:rsid w:val="002004D0"/>
    <w:rPr>
      <w:b/>
      <w:bCs/>
    </w:rPr>
  </w:style>
  <w:style w:type="character" w:customStyle="1" w:styleId="BalloonTextChar">
    <w:name w:val="Balloon Text Char"/>
    <w:basedOn w:val="DefaultParagraphFont"/>
    <w:link w:val="BalloonText"/>
    <w:semiHidden/>
    <w:rsid w:val="002004D0"/>
    <w:rPr>
      <w:rFonts w:ascii="Segoe UI" w:hAnsi="Segoe UI" w:cs="Segoe UI"/>
      <w:sz w:val="18"/>
      <w:szCs w:val="18"/>
    </w:rPr>
  </w:style>
  <w:style w:type="paragraph" w:styleId="BalloonText">
    <w:name w:val="Balloon Text"/>
    <w:basedOn w:val="Normal"/>
    <w:link w:val="BalloonTextChar"/>
    <w:semiHidden/>
    <w:unhideWhenUsed/>
    <w:rsid w:val="002004D0"/>
    <w:pPr>
      <w:widowControl/>
    </w:pPr>
    <w:rPr>
      <w:rFonts w:ascii="Segoe UI" w:hAnsi="Segoe UI" w:cs="Segoe UI"/>
      <w:sz w:val="18"/>
      <w:szCs w:val="18"/>
      <w:lang w:val="en-GB"/>
    </w:rPr>
  </w:style>
  <w:style w:type="character" w:customStyle="1" w:styleId="Normal12Char">
    <w:name w:val="Normal12 Char"/>
    <w:link w:val="Normal12"/>
    <w:locked/>
    <w:rsid w:val="002004D0"/>
    <w:rPr>
      <w:noProof/>
      <w:sz w:val="24"/>
    </w:rPr>
  </w:style>
  <w:style w:type="paragraph" w:customStyle="1" w:styleId="Normal12">
    <w:name w:val="Normal12"/>
    <w:basedOn w:val="Normal"/>
    <w:link w:val="Normal12Char"/>
    <w:rsid w:val="002004D0"/>
    <w:pPr>
      <w:spacing w:after="240"/>
    </w:pPr>
    <w:rPr>
      <w:noProof/>
      <w:lang w:val="en-GB"/>
    </w:rPr>
  </w:style>
  <w:style w:type="paragraph" w:customStyle="1" w:styleId="CommitteeAM">
    <w:name w:val="CommitteeAM"/>
    <w:basedOn w:val="Normal"/>
    <w:rsid w:val="002004D0"/>
    <w:pPr>
      <w:spacing w:before="240" w:after="600"/>
      <w:jc w:val="center"/>
    </w:pPr>
    <w:rPr>
      <w:i/>
      <w:lang w:val="en-GB"/>
    </w:rPr>
  </w:style>
  <w:style w:type="paragraph" w:customStyle="1" w:styleId="ZDateAM">
    <w:name w:val="ZDateAM"/>
    <w:basedOn w:val="Normal"/>
    <w:rsid w:val="002004D0"/>
    <w:pPr>
      <w:tabs>
        <w:tab w:val="right" w:pos="9356"/>
      </w:tabs>
      <w:spacing w:after="480"/>
    </w:pPr>
    <w:rPr>
      <w:noProof/>
      <w:lang w:val="en-GB"/>
    </w:rPr>
  </w:style>
  <w:style w:type="paragraph" w:customStyle="1" w:styleId="ProjRap">
    <w:name w:val="ProjRap"/>
    <w:basedOn w:val="Normal"/>
    <w:rsid w:val="002004D0"/>
    <w:pPr>
      <w:tabs>
        <w:tab w:val="right" w:pos="9356"/>
      </w:tabs>
    </w:pPr>
    <w:rPr>
      <w:b/>
      <w:noProof/>
      <w:lang w:val="en-GB"/>
    </w:rPr>
  </w:style>
  <w:style w:type="paragraph" w:customStyle="1" w:styleId="PELeft">
    <w:name w:val="PELeft"/>
    <w:basedOn w:val="Normal"/>
    <w:rsid w:val="002004D0"/>
    <w:pPr>
      <w:spacing w:before="40" w:after="40"/>
    </w:pPr>
    <w:rPr>
      <w:rFonts w:ascii="Arial" w:hAnsi="Arial" w:cs="Arial"/>
      <w:sz w:val="22"/>
      <w:szCs w:val="22"/>
      <w:lang w:val="fr-FR"/>
    </w:rPr>
  </w:style>
  <w:style w:type="paragraph" w:customStyle="1" w:styleId="PERight">
    <w:name w:val="PERight"/>
    <w:basedOn w:val="Normal"/>
    <w:next w:val="Normal"/>
    <w:rsid w:val="002004D0"/>
    <w:pPr>
      <w:jc w:val="right"/>
    </w:pPr>
    <w:rPr>
      <w:rFonts w:ascii="Arial" w:hAnsi="Arial" w:cs="Arial"/>
      <w:sz w:val="22"/>
      <w:szCs w:val="22"/>
      <w:lang w:val="fr-FR"/>
    </w:rPr>
  </w:style>
  <w:style w:type="character" w:customStyle="1" w:styleId="Normal6Char">
    <w:name w:val="Normal6 Char"/>
    <w:link w:val="Normal6"/>
    <w:locked/>
    <w:rsid w:val="002004D0"/>
    <w:rPr>
      <w:sz w:val="24"/>
      <w:lang w:val="fr-FR"/>
    </w:rPr>
  </w:style>
  <w:style w:type="paragraph" w:customStyle="1" w:styleId="Normal6">
    <w:name w:val="Normal6"/>
    <w:basedOn w:val="Normal"/>
    <w:link w:val="Normal6Char"/>
    <w:rsid w:val="002004D0"/>
    <w:pPr>
      <w:spacing w:after="120"/>
    </w:pPr>
    <w:rPr>
      <w:lang w:val="fr-FR"/>
    </w:rPr>
  </w:style>
  <w:style w:type="paragraph" w:customStyle="1" w:styleId="Normal12Italic">
    <w:name w:val="Normal12Italic"/>
    <w:basedOn w:val="Normal12"/>
    <w:rsid w:val="002004D0"/>
    <w:rPr>
      <w:i/>
      <w:lang w:val="fr-FR"/>
    </w:rPr>
  </w:style>
  <w:style w:type="paragraph" w:customStyle="1" w:styleId="JustificationTitle">
    <w:name w:val="JustificationTitle"/>
    <w:basedOn w:val="Normal"/>
    <w:next w:val="Normal12"/>
    <w:rsid w:val="002004D0"/>
    <w:pPr>
      <w:keepNext/>
      <w:spacing w:before="240" w:after="240"/>
      <w:jc w:val="center"/>
    </w:pPr>
    <w:rPr>
      <w:i/>
      <w:noProof/>
      <w:lang w:val="fr-FR"/>
    </w:rPr>
  </w:style>
  <w:style w:type="paragraph" w:customStyle="1" w:styleId="Olang">
    <w:name w:val="Olang"/>
    <w:basedOn w:val="Normal"/>
    <w:rsid w:val="002004D0"/>
    <w:pPr>
      <w:spacing w:before="240" w:after="240"/>
      <w:jc w:val="right"/>
    </w:pPr>
    <w:rPr>
      <w:noProof/>
      <w:szCs w:val="24"/>
      <w:lang w:val="fr-FR"/>
    </w:rPr>
  </w:style>
  <w:style w:type="paragraph" w:customStyle="1" w:styleId="ColumnHeading">
    <w:name w:val="ColumnHeading"/>
    <w:basedOn w:val="Normal"/>
    <w:rsid w:val="002004D0"/>
    <w:pPr>
      <w:spacing w:after="240"/>
      <w:jc w:val="center"/>
    </w:pPr>
    <w:rPr>
      <w:i/>
      <w:lang w:val="fr-FR"/>
    </w:rPr>
  </w:style>
  <w:style w:type="paragraph" w:customStyle="1" w:styleId="AMNumberTabs0">
    <w:name w:val="AMNumberTabs"/>
    <w:basedOn w:val="Normal"/>
    <w:rsid w:val="002004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2004D0"/>
    <w:pPr>
      <w:spacing w:before="240"/>
    </w:pPr>
    <w:rPr>
      <w:b/>
      <w:lang w:val="fr-FR"/>
    </w:rPr>
  </w:style>
  <w:style w:type="paragraph" w:customStyle="1" w:styleId="CrossRef">
    <w:name w:val="CrossRef"/>
    <w:basedOn w:val="Normal"/>
    <w:rsid w:val="002004D0"/>
    <w:pPr>
      <w:spacing w:before="240"/>
      <w:jc w:val="center"/>
    </w:pPr>
    <w:rPr>
      <w:i/>
      <w:lang w:val="fr-FR"/>
    </w:rPr>
  </w:style>
  <w:style w:type="paragraph" w:customStyle="1" w:styleId="Footer2">
    <w:name w:val="Footer2"/>
    <w:basedOn w:val="Normal12"/>
    <w:rsid w:val="002004D0"/>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unhideWhenUsed/>
    <w:rsid w:val="002004D0"/>
    <w:rPr>
      <w:sz w:val="16"/>
      <w:szCs w:val="16"/>
    </w:rPr>
  </w:style>
  <w:style w:type="character" w:customStyle="1" w:styleId="Footer2Middle">
    <w:name w:val="Footer2Middle"/>
    <w:rsid w:val="002004D0"/>
    <w:rPr>
      <w:rFonts w:ascii="Arial" w:hAnsi="Arial" w:cs="Arial" w:hint="default"/>
      <w:b w:val="0"/>
      <w:bCs w:val="0"/>
      <w:i/>
      <w:iCs w:val="0"/>
      <w:color w:val="C0C0C0"/>
      <w:sz w:val="22"/>
    </w:rPr>
  </w:style>
  <w:style w:type="paragraph" w:customStyle="1" w:styleId="EntPE">
    <w:name w:val="EntPE"/>
    <w:basedOn w:val="Normal12"/>
    <w:rsid w:val="002004D0"/>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10105</Words>
  <Characters>58177</Characters>
  <Application>Microsoft Office Word</Application>
  <DocSecurity>0</DocSecurity>
  <Lines>2457</Lines>
  <Paragraphs>841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67724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2024-01-25T10:54:00Z</dcterms:created>
  <dcterms:modified xsi:type="dcterms:W3CDTF">2024-01-25T10:54:00Z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9.17.0 Build [20231101]</vt:lpwstr>
  </property>
  <property fmtid="{D5CDD505-2E9C-101B-9397-08002B2CF9AE}" pid="4" name="LastEdited with">
    <vt:lpwstr>9.17.1 Build [20240101]</vt:lpwstr>
  </property>
  <property fmtid="{D5CDD505-2E9C-101B-9397-08002B2CF9AE}" pid="5" name="&lt;FdR&gt;">
    <vt:lpwstr>1293725</vt:lpwstr>
  </property>
  <property fmtid="{D5CDD505-2E9C-101B-9397-08002B2CF9AE}" pid="6" name="&lt;Type&gt;">
    <vt:lpwstr>AM</vt:lpwstr>
  </property>
  <property fmtid="{D5CDD505-2E9C-101B-9397-08002B2CF9AE}" pid="7" name="&lt;ModelCod&gt;">
    <vt:lpwstr>\\eiciLUXpr1\pdocep$\DocEP\DOCS\General\AM\AM_Leg\AM_Com_Leg\AM_Com_LegReport.dotx(17/04/2020 18:26:13)</vt:lpwstr>
  </property>
  <property fmtid="{D5CDD505-2E9C-101B-9397-08002B2CF9AE}" pid="8" name="&lt;ModelTra&gt;">
    <vt:lpwstr>\\eiciLUXpr1\pdocep$\DocEP\TRANSFIL\CS\AM_Com_LegReport.CS(11/07/2020 00:22:02)</vt:lpwstr>
  </property>
  <property fmtid="{D5CDD505-2E9C-101B-9397-08002B2CF9AE}" pid="9" name="&lt;Model&gt;">
    <vt:lpwstr>AM_Com_LegReport</vt:lpwstr>
  </property>
  <property fmtid="{D5CDD505-2E9C-101B-9397-08002B2CF9AE}" pid="10" name="FooterPath">
    <vt:lpwstr>AM\1293725CS.docx</vt:lpwstr>
  </property>
  <property fmtid="{D5CDD505-2E9C-101B-9397-08002B2CF9AE}" pid="11" name="PE number">
    <vt:lpwstr>757.995</vt:lpwstr>
  </property>
  <property fmtid="{D5CDD505-2E9C-101B-9397-08002B2CF9AE}" pid="12" name="Bookout">
    <vt:lpwstr>OK - 2024/01/25 11:52</vt:lpwstr>
  </property>
</Properties>
</file>