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96A4B" w:rsidRPr="004D0FC0" w:rsidTr="001A747D">
        <w:trPr>
          <w:trHeight w:hRule="exact" w:val="1418"/>
        </w:trPr>
        <w:tc>
          <w:tcPr>
            <w:tcW w:w="6804" w:type="dxa"/>
            <w:shd w:val="clear" w:color="auto" w:fill="auto"/>
            <w:vAlign w:val="center"/>
          </w:tcPr>
          <w:p w:rsidR="00BE5062" w:rsidRPr="004D0FC0" w:rsidRDefault="00B801A5" w:rsidP="001A747D">
            <w:pPr>
              <w:pStyle w:val="EPName"/>
            </w:pPr>
            <w:r w:rsidRPr="004D0FC0">
              <w:t>Europäisches Parlament</w:t>
            </w:r>
          </w:p>
          <w:p w:rsidR="00BE5062" w:rsidRPr="004D0FC0" w:rsidRDefault="00B801A5" w:rsidP="00A907EE">
            <w:pPr>
              <w:pStyle w:val="EPTerm"/>
            </w:pPr>
            <w:r w:rsidRPr="004D0FC0">
              <w:t>2019-2024</w:t>
            </w:r>
          </w:p>
        </w:tc>
        <w:tc>
          <w:tcPr>
            <w:tcW w:w="2268" w:type="dxa"/>
            <w:shd w:val="clear" w:color="auto" w:fill="auto"/>
          </w:tcPr>
          <w:p w:rsidR="00BE5062" w:rsidRPr="004D0FC0" w:rsidRDefault="00B801A5" w:rsidP="001A747D">
            <w:pPr>
              <w:pStyle w:val="EPLogo"/>
            </w:pPr>
            <w:r w:rsidRPr="004D0FC0">
              <w:rPr>
                <w:noProof/>
                <w:lang w:eastAsia="de-D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D0FC0" w:rsidRDefault="000E7234" w:rsidP="000E7234">
      <w:pPr>
        <w:pStyle w:val="LineTop"/>
      </w:pPr>
    </w:p>
    <w:p w:rsidR="000E7234" w:rsidRPr="004D0FC0" w:rsidRDefault="00B801A5" w:rsidP="000E7234">
      <w:pPr>
        <w:pStyle w:val="EPBody"/>
      </w:pPr>
      <w:r w:rsidRPr="004D0FC0">
        <w:rPr>
          <w:rStyle w:val="HideTWBExt"/>
        </w:rPr>
        <w:t>&lt;</w:t>
      </w:r>
      <w:r w:rsidRPr="004D0FC0">
        <w:rPr>
          <w:rStyle w:val="HideTWBExt"/>
          <w:i w:val="0"/>
        </w:rPr>
        <w:t>Commission</w:t>
      </w:r>
      <w:r w:rsidRPr="004D0FC0">
        <w:rPr>
          <w:rStyle w:val="HideTWBExt"/>
        </w:rPr>
        <w:t>&gt;</w:t>
      </w:r>
      <w:r w:rsidRPr="004D0FC0">
        <w:rPr>
          <w:rStyle w:val="HideTWBInt"/>
          <w:color w:val="auto"/>
        </w:rPr>
        <w:t>{ECON}</w:t>
      </w:r>
      <w:r w:rsidRPr="004D0FC0">
        <w:t>Ausschuss für Wirtschaft und Währung</w:t>
      </w:r>
      <w:r w:rsidRPr="004D0FC0">
        <w:rPr>
          <w:rStyle w:val="HideTWBExt"/>
        </w:rPr>
        <w:t>&lt;/</w:t>
      </w:r>
      <w:r w:rsidRPr="004D0FC0">
        <w:rPr>
          <w:rStyle w:val="HideTWBExt"/>
          <w:i w:val="0"/>
        </w:rPr>
        <w:t>Commission</w:t>
      </w:r>
      <w:r w:rsidRPr="004D0FC0">
        <w:rPr>
          <w:rStyle w:val="HideTWBExt"/>
        </w:rPr>
        <w:t>&gt;</w:t>
      </w:r>
    </w:p>
    <w:p w:rsidR="000E7234" w:rsidRPr="004D0FC0" w:rsidRDefault="000E7234" w:rsidP="000E7234">
      <w:pPr>
        <w:pStyle w:val="LineBottom"/>
      </w:pPr>
    </w:p>
    <w:p w:rsidR="00B85286" w:rsidRPr="004D0FC0" w:rsidRDefault="00B801A5">
      <w:pPr>
        <w:pStyle w:val="CoverReference"/>
      </w:pPr>
      <w:r w:rsidRPr="004D0FC0">
        <w:rPr>
          <w:rStyle w:val="HideTWBExt"/>
          <w:b w:val="0"/>
        </w:rPr>
        <w:t>&lt;RefProc&gt;</w:t>
      </w:r>
      <w:r w:rsidRPr="004D0FC0">
        <w:t>2023/0288</w:t>
      </w:r>
      <w:r w:rsidRPr="004D0FC0">
        <w:rPr>
          <w:rStyle w:val="HideTWBExt"/>
          <w:b w:val="0"/>
        </w:rPr>
        <w:t>&lt;/RefProc&gt;&lt;RefTypeProc&gt;</w:t>
      </w:r>
      <w:r w:rsidRPr="004D0FC0">
        <w:t>(COD)</w:t>
      </w:r>
      <w:r w:rsidRPr="004D0FC0">
        <w:rPr>
          <w:rStyle w:val="HideTWBExt"/>
          <w:b w:val="0"/>
        </w:rPr>
        <w:t>&lt;/RefTypeProc&gt;</w:t>
      </w:r>
    </w:p>
    <w:p w:rsidR="00B85286" w:rsidRPr="004D0FC0" w:rsidRDefault="00B801A5">
      <w:pPr>
        <w:pStyle w:val="CoverDate"/>
      </w:pPr>
      <w:r w:rsidRPr="004D0FC0">
        <w:rPr>
          <w:rStyle w:val="HideTWBExt"/>
        </w:rPr>
        <w:t>&lt;Date&gt;</w:t>
      </w:r>
      <w:r w:rsidRPr="004D0FC0">
        <w:rPr>
          <w:rStyle w:val="HideTWBInt"/>
          <w:color w:val="auto"/>
        </w:rPr>
        <w:t>{23/01/2024}</w:t>
      </w:r>
      <w:r w:rsidRPr="004D0FC0">
        <w:t>23.1.2024</w:t>
      </w:r>
      <w:r w:rsidRPr="004D0FC0">
        <w:rPr>
          <w:rStyle w:val="HideTWBExt"/>
        </w:rPr>
        <w:t>&lt;/Date&gt;</w:t>
      </w:r>
    </w:p>
    <w:p w:rsidR="009B0305" w:rsidRPr="004D0FC0" w:rsidRDefault="00B801A5" w:rsidP="009B0305">
      <w:pPr>
        <w:pStyle w:val="CoverDocType"/>
      </w:pPr>
      <w:r w:rsidRPr="004D0FC0">
        <w:rPr>
          <w:rStyle w:val="HideTWBExt"/>
          <w:b w:val="0"/>
        </w:rPr>
        <w:t>&lt;TypeAM&gt;</w:t>
      </w:r>
      <w:r w:rsidRPr="004D0FC0">
        <w:t>ÄNDERUNGSANTRÄGE</w:t>
      </w:r>
      <w:r w:rsidRPr="004D0FC0">
        <w:rPr>
          <w:rStyle w:val="HideTWBExt"/>
          <w:b w:val="0"/>
        </w:rPr>
        <w:t>&lt;/TypeAM&gt;</w:t>
      </w:r>
    </w:p>
    <w:p w:rsidR="00B85286" w:rsidRPr="004D0FC0" w:rsidRDefault="00B801A5" w:rsidP="001C2054">
      <w:pPr>
        <w:pStyle w:val="CoverDocType24a"/>
      </w:pPr>
      <w:r w:rsidRPr="004D0FC0">
        <w:rPr>
          <w:rStyle w:val="HideTWBExt"/>
          <w:b w:val="0"/>
        </w:rPr>
        <w:t>&lt;RangeAM&gt;</w:t>
      </w:r>
      <w:r w:rsidRPr="004D0FC0">
        <w:t>20 - 80</w:t>
      </w:r>
      <w:r w:rsidRPr="004D0FC0">
        <w:rPr>
          <w:rStyle w:val="HideTWBExt"/>
          <w:b w:val="0"/>
        </w:rPr>
        <w:t>&lt;/RangeAM&gt;</w:t>
      </w:r>
    </w:p>
    <w:p w:rsidR="001C2054" w:rsidRPr="004D0FC0" w:rsidRDefault="00B801A5" w:rsidP="00A93F8C">
      <w:pPr>
        <w:pStyle w:val="CoverBold"/>
      </w:pPr>
      <w:r w:rsidRPr="004D0FC0">
        <w:rPr>
          <w:rStyle w:val="HideTWBExt"/>
          <w:b w:val="0"/>
        </w:rPr>
        <w:t>&lt;TitreType&gt;</w:t>
      </w:r>
      <w:r w:rsidRPr="004D0FC0">
        <w:t>Entwurf eines Berichts</w:t>
      </w:r>
      <w:r w:rsidRPr="004D0FC0">
        <w:rPr>
          <w:rStyle w:val="HideTWBExt"/>
          <w:b w:val="0"/>
        </w:rPr>
        <w:t>&lt;/TitreType&gt;</w:t>
      </w:r>
    </w:p>
    <w:p w:rsidR="00B85286" w:rsidRPr="004D0FC0" w:rsidRDefault="00B801A5" w:rsidP="00A93F8C">
      <w:pPr>
        <w:pStyle w:val="CoverBold"/>
      </w:pPr>
      <w:r w:rsidRPr="004D0FC0">
        <w:rPr>
          <w:rStyle w:val="HideTWBExt"/>
          <w:b w:val="0"/>
        </w:rPr>
        <w:t>&lt;Rapporteur&gt;</w:t>
      </w:r>
      <w:r w:rsidRPr="004D0FC0">
        <w:t>Irene Tinagli</w:t>
      </w:r>
      <w:r w:rsidRPr="004D0FC0">
        <w:rPr>
          <w:rStyle w:val="HideTWBExt"/>
          <w:b w:val="0"/>
        </w:rPr>
        <w:t>&lt;/Rapporteur&gt;</w:t>
      </w:r>
    </w:p>
    <w:p w:rsidR="00B85286" w:rsidRPr="004D0FC0" w:rsidRDefault="00B801A5">
      <w:pPr>
        <w:pStyle w:val="CoverNormal24a"/>
      </w:pPr>
      <w:r w:rsidRPr="004D0FC0">
        <w:rPr>
          <w:rStyle w:val="HideTWBExt"/>
        </w:rPr>
        <w:t>&lt;DocRefPE&gt;</w:t>
      </w:r>
      <w:r w:rsidRPr="004D0FC0">
        <w:t>(PE757.907v01-00)</w:t>
      </w:r>
      <w:r w:rsidRPr="004D0FC0">
        <w:rPr>
          <w:rStyle w:val="HideTWBExt"/>
        </w:rPr>
        <w:t>&lt;/DocRefPE&gt;</w:t>
      </w:r>
    </w:p>
    <w:p w:rsidR="00B85286" w:rsidRPr="004D0FC0" w:rsidRDefault="00B801A5">
      <w:pPr>
        <w:pStyle w:val="CoverNormal24a"/>
      </w:pPr>
      <w:r w:rsidRPr="004D0FC0">
        <w:rPr>
          <w:rStyle w:val="HideTWBExt"/>
        </w:rPr>
        <w:t>&lt;Titre&gt;</w:t>
      </w:r>
      <w:r w:rsidRPr="004D0FC0">
        <w:t>Unternehmensbezogene Arbeitsmarktstatistiken der Europäischen Union und Aufhebung der Verordnung (EG) Nr. 530/1999</w:t>
      </w:r>
      <w:r w:rsidRPr="004D0FC0">
        <w:t xml:space="preserve"> des Rates und der Verordnungen (EG) Nr. 450/2003 und (EG) Nr. 453/2008 des Europäischen Parlaments und des Rates</w:t>
      </w:r>
      <w:r w:rsidRPr="004D0FC0">
        <w:rPr>
          <w:rStyle w:val="HideTWBExt"/>
        </w:rPr>
        <w:t>&lt;/Titre&gt;</w:t>
      </w:r>
    </w:p>
    <w:p w:rsidR="006337D4" w:rsidRPr="004D0FC0" w:rsidRDefault="00B801A5" w:rsidP="006337D4">
      <w:pPr>
        <w:pStyle w:val="CoverNormal"/>
      </w:pPr>
      <w:r w:rsidRPr="004D0FC0">
        <w:rPr>
          <w:rStyle w:val="HideTWBExt"/>
        </w:rPr>
        <w:t>&lt;DocAmend&gt;</w:t>
      </w:r>
      <w:r w:rsidRPr="004D0FC0">
        <w:t>Vorschlag für eine Verordnung</w:t>
      </w:r>
      <w:r w:rsidRPr="004D0FC0">
        <w:rPr>
          <w:rStyle w:val="HideTWBExt"/>
        </w:rPr>
        <w:t>&lt;/DocAmend&gt;</w:t>
      </w:r>
    </w:p>
    <w:p w:rsidR="00B85286" w:rsidRPr="004D0FC0" w:rsidRDefault="00B801A5">
      <w:pPr>
        <w:pStyle w:val="CoverNormal24a"/>
      </w:pPr>
      <w:r w:rsidRPr="004D0FC0">
        <w:rPr>
          <w:rStyle w:val="HideTWBExt"/>
        </w:rPr>
        <w:t>&lt;DocRef&gt;</w:t>
      </w:r>
      <w:r w:rsidRPr="004D0FC0">
        <w:t>(COM(2023)0459 – C9</w:t>
      </w:r>
      <w:r w:rsidRPr="004D0FC0">
        <w:noBreakHyphen/>
        <w:t>0316/2023 – 2023/0288(COD))</w:t>
      </w:r>
      <w:r w:rsidRPr="004D0FC0">
        <w:rPr>
          <w:rStyle w:val="HideTWBExt"/>
        </w:rPr>
        <w:t>&lt;/DocRef&gt;</w:t>
      </w:r>
    </w:p>
    <w:p w:rsidR="00B85286" w:rsidRPr="004D0FC0" w:rsidRDefault="00B801A5" w:rsidP="00E660E2">
      <w:pPr>
        <w:widowControl/>
        <w:tabs>
          <w:tab w:val="center" w:pos="4677"/>
        </w:tabs>
      </w:pPr>
      <w:r w:rsidRPr="004D0FC0">
        <w:br w:type="page"/>
      </w:r>
      <w:bookmarkStart w:id="0" w:name="_GoBack"/>
      <w:bookmarkEnd w:id="0"/>
      <w:r w:rsidRPr="004D0FC0">
        <w:lastRenderedPageBreak/>
        <w:t>AM_Com_LegReport</w:t>
      </w:r>
    </w:p>
    <w:p w:rsidR="00351294" w:rsidRPr="004D0FC0" w:rsidRDefault="00B801A5" w:rsidP="00351294">
      <w:pPr>
        <w:pStyle w:val="AmNumberTabs"/>
      </w:pPr>
      <w:r w:rsidRPr="004D0FC0">
        <w:br w:type="page"/>
      </w:r>
      <w:bookmarkStart w:id="1" w:name="restart"/>
      <w:r w:rsidRPr="004D0FC0">
        <w:rPr>
          <w:rStyle w:val="HideTWBExt"/>
        </w:rPr>
        <w:lastRenderedPageBreak/>
        <w:t>&lt;RepeatBlock-Amend&gt;&lt;Amend&gt;</w:t>
      </w:r>
      <w:r w:rsidRPr="004D0FC0">
        <w:t>Änderungsantrag</w:t>
      </w:r>
      <w:r w:rsidRPr="004D0FC0">
        <w:tab/>
      </w:r>
      <w:r w:rsidRPr="004D0FC0">
        <w:tab/>
      </w:r>
      <w:r w:rsidRPr="004D0FC0">
        <w:rPr>
          <w:rStyle w:val="HideTWBExt"/>
        </w:rPr>
        <w:t>&lt;NumAm&gt;</w:t>
      </w:r>
      <w:r w:rsidRPr="004D0FC0">
        <w:t>20</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Bezugsvermerk 5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w:t>
            </w:r>
            <w:r w:rsidRPr="004D0FC0">
              <w:t>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unter Hinweis auf die Stellungnahme der Europäischen Zentralbank vom 24. November 2023,</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21</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1</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(1)</w:t>
            </w:r>
            <w:r w:rsidRPr="004D0FC0">
              <w:tab/>
            </w:r>
            <w:r w:rsidRPr="004D0FC0">
              <w:rPr>
                <w:b/>
                <w:bCs/>
                <w:i/>
                <w:iCs/>
              </w:rPr>
              <w:t>Unternehmensbezogene</w:t>
            </w:r>
            <w:r w:rsidRPr="004D0FC0">
              <w:t xml:space="preserve"> Arbeitsmarktstatistiken in der Europäischen Union sind für die Gestaltung, Umsetzung und Bewertung der politischen Maßnahmen der Union erforderlich, insbesondere für die Maßnahmen, die den wirtschaftlichen, sozialen und territorialen Zusammenhalt, die eur</w:t>
            </w:r>
            <w:r w:rsidRPr="004D0FC0">
              <w:t>opäische Beschäftigungsstrategie, die europäische Säule sozialer Rechte und das Europäische Semester betreffen.</w:t>
            </w:r>
          </w:p>
        </w:tc>
        <w:tc>
          <w:tcPr>
            <w:tcW w:w="4876" w:type="dxa"/>
            <w:hideMark/>
          </w:tcPr>
          <w:p w:rsidR="00351294" w:rsidRPr="004D0FC0" w:rsidRDefault="00B801A5">
            <w:pPr>
              <w:pStyle w:val="Normal6a"/>
            </w:pPr>
            <w:r w:rsidRPr="004D0FC0">
              <w:t>(1)</w:t>
            </w:r>
            <w:r w:rsidRPr="004D0FC0">
              <w:tab/>
            </w:r>
            <w:r w:rsidRPr="004D0FC0">
              <w:rPr>
                <w:b/>
                <w:bCs/>
                <w:i/>
                <w:iCs/>
              </w:rPr>
              <w:t>Korrekte, zeitnahe, zuverlässige und vergleichbare Daten für die Erstellung von unternehmensbezogenen</w:t>
            </w:r>
            <w:r w:rsidRPr="004D0FC0">
              <w:t xml:space="preserve"> Arbeitsmarktstatistiken in der Europäi</w:t>
            </w:r>
            <w:r w:rsidRPr="004D0FC0">
              <w:t xml:space="preserve">schen Union sind für die Gestaltung, Umsetzung und Bewertung der politischen Maßnahmen der Union </w:t>
            </w:r>
            <w:r w:rsidRPr="004D0FC0">
              <w:rPr>
                <w:b/>
                <w:bCs/>
                <w:i/>
                <w:iCs/>
              </w:rPr>
              <w:t>und für die Erfüllung der Aufgaben gemäß den Artikeln 2, 3 und 4 des Vertrags über die Arbeitsweise der Europäischen Union</w:t>
            </w:r>
            <w:r w:rsidRPr="004D0FC0">
              <w:t xml:space="preserve"> erforderlich, insbesondere für die M</w:t>
            </w:r>
            <w:r w:rsidRPr="004D0FC0">
              <w:t>aßnahmen, die den wirtschaftlichen, sozialen und territorialen Zusammenhalt, die europäische Beschäftigungsstrategie, die europäische Säule sozialer Rechte und das Europäische Semester betreffen.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w:t>
      </w:r>
      <w:r w:rsidRPr="004D0FC0">
        <w:t>trag</w:t>
      </w:r>
      <w:r w:rsidRPr="004D0FC0">
        <w:tab/>
      </w:r>
      <w:r w:rsidRPr="004D0FC0">
        <w:tab/>
      </w:r>
      <w:r w:rsidRPr="004D0FC0">
        <w:rPr>
          <w:rStyle w:val="HideTWBExt"/>
        </w:rPr>
        <w:t>&lt;NumAm&gt;</w:t>
      </w:r>
      <w:r w:rsidRPr="004D0FC0">
        <w:t>22</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2</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(2)</w:t>
            </w:r>
            <w:r w:rsidRPr="004D0FC0">
              <w:tab/>
              <w:t xml:space="preserve">Für die Vermeidung und Korrektur </w:t>
            </w:r>
            <w:r w:rsidRPr="004D0FC0">
              <w:t>makroökonomischer Ungleichgewichte gemäß der Verordnung (EU) Nr. 1176/2011</w:t>
            </w:r>
            <w:r w:rsidRPr="004D0FC0">
              <w:rPr>
                <w:vertAlign w:val="superscript"/>
              </w:rPr>
              <w:t>15</w:t>
            </w:r>
            <w:r w:rsidRPr="004D0FC0">
              <w:t xml:space="preserve"> und die Überwachung angemessener Mindestlöhne gemäß der Richtlinie (EU) 2022/2041 des Europäischen Parlaments und des Rates</w:t>
            </w:r>
            <w:r w:rsidRPr="004D0FC0">
              <w:rPr>
                <w:vertAlign w:val="superscript"/>
              </w:rPr>
              <w:t>16</w:t>
            </w:r>
            <w:r w:rsidRPr="004D0FC0">
              <w:t xml:space="preserve"> sind korrekte Informationen über die Entwicklung der </w:t>
            </w:r>
            <w:r w:rsidRPr="004D0FC0">
              <w:t xml:space="preserve">Arbeitskosten pro Stunde </w:t>
            </w:r>
            <w:r w:rsidRPr="004D0FC0">
              <w:rPr>
                <w:b/>
                <w:bCs/>
                <w:i/>
                <w:iCs/>
              </w:rPr>
              <w:t>und</w:t>
            </w:r>
            <w:r w:rsidRPr="004D0FC0">
              <w:t xml:space="preserve"> das Lohnniveau </w:t>
            </w:r>
            <w:r w:rsidRPr="004D0FC0">
              <w:rPr>
                <w:b/>
                <w:bCs/>
                <w:i/>
                <w:iCs/>
              </w:rPr>
              <w:t>in den Mitgliedstaaten</w:t>
            </w:r>
            <w:r w:rsidRPr="004D0FC0">
              <w:t xml:space="preserve"> erforderlich.</w:t>
            </w:r>
          </w:p>
        </w:tc>
        <w:tc>
          <w:tcPr>
            <w:tcW w:w="4876" w:type="dxa"/>
            <w:hideMark/>
          </w:tcPr>
          <w:p w:rsidR="00351294" w:rsidRPr="004D0FC0" w:rsidRDefault="00B801A5">
            <w:pPr>
              <w:pStyle w:val="Normal6a"/>
            </w:pPr>
            <w:r w:rsidRPr="004D0FC0">
              <w:t>(2)</w:t>
            </w:r>
            <w:r w:rsidRPr="004D0FC0">
              <w:tab/>
              <w:t>Für die Vermeidung und Korrektur makroökonomischer Ungleichgewichte gemäß der Verordnung (EU) Nr. 1176/2011</w:t>
            </w:r>
            <w:r w:rsidRPr="004D0FC0">
              <w:rPr>
                <w:vertAlign w:val="superscript"/>
              </w:rPr>
              <w:t>15</w:t>
            </w:r>
            <w:r w:rsidRPr="004D0FC0">
              <w:t xml:space="preserve"> und die Überwachung angemessener Mindestlöhne gemäß der Richt</w:t>
            </w:r>
            <w:r w:rsidRPr="004D0FC0">
              <w:t>linie (EU) 2022/2041 des Europäischen Parlaments und des Rates</w:t>
            </w:r>
            <w:r w:rsidRPr="004D0FC0">
              <w:rPr>
                <w:vertAlign w:val="superscript"/>
              </w:rPr>
              <w:t>16</w:t>
            </w:r>
            <w:r w:rsidRPr="004D0FC0">
              <w:t xml:space="preserve"> sind korrekte Informationen über die Entwicklung der Arbeitskosten pro Stunde</w:t>
            </w:r>
            <w:r w:rsidRPr="004D0FC0">
              <w:rPr>
                <w:b/>
                <w:bCs/>
                <w:i/>
                <w:iCs/>
              </w:rPr>
              <w:t>,</w:t>
            </w:r>
            <w:r w:rsidRPr="004D0FC0">
              <w:t xml:space="preserve"> das Lohnniveau</w:t>
            </w:r>
            <w:r w:rsidRPr="004D0FC0">
              <w:rPr>
                <w:b/>
                <w:bCs/>
                <w:i/>
                <w:iCs/>
              </w:rPr>
              <w:t>, die Quote der tarifvertraglichen Abdeckung, das Niveau der gesetzlichen Mindestlöhne und den Ant</w:t>
            </w:r>
            <w:r w:rsidRPr="004D0FC0">
              <w:rPr>
                <w:b/>
                <w:bCs/>
                <w:i/>
                <w:iCs/>
              </w:rPr>
              <w:t>eil der Arbeitnehmer, für die diese gelten,</w:t>
            </w:r>
            <w:r w:rsidRPr="004D0FC0">
              <w:t xml:space="preserve"> erforderlich</w:t>
            </w:r>
            <w:r w:rsidRPr="004D0FC0">
              <w:rPr>
                <w:b/>
                <w:bCs/>
                <w:i/>
                <w:iCs/>
              </w:rPr>
              <w:t>, und zwar für alle Mitgliedstaaten</w:t>
            </w:r>
            <w:r w:rsidRPr="004D0FC0">
              <w:t>.</w:t>
            </w:r>
          </w:p>
        </w:tc>
      </w:tr>
      <w:tr w:rsidR="00796A4B" w:rsidRPr="004D0FC0" w:rsidTr="00351294">
        <w:trPr>
          <w:jc w:val="center"/>
        </w:trPr>
        <w:tc>
          <w:tcPr>
            <w:tcW w:w="4876" w:type="dxa"/>
            <w:hideMark/>
          </w:tcPr>
          <w:p w:rsidR="00351294" w:rsidRPr="004D0FC0" w:rsidRDefault="00B801A5">
            <w:pPr>
              <w:pStyle w:val="Normal6a"/>
            </w:pPr>
            <w:r w:rsidRPr="004D0FC0">
              <w:rPr>
                <w:b/>
                <w:i/>
              </w:rPr>
              <w:t>_________________</w:t>
            </w:r>
          </w:p>
        </w:tc>
        <w:tc>
          <w:tcPr>
            <w:tcW w:w="4876" w:type="dxa"/>
            <w:hideMark/>
          </w:tcPr>
          <w:p w:rsidR="00351294" w:rsidRPr="004D0FC0" w:rsidRDefault="00B801A5">
            <w:pPr>
              <w:pStyle w:val="Normal6a"/>
            </w:pPr>
            <w:r w:rsidRPr="004D0FC0">
              <w:rPr>
                <w:b/>
                <w:i/>
              </w:rPr>
              <w:t>_________________</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15</w:t>
            </w:r>
            <w:r w:rsidRPr="004D0FC0">
              <w:t xml:space="preserve"> Verordnung (EU) Nr. 1176/2011 des Europäischen Parlaments und des Rates vom 16. November 2011 über die Vermeidung und Korrektur makroökonomischer Ungleichgewichte (ABl. L 306 vom 23.11.2011, S. 25).</w:t>
            </w:r>
          </w:p>
        </w:tc>
        <w:tc>
          <w:tcPr>
            <w:tcW w:w="4876" w:type="dxa"/>
            <w:hideMark/>
          </w:tcPr>
          <w:p w:rsidR="00351294" w:rsidRPr="004D0FC0" w:rsidRDefault="00B801A5">
            <w:pPr>
              <w:pStyle w:val="Normal6a"/>
            </w:pPr>
            <w:r w:rsidRPr="004D0FC0">
              <w:rPr>
                <w:vertAlign w:val="superscript"/>
              </w:rPr>
              <w:t>15</w:t>
            </w:r>
            <w:r w:rsidRPr="004D0FC0">
              <w:t xml:space="preserve"> Verordnung (EU) Nr. 1176/2011 des Europäischen Parlam</w:t>
            </w:r>
            <w:r w:rsidRPr="004D0FC0">
              <w:t>ents und des Rates vom 16. November 2011 über die Vermeidung und Korrektur makroökonomischer Ungleichgewichte (ABl. L 306 vom 23.11.2011, S. 25).</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16</w:t>
            </w:r>
            <w:r w:rsidRPr="004D0FC0">
              <w:t xml:space="preserve"> Richtlinie (EU) 2022/2041 des Europäischen Parlaments und des Rates vom 19. Oktober 2022 über angemessene </w:t>
            </w:r>
            <w:r w:rsidRPr="004D0FC0">
              <w:t>Mindestlöhne in der Europäischen Union (ABl. L 275 vom 25.10.2022, S. 33).</w:t>
            </w:r>
          </w:p>
        </w:tc>
        <w:tc>
          <w:tcPr>
            <w:tcW w:w="4876" w:type="dxa"/>
            <w:hideMark/>
          </w:tcPr>
          <w:p w:rsidR="00351294" w:rsidRPr="004D0FC0" w:rsidRDefault="00B801A5">
            <w:pPr>
              <w:pStyle w:val="Normal6a"/>
            </w:pPr>
            <w:r w:rsidRPr="004D0FC0">
              <w:rPr>
                <w:vertAlign w:val="superscript"/>
              </w:rPr>
              <w:t>16</w:t>
            </w:r>
            <w:r w:rsidRPr="004D0FC0">
              <w:t xml:space="preserve"> Richtlinie (EU) 2022/2041 des Europäischen Parlaments und des Rates vom 19. Oktober 2022 über angemessene Mindestlöhne in der Europäischen Union (ABl. L 275 vom 25.10.2022, S. 33</w:t>
            </w:r>
            <w:r w:rsidRPr="004D0FC0">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23</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Irene Tinagli</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2</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 xml:space="preserve">Vorschlag der </w:t>
            </w:r>
            <w:r w:rsidRPr="004D0FC0">
              <w:t>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(2)</w:t>
            </w:r>
            <w:r w:rsidRPr="004D0FC0">
              <w:tab/>
              <w:t>Für die Vermeidung und Korrektur makroökonomischer Ungleichgewichte gemäß der Verordnung (EU) Nr. 1176/2011</w:t>
            </w:r>
            <w:r w:rsidRPr="004D0FC0">
              <w:rPr>
                <w:vertAlign w:val="superscript"/>
              </w:rPr>
              <w:t>15</w:t>
            </w:r>
            <w:r w:rsidRPr="004D0FC0">
              <w:t xml:space="preserve"> und die Überwachung angemessener Mindestlöhne gemäß der Richtlinie (EU) 2022/2041 des Europäischen Parlaments und </w:t>
            </w:r>
            <w:r w:rsidRPr="004D0FC0">
              <w:t>des Rates</w:t>
            </w:r>
            <w:r w:rsidRPr="004D0FC0">
              <w:rPr>
                <w:vertAlign w:val="superscript"/>
              </w:rPr>
              <w:t>16</w:t>
            </w:r>
            <w:r w:rsidRPr="004D0FC0">
              <w:t xml:space="preserve"> sind korrekte Informationen über die Entwicklung der Arbeitskosten pro Stunde und das Lohnniveau in den Mitgliedstaaten erforderlich.</w:t>
            </w:r>
          </w:p>
        </w:tc>
        <w:tc>
          <w:tcPr>
            <w:tcW w:w="4876" w:type="dxa"/>
            <w:hideMark/>
          </w:tcPr>
          <w:p w:rsidR="00351294" w:rsidRPr="004D0FC0" w:rsidRDefault="00B801A5">
            <w:pPr>
              <w:pStyle w:val="Normal6a"/>
            </w:pPr>
            <w:r w:rsidRPr="004D0FC0">
              <w:t>(2)</w:t>
            </w:r>
            <w:r w:rsidRPr="004D0FC0">
              <w:tab/>
              <w:t>Für die Vermeidung und Korrektur makroökonomischer Ungleichgewichte gemäß der Verordnung (EU) Nr. 1176/201</w:t>
            </w:r>
            <w:r w:rsidRPr="004D0FC0">
              <w:t>1</w:t>
            </w:r>
            <w:r w:rsidRPr="004D0FC0">
              <w:rPr>
                <w:vertAlign w:val="superscript"/>
              </w:rPr>
              <w:t>15</w:t>
            </w:r>
            <w:r w:rsidRPr="004D0FC0">
              <w:t xml:space="preserve"> und die Überwachung angemessener Mindestlöhne gemäß der Richtlinie (EU) 2022/2041 des Europäischen Parlaments und des Rates</w:t>
            </w:r>
            <w:r w:rsidRPr="004D0FC0">
              <w:rPr>
                <w:vertAlign w:val="superscript"/>
              </w:rPr>
              <w:t>16</w:t>
            </w:r>
            <w:r w:rsidRPr="004D0FC0">
              <w:t xml:space="preserve"> sind korrekte Informationen über die Entwicklung der Arbeitskosten pro Stunde und das Lohnniveau </w:t>
            </w:r>
            <w:r w:rsidRPr="004D0FC0">
              <w:rPr>
                <w:b/>
                <w:bCs/>
                <w:i/>
                <w:iCs/>
              </w:rPr>
              <w:t>sowie über die tarifvertragli</w:t>
            </w:r>
            <w:r w:rsidRPr="004D0FC0">
              <w:rPr>
                <w:b/>
                <w:bCs/>
                <w:i/>
                <w:iCs/>
              </w:rPr>
              <w:t>che Abdeckung</w:t>
            </w:r>
            <w:r w:rsidRPr="004D0FC0">
              <w:t xml:space="preserve"> in den Mitgliedstaaten erforderlich.</w:t>
            </w:r>
          </w:p>
        </w:tc>
      </w:tr>
      <w:tr w:rsidR="00796A4B" w:rsidRPr="004D0FC0" w:rsidTr="00351294">
        <w:trPr>
          <w:jc w:val="center"/>
        </w:trPr>
        <w:tc>
          <w:tcPr>
            <w:tcW w:w="4876" w:type="dxa"/>
            <w:hideMark/>
          </w:tcPr>
          <w:p w:rsidR="00351294" w:rsidRPr="004D0FC0" w:rsidRDefault="00B801A5">
            <w:pPr>
              <w:pStyle w:val="Normal6a"/>
            </w:pPr>
            <w:r w:rsidRPr="004D0FC0">
              <w:rPr>
                <w:b/>
                <w:i/>
              </w:rPr>
              <w:t>_________________</w:t>
            </w:r>
          </w:p>
        </w:tc>
        <w:tc>
          <w:tcPr>
            <w:tcW w:w="4876" w:type="dxa"/>
            <w:hideMark/>
          </w:tcPr>
          <w:p w:rsidR="00351294" w:rsidRPr="004D0FC0" w:rsidRDefault="00B801A5">
            <w:pPr>
              <w:pStyle w:val="Normal6a"/>
            </w:pPr>
            <w:r w:rsidRPr="004D0FC0">
              <w:rPr>
                <w:b/>
                <w:i/>
              </w:rPr>
              <w:t>_________________</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15</w:t>
            </w:r>
            <w:r w:rsidRPr="004D0FC0">
              <w:t xml:space="preserve"> Verordnung (EU) Nr. 1176/2011 des Europäischen Parlaments und des Rates vom 16. November 2011 über die Vermeidung und Korrektur makroökonomischer Ungleichgewichte (ABl. L 306 vom 23.11.2011, S. 25).</w:t>
            </w:r>
          </w:p>
        </w:tc>
        <w:tc>
          <w:tcPr>
            <w:tcW w:w="4876" w:type="dxa"/>
            <w:hideMark/>
          </w:tcPr>
          <w:p w:rsidR="00351294" w:rsidRPr="004D0FC0" w:rsidRDefault="00B801A5">
            <w:pPr>
              <w:pStyle w:val="Normal6a"/>
            </w:pPr>
            <w:r w:rsidRPr="004D0FC0">
              <w:rPr>
                <w:vertAlign w:val="superscript"/>
              </w:rPr>
              <w:t>15</w:t>
            </w:r>
            <w:r w:rsidRPr="004D0FC0">
              <w:t xml:space="preserve"> Verordnung (EU) Nr. 1176/2011 des Europäischen Parlam</w:t>
            </w:r>
            <w:r w:rsidRPr="004D0FC0">
              <w:t>ents und des Rates vom 16. November 2011 über die Vermeidung und Korrektur makroökonomischer Ungleichgewichte (ABl. L 306 vom 23.11.2011, S. 25).</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16</w:t>
            </w:r>
            <w:r w:rsidRPr="004D0FC0">
              <w:t xml:space="preserve"> Richtlinie (EU) 2022/2041 des Europäischen Parlaments und des Rates vom 19. Oktober 2022 über angemessene Mindestlöhne in der Europäischen Union (ABl. L 275 vom 25.10.2022, S. 33).</w:t>
            </w:r>
          </w:p>
        </w:tc>
        <w:tc>
          <w:tcPr>
            <w:tcW w:w="4876" w:type="dxa"/>
            <w:hideMark/>
          </w:tcPr>
          <w:p w:rsidR="00351294" w:rsidRPr="004D0FC0" w:rsidRDefault="00B801A5">
            <w:pPr>
              <w:pStyle w:val="Normal6a"/>
            </w:pPr>
            <w:r w:rsidRPr="004D0FC0">
              <w:rPr>
                <w:vertAlign w:val="superscript"/>
              </w:rPr>
              <w:t>16</w:t>
            </w:r>
            <w:r w:rsidRPr="004D0FC0">
              <w:t xml:space="preserve"> Richtlinie (EU) 2022/2041 des Europäischen Parlaments und des Rates vom</w:t>
            </w:r>
            <w:r w:rsidRPr="004D0FC0">
              <w:t xml:space="preserve"> 19. Oktober 2022 über angemessene Mindestlöhne in der Europäischen Union (ABl. L 275 vom 25.10.2022, S. 33).</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24</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w:t>
      </w:r>
      <w:r w:rsidRPr="004D0FC0">
        <w:rPr>
          <w:rStyle w:val="HideTWBExt"/>
        </w:rPr>
        <w:t>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3</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(3)</w:t>
            </w:r>
            <w:r w:rsidRPr="004D0FC0">
              <w:tab/>
              <w:t xml:space="preserve">Die Europäische Zentralbank verwendet im Kontext der einheitlichen Währungspolitik europäische </w:t>
            </w:r>
            <w:r w:rsidRPr="004D0FC0">
              <w:t>unternehmensbezogene Arbeitsmarktstatistiken, um Inflations- und Deflationsrisiken im Zusammenhang mit den Arbeitskosten zu überwachen. Daher sind zuverlässige, korrekte und vergleichbare Unionsstatistiken über die Entwicklung der Arbeitskosten erforderlic</w:t>
            </w:r>
            <w:r w:rsidRPr="004D0FC0">
              <w:t>h.</w:t>
            </w:r>
          </w:p>
        </w:tc>
        <w:tc>
          <w:tcPr>
            <w:tcW w:w="4876" w:type="dxa"/>
            <w:hideMark/>
          </w:tcPr>
          <w:p w:rsidR="00351294" w:rsidRPr="004D0FC0" w:rsidRDefault="00B801A5">
            <w:pPr>
              <w:pStyle w:val="Normal6a"/>
            </w:pPr>
            <w:r w:rsidRPr="004D0FC0">
              <w:t>(3)</w:t>
            </w:r>
            <w:r w:rsidRPr="004D0FC0">
              <w:tab/>
              <w:t>Die Europäische Zentralbank verwendet im Kontext der einheitlichen Währungspolitik europäische unternehmensbezogene Arbeitsmarktstatistiken, um Inflations- und Deflationsrisiken im Zusammenhang mit den Arbeitskosten zu überwachen</w:t>
            </w:r>
            <w:r w:rsidRPr="004D0FC0">
              <w:rPr>
                <w:b/>
                <w:bCs/>
                <w:i/>
                <w:iCs/>
              </w:rPr>
              <w:t xml:space="preserve">, auch in Bezug auf </w:t>
            </w:r>
            <w:r w:rsidRPr="004D0FC0">
              <w:rPr>
                <w:b/>
                <w:bCs/>
                <w:i/>
                <w:iCs/>
              </w:rPr>
              <w:t>Gewinne</w:t>
            </w:r>
            <w:r w:rsidRPr="004D0FC0">
              <w:t>. Daher sind zuverlässige, korrekte und vergleichbare Unionsstatistiken über die Entwicklung der Arbeitskosten erforderlich.</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25</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4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(4a)</w:t>
            </w:r>
            <w:r w:rsidRPr="004D0FC0">
              <w:tab/>
            </w:r>
            <w:r w:rsidRPr="004D0FC0">
              <w:rPr>
                <w:b/>
                <w:i/>
              </w:rPr>
              <w:t xml:space="preserve">Um korrekte und vergleichbare länderübergreifende unternehmensbezogene </w:t>
            </w:r>
            <w:r w:rsidRPr="004D0FC0">
              <w:rPr>
                <w:b/>
                <w:i/>
              </w:rPr>
              <w:t>Arbeitsmarktstatistiken zu erstellen, müssen alle Datenquellen einbezogen werden, einschließlich Datenquellen über den öffentlichen Sektor und kleine Unternehmen.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26</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6</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(6)</w:t>
            </w:r>
            <w:r w:rsidRPr="004D0FC0">
              <w:tab/>
              <w:t>Für die Verwirklichung des Grundsatzes der Chancen</w:t>
            </w:r>
            <w:r w:rsidRPr="004D0FC0">
              <w:t>gleichheit und Gleichbehandlung von Männern und Frauen in Arbeits- und Beschäftigungsfragen</w:t>
            </w:r>
            <w:r w:rsidRPr="004D0FC0">
              <w:rPr>
                <w:vertAlign w:val="superscript"/>
              </w:rPr>
              <w:t>18</w:t>
            </w:r>
            <w:r w:rsidRPr="004D0FC0">
              <w:t xml:space="preserve"> sind vergleichbare Daten über die Löhne und Gehälter von Männern und Frauen erforderlich. Nach der Richtlinie (EU) 2023/970 des Europäischen Parlaments und des Ra</w:t>
            </w:r>
            <w:r w:rsidRPr="004D0FC0">
              <w:t>tes zur Stärkung der Anwendung des Grundsatzes des gleichen Entgelts für Männer und Frauen</w:t>
            </w:r>
            <w:r w:rsidRPr="004D0FC0">
              <w:rPr>
                <w:vertAlign w:val="superscript"/>
              </w:rPr>
              <w:t>19</w:t>
            </w:r>
            <w:r w:rsidRPr="004D0FC0">
              <w:t xml:space="preserve"> sind die Mitgliedstaaten verpflichtet, der Kommission jährlich fristgerecht aktuelle Daten zum geschlechtsspezifischen Lohngefälle bereitzustellen. Diese Verpflich</w:t>
            </w:r>
            <w:r w:rsidRPr="004D0FC0">
              <w:t>tung sollte durch den angemessenen erforderlichen statistischen Rahmen für die Erhebung und Übermittlung von Daten zum geschlechtsspezifischen Lohngefälle ergänzt werden.</w:t>
            </w:r>
          </w:p>
        </w:tc>
        <w:tc>
          <w:tcPr>
            <w:tcW w:w="4876" w:type="dxa"/>
            <w:hideMark/>
          </w:tcPr>
          <w:p w:rsidR="00351294" w:rsidRPr="004D0FC0" w:rsidRDefault="00B801A5">
            <w:pPr>
              <w:pStyle w:val="Normal6a"/>
            </w:pPr>
            <w:r w:rsidRPr="004D0FC0">
              <w:t>(6)</w:t>
            </w:r>
            <w:r w:rsidRPr="004D0FC0">
              <w:tab/>
              <w:t>Für die Verwirklichung des Grundsatzes der Chancengleichheit und Gleichbehandlung</w:t>
            </w:r>
            <w:r w:rsidRPr="004D0FC0">
              <w:t xml:space="preserve"> von Männern und Frauen in Arbeits- und Beschäftigungsfragen</w:t>
            </w:r>
            <w:r w:rsidRPr="004D0FC0">
              <w:rPr>
                <w:vertAlign w:val="superscript"/>
              </w:rPr>
              <w:t>18</w:t>
            </w:r>
            <w:r w:rsidRPr="004D0FC0">
              <w:t xml:space="preserve"> sind vergleichbare Daten über die Löhne und Gehälter von Männern und Frauen erforderlich. Nach der Richtlinie (EU) 2023/970 des Europäischen Parlaments und des Rates zur Stärkung der Anwendung </w:t>
            </w:r>
            <w:r w:rsidRPr="004D0FC0">
              <w:t>des Grundsatzes des gleichen Entgelts für Männer und Frauen</w:t>
            </w:r>
            <w:r w:rsidRPr="004D0FC0">
              <w:rPr>
                <w:vertAlign w:val="superscript"/>
              </w:rPr>
              <w:t>19</w:t>
            </w:r>
            <w:r w:rsidRPr="004D0FC0">
              <w:t xml:space="preserve"> sind die Mitgliedstaaten </w:t>
            </w:r>
            <w:r w:rsidRPr="004D0FC0">
              <w:rPr>
                <w:b/>
                <w:bCs/>
                <w:i/>
                <w:iCs/>
              </w:rPr>
              <w:t>gemäß der Richtlinie zur Lohntransparenz</w:t>
            </w:r>
            <w:r w:rsidRPr="004D0FC0">
              <w:rPr>
                <w:b/>
                <w:bCs/>
              </w:rPr>
              <w:t xml:space="preserve"> </w:t>
            </w:r>
            <w:r w:rsidRPr="004D0FC0">
              <w:t>verpflichtet, der Kommission jährlich fristgerecht aktuelle Daten zum geschlechtsspezifischen Lohngefälle bereitzustellen. Diese</w:t>
            </w:r>
            <w:r w:rsidRPr="004D0FC0">
              <w:t xml:space="preserve"> Verpflichtung sollte durch den angemessenen erforderlichen statistischen Rahmen für die Erhebung und Übermittlung von Daten zum geschlechtsspezifischen Lohngefälle ergänzt werden.</w:t>
            </w:r>
          </w:p>
        </w:tc>
      </w:tr>
      <w:tr w:rsidR="00796A4B" w:rsidRPr="004D0FC0" w:rsidTr="00351294">
        <w:trPr>
          <w:jc w:val="center"/>
        </w:trPr>
        <w:tc>
          <w:tcPr>
            <w:tcW w:w="4876" w:type="dxa"/>
            <w:hideMark/>
          </w:tcPr>
          <w:p w:rsidR="00351294" w:rsidRPr="004D0FC0" w:rsidRDefault="00B801A5">
            <w:pPr>
              <w:pStyle w:val="Normal6a"/>
            </w:pPr>
            <w:r w:rsidRPr="004D0FC0">
              <w:rPr>
                <w:b/>
                <w:i/>
              </w:rPr>
              <w:t>_________________</w:t>
            </w:r>
          </w:p>
        </w:tc>
        <w:tc>
          <w:tcPr>
            <w:tcW w:w="4876" w:type="dxa"/>
            <w:hideMark/>
          </w:tcPr>
          <w:p w:rsidR="00351294" w:rsidRPr="004D0FC0" w:rsidRDefault="00B801A5">
            <w:pPr>
              <w:pStyle w:val="Normal6a"/>
            </w:pPr>
            <w:r w:rsidRPr="004D0FC0">
              <w:rPr>
                <w:b/>
                <w:i/>
              </w:rPr>
              <w:t>_________________</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18</w:t>
            </w:r>
            <w:r w:rsidRPr="004D0FC0">
              <w:t xml:space="preserve"> Richtlinie 2006/54/EG des Europäischen Parlaments und des Rates vom 5. Juli 2006 zur Verwirklichung des Grundsatzes der Chancengleichheit und Gleichbehandlung von Männern und Frauen in Arbeits- und Beschäftigungsfragen (ABl. L 204 vom 26.7.2006, S. 23);</w:t>
            </w:r>
          </w:p>
        </w:tc>
        <w:tc>
          <w:tcPr>
            <w:tcW w:w="4876" w:type="dxa"/>
            <w:hideMark/>
          </w:tcPr>
          <w:p w:rsidR="00351294" w:rsidRPr="004D0FC0" w:rsidRDefault="00B801A5">
            <w:pPr>
              <w:pStyle w:val="Normal6a"/>
            </w:pPr>
            <w:r w:rsidRPr="004D0FC0">
              <w:rPr>
                <w:vertAlign w:val="superscript"/>
              </w:rPr>
              <w:t>1</w:t>
            </w:r>
            <w:r w:rsidRPr="004D0FC0">
              <w:rPr>
                <w:vertAlign w:val="superscript"/>
              </w:rPr>
              <w:t>8</w:t>
            </w:r>
            <w:r w:rsidRPr="004D0FC0">
              <w:t xml:space="preserve"> Richtlinie 2006/54/EG des Europäischen Parlaments und des Rates vom 5. Juli 2006 zur Verwirklichung des Grundsatzes der Chancengleichheit und Gleichbehandlung von Männern und Frauen in Arbeits- und Beschäftigungsfragen (ABl. L 204 vom 26.7.2006, S. 23);</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19</w:t>
            </w:r>
            <w:r w:rsidRPr="004D0FC0">
              <w:t xml:space="preserve"> Richtlinie (EU) 2023/970 des Europäischen Parlaments und des Rates vom 10. Mai 2023 zur Stärkung der Anwendung des Grundsatzes des gleichen Entgelts für Männer und Frauen bei gleicher oder gleichwertiger Arbeit durch Entgelttransparenz und Durchsetzung</w:t>
            </w:r>
            <w:r w:rsidRPr="004D0FC0">
              <w:t>smechanismen (ABl. L 132 vom 17.5.2023, S. 21).</w:t>
            </w:r>
          </w:p>
        </w:tc>
        <w:tc>
          <w:tcPr>
            <w:tcW w:w="4876" w:type="dxa"/>
            <w:hideMark/>
          </w:tcPr>
          <w:p w:rsidR="00351294" w:rsidRPr="004D0FC0" w:rsidRDefault="00B801A5">
            <w:pPr>
              <w:pStyle w:val="Normal6a"/>
            </w:pPr>
            <w:r w:rsidRPr="004D0FC0">
              <w:rPr>
                <w:vertAlign w:val="superscript"/>
              </w:rPr>
              <w:t>19</w:t>
            </w:r>
            <w:r w:rsidRPr="004D0FC0">
              <w:t xml:space="preserve"> Richtlinie (EU) 2023/970 des Europäischen Parlaments und des Rates vom 10. Mai 2023 zur Stärkung der Anwendung des Grundsatzes des gleichen Entgelts für Männer und Frauen bei gleicher oder gleichwertiger A</w:t>
            </w:r>
            <w:r w:rsidRPr="004D0FC0">
              <w:t>rbeit durch Entgelttransparenz und Durchsetzungsmechanismen (ABl. L 132 vom 17.5.2023, S. 21).</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27</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6</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(6)</w:t>
            </w:r>
            <w:r w:rsidRPr="004D0FC0">
              <w:tab/>
              <w:t xml:space="preserve">Für die Verwirklichung des Grundsatzes der Chancengleichheit und Gleichbehandlung von Männern und Frauen in Arbeits- und </w:t>
            </w:r>
            <w:r w:rsidRPr="004D0FC0">
              <w:t>Beschäftigungsfragen</w:t>
            </w:r>
            <w:r w:rsidRPr="004D0FC0">
              <w:rPr>
                <w:vertAlign w:val="superscript"/>
              </w:rPr>
              <w:t>18</w:t>
            </w:r>
            <w:r w:rsidRPr="004D0FC0">
              <w:t xml:space="preserve"> sind vergleichbare Daten über die Löhne und Gehälter von Männern und Frauen erforderlich. Nach der Richtlinie (EU) 2023/970 des Europäischen Parlaments und des Rates zur Stärkung der Anwendung des Grundsatzes des gleichen Entgelts fü</w:t>
            </w:r>
            <w:r w:rsidRPr="004D0FC0">
              <w:t>r Männer und Frauen</w:t>
            </w:r>
            <w:r w:rsidRPr="004D0FC0">
              <w:rPr>
                <w:vertAlign w:val="superscript"/>
              </w:rPr>
              <w:t>19</w:t>
            </w:r>
            <w:r w:rsidRPr="004D0FC0">
              <w:t xml:space="preserve"> sind die Mitgliedstaaten verpflichtet, der Kommission jährlich fristgerecht aktuelle Daten zum geschlechtsspezifischen Lohngefälle bereitzustellen. Diese Verpflichtung sollte durch den angemessenen erforderlichen statistischen Rahmen </w:t>
            </w:r>
            <w:r w:rsidRPr="004D0FC0">
              <w:t>für die Erhebung und Übermittlung von Daten zum geschlechtsspezifischen Lohngefälle ergänzt werden.</w:t>
            </w:r>
          </w:p>
        </w:tc>
        <w:tc>
          <w:tcPr>
            <w:tcW w:w="4876" w:type="dxa"/>
            <w:hideMark/>
          </w:tcPr>
          <w:p w:rsidR="00351294" w:rsidRPr="004D0FC0" w:rsidRDefault="00B801A5">
            <w:pPr>
              <w:pStyle w:val="Normal6a"/>
            </w:pPr>
            <w:r w:rsidRPr="004D0FC0">
              <w:t>(6)</w:t>
            </w:r>
            <w:r w:rsidRPr="004D0FC0">
              <w:tab/>
              <w:t>Für die Verwirklichung</w:t>
            </w:r>
            <w:r w:rsidRPr="004D0FC0">
              <w:rPr>
                <w:b/>
                <w:bCs/>
                <w:i/>
                <w:iCs/>
              </w:rPr>
              <w:t>, Überwachung und Bewertung</w:t>
            </w:r>
            <w:r w:rsidRPr="004D0FC0">
              <w:t xml:space="preserve"> des Grundsatzes der Chancengleichheit und Gleichbehandlung von Männern und Frauen in Arbeits- und Besc</w:t>
            </w:r>
            <w:r w:rsidRPr="004D0FC0">
              <w:t>häftigungsfragen</w:t>
            </w:r>
            <w:r w:rsidRPr="004D0FC0">
              <w:rPr>
                <w:vertAlign w:val="superscript"/>
              </w:rPr>
              <w:t>18</w:t>
            </w:r>
            <w:r w:rsidRPr="004D0FC0">
              <w:t xml:space="preserve"> sind vergleichbare Daten über die Löhne und Gehälter von Männern und Frauen erforderlich. Nach der Richtlinie (EU) 2023/970 des Europäischen Parlaments und des Rates zur Stärkung der Anwendung des Grundsatzes des gleichen Entgelts für Mä</w:t>
            </w:r>
            <w:r w:rsidRPr="004D0FC0">
              <w:t>nner und Frauen</w:t>
            </w:r>
            <w:r w:rsidRPr="004D0FC0">
              <w:rPr>
                <w:vertAlign w:val="superscript"/>
              </w:rPr>
              <w:t>19</w:t>
            </w:r>
            <w:r w:rsidRPr="004D0FC0">
              <w:t xml:space="preserve"> sind die Mitgliedstaaten verpflichtet, der Kommission jährlich fristgerecht aktuelle Daten zum geschlechtsspezifischen Lohngefälle bereitzustellen. Diese Verpflichtung sollte durch den angemessenen erforderlichen statistischen Rahmen für </w:t>
            </w:r>
            <w:r w:rsidRPr="004D0FC0">
              <w:t>die Erhebung und Übermittlung von Daten zum geschlechtsspezifischen Lohngefälle ergänzt werden.</w:t>
            </w:r>
          </w:p>
        </w:tc>
      </w:tr>
      <w:tr w:rsidR="00796A4B" w:rsidRPr="004D0FC0" w:rsidTr="00351294">
        <w:trPr>
          <w:jc w:val="center"/>
        </w:trPr>
        <w:tc>
          <w:tcPr>
            <w:tcW w:w="4876" w:type="dxa"/>
            <w:hideMark/>
          </w:tcPr>
          <w:p w:rsidR="00351294" w:rsidRPr="004D0FC0" w:rsidRDefault="00B801A5">
            <w:pPr>
              <w:pStyle w:val="Normal6a"/>
            </w:pPr>
            <w:r w:rsidRPr="004D0FC0">
              <w:rPr>
                <w:b/>
                <w:i/>
              </w:rPr>
              <w:t>_________________</w:t>
            </w:r>
          </w:p>
        </w:tc>
        <w:tc>
          <w:tcPr>
            <w:tcW w:w="4876" w:type="dxa"/>
            <w:hideMark/>
          </w:tcPr>
          <w:p w:rsidR="00351294" w:rsidRPr="004D0FC0" w:rsidRDefault="00B801A5">
            <w:pPr>
              <w:pStyle w:val="Normal6a"/>
            </w:pPr>
            <w:r w:rsidRPr="004D0FC0">
              <w:rPr>
                <w:b/>
                <w:i/>
              </w:rPr>
              <w:t>_________________</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18</w:t>
            </w:r>
            <w:r w:rsidRPr="004D0FC0">
              <w:t xml:space="preserve"> Richtlinie 2006/54/EG des Europäischen Parlaments und des Rates vom 5. Juli 2006 zur Verwirklichung des Grundsatzes der</w:t>
            </w:r>
            <w:r w:rsidRPr="004D0FC0">
              <w:t xml:space="preserve"> Chancengleichheit und Gleichbehandlung von Männern und Frauen in Arbeits- und Beschäftigungsfragen (ABl. L 204 vom 26.7.2006, S. 23);</w:t>
            </w:r>
          </w:p>
        </w:tc>
        <w:tc>
          <w:tcPr>
            <w:tcW w:w="4876" w:type="dxa"/>
            <w:hideMark/>
          </w:tcPr>
          <w:p w:rsidR="00351294" w:rsidRPr="004D0FC0" w:rsidRDefault="00B801A5">
            <w:pPr>
              <w:pStyle w:val="Normal6a"/>
            </w:pPr>
            <w:r w:rsidRPr="004D0FC0">
              <w:rPr>
                <w:vertAlign w:val="superscript"/>
              </w:rPr>
              <w:t>18</w:t>
            </w:r>
            <w:r w:rsidRPr="004D0FC0">
              <w:t xml:space="preserve"> Richtlinie 2006/54/EG des Europäischen Parlaments und des Rates vom 5. Juli 2006 zur Verwirklichung des Grundsatzes de</w:t>
            </w:r>
            <w:r w:rsidRPr="004D0FC0">
              <w:t>r Chancengleichheit und Gleichbehandlung von Männern und Frauen in Arbeits- und Beschäftigungsfragen (ABl. L 204 vom 26.7.2006, S. 23);</w:t>
            </w:r>
          </w:p>
        </w:tc>
      </w:tr>
      <w:tr w:rsidR="00796A4B" w:rsidRPr="004D0FC0" w:rsidTr="00351294">
        <w:trPr>
          <w:jc w:val="center"/>
        </w:trPr>
        <w:tc>
          <w:tcPr>
            <w:tcW w:w="4876" w:type="dxa"/>
            <w:hideMark/>
          </w:tcPr>
          <w:p w:rsidR="00351294" w:rsidRPr="004D0FC0" w:rsidRDefault="00B801A5">
            <w:pPr>
              <w:pStyle w:val="Normal6a"/>
            </w:pPr>
            <w:r w:rsidRPr="004D0FC0">
              <w:rPr>
                <w:vertAlign w:val="superscript"/>
              </w:rPr>
              <w:t>19</w:t>
            </w:r>
            <w:r w:rsidRPr="004D0FC0">
              <w:t xml:space="preserve"> Richtlinie (EU) 2023/970 des Europäischen Parlaments und des Rates vom 10. Mai 2023 zur Stärkung der Anwendung des Grundsatzes des gleichen Entgelts für Männer und Frauen bei gleicher oder gleichwertiger Arbeit durch Entgelttransparenz und Durchsetzungsme</w:t>
            </w:r>
            <w:r w:rsidRPr="004D0FC0">
              <w:t>chanismen (ABl. L 132 vom 17.5.2023, S. 21).</w:t>
            </w:r>
          </w:p>
        </w:tc>
        <w:tc>
          <w:tcPr>
            <w:tcW w:w="4876" w:type="dxa"/>
            <w:hideMark/>
          </w:tcPr>
          <w:p w:rsidR="00351294" w:rsidRPr="004D0FC0" w:rsidRDefault="00B801A5">
            <w:pPr>
              <w:pStyle w:val="Normal6a"/>
            </w:pPr>
            <w:r w:rsidRPr="004D0FC0">
              <w:rPr>
                <w:vertAlign w:val="superscript"/>
              </w:rPr>
              <w:t>19</w:t>
            </w:r>
            <w:r w:rsidRPr="004D0FC0">
              <w:t xml:space="preserve"> Richtlinie (EU) 2023/970 des Europäischen Parlaments und des Rates vom 10. Mai 2023 zur Stärkung der Anwendung des Grundsatzes des gleichen Entgelts für Männer und Frauen bei gleicher oder gleichwertiger Arbe</w:t>
            </w:r>
            <w:r w:rsidRPr="004D0FC0">
              <w:t>it durch Entgelttransparenz und Durchsetzungsmechanismen (ABl. L 132 vom 17.5.2023, S. 21).</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28</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w:t>
      </w:r>
      <w:r w:rsidRPr="004D0FC0">
        <w:t>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6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(6a)</w:t>
            </w:r>
            <w:r w:rsidRPr="004D0FC0">
              <w:tab/>
            </w:r>
            <w:r w:rsidRPr="004D0FC0">
              <w:rPr>
                <w:b/>
                <w:i/>
              </w:rPr>
              <w:t xml:space="preserve">In Anknüpfung an den Aktionsplan für die Sozialwirtschaft und die Ziele der Strategie für die Rechte von Menschen mit </w:t>
            </w:r>
            <w:r w:rsidRPr="004D0FC0">
              <w:rPr>
                <w:b/>
                <w:i/>
              </w:rPr>
              <w:t>Behinderungen 2021–2030, insbesondere im Hinblick auf die Zielsetzung, Chancengleichheit zu schaffen und für Menschen mit Behinderungen einen gleichberechtigten Zugang zur Teilhabe an Gesellschaft und Wirtschaft sicherzustellen, werden zeitnahe, vergleichb</w:t>
            </w:r>
            <w:r w:rsidRPr="004D0FC0">
              <w:rPr>
                <w:b/>
                <w:i/>
              </w:rPr>
              <w:t>are und korrekte Daten über die Beteiligung von Menschen mit Behinderungen am Arbeitsmarkt benötigt. Diese Daten werden die dringend benötigte Bewertung der Fortschritte bei den gemeinsamen Bemühungen um die Verringerung der Unterschiede in der Beschäftigu</w:t>
            </w:r>
            <w:r w:rsidRPr="004D0FC0">
              <w:rPr>
                <w:b/>
                <w:i/>
              </w:rPr>
              <w:t>ngsquote und die Erhöhung der Beschäftigungsquote von Menschen mit Behinderungen ermöglichen.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29</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6 b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(6b)</w:t>
            </w:r>
            <w:r w:rsidRPr="004D0FC0">
              <w:tab/>
            </w:r>
            <w:r w:rsidRPr="004D0FC0">
              <w:rPr>
                <w:b/>
                <w:i/>
              </w:rPr>
              <w:t xml:space="preserve">Die Verwirklichung des Grundsatzes der Gleichbehandlung ohne Unterschied der Rasse oder der ethnischen Herkunft erfordert </w:t>
            </w:r>
            <w:r w:rsidRPr="004D0FC0">
              <w:rPr>
                <w:b/>
                <w:i/>
              </w:rPr>
              <w:t>zeitnahe, vergleichbare und korrekte Daten über Löhne und Arbeitsplatzmerkmale von Personen unterschiedlicher Rasse oder ethnischer Herkunft. Diese Daten werden die dringend benötigte Bewertung der Fortschritte beim Abbau von Diskriminierungen in Bezug auf</w:t>
            </w:r>
            <w:r w:rsidRPr="004D0FC0">
              <w:rPr>
                <w:b/>
                <w:i/>
              </w:rPr>
              <w:t xml:space="preserve"> Beschäftigung und Arbeitsbedingungen, einschließlich Entlassungen und Entlohnung, ermöglichen.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30</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7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(7a)</w:t>
            </w:r>
            <w:r w:rsidRPr="004D0FC0">
              <w:tab/>
            </w:r>
            <w:r w:rsidRPr="004D0FC0">
              <w:rPr>
                <w:b/>
                <w:i/>
              </w:rPr>
              <w:t xml:space="preserve">Um die unternehmensbezogenen Arbeitsmarktstatistiken zu verbessern, ist es von ausschlaggebender Bedeutung, dass die </w:t>
            </w:r>
            <w:r w:rsidRPr="004D0FC0">
              <w:rPr>
                <w:b/>
                <w:i/>
              </w:rPr>
              <w:t>Daten die Qualitätsanforderungen erfüllen. Daher sollte die Kommission (Eurostat) weitere Handlungsempfehlungen bereitstellen, wie mit Daten aus Quellen von geringer Qualität umzugehen ist.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31</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8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(8b)</w:t>
            </w:r>
            <w:r w:rsidRPr="004D0FC0">
              <w:tab/>
            </w:r>
            <w:r w:rsidRPr="004D0FC0">
              <w:rPr>
                <w:b/>
                <w:i/>
              </w:rPr>
              <w:t xml:space="preserve">Zentrales Anliegen dieser </w:t>
            </w:r>
            <w:r w:rsidRPr="004D0FC0">
              <w:rPr>
                <w:b/>
                <w:i/>
              </w:rPr>
              <w:t>Verordnung sollte sein, die zusätzlichen Belastungen für Unternehmen zu begrenzen. Bei allen ihren Maßnahmen im Zusammenhang mit dieser Verordnung sollten die Kommission und die Mitgliedstaaten sich um die Verwirklichung des Ziels „One in, two out“ bei den</w:t>
            </w:r>
            <w:r w:rsidRPr="004D0FC0">
              <w:rPr>
                <w:b/>
                <w:i/>
              </w:rPr>
              <w:t xml:space="preserve"> Meldepflichten bemühen und sich für eine effizientere Datennutzung einsetzen. Die Erhebung zusätzlicher Daten sollte ausschließlich nach dem „Need-to-know“-Grundsatz erfolgen, um die Kernziele dieser Verordnung zu erreichen, und nicht nach einem „Want-to-</w:t>
            </w:r>
            <w:r w:rsidRPr="004D0FC0">
              <w:rPr>
                <w:b/>
                <w:i/>
              </w:rPr>
              <w:t>know“-Ansatz, der erhebliche Auswirkungen auf die Produktivität und Wettbewerbsfähigkeit europäischer KMU hätte.</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32</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w:t>
      </w:r>
      <w:r w:rsidRPr="004D0FC0">
        <w:rPr>
          <w:rStyle w:val="HideTWBExt"/>
        </w:rPr>
        <w:t>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9</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(9)</w:t>
            </w:r>
            <w:r w:rsidRPr="004D0FC0">
              <w:tab/>
            </w:r>
            <w:r w:rsidRPr="004D0FC0">
              <w:t xml:space="preserve">Damit der Aufwand für die Unternehmen, insbesondere der KMU, begrenzt wird, sollten die nationalen statistischen Behörden Verwaltungs- und </w:t>
            </w:r>
            <w:r w:rsidRPr="004D0FC0">
              <w:rPr>
                <w:b/>
                <w:bCs/>
                <w:i/>
                <w:iCs/>
              </w:rPr>
              <w:t>innovative Quellen</w:t>
            </w:r>
            <w:r w:rsidRPr="004D0FC0">
              <w:t xml:space="preserve">, </w:t>
            </w:r>
            <w:r w:rsidRPr="004D0FC0">
              <w:rPr>
                <w:b/>
                <w:bCs/>
                <w:i/>
                <w:iCs/>
              </w:rPr>
              <w:t xml:space="preserve">bei denen das Hauptziel nicht </w:t>
            </w:r>
            <w:r w:rsidRPr="004D0FC0">
              <w:t xml:space="preserve">die Bereitstellung von </w:t>
            </w:r>
            <w:r w:rsidRPr="004D0FC0">
              <w:rPr>
                <w:b/>
                <w:bCs/>
                <w:i/>
                <w:iCs/>
              </w:rPr>
              <w:t>Statistiken ist</w:t>
            </w:r>
            <w:r w:rsidRPr="004D0FC0">
              <w:t xml:space="preserve">, </w:t>
            </w:r>
            <w:r w:rsidRPr="004D0FC0">
              <w:rPr>
                <w:b/>
                <w:bCs/>
                <w:i/>
                <w:iCs/>
              </w:rPr>
              <w:t>als Ersatz oder Ergänzung f</w:t>
            </w:r>
            <w:r w:rsidRPr="004D0FC0">
              <w:rPr>
                <w:b/>
                <w:bCs/>
                <w:i/>
                <w:iCs/>
              </w:rPr>
              <w:t>ür statistische Erhebungen</w:t>
            </w:r>
            <w:r w:rsidRPr="004D0FC0">
              <w:t xml:space="preserve"> in Betracht ziehen, </w:t>
            </w:r>
            <w:r w:rsidRPr="004D0FC0">
              <w:rPr>
                <w:b/>
                <w:bCs/>
                <w:i/>
                <w:iCs/>
              </w:rPr>
              <w:t>wobei die Qualitätsanforderungen für amtliche Statistiken einzuhalten sind</w:t>
            </w:r>
            <w:r w:rsidRPr="004D0FC0">
              <w:t>. Die neuesten technologischen und digitalen Entwicklungen können zu diesem Ziel beitragen.</w:t>
            </w:r>
          </w:p>
        </w:tc>
        <w:tc>
          <w:tcPr>
            <w:tcW w:w="4876" w:type="dxa"/>
            <w:hideMark/>
          </w:tcPr>
          <w:p w:rsidR="00351294" w:rsidRPr="004D0FC0" w:rsidRDefault="00B801A5">
            <w:pPr>
              <w:pStyle w:val="Normal6a"/>
            </w:pPr>
            <w:r w:rsidRPr="004D0FC0">
              <w:t>(9)</w:t>
            </w:r>
            <w:r w:rsidRPr="004D0FC0">
              <w:tab/>
              <w:t xml:space="preserve">Damit der Aufwand für die Unternehmen, </w:t>
            </w:r>
            <w:r w:rsidRPr="004D0FC0">
              <w:t xml:space="preserve">insbesondere der KMU, begrenzt wird, sollten die nationalen statistischen Behörden </w:t>
            </w:r>
            <w:r w:rsidRPr="004D0FC0">
              <w:rPr>
                <w:b/>
                <w:bCs/>
                <w:i/>
                <w:iCs/>
              </w:rPr>
              <w:t>zunächst</w:t>
            </w:r>
            <w:r w:rsidRPr="004D0FC0">
              <w:t xml:space="preserve"> Verwaltungs- und </w:t>
            </w:r>
            <w:r w:rsidRPr="004D0FC0">
              <w:rPr>
                <w:b/>
                <w:bCs/>
                <w:i/>
                <w:iCs/>
              </w:rPr>
              <w:t>andere Datenquellen</w:t>
            </w:r>
            <w:r w:rsidRPr="004D0FC0">
              <w:t xml:space="preserve">, </w:t>
            </w:r>
            <w:r w:rsidRPr="004D0FC0">
              <w:rPr>
                <w:b/>
                <w:bCs/>
                <w:i/>
                <w:iCs/>
              </w:rPr>
              <w:t>die für nationale, regionale oder lokale Behörden bereits für</w:t>
            </w:r>
            <w:r w:rsidRPr="004D0FC0">
              <w:t xml:space="preserve"> die Bereitstellung von </w:t>
            </w:r>
            <w:r w:rsidRPr="004D0FC0">
              <w:rPr>
                <w:b/>
                <w:bCs/>
                <w:i/>
                <w:iCs/>
              </w:rPr>
              <w:t>Arbeitsmarktstatistiken verfügbar sind</w:t>
            </w:r>
            <w:r w:rsidRPr="004D0FC0">
              <w:t>, i</w:t>
            </w:r>
            <w:r w:rsidRPr="004D0FC0">
              <w:t xml:space="preserve">n Betracht ziehen, </w:t>
            </w:r>
            <w:r w:rsidRPr="004D0FC0">
              <w:rPr>
                <w:b/>
                <w:bCs/>
                <w:i/>
                <w:iCs/>
              </w:rPr>
              <w:t>bevor sie zusätzliche Meldepflichten und damit eine Belastung für Unternehmen in der Union einführen</w:t>
            </w:r>
            <w:r w:rsidRPr="004D0FC0">
              <w:t xml:space="preserve">. Die neuesten technologischen und digitalen Entwicklungen können zu diesem Ziel beitragen. </w:t>
            </w:r>
            <w:r w:rsidRPr="004D0FC0">
              <w:rPr>
                <w:b/>
                <w:bCs/>
                <w:i/>
                <w:iCs/>
              </w:rPr>
              <w:t>Die Mitgliedstaaten sollten Anstrengungen unt</w:t>
            </w:r>
            <w:r w:rsidRPr="004D0FC0">
              <w:rPr>
                <w:b/>
                <w:bCs/>
                <w:i/>
                <w:iCs/>
              </w:rPr>
              <w:t>ernehmen, um sicherzustellen, dass relevante Daten in angemessener Weise zwischen den Behörden ausgetauscht werden, damit der Meldeaufwand für Unternehmen so gering wie möglich gehalten wird.</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33</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9</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(9)</w:t>
            </w:r>
            <w:r w:rsidRPr="004D0FC0">
              <w:tab/>
              <w:t xml:space="preserve">Damit der Aufwand für die </w:t>
            </w:r>
            <w:r w:rsidRPr="004D0FC0">
              <w:t>Unternehmen, insbesondere der KMU, begrenzt wird, sollten die nationalen statistischen Behörden Verwaltungs- und innovative Quellen, bei denen das Hauptziel nicht die Bereitstellung von Statistiken ist, als Ersatz oder Ergänzung für statistische Erhebungen</w:t>
            </w:r>
            <w:r w:rsidRPr="004D0FC0">
              <w:t xml:space="preserve"> in Betracht ziehen, wobei die Qualitätsanforderungen für amtliche Statistiken einzuhalten sind. Die neuesten technologischen und digitalen Entwicklungen können zu diesem Ziel beitragen.</w:t>
            </w:r>
          </w:p>
        </w:tc>
        <w:tc>
          <w:tcPr>
            <w:tcW w:w="4876" w:type="dxa"/>
            <w:hideMark/>
          </w:tcPr>
          <w:p w:rsidR="00351294" w:rsidRPr="004D0FC0" w:rsidRDefault="00B801A5">
            <w:pPr>
              <w:pStyle w:val="Normal6a"/>
            </w:pPr>
            <w:r w:rsidRPr="004D0FC0">
              <w:t>(9)</w:t>
            </w:r>
            <w:r w:rsidRPr="004D0FC0">
              <w:tab/>
              <w:t xml:space="preserve">Damit der Aufwand für die Unternehmen, insbesondere der </w:t>
            </w:r>
            <w:r w:rsidRPr="004D0FC0">
              <w:rPr>
                <w:b/>
                <w:bCs/>
                <w:i/>
                <w:iCs/>
              </w:rPr>
              <w:t>Sozialunt</w:t>
            </w:r>
            <w:r w:rsidRPr="004D0FC0">
              <w:rPr>
                <w:b/>
                <w:bCs/>
                <w:i/>
                <w:iCs/>
              </w:rPr>
              <w:t>ernehmen,</w:t>
            </w:r>
            <w:r w:rsidRPr="004D0FC0">
              <w:t xml:space="preserve"> KMU </w:t>
            </w:r>
            <w:r w:rsidRPr="004D0FC0">
              <w:rPr>
                <w:b/>
                <w:bCs/>
                <w:i/>
                <w:iCs/>
              </w:rPr>
              <w:t>und Kleinstunternehmen</w:t>
            </w:r>
            <w:r w:rsidRPr="004D0FC0">
              <w:t xml:space="preserve">, begrenzt wird, sollten die nationalen statistischen Behörden Verwaltungs- und innovative Quellen, bei denen das Hauptziel nicht die Bereitstellung von Statistiken ist, als Ersatz oder Ergänzung für statistische </w:t>
            </w:r>
            <w:r w:rsidRPr="004D0FC0">
              <w:t>Erhebungen in Betracht ziehen, wobei die Qualitätsanforderungen für amtliche Statistiken einzuhalten sind. Die neuesten technologischen und digitalen Entwicklungen können zu diesem Ziel beitragen.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34</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9</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(9)</w:t>
            </w:r>
            <w:r w:rsidRPr="004D0FC0">
              <w:tab/>
              <w:t>Damit der Aufwand für die</w:t>
            </w:r>
            <w:r w:rsidRPr="004D0FC0">
              <w:t xml:space="preserve"> Unternehmen, insbesondere der KMU, begrenzt wird, sollten die nationalen statistischen Behörden Verwaltungs- und innovative Quellen, bei denen das Hauptziel nicht die Bereitstellung von Statistiken ist, als Ersatz oder Ergänzung für statistische Erhebunge</w:t>
            </w:r>
            <w:r w:rsidRPr="004D0FC0">
              <w:t>n in Betracht ziehen, wobei die Qualitätsanforderungen für amtliche Statistiken einzuhalten sind. Die neuesten technologischen und digitalen Entwicklungen können zu diesem Ziel beitragen.</w:t>
            </w:r>
          </w:p>
        </w:tc>
        <w:tc>
          <w:tcPr>
            <w:tcW w:w="4876" w:type="dxa"/>
            <w:hideMark/>
          </w:tcPr>
          <w:p w:rsidR="00351294" w:rsidRPr="004D0FC0" w:rsidRDefault="00B801A5">
            <w:pPr>
              <w:pStyle w:val="Normal6a"/>
            </w:pPr>
            <w:r w:rsidRPr="004D0FC0">
              <w:t>(9)</w:t>
            </w:r>
            <w:r w:rsidRPr="004D0FC0">
              <w:tab/>
              <w:t xml:space="preserve">Damit der </w:t>
            </w:r>
            <w:r w:rsidRPr="004D0FC0">
              <w:rPr>
                <w:b/>
                <w:bCs/>
                <w:i/>
                <w:iCs/>
              </w:rPr>
              <w:t>Verwaltungsaufwand und der finanzielle</w:t>
            </w:r>
            <w:r w:rsidRPr="004D0FC0">
              <w:rPr>
                <w:b/>
                <w:bCs/>
              </w:rPr>
              <w:t xml:space="preserve"> </w:t>
            </w:r>
            <w:r w:rsidRPr="004D0FC0">
              <w:t>Aufwand für die</w:t>
            </w:r>
            <w:r w:rsidRPr="004D0FC0">
              <w:t xml:space="preserve"> Unternehmen, insbesondere der KMU </w:t>
            </w:r>
            <w:r w:rsidRPr="004D0FC0">
              <w:rPr>
                <w:b/>
                <w:bCs/>
                <w:i/>
                <w:iCs/>
              </w:rPr>
              <w:t>und Kleinstunternehmen</w:t>
            </w:r>
            <w:r w:rsidRPr="004D0FC0">
              <w:t>, begrenzt wird, sollten die nationalen statistischen Behörden Verwaltungs- und innovative Quellen, bei denen das Hauptziel nicht die Bereitstellung von Statistiken ist, als Ersatz oder Ergänzung für</w:t>
            </w:r>
            <w:r w:rsidRPr="004D0FC0">
              <w:t xml:space="preserve"> statistische Erhebungen in Betracht ziehen, wobei die Qualitätsanforderungen für amtliche Statistiken einzuhalten sind. Die neuesten technologischen und digitalen Entwicklungen können zu diesem Ziel beitragen.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w:t>
      </w:r>
      <w:r w:rsidRPr="004D0FC0">
        <w:rPr>
          <w:rStyle w:val="HideTWBExt"/>
        </w:rPr>
        <w:t>end&gt;</w:t>
      </w:r>
      <w:r w:rsidRPr="004D0FC0">
        <w:t>Änderungsantrag</w:t>
      </w:r>
      <w:r w:rsidRPr="004D0FC0">
        <w:tab/>
      </w:r>
      <w:r w:rsidRPr="004D0FC0">
        <w:tab/>
      </w:r>
      <w:r w:rsidRPr="004D0FC0">
        <w:rPr>
          <w:rStyle w:val="HideTWBExt"/>
        </w:rPr>
        <w:t>&lt;NumAm&gt;</w:t>
      </w:r>
      <w:r w:rsidRPr="004D0FC0">
        <w:t>35</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9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(9a)</w:t>
            </w:r>
            <w:r w:rsidRPr="004D0FC0">
              <w:tab/>
            </w:r>
            <w:r w:rsidRPr="004D0FC0">
              <w:rPr>
                <w:b/>
                <w:i/>
              </w:rPr>
              <w:t xml:space="preserve">Damit der </w:t>
            </w:r>
            <w:r w:rsidRPr="004D0FC0">
              <w:rPr>
                <w:b/>
                <w:i/>
              </w:rPr>
              <w:t xml:space="preserve">Aufwand für die Unternehmen begrenzt wird, sollten die nationalen statistischen Behörden im Umgang mit Unternehmen den in Artikel 338 Absatz 2 des Vertrags über die Arbeitsweise der Europäischen Union verankerten Grundsatz der Kostenwirksamkeit wahren und </w:t>
            </w:r>
            <w:r w:rsidRPr="004D0FC0">
              <w:rPr>
                <w:b/>
                <w:i/>
              </w:rPr>
              <w:t>die Forderung, dass der Wirtschaft keine übermäßige Belastung entstehen darf, erfüllen.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36</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9 b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(9b)</w:t>
            </w:r>
            <w:r w:rsidRPr="004D0FC0">
              <w:tab/>
            </w:r>
            <w:r w:rsidRPr="004D0FC0">
              <w:rPr>
                <w:b/>
                <w:i/>
              </w:rPr>
              <w:t xml:space="preserve">Der Rahmen für unternehmensbezogene Arbeitsmarktstatistiken sollte kontinuierlich verbessert werden. Dazu gehören auch Aspekte </w:t>
            </w:r>
            <w:r w:rsidRPr="004D0FC0">
              <w:rPr>
                <w:b/>
                <w:i/>
              </w:rPr>
              <w:t>der Datenqualität sowie die Verringerung unangemessener wirtschaftlicher Belastungen. Neue Methoden und Verfahren sollten jedoch eingehend getestet werden, bevor sie Eingang in die routinemäßigen Aktivitäten der nationalen statistischen Ämter finden. Zu di</w:t>
            </w:r>
            <w:r w:rsidRPr="004D0FC0">
              <w:rPr>
                <w:b/>
                <w:i/>
              </w:rPr>
              <w:t>esem Zweck sollten die Kommission (Eurostat) und die nationalen statistischen Ämter Durchführbarkeits- und Pilotstudien durchführen. Diese Studien sollten von der Kommission initiiert werden, und die nationalen statistischen Ämter sollten sich auf freiwill</w:t>
            </w:r>
            <w:r w:rsidRPr="004D0FC0">
              <w:rPr>
                <w:b/>
                <w:i/>
              </w:rPr>
              <w:t>iger Basis daran beteiligen dürfen. Damit die richtigen Schlussfolgerungen gezogen werden, sollten die Ergebnisse dieser Studien von der Kommission und den nationalen statistischen Ämtern einer sorgfältigen Analyse unterzogen werden. Diese Analyse sollte d</w:t>
            </w:r>
            <w:r w:rsidRPr="004D0FC0">
              <w:rPr>
                <w:b/>
                <w:i/>
              </w:rPr>
              <w:t>er Gemeinschaft statistischer Behörden und der breiteren Öffentlichkeit zur Verfügung gestellt werden.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37</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10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(10a)</w:t>
            </w:r>
            <w:r w:rsidRPr="004D0FC0">
              <w:tab/>
            </w:r>
            <w:r w:rsidRPr="004D0FC0">
              <w:rPr>
                <w:b/>
                <w:i/>
              </w:rPr>
              <w:t xml:space="preserve">Umfassen die gemäß dieser Verordnung durchzuführenden Tätigkeiten die Verarbeitung </w:t>
            </w:r>
            <w:r w:rsidRPr="004D0FC0">
              <w:rPr>
                <w:b/>
                <w:i/>
              </w:rPr>
              <w:t>personenbezogener Daten, so sollte diese Verarbeitung im Einklang mit den einschlägigen Rechtsvorschriften der Union zum Schutz personenbezogener Daten – d. h. der Verordnung (EU) 2018/1725 des Europäischen Parlaments und des Rates sowie der Verordnung (EU</w:t>
            </w:r>
            <w:r w:rsidRPr="004D0FC0">
              <w:rPr>
                <w:b/>
                <w:i/>
              </w:rPr>
              <w:t>) 2016/679 des Europäischen Parlaments und des Rates – erfolgen. Im Einklang mit dem in den genannten Verordnungen festgelegten Grundsatz der Datenminimierung sollten die nach der vorliegenden Verordnung bereitgestellten Daten so weit aggregiert werden, da</w:t>
            </w:r>
            <w:r w:rsidRPr="004D0FC0">
              <w:rPr>
                <w:b/>
                <w:i/>
              </w:rPr>
              <w:t>ss Einzelpersonen nicht identifiziert werden können.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38</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w:t>
      </w:r>
      <w:r w:rsidRPr="004D0FC0">
        <w:rPr>
          <w:rStyle w:val="HideTWBExt"/>
        </w:rPr>
        <w:t>ocAmend&gt;</w:t>
      </w:r>
    </w:p>
    <w:p w:rsidR="00351294" w:rsidRPr="004D0FC0" w:rsidRDefault="00B801A5" w:rsidP="00351294">
      <w:pPr>
        <w:pStyle w:val="NormalBold"/>
      </w:pPr>
      <w:r w:rsidRPr="004D0FC0">
        <w:rPr>
          <w:rStyle w:val="HideTWBExt"/>
        </w:rPr>
        <w:t>&lt;Article&gt;</w:t>
      </w:r>
      <w:r w:rsidRPr="004D0FC0">
        <w:t>Erwägung 10 b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(10b)</w:t>
            </w:r>
            <w:r w:rsidRPr="004D0FC0">
              <w:tab/>
            </w:r>
            <w:r w:rsidRPr="004D0FC0">
              <w:rPr>
                <w:b/>
                <w:i/>
              </w:rPr>
              <w:t xml:space="preserve">Für die im öffentlichen Interesse liegende Verarbeitung personenbezogener Daten zu statistischen Zwecken sollten angemessene Garantien gemäß Artikel 89 der </w:t>
            </w:r>
            <w:r w:rsidRPr="004D0FC0">
              <w:rPr>
                <w:b/>
                <w:i/>
              </w:rPr>
              <w:t>Verordnung (EU) 2016/679 und Artikel 13 der Verordnung (EU) 2018/1725 gelten. Insbesondere sollte die Einhaltung des Grundsatzes der Anonymisierung personenbezogener Daten sichergestellt werden.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39</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11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(11a)</w:t>
            </w:r>
            <w:r w:rsidRPr="004D0FC0">
              <w:tab/>
            </w:r>
            <w:r w:rsidRPr="004D0FC0">
              <w:rPr>
                <w:b/>
                <w:i/>
              </w:rPr>
              <w:t>Die</w:t>
            </w:r>
            <w:r w:rsidRPr="004D0FC0">
              <w:rPr>
                <w:b/>
                <w:i/>
              </w:rPr>
              <w:t xml:space="preserve"> Verwendung von Webextraktionstechniken zur Erhebung von Daten von Websites könnte, da es sich dabei in der Regel um eine unstrukturierte Suche nach öffentlich zugänglichen Informationen im Internet handelt, gegen den Datenschutzgrundsatz der Richtigkeit v</w:t>
            </w:r>
            <w:r w:rsidRPr="004D0FC0">
              <w:rPr>
                <w:b/>
                <w:i/>
              </w:rPr>
              <w:t>erstoßen, da die Zuverlässigkeit der Quellen keiner Bewertung unterzogen wird. Auch die Qualitätsanforderungen für amtliche Statistiken (z. B. der Grundsatz der statistischen Genauigkeit und der Zuverlässigkeit der Quelldaten) könnten davon betroffen sein.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40</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11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 xml:space="preserve">Vorschlag </w:t>
            </w:r>
            <w:r w:rsidRPr="004D0FC0">
              <w:t>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rsidP="00BD21EB">
            <w:pPr>
              <w:pStyle w:val="Normal6a"/>
            </w:pPr>
            <w:r w:rsidRPr="004D0FC0">
              <w:rPr>
                <w:b/>
                <w:i/>
              </w:rPr>
              <w:t>(11a)</w:t>
            </w:r>
            <w:r w:rsidRPr="004D0FC0">
              <w:tab/>
            </w:r>
            <w:r w:rsidRPr="004D0FC0">
              <w:rPr>
                <w:b/>
                <w:i/>
              </w:rPr>
              <w:t xml:space="preserve">Die Erhebung und Verarbeitung personenbezogener Daten sollte verhältnismäßig sein und unter Einhaltung der Vorschriften der Verordnung (EU) 2016/679 und der Verordnung (EU) 2018/1725 erfolgen. Die übermittelten Daten </w:t>
            </w:r>
            <w:r w:rsidRPr="004D0FC0">
              <w:rPr>
                <w:b/>
                <w:i/>
              </w:rPr>
              <w:t>sollten so weit aggregiert werden, dass Einzelpersonen nicht identifiziert werden können.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41</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Erwägung 14</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(14)</w:t>
            </w:r>
            <w:r w:rsidRPr="004D0FC0">
              <w:tab/>
              <w:t xml:space="preserve">Für eine ordnungsgemäße Umsetzung dieser Verordnung in den Mitgliedstaaten bedarf es vor der ersten Datenerhebung mindestens 12 Monate </w:t>
            </w:r>
            <w:r w:rsidRPr="004D0FC0">
              <w:t>nach dem Datum des Inkrafttretens.</w:t>
            </w:r>
          </w:p>
        </w:tc>
        <w:tc>
          <w:tcPr>
            <w:tcW w:w="4876" w:type="dxa"/>
            <w:hideMark/>
          </w:tcPr>
          <w:p w:rsidR="00351294" w:rsidRPr="004D0FC0" w:rsidRDefault="00B801A5">
            <w:pPr>
              <w:pStyle w:val="Normal6a"/>
            </w:pPr>
            <w:r w:rsidRPr="004D0FC0">
              <w:t>(14)</w:t>
            </w:r>
            <w:r w:rsidRPr="004D0FC0">
              <w:tab/>
              <w:t xml:space="preserve">Für eine ordnungsgemäße Umsetzung dieser Verordnung in den Mitgliedstaaten bedarf es vor der ersten Datenerhebung mindestens 12 Monate nach dem Datum des Inkrafttretens. </w:t>
            </w:r>
            <w:r w:rsidRPr="004D0FC0">
              <w:rPr>
                <w:b/>
                <w:i/>
              </w:rPr>
              <w:t xml:space="preserve">Die Verordnung sollte daher frühestens ab dem </w:t>
            </w:r>
            <w:r w:rsidRPr="004D0FC0">
              <w:rPr>
                <w:b/>
                <w:i/>
              </w:rPr>
              <w:t>1. Januar 2026 gelten.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42</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Irene Tinagli</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2 – Absatz 1 –</w:t>
      </w:r>
      <w:r w:rsidRPr="004D0FC0">
        <w:t xml:space="preserve"> Nummer 2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(2a)</w:t>
            </w:r>
            <w:r w:rsidRPr="004D0FC0">
              <w:tab/>
            </w:r>
            <w:r w:rsidRPr="004D0FC0">
              <w:rPr>
                <w:b/>
                <w:i/>
              </w:rPr>
              <w:t>„Sozialunternehmen“ bezeichnet eine Einrichtung privaten Rechts, die auf dem Markt durch die Herstellung von Waren bzw. die Erbringung von Dienstleistungen unternehmerisch und im</w:t>
            </w:r>
            <w:r w:rsidRPr="004D0FC0">
              <w:rPr>
                <w:b/>
                <w:i/>
              </w:rPr>
              <w:t xml:space="preserve"> Einklang mit den Grundsätzen und Merkmalen der Sozialwirtschaft tätig ist, das heißt, dass sie mit ihrer Geschäftstätigkeit soziale oder ökologische Ziele verfolgt. Sozialunternehmen können eine Vielzahl von Rechtsformen aufweisen</w:t>
            </w:r>
            <w:r w:rsidRPr="004D0FC0">
              <w:rPr>
                <w:b/>
                <w:i/>
                <w:vertAlign w:val="superscript"/>
              </w:rPr>
              <w:t>1a</w:t>
            </w:r>
            <w:r w:rsidRPr="004D0FC0">
              <w:rPr>
                <w:b/>
                <w:i/>
              </w:rPr>
              <w:t>;</w:t>
            </w:r>
          </w:p>
        </w:tc>
      </w:tr>
      <w:tr w:rsidR="00796A4B" w:rsidRPr="004D0FC0" w:rsidTr="00351294">
        <w:trPr>
          <w:jc w:val="center"/>
        </w:trPr>
        <w:tc>
          <w:tcPr>
            <w:tcW w:w="4876" w:type="dxa"/>
          </w:tcPr>
          <w:p w:rsidR="00351294" w:rsidRPr="004D0FC0" w:rsidRDefault="00351294"/>
        </w:tc>
        <w:tc>
          <w:tcPr>
            <w:tcW w:w="4876" w:type="dxa"/>
            <w:hideMark/>
          </w:tcPr>
          <w:p w:rsidR="00351294" w:rsidRPr="004D0FC0" w:rsidRDefault="00B801A5">
            <w:pPr>
              <w:pStyle w:val="Normal6a"/>
            </w:pPr>
            <w:r w:rsidRPr="004D0FC0">
              <w:rPr>
                <w:b/>
                <w:i/>
              </w:rPr>
              <w:t>_________________</w:t>
            </w:r>
          </w:p>
        </w:tc>
      </w:tr>
      <w:tr w:rsidR="00796A4B" w:rsidRPr="004D0FC0" w:rsidTr="00351294">
        <w:trPr>
          <w:jc w:val="center"/>
        </w:trPr>
        <w:tc>
          <w:tcPr>
            <w:tcW w:w="4876" w:type="dxa"/>
          </w:tcPr>
          <w:p w:rsidR="00351294" w:rsidRPr="004D0FC0" w:rsidRDefault="00351294"/>
        </w:tc>
        <w:tc>
          <w:tcPr>
            <w:tcW w:w="4876" w:type="dxa"/>
            <w:hideMark/>
          </w:tcPr>
          <w:p w:rsidR="00351294" w:rsidRPr="004D0FC0" w:rsidRDefault="00B801A5">
            <w:pPr>
              <w:pStyle w:val="Normal6a"/>
            </w:pPr>
            <w:r w:rsidRPr="004D0FC0">
              <w:rPr>
                <w:b/>
                <w:bCs/>
                <w:i/>
                <w:iCs/>
                <w:vertAlign w:val="superscript"/>
              </w:rPr>
              <w:t>1a</w:t>
            </w:r>
            <w:r w:rsidRPr="004D0FC0">
              <w:rPr>
                <w:b/>
                <w:bCs/>
                <w:i/>
                <w:iCs/>
              </w:rPr>
              <w:t xml:space="preserve"> Empfehlung des Rates vom 27. November 2023 zur Entwicklung von Rahmenbedingungen für die Sozialwirtschaft (C/2023/1344).</w:t>
            </w:r>
            <w:r w:rsidRPr="004D0FC0">
              <w:rPr>
                <w:b/>
                <w:i/>
              </w:rPr>
              <w:t xml:space="preserve"> </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43</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w:t>
      </w:r>
      <w:r w:rsidRPr="004D0FC0">
        <w:rPr>
          <w:rStyle w:val="HideTWBExt"/>
        </w:rPr>
        <w:t>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2 – Absatz 1 – Nummer 20</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20.</w:t>
            </w:r>
            <w:r w:rsidRPr="004D0FC0">
              <w:tab/>
              <w:t xml:space="preserve">„andere Quellen“ Daten, die eine Stelle, die keine Verwaltungseinheit ist, ohne die </w:t>
            </w:r>
            <w:r w:rsidRPr="004D0FC0">
              <w:t>vorwiegende Absicht, Statistiken zu erstellen, erzeugt hat, einschließlich privater Aufzeichnungen, Websites und Datenbanken;</w:t>
            </w:r>
          </w:p>
        </w:tc>
        <w:tc>
          <w:tcPr>
            <w:tcW w:w="4876" w:type="dxa"/>
            <w:hideMark/>
          </w:tcPr>
          <w:p w:rsidR="00351294" w:rsidRPr="004D0FC0" w:rsidRDefault="00B801A5">
            <w:pPr>
              <w:pStyle w:val="Normal6a"/>
            </w:pPr>
            <w:r w:rsidRPr="004D0FC0">
              <w:t>20.</w:t>
            </w:r>
            <w:r w:rsidRPr="004D0FC0">
              <w:tab/>
              <w:t xml:space="preserve">„andere Quellen“ </w:t>
            </w:r>
            <w:r w:rsidRPr="004D0FC0">
              <w:rPr>
                <w:b/>
                <w:bCs/>
                <w:i/>
                <w:iCs/>
              </w:rPr>
              <w:t>hochwertige und zuverlässige</w:t>
            </w:r>
            <w:r w:rsidRPr="004D0FC0">
              <w:t xml:space="preserve"> Daten, die eine Stelle, die keine Verwaltungseinheit ist, ohne die vorwiegende A</w:t>
            </w:r>
            <w:r w:rsidRPr="004D0FC0">
              <w:t>bsicht, Statistiken zu erstellen, erzeugt hat, einschließlich privater Aufzeichnungen, Websites und Datenbanken;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44</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3 – Absatz 1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(1a)</w:t>
            </w:r>
            <w:r w:rsidRPr="004D0FC0">
              <w:tab/>
            </w:r>
            <w:r w:rsidRPr="004D0FC0">
              <w:rPr>
                <w:b/>
                <w:i/>
              </w:rPr>
              <w:t xml:space="preserve">Die Mitgliedstaaten stellen sicher, dass relevante Daten aus nationalen, regionalen oder </w:t>
            </w:r>
            <w:r w:rsidRPr="004D0FC0">
              <w:rPr>
                <w:b/>
                <w:i/>
              </w:rPr>
              <w:t>lokalen Datensätzen unter vollständiger Einhaltung der geltenden Datenschutzbestimmungen an die nationalen statistischen Behörden weitergegeben werden, um die in dieser Verordnung festgelegten Ziele zu erreichen und den bürokratischen Aufwand für die Unter</w:t>
            </w:r>
            <w:r w:rsidRPr="004D0FC0">
              <w:rPr>
                <w:b/>
                <w:i/>
              </w:rPr>
              <w:t>nehmen zu verringern. Die Mitgliedstaaten führen nur dann Erhebungen durch, wenn sie angemessene Anstrengungen unternommen haben, um das im vorstehenden Unterabsatz genannte Ziel zu erreichen.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45</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3 – Absatz 1 – Unterabsatz 1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Die Verarbeitung von Daten gemäß Artikel 3 Absatz 1 Buchstabe c erfolgt unbeschadet der Richtlinie 2002/58/EG</w:t>
            </w:r>
            <w:r w:rsidRPr="004D0FC0">
              <w:rPr>
                <w:b/>
                <w:i/>
                <w:vertAlign w:val="superscript"/>
              </w:rPr>
              <w:t>1a</w:t>
            </w:r>
            <w:r w:rsidRPr="004D0FC0">
              <w:rPr>
                <w:b/>
                <w:i/>
              </w:rPr>
              <w:t xml:space="preserve"> [Datenschutzrichtlinie für elektronische Kommunikation]. Der Einsatz von Webextraktionstechniken ist auf </w:t>
            </w:r>
            <w:r w:rsidRPr="004D0FC0">
              <w:rPr>
                <w:b/>
                <w:i/>
              </w:rPr>
              <w:t>nicht-personenbezogene Daten zu beschränken.</w:t>
            </w:r>
          </w:p>
        </w:tc>
      </w:tr>
      <w:tr w:rsidR="00796A4B" w:rsidRPr="004D0FC0" w:rsidTr="00351294">
        <w:trPr>
          <w:jc w:val="center"/>
        </w:trPr>
        <w:tc>
          <w:tcPr>
            <w:tcW w:w="4876" w:type="dxa"/>
          </w:tcPr>
          <w:p w:rsidR="00351294" w:rsidRPr="004D0FC0" w:rsidRDefault="00351294"/>
        </w:tc>
        <w:tc>
          <w:tcPr>
            <w:tcW w:w="4876" w:type="dxa"/>
            <w:hideMark/>
          </w:tcPr>
          <w:p w:rsidR="00351294" w:rsidRPr="004D0FC0" w:rsidRDefault="00B801A5">
            <w:pPr>
              <w:pStyle w:val="Normal6a"/>
            </w:pPr>
            <w:r w:rsidRPr="004D0FC0">
              <w:rPr>
                <w:b/>
                <w:i/>
              </w:rPr>
              <w:t>_________________</w:t>
            </w:r>
          </w:p>
        </w:tc>
      </w:tr>
      <w:tr w:rsidR="00796A4B" w:rsidRPr="004D0FC0" w:rsidTr="00351294">
        <w:trPr>
          <w:jc w:val="center"/>
        </w:trPr>
        <w:tc>
          <w:tcPr>
            <w:tcW w:w="4876" w:type="dxa"/>
          </w:tcPr>
          <w:p w:rsidR="00351294" w:rsidRPr="004D0FC0" w:rsidRDefault="00351294"/>
        </w:tc>
        <w:tc>
          <w:tcPr>
            <w:tcW w:w="4876" w:type="dxa"/>
            <w:hideMark/>
          </w:tcPr>
          <w:p w:rsidR="00351294" w:rsidRPr="004D0FC0" w:rsidRDefault="00B801A5">
            <w:pPr>
              <w:pStyle w:val="Normal6a"/>
            </w:pPr>
            <w:r w:rsidRPr="004D0FC0">
              <w:rPr>
                <w:b/>
                <w:bCs/>
                <w:i/>
                <w:iCs/>
                <w:vertAlign w:val="superscript"/>
              </w:rPr>
              <w:t>1a</w:t>
            </w:r>
            <w:r w:rsidRPr="004D0FC0">
              <w:rPr>
                <w:b/>
                <w:bCs/>
                <w:i/>
                <w:iCs/>
              </w:rPr>
              <w:t xml:space="preserve"> Richtlinie 2002/58/EG des Europäischen Parlaments und des Rates vom 12. Juli 2002 über die Verarbeitung personenbezogener Daten und den Schutz der Privatsphäre in der elektronischen Komm</w:t>
            </w:r>
            <w:r w:rsidRPr="004D0FC0">
              <w:rPr>
                <w:b/>
                <w:bCs/>
                <w:i/>
                <w:iCs/>
              </w:rPr>
              <w:t>unikation (Datenschutzrichtlinie für elektronische Kommunikation) (ABl. L 201 vom 31.7.2002, S. 37).</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46</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3 – Absatz 3</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(3)</w:t>
            </w:r>
            <w:r w:rsidRPr="004D0FC0">
              <w:tab/>
              <w:t xml:space="preserve">Die Mitgliedstaaten unterrichten die Kommission (Eurostat) im Rahmen der in Artikel 8 Absatz 4 genannten </w:t>
            </w:r>
            <w:r w:rsidRPr="004D0FC0">
              <w:t>Qualitätsberichte ausführlich über die verwendeten Quellen und Methoden.</w:t>
            </w:r>
          </w:p>
        </w:tc>
        <w:tc>
          <w:tcPr>
            <w:tcW w:w="4876" w:type="dxa"/>
            <w:hideMark/>
          </w:tcPr>
          <w:p w:rsidR="00351294" w:rsidRPr="004D0FC0" w:rsidRDefault="00B801A5">
            <w:pPr>
              <w:pStyle w:val="Normal6a"/>
            </w:pPr>
            <w:r w:rsidRPr="004D0FC0">
              <w:t>(3)</w:t>
            </w:r>
            <w:r w:rsidRPr="004D0FC0">
              <w:tab/>
              <w:t xml:space="preserve">Die Mitgliedstaaten unterrichten die Kommission (Eurostat) im Rahmen der in Artikel 8 Absatz 4 genannten Qualitätsberichte ausführlich über die verwendeten Quellen und Methoden. </w:t>
            </w:r>
            <w:r w:rsidRPr="004D0FC0">
              <w:rPr>
                <w:b/>
                <w:i/>
              </w:rPr>
              <w:t>D</w:t>
            </w:r>
            <w:r w:rsidRPr="004D0FC0">
              <w:rPr>
                <w:b/>
                <w:i/>
              </w:rPr>
              <w:t>ie Kommission (Eurostat) bewertet die Qualität der übermittelten Daten anhand einer angemessenen Analyse und erarbeitet und veröffentlicht Berichte und Mitteilungen über die Qualität dieser Daten. Die Kommission (Eurostat) stellt weitere Leitlinien für den</w:t>
            </w:r>
            <w:r w:rsidRPr="004D0FC0">
              <w:rPr>
                <w:b/>
                <w:i/>
              </w:rPr>
              <w:t xml:space="preserve"> Umgang mit Daten zur Verfügung, deren Qualität als gering eingestuft wurde.</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47</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3 – Absatz 3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(3a)</w:t>
            </w:r>
            <w:r w:rsidRPr="004D0FC0">
              <w:tab/>
            </w:r>
            <w:r w:rsidRPr="004D0FC0">
              <w:rPr>
                <w:b/>
                <w:i/>
              </w:rPr>
              <w:t>Eine notwendige Voraussetzung für die Rechtmäßigkeit der Verarbeitung personenbezogener Daten, die aus diesen Quellen</w:t>
            </w:r>
            <w:r w:rsidRPr="004D0FC0">
              <w:rPr>
                <w:b/>
                <w:i/>
              </w:rPr>
              <w:t xml:space="preserve"> stammen, ist das Vorliegen einer Rechtsgrundlage gemäß Artikel 6 der Verordnung (EU) 2016/679 und/oder Artikel 5 der Verordnung (EU) 2018/1725. Werden besondere Kategorien von Daten verarbeitet, sind auch das generelle Verbot in Artikel 9 der Verordnung (</w:t>
            </w:r>
            <w:r w:rsidRPr="004D0FC0">
              <w:rPr>
                <w:b/>
                <w:i/>
              </w:rPr>
              <w:t>EU) 2016/679 und Artikel 10 der Verordnung (EU) 2018/1725 sowie die jeweiligen Ausnahmen zu beachten.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48</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Irene Tinagli</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1 – Unterabsatz 1 – Buchstabe a – Spiegelstrich 2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w:t>
            </w:r>
            <w:r w:rsidRPr="004D0FC0">
              <w:tab/>
            </w:r>
            <w:r w:rsidRPr="004D0FC0">
              <w:rPr>
                <w:b/>
                <w:bCs/>
                <w:i/>
                <w:iCs/>
              </w:rPr>
              <w:t>iii)</w:t>
            </w:r>
            <w:r w:rsidRPr="004D0FC0">
              <w:rPr>
                <w:b/>
                <w:i/>
              </w:rPr>
              <w:t> tarifvertragliche Abdeckung;</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49</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 xml:space="preserve">Artikel 4 – Absatz 1 – Unterabsatz 1 – Buchstabe a – </w:t>
      </w:r>
      <w:r w:rsidRPr="004D0FC0">
        <w:t>Spiegelstrich 2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w:t>
            </w:r>
            <w:r w:rsidRPr="004D0FC0">
              <w:tab/>
            </w:r>
            <w:r w:rsidRPr="004D0FC0">
              <w:rPr>
                <w:b/>
                <w:i/>
              </w:rPr>
              <w:t>iii) Quote der tarifvertraglichen Abdeckung;</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50</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1 – Unterabsatz 1 – Buchstabe a – Spiegelstrich 2 b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w:t>
            </w:r>
            <w:r w:rsidRPr="004D0FC0">
              <w:tab/>
            </w:r>
            <w:r w:rsidRPr="004D0FC0">
              <w:rPr>
                <w:b/>
                <w:i/>
              </w:rPr>
              <w:t xml:space="preserve">iv) Niveau des gesetzlichen </w:t>
            </w:r>
            <w:r w:rsidRPr="004D0FC0">
              <w:rPr>
                <w:b/>
                <w:i/>
              </w:rPr>
              <w:t>Mindestlohns;</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51</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1 – Unterabs</w:t>
      </w:r>
      <w:r w:rsidRPr="004D0FC0">
        <w:t>atz 1 – Buchstabe a – Spiegelstrich 2 c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w:t>
            </w:r>
            <w:r w:rsidRPr="004D0FC0">
              <w:tab/>
            </w:r>
            <w:r w:rsidRPr="004D0FC0">
              <w:rPr>
                <w:b/>
                <w:i/>
              </w:rPr>
              <w:t>v) Anteil der Arbeitnehmerinnen und Arbeitnehmer, für die der gesetzliche Mindestlohn gilt;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52</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3</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rPr>
                <w:b/>
                <w:i/>
              </w:rPr>
              <w:t>(3)</w:t>
            </w:r>
            <w:r w:rsidRPr="004D0FC0">
              <w:tab/>
            </w:r>
            <w:r w:rsidRPr="004D0FC0">
              <w:rPr>
                <w:b/>
                <w:i/>
              </w:rPr>
              <w:t xml:space="preserve">Der Kommission </w:t>
            </w:r>
            <w:r w:rsidRPr="004D0FC0">
              <w:rPr>
                <w:b/>
                <w:i/>
              </w:rPr>
              <w:t>wird die Befugnis übertragen, gemäß Artikel 13 delegierte Rechtsakte zu erlassen, um die Liste der im Anhang aufgeführten Einzelthemen, die Bezugszeiträume und die Übermittlungsfristen zu ändern.</w:t>
            </w:r>
          </w:p>
        </w:tc>
        <w:tc>
          <w:tcPr>
            <w:tcW w:w="4876" w:type="dxa"/>
            <w:hideMark/>
          </w:tcPr>
          <w:p w:rsidR="00351294" w:rsidRPr="004D0FC0" w:rsidRDefault="00B801A5">
            <w:pPr>
              <w:pStyle w:val="Normal6a"/>
            </w:pPr>
            <w:r w:rsidRPr="004D0FC0">
              <w:rPr>
                <w:b/>
                <w:i/>
              </w:rPr>
              <w:t>entfällt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Entsprechend der beantragten Streichung der Befugnisübertragungen in Artikel 4 Absatz 3 und Artikel 7 Absatz 1 müssten auch die Bestimmungen über die Ausübung der übertragenen Befugnisse in Artikel 13 gestrichen werden.</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w:t>
      </w:r>
      <w:r w:rsidRPr="004D0FC0">
        <w:rPr>
          <w:rStyle w:val="HideTWBExt"/>
        </w:rPr>
        <w:t>nd&gt;</w:t>
      </w:r>
      <w:r w:rsidRPr="004D0FC0">
        <w:t>Änderungsantrag</w:t>
      </w:r>
      <w:r w:rsidRPr="004D0FC0">
        <w:tab/>
      </w:r>
      <w:r w:rsidRPr="004D0FC0">
        <w:tab/>
      </w:r>
      <w:r w:rsidRPr="004D0FC0">
        <w:rPr>
          <w:rStyle w:val="HideTWBExt"/>
        </w:rPr>
        <w:t>&lt;NumAm&gt;</w:t>
      </w:r>
      <w:r w:rsidRPr="004D0FC0">
        <w:t>53</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4</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rPr>
                <w:b/>
                <w:i/>
              </w:rPr>
              <w:t>(4)</w:t>
            </w:r>
            <w:r w:rsidRPr="004D0FC0">
              <w:tab/>
            </w:r>
            <w:r w:rsidRPr="004D0FC0">
              <w:rPr>
                <w:b/>
                <w:i/>
              </w:rPr>
              <w:t xml:space="preserve">Bei der </w:t>
            </w:r>
            <w:r w:rsidRPr="004D0FC0">
              <w:rPr>
                <w:b/>
                <w:i/>
              </w:rPr>
              <w:t>Ausübung der Befugnisse zum Erlass delegierter Rechtsakte gemäß Absatz 3 stellt die Kommission sicher, dass die Änderungen keinen erheblichen und unverhältnismäßigen Aufwand für die Mitgliedstaaten und die Auskunftspersonen darstellen. Zu diesem Zweck werd</w:t>
            </w:r>
            <w:r w:rsidRPr="004D0FC0">
              <w:rPr>
                <w:b/>
                <w:i/>
              </w:rPr>
              <w:t>en Durchführbarkeitsstudien gemäß Artikel 9 in Auftrag gegeben, deren Ergebnisse gebührend bewertet und berücksichtigt werden.</w:t>
            </w:r>
          </w:p>
        </w:tc>
        <w:tc>
          <w:tcPr>
            <w:tcW w:w="4876" w:type="dxa"/>
            <w:hideMark/>
          </w:tcPr>
          <w:p w:rsidR="00351294" w:rsidRPr="004D0FC0" w:rsidRDefault="00B801A5">
            <w:pPr>
              <w:pStyle w:val="Normal6a"/>
            </w:pPr>
            <w:r w:rsidRPr="004D0FC0">
              <w:rPr>
                <w:b/>
                <w:i/>
              </w:rPr>
              <w:t>entfällt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Entsprechend der beantragten Streichung der Befugnisü</w:t>
      </w:r>
      <w:r w:rsidRPr="004D0FC0">
        <w:t>bertragungen in Artikel 4 Absatz 3 und Artikel 7 Absatz 1 müssten auch die Bestimmungen über die Ausübung der übertragenen Befugnisse in Artikel 13 gestrichen werden.</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54</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4</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(4)</w:t>
            </w:r>
            <w:r w:rsidRPr="004D0FC0">
              <w:tab/>
              <w:t xml:space="preserve">Bei der Ausübung der Befugnisse zum Erlass delegierter Rechtsakte gemäß Absatz 3 stellt </w:t>
            </w:r>
            <w:r w:rsidRPr="004D0FC0">
              <w:t>die Kommission sicher, dass die Änderungen keinen erheblichen und unverhältnismäßigen Aufwand für die Mitgliedstaaten und die Auskunftspersonen darstellen. Zu diesem Zweck werden Durchführbarkeitsstudien gemäß Artikel 9 in Auftrag gegeben, deren Ergebnisse</w:t>
            </w:r>
            <w:r w:rsidRPr="004D0FC0">
              <w:t xml:space="preserve"> gebührend bewertet und berücksichtigt werden.</w:t>
            </w:r>
          </w:p>
        </w:tc>
        <w:tc>
          <w:tcPr>
            <w:tcW w:w="4876" w:type="dxa"/>
            <w:hideMark/>
          </w:tcPr>
          <w:p w:rsidR="00351294" w:rsidRPr="004D0FC0" w:rsidRDefault="00B801A5">
            <w:pPr>
              <w:pStyle w:val="Normal6a"/>
            </w:pPr>
            <w:r w:rsidRPr="004D0FC0">
              <w:t>(4)</w:t>
            </w:r>
            <w:r w:rsidRPr="004D0FC0">
              <w:tab/>
              <w:t>Bei der Ausübung der Befugnisse zum Erlass delegierter Rechtsakte gemäß Absatz 3 stellt die Kommission sicher, dass die Änderungen keinen erheblichen und unverhältnismäßigen Aufwand für die Mitgliedstaaten</w:t>
            </w:r>
            <w:r w:rsidRPr="004D0FC0">
              <w:t xml:space="preserve"> und die Auskunftspersonen darstellen. Zu diesem Zweck werden Durchführbarkeitsstudien gemäß Artikel 9 in Auftrag gegeben, deren Ergebnisse </w:t>
            </w:r>
            <w:r w:rsidRPr="004D0FC0">
              <w:rPr>
                <w:b/>
                <w:bCs/>
                <w:i/>
                <w:iCs/>
              </w:rPr>
              <w:t>vor dem Erlass der delegierten Rechtsakte</w:t>
            </w:r>
            <w:r w:rsidRPr="004D0FC0">
              <w:rPr>
                <w:b/>
                <w:bCs/>
              </w:rPr>
              <w:t xml:space="preserve"> </w:t>
            </w:r>
            <w:r w:rsidRPr="004D0FC0">
              <w:t xml:space="preserve">gebührend bewertet und berücksichtigt werden </w:t>
            </w:r>
            <w:r w:rsidRPr="004D0FC0">
              <w:rPr>
                <w:b/>
                <w:bCs/>
                <w:i/>
                <w:iCs/>
              </w:rPr>
              <w:t>müssen</w:t>
            </w:r>
            <w:r w:rsidRPr="004D0FC0">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Zur Klarstellung der Reihenfolge: Die Durchführbarkeitsstudien sollten der erste Schritt sein.</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55</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Kira Marie Peter-Hansen</w:t>
      </w:r>
      <w:r w:rsidRPr="004D0FC0">
        <w:rPr>
          <w:rStyle w:val="HideTWBExt"/>
        </w:rPr>
        <w:t>&lt;/Members&gt;</w:t>
      </w:r>
    </w:p>
    <w:p w:rsidR="00351294" w:rsidRPr="004D0FC0" w:rsidRDefault="00B801A5" w:rsidP="00351294">
      <w:pPr>
        <w:pStyle w:val="NormalBold"/>
      </w:pPr>
      <w:r w:rsidRPr="004D0FC0">
        <w:rPr>
          <w:rStyle w:val="HideTWBExt"/>
        </w:rPr>
        <w:t>&lt;/Rep</w:t>
      </w:r>
      <w:r w:rsidRPr="004D0FC0">
        <w:rPr>
          <w:rStyle w:val="HideTWBExt"/>
        </w:rPr>
        <w:t>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5</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(5)</w:t>
            </w:r>
            <w:r w:rsidRPr="004D0FC0">
              <w:tab/>
              <w:t xml:space="preserve">Die Daten werden der Kommission (Eurostat) in Form von </w:t>
            </w:r>
            <w:r w:rsidRPr="004D0FC0">
              <w:rPr>
                <w:b/>
                <w:bCs/>
                <w:i/>
                <w:iCs/>
              </w:rPr>
              <w:t>aggregierten</w:t>
            </w:r>
            <w:r w:rsidRPr="004D0FC0">
              <w:t xml:space="preserve"> Daten übermittelt, mit Ausnahme des in Absatz 1 Buchstabe a Ziffer i genannten Themas (Struktur der Verdienste), für das Mikrodaten für einzelne Arbeitnehmer und örtliche Einheiten übermittelt werden.</w:t>
            </w:r>
          </w:p>
        </w:tc>
        <w:tc>
          <w:tcPr>
            <w:tcW w:w="4876" w:type="dxa"/>
            <w:hideMark/>
          </w:tcPr>
          <w:p w:rsidR="00351294" w:rsidRPr="004D0FC0" w:rsidRDefault="00B801A5">
            <w:pPr>
              <w:pStyle w:val="Normal6a"/>
            </w:pPr>
            <w:r w:rsidRPr="004D0FC0">
              <w:t>(5)</w:t>
            </w:r>
            <w:r w:rsidRPr="004D0FC0">
              <w:tab/>
            </w:r>
            <w:r w:rsidRPr="004D0FC0">
              <w:rPr>
                <w:b/>
                <w:i/>
              </w:rPr>
              <w:t>Jede Verarbeitung personenbezogener Daten wird auf</w:t>
            </w:r>
            <w:r w:rsidRPr="004D0FC0">
              <w:rPr>
                <w:b/>
                <w:i/>
              </w:rPr>
              <w:t xml:space="preserve"> den Umfang beschränkt, der für den Zweck der Verarbeitung der Daten notwendig und verhältnismäßig ist.</w:t>
            </w:r>
            <w:r w:rsidRPr="004D0FC0">
              <w:t xml:space="preserve"> Die Daten werden der Kommission (Eurostat) in Form von Daten übermittelt, </w:t>
            </w:r>
            <w:r w:rsidRPr="004D0FC0">
              <w:rPr>
                <w:b/>
                <w:bCs/>
                <w:i/>
                <w:iCs/>
              </w:rPr>
              <w:t xml:space="preserve">die so weit aggregiert wurden, dass Einzelpersonen nicht identifiziert werden </w:t>
            </w:r>
            <w:r w:rsidRPr="004D0FC0">
              <w:rPr>
                <w:b/>
                <w:bCs/>
                <w:i/>
                <w:iCs/>
              </w:rPr>
              <w:t>können,</w:t>
            </w:r>
            <w:r w:rsidRPr="004D0FC0">
              <w:t xml:space="preserve"> mit Ausnahme des in Absatz 1 Buchstabe a Ziffer i genannten Themas (Struktur der Verdienste), für das Mikrodaten für einzelne Arbeitnehmer und örtliche Einheiten übermittelt werden. </w:t>
            </w:r>
            <w:r w:rsidRPr="004D0FC0">
              <w:rPr>
                <w:b/>
                <w:i/>
              </w:rPr>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56</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4 – Absatz 5 – Unterabsatz 1 a (neu)</w:t>
      </w:r>
      <w:r w:rsidRPr="004D0FC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1C3F22">
        <w:trPr>
          <w:trHeight w:val="240"/>
          <w:jc w:val="center"/>
        </w:trPr>
        <w:tc>
          <w:tcPr>
            <w:tcW w:w="9752" w:type="dxa"/>
            <w:gridSpan w:val="2"/>
          </w:tcPr>
          <w:p w:rsidR="00351294" w:rsidRPr="004D0FC0" w:rsidRDefault="00351294"/>
        </w:tc>
      </w:tr>
      <w:tr w:rsidR="00796A4B" w:rsidRPr="004D0FC0" w:rsidTr="001C3F22">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1C3F22">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 xml:space="preserve">Die </w:t>
            </w:r>
            <w:r w:rsidRPr="004D0FC0">
              <w:rPr>
                <w:b/>
                <w:i/>
              </w:rPr>
              <w:t>Erhebung und Verarbeitung personenbezogener Daten erfolgt unter Einhaltung der Verordnung (EU) 2016/679 und der Verordnung (EU) 2018/1725. Die übermittelten Daten sind so weit aggregiert, dass Einzelpersonen nicht identifiziert werden können.</w:t>
            </w:r>
          </w:p>
        </w:tc>
      </w:tr>
    </w:tbl>
    <w:p w:rsidR="00351294" w:rsidRPr="004D0FC0" w:rsidRDefault="00B801A5" w:rsidP="00351294">
      <w:pPr>
        <w:pStyle w:val="AmOrLang"/>
        <w:rPr>
          <w:lang w:eastAsia="en-US"/>
        </w:rPr>
      </w:pPr>
      <w:r w:rsidRPr="004D0FC0">
        <w:t xml:space="preserve">Or. </w:t>
      </w:r>
      <w:r w:rsidRPr="004D0FC0">
        <w:rPr>
          <w:rStyle w:val="HideTWBExt"/>
        </w:rPr>
        <w:t>&lt;Origina</w:t>
      </w:r>
      <w:r w:rsidRPr="004D0FC0">
        <w:rPr>
          <w:rStyle w:val="HideTWBExt"/>
        </w:rPr>
        <w:t>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57</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5 – Absatz 1 – Buchstabe a</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 xml:space="preserve">Vorschlag </w:t>
            </w:r>
            <w:r w:rsidRPr="004D0FC0">
              <w:t>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a)</w:t>
            </w:r>
            <w:r w:rsidRPr="004D0FC0">
              <w:tab/>
              <w:t xml:space="preserve">von Mitgliedstaaten </w:t>
            </w:r>
            <w:r w:rsidRPr="004D0FC0">
              <w:rPr>
                <w:b/>
                <w:bCs/>
                <w:i/>
                <w:iCs/>
              </w:rPr>
              <w:t>mit einem jährlichen Anteil von mehr als 3 % an der Gesamtzahl der Arbeitnehmer in der EU in jedem</w:t>
            </w:r>
            <w:r w:rsidRPr="004D0FC0">
              <w:t xml:space="preserve"> der letzten drei aufeinanderfolgenden Jahre </w:t>
            </w:r>
            <w:r w:rsidRPr="004D0FC0">
              <w:rPr>
                <w:b/>
                <w:i/>
              </w:rPr>
              <w:t>und</w:t>
            </w:r>
          </w:p>
        </w:tc>
        <w:tc>
          <w:tcPr>
            <w:tcW w:w="4876" w:type="dxa"/>
            <w:hideMark/>
          </w:tcPr>
          <w:p w:rsidR="00351294" w:rsidRPr="004D0FC0" w:rsidRDefault="00B801A5">
            <w:pPr>
              <w:pStyle w:val="Normal6a"/>
            </w:pPr>
            <w:r w:rsidRPr="004D0FC0">
              <w:t>a)</w:t>
            </w:r>
            <w:r w:rsidRPr="004D0FC0">
              <w:tab/>
              <w:t xml:space="preserve">von Mitgliedstaaten </w:t>
            </w:r>
            <w:r w:rsidRPr="004D0FC0">
              <w:rPr>
                <w:b/>
                <w:bCs/>
                <w:i/>
                <w:iCs/>
              </w:rPr>
              <w:t>für jedes</w:t>
            </w:r>
            <w:r w:rsidRPr="004D0FC0">
              <w:t xml:space="preserve"> der letzten drei aufeinanderfolgenden Jahre</w:t>
            </w:r>
            <w:r w:rsidRPr="004D0FC0">
              <w:rPr>
                <w:b/>
                <w:bCs/>
                <w:i/>
                <w:iCs/>
              </w:rPr>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58</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5 – Absatz 1 – Buchstabe b</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rPr>
                <w:b/>
                <w:i/>
              </w:rPr>
              <w:t>b)</w:t>
            </w:r>
            <w:r w:rsidRPr="004D0FC0">
              <w:tab/>
            </w:r>
            <w:r w:rsidRPr="004D0FC0">
              <w:rPr>
                <w:b/>
                <w:i/>
              </w:rPr>
              <w:t xml:space="preserve">von Mitgliedstaaten des Euro-Währungsgebiets mit einem jährlichen Anteil von mehr als 3 % an der Gesamtzahl der Arbeitnehmer im Euro-Währungsgebiet in </w:t>
            </w:r>
            <w:r w:rsidRPr="004D0FC0">
              <w:rPr>
                <w:b/>
                <w:i/>
              </w:rPr>
              <w:t>jedem der letzten drei aufeinanderfolgenden Jahre.</w:t>
            </w:r>
          </w:p>
        </w:tc>
        <w:tc>
          <w:tcPr>
            <w:tcW w:w="4876" w:type="dxa"/>
            <w:hideMark/>
          </w:tcPr>
          <w:p w:rsidR="00351294" w:rsidRPr="004D0FC0" w:rsidRDefault="00B801A5">
            <w:pPr>
              <w:pStyle w:val="Normal6a"/>
            </w:pPr>
            <w:r w:rsidRPr="004D0FC0">
              <w:rPr>
                <w:b/>
                <w:i/>
              </w:rPr>
              <w:t>entfällt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59</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5 – Absatz 3</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rPr>
                <w:b/>
                <w:i/>
              </w:rPr>
              <w:t>(3)</w:t>
            </w:r>
            <w:r w:rsidRPr="004D0FC0">
              <w:tab/>
            </w:r>
            <w:r w:rsidRPr="004D0FC0">
              <w:rPr>
                <w:b/>
                <w:i/>
              </w:rPr>
              <w:t xml:space="preserve">Sollte sich die Liste der Mitgliedstaaten mit einem Anteil an der Gesamtzahl der Arbeitnehmer, der höher ist als die in Absatz 1 Buchstaben a und b </w:t>
            </w:r>
            <w:r w:rsidRPr="004D0FC0">
              <w:rPr>
                <w:b/>
                <w:i/>
              </w:rPr>
              <w:t>genannten Schwellenwerte, ändern, so teilt die Kommission (Eurostat) dies dem/den betreffenden Mitgliedstaat(en) innerhalb von sechs Monaten nach Ablauf des Zeitraums mit, der für die Bewertung des Schwellenwerts von 3 % herangezogen wurde. Liegen die aktu</w:t>
            </w:r>
            <w:r w:rsidRPr="004D0FC0">
              <w:rPr>
                <w:b/>
                <w:i/>
              </w:rPr>
              <w:t xml:space="preserve">alisierten Anteile der Arbeitnehmer unter den in Absatz 1 Buchstaben a und b genannten Schwellenwerten, so kann der betreffende Mitgliedstaat bzw. können die betreffenden Mitgliedstaaten die Übermittlung von Frühschätzungen ab dem Bezugsquartal des ersten </w:t>
            </w:r>
            <w:r w:rsidRPr="004D0FC0">
              <w:rPr>
                <w:b/>
                <w:i/>
              </w:rPr>
              <w:t>Kalenderjahres nach dem Datum der Mitteilung einstellen. Liegen die aktualisierten Anteile über diesen Schwellenwerten, so übermittelt der betreffende Mitgliedstaat bzw. übermitteln die betreffenden Mitgliedstaaten die Frühschätzungen ab dem ersten Referen</w:t>
            </w:r>
            <w:r w:rsidRPr="004D0FC0">
              <w:rPr>
                <w:b/>
                <w:i/>
              </w:rPr>
              <w:t>zquartal des dritten Kalenderjahres nach dem Datum der Mitteilung.</w:t>
            </w:r>
          </w:p>
        </w:tc>
        <w:tc>
          <w:tcPr>
            <w:tcW w:w="4876" w:type="dxa"/>
            <w:hideMark/>
          </w:tcPr>
          <w:p w:rsidR="00351294" w:rsidRPr="004D0FC0" w:rsidRDefault="00B801A5">
            <w:pPr>
              <w:pStyle w:val="Normal6a"/>
            </w:pPr>
            <w:r w:rsidRPr="004D0FC0">
              <w:rPr>
                <w:b/>
                <w:i/>
              </w:rPr>
              <w:t>entfällt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60</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 xml:space="preserve">Vorschlag für eine </w:t>
      </w:r>
      <w:r w:rsidRPr="004D0FC0">
        <w:t>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6 – Absatz 2 – Buchstabe b</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b)</w:t>
            </w:r>
            <w:r w:rsidRPr="004D0FC0">
              <w:tab/>
              <w:t xml:space="preserve">sie beschäftigen </w:t>
            </w:r>
            <w:r w:rsidRPr="004D0FC0">
              <w:rPr>
                <w:b/>
                <w:bCs/>
                <w:i/>
                <w:iCs/>
              </w:rPr>
              <w:t>einen</w:t>
            </w:r>
            <w:r w:rsidRPr="004D0FC0">
              <w:t xml:space="preserve"> oder </w:t>
            </w:r>
            <w:r w:rsidRPr="004D0FC0">
              <w:rPr>
                <w:b/>
                <w:bCs/>
                <w:i/>
                <w:iCs/>
              </w:rPr>
              <w:t>mehrere Arbeitnehmer</w:t>
            </w:r>
            <w:r w:rsidRPr="004D0FC0">
              <w:t>.</w:t>
            </w:r>
          </w:p>
        </w:tc>
        <w:tc>
          <w:tcPr>
            <w:tcW w:w="4876" w:type="dxa"/>
            <w:hideMark/>
          </w:tcPr>
          <w:p w:rsidR="00351294" w:rsidRPr="004D0FC0" w:rsidRDefault="00B801A5">
            <w:pPr>
              <w:pStyle w:val="Normal6a"/>
            </w:pPr>
            <w:r w:rsidRPr="004D0FC0">
              <w:t>b)</w:t>
            </w:r>
            <w:r w:rsidRPr="004D0FC0">
              <w:tab/>
              <w:t xml:space="preserve">sie beschäftigen </w:t>
            </w:r>
            <w:r w:rsidRPr="004D0FC0">
              <w:rPr>
                <w:b/>
                <w:bCs/>
                <w:i/>
                <w:iCs/>
              </w:rPr>
              <w:t>zehn</w:t>
            </w:r>
            <w:r w:rsidRPr="004D0FC0">
              <w:t xml:space="preserve"> oder </w:t>
            </w:r>
            <w:r w:rsidRPr="004D0FC0">
              <w:rPr>
                <w:b/>
                <w:bCs/>
                <w:i/>
                <w:iCs/>
              </w:rPr>
              <w:t>mehr Vollzeitäquivalente an Arbeitnehmern</w:t>
            </w:r>
            <w:r w:rsidRPr="004D0FC0">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Beide Teile dieses Änderungsantrags sind von wesentlicher Bedeutung. Die Anhebung des Schwellenwerts auf zehn Beschäftigte dient dazu, Kleinstunternehmen zu schützen und eine zuverlässige Berech</w:t>
      </w:r>
      <w:r w:rsidRPr="004D0FC0">
        <w:t>nungsgrundlage zu schaffen, indem präzisiert wird, dass sich dieser Absatz auf Vollzeitäquivalente bezieht.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61</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w:t>
      </w:r>
      <w:r w:rsidRPr="004D0FC0">
        <w:t>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6 – Absatz 3 – Unterabsatz 1 – Buchstabe b</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b)</w:t>
            </w:r>
            <w:r w:rsidRPr="004D0FC0">
              <w:tab/>
              <w:t xml:space="preserve">sie beschäftigen </w:t>
            </w:r>
            <w:r w:rsidRPr="004D0FC0">
              <w:rPr>
                <w:b/>
                <w:bCs/>
                <w:i/>
                <w:iCs/>
              </w:rPr>
              <w:t>einen</w:t>
            </w:r>
            <w:r w:rsidRPr="004D0FC0">
              <w:t xml:space="preserve"> oder </w:t>
            </w:r>
            <w:r w:rsidRPr="004D0FC0">
              <w:rPr>
                <w:b/>
                <w:bCs/>
                <w:i/>
                <w:iCs/>
              </w:rPr>
              <w:t>mehrere Arbeitnehmer</w:t>
            </w:r>
            <w:r w:rsidRPr="004D0FC0">
              <w:t>.</w:t>
            </w:r>
          </w:p>
        </w:tc>
        <w:tc>
          <w:tcPr>
            <w:tcW w:w="4876" w:type="dxa"/>
            <w:hideMark/>
          </w:tcPr>
          <w:p w:rsidR="00351294" w:rsidRPr="004D0FC0" w:rsidRDefault="00B801A5">
            <w:pPr>
              <w:pStyle w:val="Normal6a"/>
            </w:pPr>
            <w:r w:rsidRPr="004D0FC0">
              <w:t>b)</w:t>
            </w:r>
            <w:r w:rsidRPr="004D0FC0">
              <w:tab/>
              <w:t xml:space="preserve">sie beschäftigen </w:t>
            </w:r>
            <w:r w:rsidRPr="004D0FC0">
              <w:rPr>
                <w:b/>
                <w:bCs/>
                <w:i/>
                <w:iCs/>
              </w:rPr>
              <w:t>zehn</w:t>
            </w:r>
            <w:r w:rsidRPr="004D0FC0">
              <w:t xml:space="preserve"> oder </w:t>
            </w:r>
            <w:r w:rsidRPr="004D0FC0">
              <w:rPr>
                <w:b/>
                <w:bCs/>
                <w:i/>
                <w:iCs/>
              </w:rPr>
              <w:t xml:space="preserve">mehr Vollzeitäquivalente an </w:t>
            </w:r>
            <w:r w:rsidRPr="004D0FC0">
              <w:rPr>
                <w:b/>
                <w:bCs/>
                <w:i/>
                <w:iCs/>
              </w:rPr>
              <w:t>Arbeitnehmern</w:t>
            </w:r>
            <w:r w:rsidRPr="004D0FC0">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Beide Teile dieses Änderungsantrags sind von wesentlicher Bedeutung. Die Anhebung des Schwellenwerts auf zehn Beschäftigte dient dazu, Kleinstunternehmen zu schützen und eine</w:t>
      </w:r>
      <w:r w:rsidRPr="004D0FC0">
        <w:t xml:space="preserve"> zuverlässige Berechnungsgrundlage zu schaffen, indem präzisiert wird, dass sich dieser Absatz auf Vollzeitäquivalente bezieht.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62</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6 – Absatz 5 – Buchstabe b</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b)</w:t>
            </w:r>
            <w:r w:rsidRPr="004D0FC0">
              <w:tab/>
              <w:t xml:space="preserve">sie sind Teil von Unternehmen mit </w:t>
            </w:r>
            <w:r w:rsidRPr="004D0FC0">
              <w:rPr>
                <w:b/>
                <w:bCs/>
                <w:i/>
                <w:iCs/>
              </w:rPr>
              <w:t>zehn</w:t>
            </w:r>
            <w:r w:rsidRPr="004D0FC0">
              <w:t xml:space="preserve"> oder mehr Arbeitnehmern.</w:t>
            </w:r>
          </w:p>
        </w:tc>
        <w:tc>
          <w:tcPr>
            <w:tcW w:w="4876" w:type="dxa"/>
            <w:hideMark/>
          </w:tcPr>
          <w:p w:rsidR="00351294" w:rsidRPr="004D0FC0" w:rsidRDefault="00B801A5">
            <w:pPr>
              <w:pStyle w:val="Normal6a"/>
            </w:pPr>
            <w:r w:rsidRPr="004D0FC0">
              <w:t>b)</w:t>
            </w:r>
            <w:r w:rsidRPr="004D0FC0">
              <w:tab/>
              <w:t xml:space="preserve">sie sind Teil von Unternehmen mit </w:t>
            </w:r>
            <w:r w:rsidRPr="004D0FC0">
              <w:rPr>
                <w:b/>
                <w:bCs/>
                <w:i/>
                <w:iCs/>
              </w:rPr>
              <w:t>20</w:t>
            </w:r>
            <w:r w:rsidRPr="004D0FC0">
              <w:t xml:space="preserve"> oder mehr Arbeitnehmern.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63</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Irene Tinagli</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 xml:space="preserve">Artikel 6 – </w:t>
      </w:r>
      <w:r w:rsidRPr="004D0FC0">
        <w:t>Absatz 5 a (neu)</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(5a)</w:t>
            </w:r>
            <w:r w:rsidRPr="004D0FC0">
              <w:tab/>
            </w:r>
            <w:r w:rsidRPr="004D0FC0">
              <w:rPr>
                <w:b/>
                <w:i/>
              </w:rPr>
              <w:t>Für alle im Anhang aufgeführten Themen erheben und übermitteln die Mitgliedstaaten gesonderte Daten über Sozialunternehmen.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64</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7</w:t>
      </w:r>
      <w:r w:rsidRPr="004D0FC0">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DD453A">
        <w:trPr>
          <w:trHeight w:val="240"/>
          <w:jc w:val="center"/>
        </w:trPr>
        <w:tc>
          <w:tcPr>
            <w:tcW w:w="9752" w:type="dxa"/>
            <w:gridSpan w:val="2"/>
          </w:tcPr>
          <w:p w:rsidR="00351294" w:rsidRPr="004D0FC0" w:rsidRDefault="00351294"/>
        </w:tc>
      </w:tr>
      <w:tr w:rsidR="00796A4B" w:rsidRPr="004D0FC0" w:rsidTr="00DD453A">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DD453A">
        <w:trPr>
          <w:jc w:val="center"/>
        </w:trPr>
        <w:tc>
          <w:tcPr>
            <w:tcW w:w="4876" w:type="dxa"/>
            <w:hideMark/>
          </w:tcPr>
          <w:p w:rsidR="00351294" w:rsidRPr="004D0FC0" w:rsidRDefault="00B801A5">
            <w:pPr>
              <w:pStyle w:val="Normal6a"/>
              <w:jc w:val="center"/>
            </w:pPr>
            <w:r w:rsidRPr="004D0FC0">
              <w:rPr>
                <w:b/>
                <w:i/>
              </w:rPr>
              <w:t>Artikel 7</w:t>
            </w:r>
          </w:p>
        </w:tc>
        <w:tc>
          <w:tcPr>
            <w:tcW w:w="4876" w:type="dxa"/>
            <w:hideMark/>
          </w:tcPr>
          <w:p w:rsidR="00351294" w:rsidRPr="004D0FC0" w:rsidRDefault="00B801A5">
            <w:pPr>
              <w:pStyle w:val="Normal6a"/>
            </w:pPr>
            <w:r w:rsidRPr="004D0FC0">
              <w:rPr>
                <w:b/>
                <w:i/>
              </w:rPr>
              <w:t>entfällt</w:t>
            </w:r>
          </w:p>
        </w:tc>
      </w:tr>
      <w:tr w:rsidR="00796A4B" w:rsidRPr="004D0FC0" w:rsidTr="00DD453A">
        <w:trPr>
          <w:jc w:val="center"/>
        </w:trPr>
        <w:tc>
          <w:tcPr>
            <w:tcW w:w="4876" w:type="dxa"/>
            <w:hideMark/>
          </w:tcPr>
          <w:p w:rsidR="00351294" w:rsidRPr="004D0FC0" w:rsidRDefault="00B801A5">
            <w:pPr>
              <w:pStyle w:val="Normal6a"/>
              <w:jc w:val="center"/>
            </w:pPr>
            <w:r w:rsidRPr="004D0FC0">
              <w:rPr>
                <w:b/>
                <w:i/>
              </w:rPr>
              <w:t>Anforderungen bezüglich Ad-hoc-Daten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(1) Der Kommission wird die Befugnis übertragen, gemäß Artikel 13 delegierte Rechtsakte zur Ergänzung dieser Verordnung zu erlassen, in denen sie die von den Mitgliedstaaten auf Ad-hoc-Basis zur Verfügung zu stellende</w:t>
            </w:r>
            <w:r w:rsidRPr="004D0FC0">
              <w:rPr>
                <w:b/>
                <w:i/>
              </w:rPr>
              <w:t>n Informationen festlegt, wenn die Erhebung zusätzlicher Daten im Anwendungsbereich dieser Verordnung als erforderlich erachtet wird, um den zusätzlichen statistischen Datenbedarf zu decken. In diesen delegierten Rechtsakten ist Folgendes festgelegt:</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 xml:space="preserve">a) </w:t>
            </w:r>
            <w:r w:rsidRPr="004D0FC0">
              <w:rPr>
                <w:b/>
                <w:i/>
              </w:rPr>
              <w:t>die im Rahmen von Ad-hoc-Datenerhebungen im Zusammenhang mit den in Artikel 4 genannten Bereichen und Themen bereitzustellenden Einzelthemen sowie die Gründe für diesen zusätzlichen Bedarf,</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b) die Bezugszeiträume und Übermittlungsfristen.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 xml:space="preserve">(2) Der </w:t>
            </w:r>
            <w:r w:rsidRPr="004D0FC0">
              <w:rPr>
                <w:b/>
                <w:i/>
              </w:rPr>
              <w:t>Kommission wird die Befugnis übertragen, ab dem Bezugsjahr 2028 und mit einem Mindestabstand von zwei Jahren zwischen den einzelnen Ad-hoc-Erhebungen delegierte Rechtsakte gemäß Absatz 1 zu erlassen.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(3) Die Kommission erlässt Durchführungsrechtsakte zur</w:t>
            </w:r>
            <w:r w:rsidRPr="004D0FC0">
              <w:rPr>
                <w:b/>
                <w:i/>
              </w:rPr>
              <w:t xml:space="preserve"> Präzisierung der in Absatz 1 genannten Ad-hoc-Informationen und Metadaten. In diesen Durchführungsrechtsakten sind gegebenenfalls die folgenden technischen Elemente anzugeben: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a) Liste und Beschreibung von Variablen,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b) statistische Klassifikationen u</w:t>
            </w:r>
            <w:r w:rsidRPr="004D0FC0">
              <w:rPr>
                <w:b/>
                <w:i/>
              </w:rPr>
              <w:t>nd Aufschlüsselungen der Daten,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c) detaillierte Spezifikationen zu den abgedeckten statistischen Einheiten,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d) zu übermittelnde Metadaten,</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e) Datenerhebungszeiträume.</w:t>
            </w:r>
          </w:p>
        </w:tc>
        <w:tc>
          <w:tcPr>
            <w:tcW w:w="4876" w:type="dxa"/>
          </w:tcPr>
          <w:p w:rsidR="00351294" w:rsidRPr="004D0FC0" w:rsidRDefault="00351294">
            <w:pPr>
              <w:pStyle w:val="Normal6a"/>
            </w:pPr>
          </w:p>
        </w:tc>
      </w:tr>
      <w:tr w:rsidR="00796A4B" w:rsidRPr="004D0FC0" w:rsidTr="00DD453A">
        <w:trPr>
          <w:jc w:val="center"/>
        </w:trPr>
        <w:tc>
          <w:tcPr>
            <w:tcW w:w="4876" w:type="dxa"/>
            <w:hideMark/>
          </w:tcPr>
          <w:p w:rsidR="00351294" w:rsidRPr="004D0FC0" w:rsidRDefault="00B801A5">
            <w:pPr>
              <w:pStyle w:val="Normal6a"/>
            </w:pPr>
            <w:r w:rsidRPr="004D0FC0">
              <w:rPr>
                <w:b/>
                <w:i/>
              </w:rPr>
              <w:t xml:space="preserve">Diese Durchführungsrechtsakte werden bis spätestens 24 Monate vor Beginn des </w:t>
            </w:r>
            <w:r w:rsidRPr="004D0FC0">
              <w:rPr>
                <w:b/>
                <w:i/>
              </w:rPr>
              <w:t>jeweiligen Referenzzeitraums gemäß dem in Artikel 14 Absatz 2 genannten Prüfverfahren erlassen.</w:t>
            </w:r>
          </w:p>
        </w:tc>
        <w:tc>
          <w:tcPr>
            <w:tcW w:w="4876" w:type="dxa"/>
          </w:tcPr>
          <w:p w:rsidR="00351294" w:rsidRPr="004D0FC0" w:rsidRDefault="00351294">
            <w:pPr>
              <w:pStyle w:val="Normal6a"/>
            </w:pP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Es ist eine zusätzliche parlamentarische Kontrolle im Rahmen des ordentlichen Gesetzgebungsv</w:t>
      </w:r>
      <w:r w:rsidRPr="004D0FC0">
        <w:t>erfahrens erforderlich, da diese Befugnisübertragung möglicherweise erhebliche Auswirkungen auf die Berichtspflichten für Unternehmen in der Union haben könnte. Entsprechend der beantragten Streichung der Befugnisübertragungen in Artikel 4 Absatz 3 und Art</w:t>
      </w:r>
      <w:r w:rsidRPr="004D0FC0">
        <w:t>ikel 7 Absatz 1 müssten auch die Bestimmungen über die Ausübung der übertragenen Befugnisse in Artikel 13 gestrichen werden.</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65</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w:t>
      </w:r>
      <w:r w:rsidRPr="004D0FC0">
        <w:t>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7 – Absatz 1 – Einleitung</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(1)</w:t>
            </w:r>
            <w:r w:rsidRPr="004D0FC0">
              <w:tab/>
              <w:t xml:space="preserve">Der Kommission wird die Befugnis übertragen, gemäß Artikel 13 delegierte Rechtsakte zur Ergänzung dieser Verordnung </w:t>
            </w:r>
            <w:r w:rsidRPr="004D0FC0">
              <w:t>zu erlassen, in denen sie die von den Mitgliedstaaten auf Ad-hoc-Basis zur Verfügung zu stellenden Informationen festlegt, wenn die Erhebung zusätzlicher Daten im Anwendungsbereich dieser Verordnung als erforderlich erachtet wird, um den zusätzlichen stati</w:t>
            </w:r>
            <w:r w:rsidRPr="004D0FC0">
              <w:t>stischen Datenbedarf zu decken. In diesen delegierten Rechtsakten ist Folgendes festgelegt:</w:t>
            </w:r>
          </w:p>
        </w:tc>
        <w:tc>
          <w:tcPr>
            <w:tcW w:w="4876" w:type="dxa"/>
            <w:hideMark/>
          </w:tcPr>
          <w:p w:rsidR="00351294" w:rsidRPr="004D0FC0" w:rsidRDefault="00B801A5">
            <w:pPr>
              <w:pStyle w:val="Normal6a"/>
            </w:pPr>
            <w:r w:rsidRPr="004D0FC0">
              <w:t>(1)</w:t>
            </w:r>
            <w:r w:rsidRPr="004D0FC0">
              <w:tab/>
              <w:t>Der Kommission wird die Befugnis übertragen, gemäß Artikel 13 delegierte Rechtsakte zur Ergänzung dieser Verordnung zu erlassen, in denen sie die von den Mitgli</w:t>
            </w:r>
            <w:r w:rsidRPr="004D0FC0">
              <w:t>edstaaten auf Ad-hoc-Basis zur Verfügung zu stellenden Informationen festlegt, wenn die Erhebung zusätzlicher Daten im Anwendungsbereich dieser Verordnung als erforderlich erachtet wird, um den zusätzlichen statistischen Datenbedarf</w:t>
            </w:r>
            <w:r w:rsidRPr="004D0FC0">
              <w:rPr>
                <w:b/>
                <w:bCs/>
                <w:i/>
                <w:iCs/>
              </w:rPr>
              <w:t>, der nicht auf andere W</w:t>
            </w:r>
            <w:r w:rsidRPr="004D0FC0">
              <w:rPr>
                <w:b/>
                <w:bCs/>
                <w:i/>
                <w:iCs/>
              </w:rPr>
              <w:t>eise erfüllt werden kann,</w:t>
            </w:r>
            <w:r w:rsidRPr="004D0FC0">
              <w:t xml:space="preserve"> zu decken. In diesen delegierten Rechtsakten ist Folgendes festgelegt: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66</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8 – Absatz 1</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(1)</w:t>
            </w:r>
            <w:r w:rsidRPr="004D0FC0">
              <w:tab/>
              <w:t>Die Mitgliedstaaten treffen die erforderlichen Maßnahmen, um die Qualität der übermittelten Daten und Metadaten zu si</w:t>
            </w:r>
            <w:r w:rsidRPr="004D0FC0">
              <w:t>chern.</w:t>
            </w:r>
          </w:p>
        </w:tc>
        <w:tc>
          <w:tcPr>
            <w:tcW w:w="4876" w:type="dxa"/>
            <w:hideMark/>
          </w:tcPr>
          <w:p w:rsidR="00351294" w:rsidRPr="004D0FC0" w:rsidRDefault="00B801A5">
            <w:pPr>
              <w:pStyle w:val="Normal6a"/>
            </w:pPr>
            <w:r w:rsidRPr="004D0FC0">
              <w:t>(1)</w:t>
            </w:r>
            <w:r w:rsidRPr="004D0FC0">
              <w:tab/>
              <w:t xml:space="preserve">Die Mitgliedstaaten treffen die erforderlichen Maßnahmen, um die Qualität der übermittelten Daten und Metadaten zu sichern. </w:t>
            </w:r>
            <w:r w:rsidRPr="004D0FC0">
              <w:rPr>
                <w:b/>
                <w:i/>
              </w:rPr>
              <w:t>Die Mitgliedstaaten stellen sicher, dass diese Verpflichtung den Verwaltungsaufwand für die Unternehmen nicht erhöht.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67</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8 – Absatz 7</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w:t>
            </w:r>
            <w:r w:rsidRPr="004D0FC0">
              <w:t xml:space="preserve">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(7)</w:t>
            </w:r>
            <w:r w:rsidRPr="004D0FC0">
              <w:tab/>
              <w:t xml:space="preserve">Auf </w:t>
            </w:r>
            <w:r w:rsidRPr="004D0FC0">
              <w:rPr>
                <w:b/>
                <w:bCs/>
                <w:i/>
                <w:iCs/>
              </w:rPr>
              <w:t>hinreichend begründeten</w:t>
            </w:r>
            <w:r w:rsidRPr="004D0FC0">
              <w:t xml:space="preserve"> Antrag der Kommission (Eurostat) legen die Mitgliedstaaten zusätzliche, zur Bewertung der Qualität der statistischen Daten notwendige Informationen vor.</w:t>
            </w:r>
          </w:p>
        </w:tc>
        <w:tc>
          <w:tcPr>
            <w:tcW w:w="4876" w:type="dxa"/>
            <w:hideMark/>
          </w:tcPr>
          <w:p w:rsidR="00351294" w:rsidRPr="004D0FC0" w:rsidRDefault="00B801A5">
            <w:pPr>
              <w:pStyle w:val="Normal6a"/>
            </w:pPr>
            <w:r w:rsidRPr="004D0FC0">
              <w:t>(7)</w:t>
            </w:r>
            <w:r w:rsidRPr="004D0FC0">
              <w:tab/>
              <w:t xml:space="preserve">Auf Antrag der Kommission (Eurostat) </w:t>
            </w:r>
            <w:r w:rsidRPr="004D0FC0">
              <w:t>legen die Mitgliedstaaten zusätzliche, zur Bewertung der Qualität der statistischen Daten notwendige Informationen vor.</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Die Beweislast in Fällen, in denen Zweifel an der Qualität der Statis</w:t>
      </w:r>
      <w:r w:rsidRPr="004D0FC0">
        <w:t>tiken bestehen, sollte nicht zu hoch angesetzt werden.</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68</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9 – Absatz 1</w:t>
      </w:r>
      <w:r w:rsidRPr="004D0FC0">
        <w:rPr>
          <w:rStyle w:val="HideTWBExt"/>
        </w:rPr>
        <w:t>&lt;/A</w:t>
      </w:r>
      <w:r w:rsidRPr="004D0FC0">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(1)</w:t>
            </w:r>
            <w:r w:rsidRPr="004D0FC0">
              <w:tab/>
              <w:t xml:space="preserve">Die Kommission (Eurostat) kann Durchführbarkeits- und Pilotstudien in die Wege leiten, um die unternehmensbezogenen Arbeitsmarktstatistiken zu verbessern oder den Aufwand für die Unternehmen zu </w:t>
            </w:r>
            <w:r w:rsidRPr="004D0FC0">
              <w:t xml:space="preserve">begrenzen. </w:t>
            </w:r>
            <w:r w:rsidRPr="004D0FC0">
              <w:rPr>
                <w:b/>
                <w:bCs/>
                <w:i/>
                <w:iCs/>
              </w:rPr>
              <w:t>Ziel</w:t>
            </w:r>
            <w:r w:rsidRPr="004D0FC0">
              <w:t xml:space="preserve"> solcher Studien </w:t>
            </w:r>
            <w:r w:rsidRPr="004D0FC0">
              <w:rPr>
                <w:b/>
                <w:bCs/>
                <w:i/>
                <w:iCs/>
              </w:rPr>
              <w:t>ist</w:t>
            </w:r>
            <w:r w:rsidRPr="004D0FC0">
              <w:t xml:space="preserve"> </w:t>
            </w:r>
            <w:r w:rsidRPr="004D0FC0">
              <w:rPr>
                <w:b/>
                <w:bCs/>
                <w:i/>
                <w:iCs/>
              </w:rPr>
              <w:t>es unter anderem, die</w:t>
            </w:r>
            <w:r w:rsidRPr="004D0FC0">
              <w:t xml:space="preserve"> Qualität und Vergleichbarkeit </w:t>
            </w:r>
            <w:r w:rsidRPr="004D0FC0">
              <w:rPr>
                <w:b/>
                <w:bCs/>
                <w:i/>
                <w:iCs/>
              </w:rPr>
              <w:t>zu verbessern,</w:t>
            </w:r>
            <w:r w:rsidRPr="004D0FC0">
              <w:t xml:space="preserve"> </w:t>
            </w:r>
            <w:r w:rsidRPr="004D0FC0">
              <w:rPr>
                <w:b/>
                <w:bCs/>
                <w:i/>
                <w:iCs/>
              </w:rPr>
              <w:t>neue</w:t>
            </w:r>
            <w:r w:rsidRPr="004D0FC0">
              <w:t xml:space="preserve"> Möglichkeiten </w:t>
            </w:r>
            <w:r w:rsidRPr="004D0FC0">
              <w:rPr>
                <w:b/>
                <w:bCs/>
                <w:i/>
                <w:iCs/>
              </w:rPr>
              <w:t>zu erforschen</w:t>
            </w:r>
            <w:r w:rsidRPr="004D0FC0">
              <w:t xml:space="preserve"> und </w:t>
            </w:r>
            <w:r w:rsidRPr="004D0FC0">
              <w:rPr>
                <w:b/>
                <w:bCs/>
                <w:i/>
                <w:iCs/>
              </w:rPr>
              <w:t>neue</w:t>
            </w:r>
            <w:r w:rsidRPr="004D0FC0">
              <w:t xml:space="preserve"> Funktionen </w:t>
            </w:r>
            <w:r w:rsidRPr="004D0FC0">
              <w:rPr>
                <w:b/>
                <w:bCs/>
                <w:i/>
                <w:iCs/>
              </w:rPr>
              <w:t>einzuführen</w:t>
            </w:r>
            <w:r w:rsidRPr="004D0FC0">
              <w:t>, um den Anforderungen der Nutzer gerecht zu werden</w:t>
            </w:r>
            <w:r w:rsidRPr="004D0FC0">
              <w:rPr>
                <w:b/>
                <w:bCs/>
                <w:i/>
                <w:iCs/>
              </w:rPr>
              <w:t>,</w:t>
            </w:r>
            <w:r w:rsidRPr="004D0FC0">
              <w:t xml:space="preserve"> </w:t>
            </w:r>
            <w:r w:rsidRPr="004D0FC0">
              <w:rPr>
                <w:b/>
                <w:bCs/>
                <w:i/>
                <w:iCs/>
              </w:rPr>
              <w:t>die</w:t>
            </w:r>
            <w:r w:rsidRPr="004D0FC0">
              <w:t xml:space="preserve"> Integration zwischen Erhebungen und anderen Datenquellen </w:t>
            </w:r>
            <w:r w:rsidRPr="004D0FC0">
              <w:rPr>
                <w:b/>
                <w:bCs/>
                <w:i/>
                <w:iCs/>
              </w:rPr>
              <w:t>zu verbessern</w:t>
            </w:r>
            <w:r w:rsidRPr="004D0FC0">
              <w:t xml:space="preserve"> </w:t>
            </w:r>
            <w:r w:rsidRPr="004D0FC0">
              <w:rPr>
                <w:b/>
                <w:bCs/>
                <w:i/>
                <w:iCs/>
              </w:rPr>
              <w:t>und</w:t>
            </w:r>
            <w:r w:rsidRPr="004D0FC0">
              <w:t xml:space="preserve"> </w:t>
            </w:r>
            <w:r w:rsidRPr="004D0FC0">
              <w:rPr>
                <w:b/>
                <w:bCs/>
                <w:i/>
                <w:iCs/>
              </w:rPr>
              <w:t>den Aufwand</w:t>
            </w:r>
            <w:r w:rsidRPr="004D0FC0">
              <w:t xml:space="preserve"> für die Auskunftspersonen </w:t>
            </w:r>
            <w:r w:rsidRPr="004D0FC0">
              <w:rPr>
                <w:b/>
                <w:bCs/>
                <w:i/>
                <w:iCs/>
              </w:rPr>
              <w:t>zu verringern</w:t>
            </w:r>
            <w:r w:rsidRPr="004D0FC0">
              <w:t>. Bei den Studien werden die technologischen und digitalen Entwicklungen berücksichtigt.</w:t>
            </w:r>
          </w:p>
        </w:tc>
        <w:tc>
          <w:tcPr>
            <w:tcW w:w="4876" w:type="dxa"/>
            <w:hideMark/>
          </w:tcPr>
          <w:p w:rsidR="00351294" w:rsidRPr="004D0FC0" w:rsidRDefault="00B801A5">
            <w:pPr>
              <w:pStyle w:val="Normal6a"/>
            </w:pPr>
            <w:r w:rsidRPr="004D0FC0">
              <w:t>(1)</w:t>
            </w:r>
            <w:r w:rsidRPr="004D0FC0">
              <w:tab/>
              <w:t>Die Kommission (Eurostat) kann Durch</w:t>
            </w:r>
            <w:r w:rsidRPr="004D0FC0">
              <w:t xml:space="preserve">führbarkeits- und Pilotstudien in die Wege leiten, um die unternehmensbezogenen Arbeitsmarktstatistiken zu verbessern oder den Aufwand für die Unternehmen zu begrenzen. </w:t>
            </w:r>
            <w:r w:rsidRPr="004D0FC0">
              <w:rPr>
                <w:b/>
                <w:bCs/>
                <w:i/>
                <w:iCs/>
              </w:rPr>
              <w:t>Die Zielsetzung</w:t>
            </w:r>
            <w:r w:rsidRPr="004D0FC0">
              <w:t xml:space="preserve"> solcher Studien </w:t>
            </w:r>
            <w:r w:rsidRPr="004D0FC0">
              <w:rPr>
                <w:b/>
                <w:bCs/>
                <w:i/>
                <w:iCs/>
              </w:rPr>
              <w:t>umfasst mindestens eines der folgenden Elemente:</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bCs/>
                <w:i/>
                <w:iCs/>
              </w:rPr>
              <w:t>– Ve</w:t>
            </w:r>
            <w:r w:rsidRPr="004D0FC0">
              <w:rPr>
                <w:b/>
                <w:bCs/>
                <w:i/>
                <w:iCs/>
              </w:rPr>
              <w:t>rbesserung der</w:t>
            </w:r>
            <w:r w:rsidRPr="004D0FC0">
              <w:t xml:space="preserve"> Qualität und Vergleichbarkeit </w:t>
            </w:r>
            <w:r w:rsidRPr="004D0FC0">
              <w:rPr>
                <w:b/>
                <w:bCs/>
                <w:i/>
                <w:iCs/>
              </w:rPr>
              <w:t>der Datenerhebung;</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bCs/>
                <w:i/>
                <w:iCs/>
              </w:rPr>
              <w:t>– Erforschung neuer</w:t>
            </w:r>
            <w:r w:rsidRPr="004D0FC0">
              <w:t xml:space="preserve"> Möglichkeiten und </w:t>
            </w:r>
            <w:r w:rsidRPr="004D0FC0">
              <w:rPr>
                <w:b/>
                <w:bCs/>
                <w:i/>
                <w:iCs/>
              </w:rPr>
              <w:t>Einführung neuer</w:t>
            </w:r>
            <w:r w:rsidRPr="004D0FC0">
              <w:t xml:space="preserve"> Funktionen, um den Anforderungen der Nutzer gerecht zu werden</w:t>
            </w:r>
            <w:r w:rsidRPr="004D0FC0">
              <w:rPr>
                <w:b/>
                <w:bCs/>
                <w:i/>
                <w:iCs/>
              </w:rPr>
              <w: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bCs/>
                <w:i/>
                <w:iCs/>
              </w:rPr>
              <w:t>– Verbesserung der</w:t>
            </w:r>
            <w:r w:rsidRPr="004D0FC0">
              <w:t xml:space="preserve"> Integration zwischen Erhebungen und anderen Datenquellen</w:t>
            </w:r>
            <w:r w:rsidRPr="004D0FC0">
              <w:rPr>
                <w:b/>
                <w:bCs/>
                <w:i/>
                <w:iCs/>
              </w:rPr>
              <w:t>;</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bCs/>
                <w:i/>
                <w:iCs/>
              </w:rPr>
              <w:t>– Verringerung des Aufwands</w:t>
            </w:r>
            <w:r w:rsidRPr="004D0FC0">
              <w:t xml:space="preserve"> für die Auskunftspersonen </w:t>
            </w:r>
            <w:r w:rsidRPr="004D0FC0">
              <w:rPr>
                <w:b/>
                <w:bCs/>
                <w:i/>
                <w:iCs/>
              </w:rPr>
              <w:t>zu verringern;</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rPr>
                <w:b/>
                <w:i/>
              </w:rPr>
              <w:t>– die Kosteneffizienz der Datenerhebung zu verbessern</w:t>
            </w:r>
            <w:r w:rsidRPr="004D0FC0">
              <w:t>.</w:t>
            </w:r>
            <w:r w:rsidRPr="004D0FC0">
              <w:t> </w:t>
            </w:r>
          </w:p>
        </w:tc>
      </w:tr>
      <w:tr w:rsidR="00796A4B" w:rsidRPr="004D0FC0" w:rsidTr="00351294">
        <w:trPr>
          <w:jc w:val="center"/>
        </w:trPr>
        <w:tc>
          <w:tcPr>
            <w:tcW w:w="4876" w:type="dxa"/>
          </w:tcPr>
          <w:p w:rsidR="00351294" w:rsidRPr="004D0FC0" w:rsidRDefault="00351294">
            <w:pPr>
              <w:pStyle w:val="Normal6a"/>
            </w:pPr>
          </w:p>
        </w:tc>
        <w:tc>
          <w:tcPr>
            <w:tcW w:w="4876" w:type="dxa"/>
            <w:hideMark/>
          </w:tcPr>
          <w:p w:rsidR="00351294" w:rsidRPr="004D0FC0" w:rsidRDefault="00B801A5">
            <w:pPr>
              <w:pStyle w:val="Normal6a"/>
            </w:pPr>
            <w:r w:rsidRPr="004D0FC0">
              <w:t>Bei den Studien werden die technologischen und digitalen Entwicklu</w:t>
            </w:r>
            <w:r w:rsidRPr="004D0FC0">
              <w:t>ngen berücksichtigt</w:t>
            </w:r>
            <w:r w:rsidRPr="004D0FC0">
              <w:rPr>
                <w:b/>
                <w:bCs/>
                <w:i/>
                <w:iCs/>
              </w:rPr>
              <w:t>, soweit möglich und angemessen</w:t>
            </w:r>
            <w:r w:rsidRPr="004D0FC0">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69</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Monica Semedo</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9 – Absatz 1</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(1)</w:t>
            </w:r>
            <w:r w:rsidRPr="004D0FC0">
              <w:tab/>
              <w:t>Die Kommission (Eurostat) kann Durchführbarkeits- und Pilotstudien in die Wege leiten, um die unternehmensbezogenen Arbeitsmarktstatistiken zu verbessern oder den Aufwa</w:t>
            </w:r>
            <w:r w:rsidRPr="004D0FC0">
              <w:t>nd für die Unternehmen zu begrenzen. Ziel solcher Studien ist es unter anderem, die Qualität und Vergleichbarkeit zu verbessern, neue Möglichkeiten zu erforschen und neue Funktionen einzuführen, um den Anforderungen der Nutzer gerecht zu werden, die Integr</w:t>
            </w:r>
            <w:r w:rsidRPr="004D0FC0">
              <w:t>ation zwischen Erhebungen und anderen Datenquellen zu verbessern und den Aufwand für die Auskunftspersonen zu verringern. Bei den Studien werden die technologischen und digitalen Entwicklungen berücksichtigt.</w:t>
            </w:r>
          </w:p>
        </w:tc>
        <w:tc>
          <w:tcPr>
            <w:tcW w:w="4876" w:type="dxa"/>
            <w:hideMark/>
          </w:tcPr>
          <w:p w:rsidR="00351294" w:rsidRPr="004D0FC0" w:rsidRDefault="00B801A5">
            <w:pPr>
              <w:pStyle w:val="Normal6a"/>
            </w:pPr>
            <w:r w:rsidRPr="004D0FC0">
              <w:t>(1)</w:t>
            </w:r>
            <w:r w:rsidRPr="004D0FC0">
              <w:tab/>
              <w:t>Die Kommission (Eurostat) kann Durchführbar</w:t>
            </w:r>
            <w:r w:rsidRPr="004D0FC0">
              <w:t xml:space="preserve">keits- und Pilotstudien in die Wege leiten, um die unternehmensbezogenen Arbeitsmarktstatistiken zu verbessern oder den </w:t>
            </w:r>
            <w:r w:rsidRPr="004D0FC0">
              <w:rPr>
                <w:b/>
                <w:bCs/>
                <w:i/>
                <w:iCs/>
              </w:rPr>
              <w:t>Verwaltungsaufwand und den finanziellen</w:t>
            </w:r>
            <w:r w:rsidRPr="004D0FC0">
              <w:t xml:space="preserve"> Aufwand für die Unternehmen</w:t>
            </w:r>
            <w:r w:rsidRPr="004D0FC0">
              <w:rPr>
                <w:b/>
                <w:bCs/>
                <w:i/>
                <w:iCs/>
              </w:rPr>
              <w:t>, insbesondere für KMU und Kleinstunternehmen,</w:t>
            </w:r>
            <w:r w:rsidRPr="004D0FC0">
              <w:t xml:space="preserve"> zu begrenzen. Ziel sol</w:t>
            </w:r>
            <w:r w:rsidRPr="004D0FC0">
              <w:t>cher Studien ist es unter anderem, die Qualität und Vergleichbarkeit zu verbessern, neue Möglichkeiten zu erforschen und neue Funktionen einzuführen, um den Anforderungen der Nutzer gerecht zu werden, die Integration zwischen Erhebungen und anderen Datenqu</w:t>
            </w:r>
            <w:r w:rsidRPr="004D0FC0">
              <w:t>ellen zu verbessern und den Aufwand für die Auskunftspersonen zu verringern. Bei den Studien werden die technologischen und digitalen Entwicklungen berücksichtigt.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70</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9 – Absatz 3</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(3)</w:t>
            </w:r>
            <w:r w:rsidRPr="004D0FC0">
              <w:tab/>
              <w:t>Die Ergebnisse dieser Studien werden von der Kommi</w:t>
            </w:r>
            <w:r w:rsidRPr="004D0FC0">
              <w:t>ssion (Eurostat) in Zusammenarbeit mit den Mitgliedstaaten und den wichtigsten Interessenträgern bewertet. Die Kommission (Eurostat) erstellt in Zusammenarbeit mit den Mitgliedstaaten Berichte über die Ergebnisse dieser Studien.</w:t>
            </w:r>
          </w:p>
        </w:tc>
        <w:tc>
          <w:tcPr>
            <w:tcW w:w="4876" w:type="dxa"/>
            <w:hideMark/>
          </w:tcPr>
          <w:p w:rsidR="00351294" w:rsidRPr="004D0FC0" w:rsidRDefault="00B801A5">
            <w:pPr>
              <w:pStyle w:val="Normal6a"/>
            </w:pPr>
            <w:r w:rsidRPr="004D0FC0">
              <w:t>(3)</w:t>
            </w:r>
            <w:r w:rsidRPr="004D0FC0">
              <w:tab/>
              <w:t xml:space="preserve">Die Ergebnisse dieser </w:t>
            </w:r>
            <w:r w:rsidRPr="004D0FC0">
              <w:t>Studien werden von der Kommission (Eurostat) in Zusammenarbeit mit den Mitgliedstaaten und den wichtigsten Interessenträgern bewertet. Die Kommission (Eurostat) erstellt in Zusammenarbeit mit den Mitgliedstaaten Berichte über die Ergebnisse dieser Studien.</w:t>
            </w:r>
            <w:r w:rsidRPr="004D0FC0">
              <w:t xml:space="preserve"> </w:t>
            </w:r>
            <w:r w:rsidRPr="004D0FC0">
              <w:rPr>
                <w:b/>
                <w:i/>
              </w:rPr>
              <w:t>Die Berichte werden öffentlich zugänglich gemacht.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71</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w:t>
      </w:r>
      <w:r w:rsidRPr="004D0FC0">
        <w:rPr>
          <w:rStyle w:val="HideTWBExt"/>
        </w:rPr>
        <w:t>rticle&gt;</w:t>
      </w:r>
      <w:r w:rsidRPr="004D0FC0">
        <w:t>Artikel 9 – Absatz 3</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(3)</w:t>
            </w:r>
            <w:r w:rsidRPr="004D0FC0">
              <w:tab/>
              <w:t xml:space="preserve">Die Ergebnisse dieser Studien werden von der Kommission (Eurostat) in Zusammenarbeit mit den Mitgliedstaaten und den wichtigsten Interessenträgern bewertet. Die </w:t>
            </w:r>
            <w:r w:rsidRPr="004D0FC0">
              <w:t>Kommission (Eurostat) erstellt in Zusammenarbeit mit den Mitgliedstaaten Berichte über die Ergebnisse dieser Studien.</w:t>
            </w:r>
          </w:p>
        </w:tc>
        <w:tc>
          <w:tcPr>
            <w:tcW w:w="4876" w:type="dxa"/>
            <w:hideMark/>
          </w:tcPr>
          <w:p w:rsidR="00351294" w:rsidRPr="004D0FC0" w:rsidRDefault="00B801A5">
            <w:pPr>
              <w:pStyle w:val="Normal6a"/>
            </w:pPr>
            <w:r w:rsidRPr="004D0FC0">
              <w:t>(3)</w:t>
            </w:r>
            <w:r w:rsidRPr="004D0FC0">
              <w:tab/>
              <w:t>Die Ergebnisse dieser Studien werden von der Kommission (Eurostat) in Zusammenarbeit mit den Mitgliedstaaten und den wichtigsten Inter</w:t>
            </w:r>
            <w:r w:rsidRPr="004D0FC0">
              <w:t>essenträgern</w:t>
            </w:r>
            <w:r w:rsidRPr="004D0FC0">
              <w:rPr>
                <w:b/>
                <w:bCs/>
                <w:i/>
                <w:iCs/>
              </w:rPr>
              <w:t>, einschließlich der Sozialpartner,</w:t>
            </w:r>
            <w:r w:rsidRPr="004D0FC0">
              <w:t xml:space="preserve"> bewertet. Die Kommission (Eurostat) erstellt in Zusammenarbeit mit den Mitgliedstaaten Berichte über die Ergebnisse dieser Studien.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72</w:t>
      </w:r>
      <w:r w:rsidRPr="004D0FC0">
        <w:rPr>
          <w:rStyle w:val="HideTWBExt"/>
        </w:rPr>
        <w:t>&lt;</w:t>
      </w:r>
      <w:r w:rsidRPr="004D0FC0">
        <w:rPr>
          <w:rStyle w:val="HideTWBExt"/>
        </w:rPr>
        <w:t>/NumAm&gt;</w:t>
      </w:r>
    </w:p>
    <w:p w:rsidR="00351294" w:rsidRPr="004D0FC0" w:rsidRDefault="00B801A5" w:rsidP="00351294">
      <w:pPr>
        <w:pStyle w:val="NormalBold"/>
      </w:pPr>
      <w:r w:rsidRPr="004D0FC0">
        <w:rPr>
          <w:rStyle w:val="HideTWBExt"/>
        </w:rPr>
        <w:t>&lt;RepeatBlock-By&gt;&lt;Members&gt;</w:t>
      </w:r>
      <w:r w:rsidRPr="004D0FC0">
        <w:t>Markus 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10 – Absatz 2</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(2)</w:t>
            </w:r>
            <w:r w:rsidRPr="004D0FC0">
              <w:tab/>
            </w:r>
            <w:r w:rsidRPr="004D0FC0">
              <w:t xml:space="preserve">Die finanzielle Beteiligung der Union darf </w:t>
            </w:r>
            <w:r w:rsidRPr="004D0FC0">
              <w:rPr>
                <w:b/>
                <w:i/>
              </w:rPr>
              <w:t>90 %</w:t>
            </w:r>
            <w:r w:rsidRPr="004D0FC0">
              <w:t xml:space="preserve"> der förderfähigen Kosten nicht überschreiten.</w:t>
            </w:r>
          </w:p>
        </w:tc>
        <w:tc>
          <w:tcPr>
            <w:tcW w:w="4876" w:type="dxa"/>
            <w:hideMark/>
          </w:tcPr>
          <w:p w:rsidR="00351294" w:rsidRPr="004D0FC0" w:rsidRDefault="00B801A5">
            <w:pPr>
              <w:pStyle w:val="Normal6a"/>
            </w:pPr>
            <w:r w:rsidRPr="004D0FC0">
              <w:t>(2)</w:t>
            </w:r>
            <w:r w:rsidRPr="004D0FC0">
              <w:tab/>
              <w:t xml:space="preserve">Die finanzielle Beteiligung der Union darf </w:t>
            </w:r>
            <w:r w:rsidRPr="004D0FC0">
              <w:rPr>
                <w:b/>
                <w:i/>
              </w:rPr>
              <w:t>75 %</w:t>
            </w:r>
            <w:r w:rsidRPr="004D0FC0">
              <w:t xml:space="preserve"> der förderfähigen Kosten nicht überschreiten.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w:t>
      </w:r>
      <w:r w:rsidRPr="004D0FC0">
        <w:rPr>
          <w:rStyle w:val="HideTWBExt"/>
        </w:rPr>
        <w:t>t&gt;</w:t>
      </w:r>
    </w:p>
    <w:p w:rsidR="00351294" w:rsidRPr="004D0FC0" w:rsidRDefault="00B801A5" w:rsidP="00351294">
      <w:pPr>
        <w:pStyle w:val="AmJustText"/>
      </w:pPr>
      <w:r w:rsidRPr="004D0FC0">
        <w:t>Um sicherzustellen, dass die nationalen statistischen Ämter sich wirklich bemühen, sollte der aus dem EU-Haushalt bereitgestellte Beitrag nicht zu hoch angesetzt werden.</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73</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 xml:space="preserve">Markus </w:t>
      </w:r>
      <w:r w:rsidRPr="004D0FC0">
        <w:t>Ferber</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12 – Absatz 1 – Unterabsatz 1</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Erfordert die Anwendung dieser Verordnung oder der gemäß dieser Veror</w:t>
            </w:r>
            <w:r w:rsidRPr="004D0FC0">
              <w:t>dnung erlassenen delegierten Rechtsakte oder Durchführungsrechtsakte größere Änderungen des nationalen statistischen Systems eines Mitgliedstaats, so kann die Kommission dem Mitgliedstaat im Wege von Durchführungsrechtsakten Ausnahmeregelungen für eine Höc</w:t>
            </w:r>
            <w:r w:rsidRPr="004D0FC0">
              <w:t xml:space="preserve">hstdauer von </w:t>
            </w:r>
            <w:r w:rsidRPr="004D0FC0">
              <w:rPr>
                <w:b/>
                <w:bCs/>
                <w:i/>
                <w:iCs/>
              </w:rPr>
              <w:t>zwei Jahren</w:t>
            </w:r>
            <w:r w:rsidRPr="004D0FC0">
              <w:t xml:space="preserve"> gewähren. Diese Durchführungsrechtsakte werden nach dem Prüfverfahren gemäß Artikel 14 Absatz 2 erlassen.</w:t>
            </w:r>
          </w:p>
        </w:tc>
        <w:tc>
          <w:tcPr>
            <w:tcW w:w="4876" w:type="dxa"/>
            <w:hideMark/>
          </w:tcPr>
          <w:p w:rsidR="00351294" w:rsidRPr="004D0FC0" w:rsidRDefault="00B801A5">
            <w:pPr>
              <w:pStyle w:val="Normal6a"/>
            </w:pPr>
            <w:r w:rsidRPr="004D0FC0">
              <w:t>Erfordert die Anwendung dieser Verordnung oder der gemäß dieser Verordnung erlassenen delegierten Rechtsakte oder Durchführun</w:t>
            </w:r>
            <w:r w:rsidRPr="004D0FC0">
              <w:t xml:space="preserve">gsrechtsakte größere Änderungen des nationalen statistischen Systems eines Mitgliedstaats, so kann die Kommission dem Mitgliedstaat im Wege von Durchführungsrechtsakten </w:t>
            </w:r>
            <w:r w:rsidRPr="004D0FC0">
              <w:rPr>
                <w:b/>
                <w:bCs/>
                <w:i/>
                <w:iCs/>
              </w:rPr>
              <w:t>hinreichend begründete</w:t>
            </w:r>
            <w:r w:rsidRPr="004D0FC0">
              <w:rPr>
                <w:b/>
                <w:bCs/>
              </w:rPr>
              <w:t xml:space="preserve"> </w:t>
            </w:r>
            <w:r w:rsidRPr="004D0FC0">
              <w:t xml:space="preserve">Ausnahmeregelungen für eine Höchstdauer von </w:t>
            </w:r>
            <w:r w:rsidRPr="004D0FC0">
              <w:rPr>
                <w:b/>
                <w:bCs/>
                <w:i/>
                <w:iCs/>
              </w:rPr>
              <w:t>einem Jahr</w:t>
            </w:r>
            <w:r w:rsidRPr="004D0FC0">
              <w:t xml:space="preserve"> gewähren.</w:t>
            </w:r>
            <w:r w:rsidRPr="004D0FC0">
              <w:t xml:space="preserve"> Diese Durchführungsrechtsakte werden nach dem Prüfverfahren gemäß Artikel 14 Absatz 2 erlassen.</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pStyle w:val="AmJustTitle"/>
      </w:pPr>
      <w:r w:rsidRPr="004D0FC0">
        <w:rPr>
          <w:rStyle w:val="HideTWBExt"/>
        </w:rPr>
        <w:t>&lt;TitreJust&gt;</w:t>
      </w:r>
      <w:r w:rsidRPr="004D0FC0">
        <w:t>Begründung</w:t>
      </w:r>
      <w:r w:rsidRPr="004D0FC0">
        <w:rPr>
          <w:rStyle w:val="HideTWBExt"/>
        </w:rPr>
        <w:t>&lt;/TitreJust&gt;</w:t>
      </w:r>
    </w:p>
    <w:p w:rsidR="00351294" w:rsidRPr="004D0FC0" w:rsidRDefault="00B801A5" w:rsidP="00351294">
      <w:pPr>
        <w:pStyle w:val="AmJustText"/>
      </w:pPr>
      <w:r w:rsidRPr="004D0FC0">
        <w:t>Ausnahmen von der Anwendung dieser Verordnung sollten hinreichend begründet sein und auf das</w:t>
      </w:r>
      <w:r w:rsidRPr="004D0FC0">
        <w:t xml:space="preserve"> geringstmögliche Maß beschränkt werden. Für die Behebung aller bestehenden Probleme sollte ein Jahr ausreichen.</w:t>
      </w:r>
    </w:p>
    <w:p w:rsidR="00351294" w:rsidRPr="004D0FC0" w:rsidRDefault="00B801A5" w:rsidP="00351294">
      <w:r w:rsidRPr="004D0FC0">
        <w:rPr>
          <w:rStyle w:val="HideTWBExt"/>
        </w:rPr>
        <w:t>&lt;/Amend&gt;</w:t>
      </w:r>
    </w:p>
    <w:p w:rsidR="00351294" w:rsidRPr="004D0FC0" w:rsidRDefault="00B801A5" w:rsidP="00351294">
      <w:pPr>
        <w:pStyle w:val="AmNumberTabs"/>
      </w:pPr>
      <w:r w:rsidRPr="004D0FC0">
        <w:rPr>
          <w:rStyle w:val="HideTWBExt"/>
        </w:rPr>
        <w:t>&lt;Amend&gt;</w:t>
      </w:r>
      <w:r w:rsidRPr="004D0FC0">
        <w:t>Änderungsantrag</w:t>
      </w:r>
      <w:r w:rsidRPr="004D0FC0">
        <w:tab/>
      </w:r>
      <w:r w:rsidRPr="004D0FC0">
        <w:tab/>
      </w:r>
      <w:r w:rsidRPr="004D0FC0">
        <w:rPr>
          <w:rStyle w:val="HideTWBExt"/>
        </w:rPr>
        <w:t>&lt;NumAm&gt;</w:t>
      </w:r>
      <w:r w:rsidRPr="004D0FC0">
        <w:t>74</w:t>
      </w:r>
      <w:r w:rsidRPr="004D0FC0">
        <w:rPr>
          <w:rStyle w:val="HideTWBExt"/>
        </w:rPr>
        <w:t>&lt;/NumAm&gt;</w:t>
      </w:r>
    </w:p>
    <w:p w:rsidR="00351294" w:rsidRPr="004D0FC0" w:rsidRDefault="00B801A5" w:rsidP="00351294">
      <w:pPr>
        <w:pStyle w:val="NormalBold"/>
      </w:pPr>
      <w:r w:rsidRPr="004D0FC0">
        <w:rPr>
          <w:rStyle w:val="HideTWBExt"/>
        </w:rPr>
        <w:t>&lt;RepeatBlock-By&gt;&lt;Members&gt;</w:t>
      </w:r>
      <w:r w:rsidRPr="004D0FC0">
        <w:t>Michael Kauch</w:t>
      </w:r>
      <w:r w:rsidRPr="004D0FC0">
        <w:rPr>
          <w:rStyle w:val="HideTWBExt"/>
        </w:rPr>
        <w:t>&lt;/Members&gt;</w:t>
      </w:r>
    </w:p>
    <w:p w:rsidR="00351294" w:rsidRPr="004D0FC0" w:rsidRDefault="00B801A5" w:rsidP="00351294">
      <w:pPr>
        <w:pStyle w:val="NormalBold"/>
      </w:pPr>
      <w:r w:rsidRPr="004D0FC0">
        <w:rPr>
          <w:rStyle w:val="HideTWBExt"/>
        </w:rPr>
        <w:t>&lt;/RepeatBlock-By&gt;</w:t>
      </w:r>
    </w:p>
    <w:p w:rsidR="00351294" w:rsidRPr="004D0FC0" w:rsidRDefault="00B801A5" w:rsidP="00351294">
      <w:pPr>
        <w:pStyle w:val="NormalBold"/>
      </w:pPr>
      <w:r w:rsidRPr="004D0FC0">
        <w:rPr>
          <w:rStyle w:val="HideTWBExt"/>
        </w:rPr>
        <w:t>&lt;DocAmend&gt;</w:t>
      </w:r>
      <w:r w:rsidRPr="004D0FC0">
        <w:t>Vorschlag für e</w:t>
      </w:r>
      <w:r w:rsidRPr="004D0FC0">
        <w:t>ine Verordnung</w:t>
      </w:r>
      <w:r w:rsidRPr="004D0FC0">
        <w:rPr>
          <w:rStyle w:val="HideTWBExt"/>
        </w:rPr>
        <w:t>&lt;/DocAmend&gt;</w:t>
      </w:r>
    </w:p>
    <w:p w:rsidR="00351294" w:rsidRPr="004D0FC0" w:rsidRDefault="00B801A5" w:rsidP="00351294">
      <w:pPr>
        <w:pStyle w:val="NormalBold"/>
      </w:pPr>
      <w:r w:rsidRPr="004D0FC0">
        <w:rPr>
          <w:rStyle w:val="HideTWBExt"/>
        </w:rPr>
        <w:t>&lt;Article&gt;</w:t>
      </w:r>
      <w:r w:rsidRPr="004D0FC0">
        <w:t>Artikel 13 – Absatz 4</w:t>
      </w:r>
      <w:r w:rsidRPr="004D0FC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6A4B" w:rsidRPr="004D0FC0" w:rsidTr="00351294">
        <w:trPr>
          <w:trHeight w:val="240"/>
          <w:jc w:val="center"/>
        </w:trPr>
        <w:tc>
          <w:tcPr>
            <w:tcW w:w="9752" w:type="dxa"/>
            <w:gridSpan w:val="2"/>
          </w:tcPr>
          <w:p w:rsidR="00351294" w:rsidRPr="004D0FC0" w:rsidRDefault="00351294"/>
        </w:tc>
      </w:tr>
      <w:tr w:rsidR="00796A4B" w:rsidRPr="004D0FC0" w:rsidTr="00351294">
        <w:trPr>
          <w:trHeight w:val="240"/>
          <w:jc w:val="center"/>
        </w:trPr>
        <w:tc>
          <w:tcPr>
            <w:tcW w:w="4876" w:type="dxa"/>
            <w:hideMark/>
          </w:tcPr>
          <w:p w:rsidR="00351294" w:rsidRPr="004D0FC0" w:rsidRDefault="00B801A5">
            <w:pPr>
              <w:pStyle w:val="AmColumnHeading"/>
            </w:pPr>
            <w:r w:rsidRPr="004D0FC0">
              <w:t>Vorschlag der Kommission</w:t>
            </w:r>
          </w:p>
        </w:tc>
        <w:tc>
          <w:tcPr>
            <w:tcW w:w="4876" w:type="dxa"/>
            <w:hideMark/>
          </w:tcPr>
          <w:p w:rsidR="00351294" w:rsidRPr="004D0FC0" w:rsidRDefault="00B801A5">
            <w:pPr>
              <w:pStyle w:val="AmColumnHeading"/>
            </w:pPr>
            <w:r w:rsidRPr="004D0FC0">
              <w:t>Geänderter Text</w:t>
            </w:r>
          </w:p>
        </w:tc>
      </w:tr>
      <w:tr w:rsidR="00796A4B" w:rsidRPr="004D0FC0" w:rsidTr="00351294">
        <w:trPr>
          <w:jc w:val="center"/>
        </w:trPr>
        <w:tc>
          <w:tcPr>
            <w:tcW w:w="4876" w:type="dxa"/>
            <w:hideMark/>
          </w:tcPr>
          <w:p w:rsidR="00351294" w:rsidRPr="004D0FC0" w:rsidRDefault="00B801A5">
            <w:pPr>
              <w:pStyle w:val="Normal6a"/>
            </w:pPr>
            <w:r w:rsidRPr="004D0FC0">
              <w:t>(4)</w:t>
            </w:r>
            <w:r w:rsidRPr="004D0FC0">
              <w:tab/>
              <w:t xml:space="preserve">Vor dem Erlass eines delegierten Rechtsakts konsultiert die Kommission die von den einzelnen Mitgliedstaaten benannten Sachverständigen im </w:t>
            </w:r>
            <w:r w:rsidRPr="004D0FC0">
              <w:t>Einklang mit den in der Interinstitutionellen Vereinbarung vom 13. April 2016 über bessere Rechtsetzung enthaltenen Grundsätzen.</w:t>
            </w:r>
          </w:p>
        </w:tc>
        <w:tc>
          <w:tcPr>
            <w:tcW w:w="4876" w:type="dxa"/>
            <w:hideMark/>
          </w:tcPr>
          <w:p w:rsidR="00351294" w:rsidRPr="004D0FC0" w:rsidRDefault="00B801A5">
            <w:pPr>
              <w:pStyle w:val="Normal6a"/>
            </w:pPr>
            <w:r w:rsidRPr="004D0FC0">
              <w:t>(4)</w:t>
            </w:r>
            <w:r w:rsidRPr="004D0FC0">
              <w:tab/>
              <w:t>Vor dem Erlass eines delegierten Rechtsakts konsultiert die Kommission die von den einzelnen Mitgliedstaaten benannten Sach</w:t>
            </w:r>
            <w:r w:rsidRPr="004D0FC0">
              <w:t>verständigen, im Einklang mit den in der Interinstitutionellen Vereinbarung vom 13. April 2016 über bessere Rechtsetzung enthaltenen Grundsätzen</w:t>
            </w:r>
            <w:r w:rsidRPr="004D0FC0">
              <w:rPr>
                <w:b/>
                <w:bCs/>
                <w:i/>
                <w:iCs/>
              </w:rPr>
              <w:t>, sowie die Sozialpartner</w:t>
            </w:r>
            <w:r w:rsidRPr="004D0FC0">
              <w:t>.</w:t>
            </w:r>
          </w:p>
        </w:tc>
      </w:tr>
    </w:tbl>
    <w:p w:rsidR="00351294" w:rsidRPr="004D0FC0" w:rsidRDefault="00B801A5" w:rsidP="00351294">
      <w:pPr>
        <w:pStyle w:val="AmOrLang"/>
        <w:rPr>
          <w:lang w:eastAsia="en-US"/>
        </w:rPr>
      </w:pPr>
      <w:r w:rsidRPr="004D0FC0">
        <w:t xml:space="preserve">Or. </w:t>
      </w:r>
      <w:r w:rsidRPr="004D0FC0">
        <w:rPr>
          <w:rStyle w:val="HideTWBExt"/>
        </w:rPr>
        <w:t>&lt;Original&gt;</w:t>
      </w:r>
      <w:r w:rsidRPr="004D0FC0">
        <w:rPr>
          <w:rStyle w:val="HideTWBInt"/>
        </w:rPr>
        <w:t>{EN}</w:t>
      </w:r>
      <w:r w:rsidRPr="004D0FC0">
        <w:t>en</w:t>
      </w:r>
      <w:r w:rsidRPr="004D0FC0">
        <w:rPr>
          <w:rStyle w:val="HideTWBExt"/>
        </w:rPr>
        <w:t>&lt;/Original&gt;</w:t>
      </w:r>
    </w:p>
    <w:p w:rsidR="00351294" w:rsidRPr="004D0FC0" w:rsidRDefault="00B801A5" w:rsidP="00351294">
      <w:pPr>
        <w:rPr>
          <w:rStyle w:val="HideTWBExt"/>
          <w:rFonts w:ascii="Times New Roman" w:hAnsi="Times New Roman"/>
          <w:noProof w:val="0"/>
          <w:vanish w:val="0"/>
          <w:color w:val="auto"/>
          <w:sz w:val="24"/>
        </w:rPr>
      </w:pPr>
      <w:r w:rsidRPr="004D0FC0">
        <w:rPr>
          <w:rStyle w:val="HideTWBExt"/>
        </w:rPr>
        <w:t>&lt;/Amend&gt;</w:t>
      </w:r>
    </w:p>
    <w:p w:rsidR="003E43AC" w:rsidRPr="004D0FC0" w:rsidRDefault="00B801A5" w:rsidP="00A907EE">
      <w:pPr>
        <w:pStyle w:val="AmNumberTabs"/>
        <w:keepNext/>
      </w:pPr>
      <w:r w:rsidRPr="004D0FC0">
        <w:rPr>
          <w:rStyle w:val="HideTWBExt"/>
          <w:b w:val="0"/>
        </w:rPr>
        <w:t>&lt;Amend&gt;</w:t>
      </w:r>
      <w:r w:rsidRPr="004D0FC0">
        <w:t>Änderungsantrag</w:t>
      </w:r>
      <w:r w:rsidRPr="004D0FC0">
        <w:tab/>
      </w:r>
      <w:r w:rsidRPr="004D0FC0">
        <w:tab/>
      </w:r>
      <w:r w:rsidRPr="004D0FC0">
        <w:rPr>
          <w:rStyle w:val="HideTWBExt"/>
          <w:b w:val="0"/>
        </w:rPr>
        <w:t>&lt;NumAm&gt;</w:t>
      </w:r>
      <w:r w:rsidRPr="004D0FC0">
        <w:t>75</w:t>
      </w:r>
      <w:r w:rsidRPr="004D0FC0">
        <w:rPr>
          <w:rStyle w:val="HideTWBExt"/>
          <w:b w:val="0"/>
        </w:rPr>
        <w:t>&lt;/NumAm&gt;</w:t>
      </w:r>
    </w:p>
    <w:p w:rsidR="005B32E3" w:rsidRPr="004D0FC0" w:rsidRDefault="00B801A5" w:rsidP="005B32E3">
      <w:pPr>
        <w:pStyle w:val="NormalBold"/>
      </w:pPr>
      <w:r w:rsidRPr="004D0FC0">
        <w:rPr>
          <w:rStyle w:val="HideTWBExt"/>
          <w:b w:val="0"/>
        </w:rPr>
        <w:t>&lt;RepeatBlock-By&gt;&lt;Members&gt;</w:t>
      </w:r>
      <w:r w:rsidRPr="004D0FC0">
        <w:t>Markus Ferber</w:t>
      </w:r>
      <w:r w:rsidRPr="004D0FC0">
        <w:rPr>
          <w:rStyle w:val="HideTWBExt"/>
          <w:b w:val="0"/>
        </w:rPr>
        <w:t>&lt;/Members&gt;</w:t>
      </w:r>
    </w:p>
    <w:p w:rsidR="005B32E3" w:rsidRPr="004D0FC0" w:rsidRDefault="00B801A5" w:rsidP="005B32E3">
      <w:r w:rsidRPr="004D0FC0">
        <w:rPr>
          <w:rStyle w:val="HideTWBExt"/>
        </w:rPr>
        <w:t>&lt;/RepeatBlock-By&gt;</w:t>
      </w:r>
    </w:p>
    <w:p w:rsidR="009B0305" w:rsidRPr="004D0FC0" w:rsidRDefault="00B801A5" w:rsidP="005B32E3">
      <w:pPr>
        <w:pStyle w:val="NormalBold"/>
      </w:pPr>
      <w:r w:rsidRPr="004D0FC0">
        <w:rPr>
          <w:rStyle w:val="HideTWBExt"/>
          <w:b w:val="0"/>
        </w:rPr>
        <w:t>&lt;DocAmend&gt;</w:t>
      </w:r>
      <w:r w:rsidRPr="004D0FC0">
        <w:t>Vorschlag für eine Verordnung</w:t>
      </w:r>
      <w:r w:rsidRPr="004D0FC0">
        <w:rPr>
          <w:rStyle w:val="HideTWBExt"/>
          <w:b w:val="0"/>
        </w:rPr>
        <w:t>&lt;/DocAmend&gt;</w:t>
      </w:r>
    </w:p>
    <w:p w:rsidR="009B0305" w:rsidRPr="004D0FC0" w:rsidRDefault="00B801A5" w:rsidP="00A233E9">
      <w:pPr>
        <w:pStyle w:val="NormalBold"/>
        <w:keepNext/>
      </w:pPr>
      <w:r w:rsidRPr="004D0FC0">
        <w:rPr>
          <w:rStyle w:val="HideTWBExt"/>
          <w:b w:val="0"/>
        </w:rPr>
        <w:t>&lt;Article&gt;</w:t>
      </w:r>
      <w:r w:rsidRPr="004D0FC0">
        <w:t xml:space="preserve"> Anhang – Tabelle – Spalte 4 – Zeile 1</w:t>
      </w:r>
      <w:r w:rsidRPr="004D0F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6A4B" w:rsidRPr="004D0FC0">
        <w:trPr>
          <w:jc w:val="center"/>
        </w:trPr>
        <w:tc>
          <w:tcPr>
            <w:tcW w:w="9752" w:type="dxa"/>
            <w:gridSpan w:val="2"/>
          </w:tcPr>
          <w:p w:rsidR="009A65D8" w:rsidRPr="004D0FC0" w:rsidRDefault="009A65D8" w:rsidP="00A233E9">
            <w:pPr>
              <w:keepNext/>
            </w:pPr>
          </w:p>
        </w:tc>
      </w:tr>
      <w:tr w:rsidR="00796A4B" w:rsidRPr="004D0FC0">
        <w:trPr>
          <w:jc w:val="center"/>
        </w:trPr>
        <w:tc>
          <w:tcPr>
            <w:tcW w:w="4876" w:type="dxa"/>
          </w:tcPr>
          <w:p w:rsidR="009A65D8" w:rsidRPr="004D0FC0" w:rsidRDefault="00B801A5" w:rsidP="00A233E9">
            <w:pPr>
              <w:pStyle w:val="AmColumnHeading"/>
              <w:keepNext/>
            </w:pPr>
            <w:r w:rsidRPr="004D0FC0">
              <w:t>Vorschlag der Kommission</w:t>
            </w:r>
          </w:p>
        </w:tc>
        <w:tc>
          <w:tcPr>
            <w:tcW w:w="4876" w:type="dxa"/>
          </w:tcPr>
          <w:p w:rsidR="009A65D8" w:rsidRPr="004D0FC0" w:rsidRDefault="00B801A5" w:rsidP="00A233E9">
            <w:pPr>
              <w:pStyle w:val="AmColumnHeading"/>
              <w:keepNext/>
            </w:pPr>
            <w:r w:rsidRPr="004D0FC0">
              <w:t>Geänderter Text</w:t>
            </w:r>
          </w:p>
        </w:tc>
      </w:tr>
      <w:tr w:rsidR="00796A4B" w:rsidRPr="004D0FC0">
        <w:trPr>
          <w:jc w:val="center"/>
        </w:trPr>
        <w:tc>
          <w:tcPr>
            <w:tcW w:w="4876" w:type="dxa"/>
          </w:tcPr>
          <w:p w:rsidR="009A65D8" w:rsidRPr="004D0FC0" w:rsidRDefault="00B801A5" w:rsidP="00B77A45">
            <w:pPr>
              <w:pStyle w:val="Normal6a"/>
            </w:pPr>
            <w:r w:rsidRPr="004D0FC0">
              <w:rPr>
                <w:b/>
                <w:bCs/>
                <w:i/>
                <w:iCs/>
              </w:rPr>
              <w:t>Vierjährlich</w:t>
            </w:r>
          </w:p>
        </w:tc>
        <w:tc>
          <w:tcPr>
            <w:tcW w:w="4876" w:type="dxa"/>
          </w:tcPr>
          <w:p w:rsidR="009A65D8" w:rsidRPr="004D0FC0" w:rsidRDefault="00B801A5" w:rsidP="00B77A45">
            <w:pPr>
              <w:pStyle w:val="Normal6a"/>
              <w:rPr>
                <w:szCs w:val="24"/>
              </w:rPr>
            </w:pPr>
            <w:r w:rsidRPr="004D0FC0">
              <w:rPr>
                <w:b/>
                <w:bCs/>
                <w:i/>
                <w:iCs/>
              </w:rPr>
              <w:t>Alle sechs Jahre</w:t>
            </w:r>
          </w:p>
        </w:tc>
      </w:tr>
    </w:tbl>
    <w:p w:rsidR="00FA192C" w:rsidRPr="004D0FC0" w:rsidRDefault="00B801A5" w:rsidP="00FA192C">
      <w:pPr>
        <w:pStyle w:val="AmOrLang"/>
      </w:pPr>
      <w:r w:rsidRPr="004D0FC0">
        <w:t xml:space="preserve">Or. </w:t>
      </w:r>
      <w:r w:rsidRPr="004D0FC0">
        <w:rPr>
          <w:rStyle w:val="HideTWBExt"/>
          <w:noProof w:val="0"/>
        </w:rPr>
        <w:t>&lt;Original&gt;</w:t>
      </w:r>
      <w:r w:rsidR="00A907EE" w:rsidRPr="004D0FC0">
        <w:rPr>
          <w:rStyle w:val="HideTWBInt"/>
        </w:rPr>
        <w:t>{EN}</w:t>
      </w:r>
      <w:r w:rsidR="00A907EE" w:rsidRPr="004D0FC0">
        <w:t>en</w:t>
      </w:r>
      <w:r w:rsidRPr="004D0FC0">
        <w:rPr>
          <w:rStyle w:val="HideTWBExt"/>
          <w:noProof w:val="0"/>
        </w:rPr>
        <w:t>&lt;/Original&gt;</w:t>
      </w:r>
    </w:p>
    <w:p w:rsidR="00166CCB" w:rsidRPr="004D0FC0" w:rsidRDefault="00B801A5" w:rsidP="00A5426B">
      <w:r w:rsidRPr="004D0FC0">
        <w:rPr>
          <w:rStyle w:val="HideTWBExt"/>
        </w:rPr>
        <w:t>&lt;/Amend&gt;</w:t>
      </w:r>
      <w:bookmarkEnd w:id="1"/>
    </w:p>
    <w:p w:rsidR="00A907EE" w:rsidRPr="004D0FC0" w:rsidRDefault="00B801A5" w:rsidP="001A747D">
      <w:pPr>
        <w:pStyle w:val="AmNumberTabs"/>
        <w:keepNext/>
      </w:pPr>
      <w:bookmarkStart w:id="2" w:name="EndB"/>
      <w:r w:rsidRPr="004D0FC0">
        <w:rPr>
          <w:rStyle w:val="HideTWBExt"/>
          <w:b w:val="0"/>
        </w:rPr>
        <w:t>&lt;Amend&gt;</w:t>
      </w:r>
      <w:r w:rsidRPr="004D0FC0">
        <w:t>Änderungsantrag</w:t>
      </w:r>
      <w:r w:rsidRPr="004D0FC0">
        <w:tab/>
      </w:r>
      <w:r w:rsidRPr="004D0FC0">
        <w:tab/>
      </w:r>
      <w:r w:rsidRPr="004D0FC0">
        <w:rPr>
          <w:rStyle w:val="HideTWBExt"/>
          <w:b w:val="0"/>
        </w:rPr>
        <w:t>&lt;NumAm&gt;</w:t>
      </w:r>
      <w:r w:rsidRPr="004D0FC0">
        <w:t>76</w:t>
      </w:r>
      <w:r w:rsidRPr="004D0FC0">
        <w:rPr>
          <w:rStyle w:val="HideTWBExt"/>
          <w:b w:val="0"/>
        </w:rPr>
        <w:t>&lt;/NumAm&gt;</w:t>
      </w:r>
    </w:p>
    <w:p w:rsidR="00A907EE" w:rsidRPr="004D0FC0" w:rsidRDefault="00B801A5" w:rsidP="001A747D">
      <w:pPr>
        <w:pStyle w:val="NormalBold"/>
      </w:pPr>
      <w:r w:rsidRPr="004D0FC0">
        <w:rPr>
          <w:rStyle w:val="HideTWBExt"/>
          <w:b w:val="0"/>
        </w:rPr>
        <w:t>&lt;RepeatBlock-By&gt;&lt;Members&gt;</w:t>
      </w:r>
      <w:r w:rsidRPr="004D0FC0">
        <w:t>Markus Ferber</w:t>
      </w:r>
      <w:r w:rsidRPr="004D0FC0">
        <w:rPr>
          <w:rStyle w:val="HideTWBExt"/>
          <w:b w:val="0"/>
        </w:rPr>
        <w:t>&lt;/Members&gt;</w:t>
      </w:r>
    </w:p>
    <w:p w:rsidR="00A907EE" w:rsidRPr="004D0FC0" w:rsidRDefault="00B801A5" w:rsidP="001A747D">
      <w:r w:rsidRPr="004D0FC0">
        <w:rPr>
          <w:rStyle w:val="HideTWBExt"/>
        </w:rPr>
        <w:t>&lt;/RepeatBlock-By&gt;</w:t>
      </w:r>
    </w:p>
    <w:p w:rsidR="00A907EE" w:rsidRPr="004D0FC0" w:rsidRDefault="00B801A5" w:rsidP="001A747D">
      <w:pPr>
        <w:pStyle w:val="NormalBold"/>
      </w:pPr>
      <w:r w:rsidRPr="004D0FC0">
        <w:rPr>
          <w:rStyle w:val="HideTWBExt"/>
          <w:b w:val="0"/>
        </w:rPr>
        <w:t>&lt;DocAmend&gt;</w:t>
      </w:r>
      <w:r w:rsidRPr="004D0FC0">
        <w:t>Vorschlag für eine Verordnung</w:t>
      </w:r>
      <w:r w:rsidRPr="004D0FC0">
        <w:rPr>
          <w:rStyle w:val="HideTWBExt"/>
          <w:b w:val="0"/>
        </w:rPr>
        <w:t>&lt;/DocAmend&gt;</w:t>
      </w:r>
    </w:p>
    <w:p w:rsidR="00A907EE" w:rsidRPr="004D0FC0" w:rsidRDefault="00B801A5" w:rsidP="001A747D">
      <w:pPr>
        <w:pStyle w:val="NormalBold"/>
        <w:keepNext/>
      </w:pPr>
      <w:r w:rsidRPr="004D0FC0">
        <w:rPr>
          <w:rStyle w:val="HideTWBExt"/>
          <w:b w:val="0"/>
        </w:rPr>
        <w:t>&lt;Article&gt;</w:t>
      </w:r>
      <w:r w:rsidRPr="004D0FC0">
        <w:t>Anhang – Tabelle – Spalte 4 – Zeile 8</w:t>
      </w:r>
      <w:r w:rsidRPr="004D0F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6A4B" w:rsidRPr="004D0FC0">
        <w:trPr>
          <w:jc w:val="center"/>
        </w:trPr>
        <w:tc>
          <w:tcPr>
            <w:tcW w:w="9752" w:type="dxa"/>
            <w:gridSpan w:val="2"/>
          </w:tcPr>
          <w:p w:rsidR="00A907EE" w:rsidRPr="004D0FC0" w:rsidRDefault="00A907EE" w:rsidP="00A233E9">
            <w:pPr>
              <w:keepNext/>
            </w:pPr>
          </w:p>
        </w:tc>
      </w:tr>
      <w:tr w:rsidR="00796A4B" w:rsidRPr="004D0FC0">
        <w:trPr>
          <w:jc w:val="center"/>
        </w:trPr>
        <w:tc>
          <w:tcPr>
            <w:tcW w:w="4876" w:type="dxa"/>
          </w:tcPr>
          <w:p w:rsidR="00A907EE" w:rsidRPr="004D0FC0" w:rsidRDefault="00B801A5" w:rsidP="00A233E9">
            <w:pPr>
              <w:pStyle w:val="AmColumnHeading"/>
              <w:keepNext/>
            </w:pPr>
            <w:r w:rsidRPr="004D0FC0">
              <w:t>Vorschlag der Kommission</w:t>
            </w:r>
          </w:p>
        </w:tc>
        <w:tc>
          <w:tcPr>
            <w:tcW w:w="4876" w:type="dxa"/>
          </w:tcPr>
          <w:p w:rsidR="00A907EE" w:rsidRPr="004D0FC0" w:rsidRDefault="00B801A5" w:rsidP="00A233E9">
            <w:pPr>
              <w:pStyle w:val="AmColumnHeading"/>
              <w:keepNext/>
            </w:pPr>
            <w:r w:rsidRPr="004D0FC0">
              <w:t>Geänderter Text</w:t>
            </w:r>
          </w:p>
        </w:tc>
      </w:tr>
      <w:tr w:rsidR="00796A4B" w:rsidRPr="004D0FC0">
        <w:trPr>
          <w:jc w:val="center"/>
        </w:trPr>
        <w:tc>
          <w:tcPr>
            <w:tcW w:w="4876" w:type="dxa"/>
          </w:tcPr>
          <w:p w:rsidR="00A907EE" w:rsidRPr="004D0FC0" w:rsidRDefault="00B801A5" w:rsidP="00B77A45">
            <w:pPr>
              <w:pStyle w:val="Normal6a"/>
            </w:pPr>
            <w:r w:rsidRPr="004D0FC0">
              <w:rPr>
                <w:b/>
                <w:bCs/>
                <w:i/>
                <w:iCs/>
              </w:rPr>
              <w:t>Vierjährlich</w:t>
            </w:r>
          </w:p>
        </w:tc>
        <w:tc>
          <w:tcPr>
            <w:tcW w:w="4876" w:type="dxa"/>
          </w:tcPr>
          <w:p w:rsidR="00A907EE" w:rsidRPr="004D0FC0" w:rsidRDefault="00B801A5" w:rsidP="00B77A45">
            <w:pPr>
              <w:pStyle w:val="Normal6a"/>
              <w:rPr>
                <w:szCs w:val="24"/>
              </w:rPr>
            </w:pPr>
            <w:r w:rsidRPr="004D0FC0">
              <w:rPr>
                <w:b/>
                <w:bCs/>
                <w:i/>
                <w:iCs/>
              </w:rPr>
              <w:t>Alle sechs Jahre</w:t>
            </w:r>
          </w:p>
        </w:tc>
      </w:tr>
    </w:tbl>
    <w:p w:rsidR="00A907EE" w:rsidRPr="004D0FC0" w:rsidRDefault="00B801A5" w:rsidP="001A747D">
      <w:pPr>
        <w:pStyle w:val="AmOrLang"/>
      </w:pPr>
      <w:r w:rsidRPr="004D0FC0">
        <w:t xml:space="preserve">Or. </w:t>
      </w:r>
      <w:r w:rsidRPr="004D0FC0">
        <w:rPr>
          <w:rStyle w:val="HideTWBExt"/>
          <w:rFonts w:eastAsiaTheme="majorEastAsia"/>
        </w:rPr>
        <w:t>&lt;Original&gt;</w:t>
      </w:r>
      <w:r w:rsidRPr="004D0FC0">
        <w:rPr>
          <w:rStyle w:val="HideTWBInt"/>
        </w:rPr>
        <w:t>{EN}</w:t>
      </w:r>
      <w:r w:rsidRPr="004D0FC0">
        <w:t>en</w:t>
      </w:r>
      <w:r w:rsidRPr="004D0FC0">
        <w:rPr>
          <w:rStyle w:val="HideTWBExt"/>
          <w:rFonts w:eastAsiaTheme="majorEastAsia"/>
        </w:rPr>
        <w:t>&lt;/Original&gt;</w:t>
      </w:r>
    </w:p>
    <w:p w:rsidR="00A907EE" w:rsidRPr="004D0FC0" w:rsidRDefault="00B801A5" w:rsidP="001A747D">
      <w:r w:rsidRPr="004D0FC0">
        <w:rPr>
          <w:rStyle w:val="HideTWBExt"/>
        </w:rPr>
        <w:t>&lt;/Amend&gt;</w:t>
      </w:r>
    </w:p>
    <w:p w:rsidR="00A907EE" w:rsidRPr="004D0FC0" w:rsidRDefault="00B801A5" w:rsidP="00A907EE">
      <w:pPr>
        <w:pStyle w:val="AmNumberTabs"/>
        <w:keepNext/>
      </w:pPr>
      <w:r w:rsidRPr="004D0FC0">
        <w:rPr>
          <w:rStyle w:val="HideTWBExt"/>
          <w:b w:val="0"/>
        </w:rPr>
        <w:t>&lt;Amend&gt;</w:t>
      </w:r>
      <w:r w:rsidRPr="004D0FC0">
        <w:t>Änderungsantrag</w:t>
      </w:r>
      <w:r w:rsidRPr="004D0FC0">
        <w:tab/>
      </w:r>
      <w:r w:rsidRPr="004D0FC0">
        <w:tab/>
      </w:r>
      <w:r w:rsidRPr="004D0FC0">
        <w:rPr>
          <w:rStyle w:val="HideTWBExt"/>
          <w:b w:val="0"/>
        </w:rPr>
        <w:t>&lt;NumAm&gt;</w:t>
      </w:r>
      <w:r w:rsidRPr="004D0FC0">
        <w:t>77</w:t>
      </w:r>
      <w:r w:rsidRPr="004D0FC0">
        <w:rPr>
          <w:rStyle w:val="HideTWBExt"/>
          <w:b w:val="0"/>
        </w:rPr>
        <w:t>&lt;/NumAm&gt;</w:t>
      </w:r>
    </w:p>
    <w:p w:rsidR="00A907EE" w:rsidRPr="004D0FC0" w:rsidRDefault="00B801A5" w:rsidP="00A907EE">
      <w:pPr>
        <w:pStyle w:val="NormalBold"/>
      </w:pPr>
      <w:r w:rsidRPr="004D0FC0">
        <w:rPr>
          <w:rStyle w:val="HideTWBExt"/>
          <w:b w:val="0"/>
        </w:rPr>
        <w:t>&lt;RepeatBlock-By&gt;&lt;Members&gt;</w:t>
      </w:r>
      <w:r w:rsidRPr="004D0FC0">
        <w:t>Monica Semedo</w:t>
      </w:r>
      <w:r w:rsidRPr="004D0FC0">
        <w:rPr>
          <w:rStyle w:val="HideTWBExt"/>
          <w:b w:val="0"/>
        </w:rPr>
        <w:t>&lt;/Members&gt;</w:t>
      </w:r>
    </w:p>
    <w:p w:rsidR="00A907EE" w:rsidRPr="004D0FC0" w:rsidRDefault="00B801A5" w:rsidP="00A907EE">
      <w:r w:rsidRPr="004D0FC0">
        <w:rPr>
          <w:rStyle w:val="HideTWBExt"/>
        </w:rPr>
        <w:t>&lt;/RepeatBlock-By&gt;</w:t>
      </w:r>
    </w:p>
    <w:p w:rsidR="00A907EE" w:rsidRPr="004D0FC0" w:rsidRDefault="00B801A5" w:rsidP="00A907EE">
      <w:pPr>
        <w:pStyle w:val="NormalBold"/>
      </w:pPr>
      <w:r w:rsidRPr="004D0FC0">
        <w:rPr>
          <w:rStyle w:val="HideTWBExt"/>
          <w:b w:val="0"/>
        </w:rPr>
        <w:t>&lt;DocAmend&gt;</w:t>
      </w:r>
      <w:r w:rsidRPr="004D0FC0">
        <w:t xml:space="preserve">Vorschlag für eine </w:t>
      </w:r>
      <w:r w:rsidRPr="004D0FC0">
        <w:t>Verordnung</w:t>
      </w:r>
      <w:r w:rsidRPr="004D0FC0">
        <w:rPr>
          <w:rStyle w:val="HideTWBExt"/>
          <w:b w:val="0"/>
        </w:rPr>
        <w:t>&lt;/DocAmend&gt;</w:t>
      </w:r>
    </w:p>
    <w:p w:rsidR="00A907EE" w:rsidRPr="004D0FC0" w:rsidRDefault="00B801A5" w:rsidP="00A907EE">
      <w:pPr>
        <w:pStyle w:val="NormalBold"/>
        <w:keepNext/>
      </w:pPr>
      <w:r w:rsidRPr="004D0FC0">
        <w:rPr>
          <w:rStyle w:val="HideTWBExt"/>
          <w:b w:val="0"/>
        </w:rPr>
        <w:t>&lt;Article&gt;</w:t>
      </w:r>
      <w:r w:rsidRPr="004D0FC0">
        <w:t>Anhang – Tabelle – Spalte 3 – Zeile 3</w:t>
      </w:r>
      <w:r w:rsidRPr="004D0FC0">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96A4B" w:rsidRPr="004D0FC0" w:rsidTr="001A747D">
        <w:trPr>
          <w:jc w:val="center"/>
        </w:trPr>
        <w:tc>
          <w:tcPr>
            <w:tcW w:w="9752" w:type="dxa"/>
            <w:gridSpan w:val="2"/>
          </w:tcPr>
          <w:p w:rsidR="00A907EE" w:rsidRPr="004D0FC0" w:rsidRDefault="00A907EE" w:rsidP="001A747D">
            <w:pPr>
              <w:keepNext/>
            </w:pPr>
          </w:p>
        </w:tc>
      </w:tr>
      <w:tr w:rsidR="00796A4B" w:rsidRPr="004D0FC0" w:rsidTr="001A747D">
        <w:trPr>
          <w:jc w:val="center"/>
        </w:trPr>
        <w:tc>
          <w:tcPr>
            <w:tcW w:w="4876" w:type="dxa"/>
          </w:tcPr>
          <w:p w:rsidR="00A907EE" w:rsidRPr="004D0FC0" w:rsidRDefault="00B801A5" w:rsidP="001A747D">
            <w:pPr>
              <w:pStyle w:val="AmColumnHeading"/>
              <w:keepNext/>
            </w:pPr>
            <w:r w:rsidRPr="004D0FC0">
              <w:t>Vorschlag der Kommission</w:t>
            </w:r>
          </w:p>
        </w:tc>
        <w:tc>
          <w:tcPr>
            <w:tcW w:w="4876" w:type="dxa"/>
          </w:tcPr>
          <w:p w:rsidR="00A907EE" w:rsidRPr="004D0FC0" w:rsidRDefault="00B801A5" w:rsidP="001A747D">
            <w:pPr>
              <w:pStyle w:val="AmColumnHeading"/>
              <w:keepNext/>
            </w:pPr>
            <w:r w:rsidRPr="004D0FC0">
              <w:t>Geänderter Text</w:t>
            </w:r>
          </w:p>
        </w:tc>
      </w:tr>
      <w:tr w:rsidR="00796A4B" w:rsidRPr="004D0FC0" w:rsidTr="001A747D">
        <w:trPr>
          <w:jc w:val="center"/>
        </w:trPr>
        <w:tc>
          <w:tcPr>
            <w:tcW w:w="4876" w:type="dxa"/>
          </w:tcPr>
          <w:p w:rsidR="00A907EE" w:rsidRPr="004D0FC0" w:rsidRDefault="00B801A5" w:rsidP="00A907EE">
            <w:pPr>
              <w:pStyle w:val="ListParagraph"/>
              <w:ind w:left="0"/>
              <w:rPr>
                <w:rFonts w:ascii="Times New Roman" w:hAnsi="Times New Roman" w:cs="Times New Roman"/>
                <w:noProof/>
                <w:sz w:val="24"/>
                <w:szCs w:val="24"/>
              </w:rPr>
            </w:pPr>
            <w:r w:rsidRPr="004D0FC0">
              <w:rPr>
                <w:rFonts w:ascii="Times New Roman" w:hAnsi="Times New Roman"/>
                <w:sz w:val="24"/>
              </w:rPr>
              <w:t>Merkmale des Arbeitnehmers</w:t>
            </w:r>
          </w:p>
          <w:p w:rsidR="00A907EE" w:rsidRPr="004D0FC0" w:rsidRDefault="00B801A5" w:rsidP="00A907EE">
            <w:pPr>
              <w:pStyle w:val="Normal6a"/>
            </w:pPr>
            <w:r w:rsidRPr="004D0FC0">
              <w:rPr>
                <w:i/>
              </w:rPr>
              <w:t>Individuelle demografische, bildungsbezogene, vertragliche und berufliche Informationen über jeden Arbeitn</w:t>
            </w:r>
            <w:r w:rsidRPr="004D0FC0">
              <w:rPr>
                <w:i/>
              </w:rPr>
              <w:t>ehmer in der Stichprobe.</w:t>
            </w:r>
          </w:p>
        </w:tc>
        <w:tc>
          <w:tcPr>
            <w:tcW w:w="4876" w:type="dxa"/>
          </w:tcPr>
          <w:p w:rsidR="00A907EE" w:rsidRPr="004D0FC0" w:rsidRDefault="00B801A5" w:rsidP="00A907EE">
            <w:pPr>
              <w:pStyle w:val="TableParagraph"/>
              <w:spacing w:line="258" w:lineRule="exact"/>
              <w:rPr>
                <w:sz w:val="24"/>
              </w:rPr>
            </w:pPr>
            <w:r w:rsidRPr="004D0FC0">
              <w:rPr>
                <w:sz w:val="24"/>
              </w:rPr>
              <w:t xml:space="preserve">Merkmale des Arbeitnehmers </w:t>
            </w:r>
            <w:r w:rsidRPr="004D0FC0">
              <w:rPr>
                <w:i/>
                <w:iCs/>
                <w:sz w:val="24"/>
              </w:rPr>
              <w:t xml:space="preserve">Individuelle demografische </w:t>
            </w:r>
            <w:r w:rsidRPr="004D0FC0">
              <w:rPr>
                <w:b/>
                <w:bCs/>
                <w:i/>
                <w:iCs/>
                <w:sz w:val="24"/>
              </w:rPr>
              <w:t>und</w:t>
            </w:r>
            <w:r w:rsidRPr="004D0FC0">
              <w:rPr>
                <w:i/>
                <w:iCs/>
                <w:sz w:val="24"/>
              </w:rPr>
              <w:t xml:space="preserve"> </w:t>
            </w:r>
            <w:r w:rsidRPr="004D0FC0">
              <w:rPr>
                <w:b/>
                <w:bCs/>
                <w:i/>
                <w:iCs/>
                <w:sz w:val="24"/>
              </w:rPr>
              <w:t>geografische Informationen, einschließlich der Angabe, ob es sich um einen Wanderarbeitnehmer oder einen Grenzgänger handelt</w:t>
            </w:r>
            <w:r w:rsidRPr="004D0FC0">
              <w:rPr>
                <w:sz w:val="24"/>
              </w:rPr>
              <w:t xml:space="preserve">, </w:t>
            </w:r>
            <w:r w:rsidRPr="004D0FC0">
              <w:rPr>
                <w:b/>
                <w:bCs/>
                <w:i/>
                <w:iCs/>
                <w:sz w:val="24"/>
              </w:rPr>
              <w:t xml:space="preserve">sowie </w:t>
            </w:r>
            <w:r w:rsidRPr="004D0FC0">
              <w:rPr>
                <w:i/>
                <w:iCs/>
                <w:sz w:val="24"/>
              </w:rPr>
              <w:t xml:space="preserve">bildungsbezogene, vertragliche und </w:t>
            </w:r>
            <w:r w:rsidRPr="004D0FC0">
              <w:rPr>
                <w:i/>
                <w:iCs/>
                <w:sz w:val="24"/>
              </w:rPr>
              <w:t>berufliche Informationen über jeden Arbeitnehmer in der Stichprobe.</w:t>
            </w:r>
          </w:p>
        </w:tc>
      </w:tr>
    </w:tbl>
    <w:p w:rsidR="00A907EE" w:rsidRPr="004D0FC0" w:rsidRDefault="00B801A5" w:rsidP="00A907EE">
      <w:pPr>
        <w:pStyle w:val="AmOrLang"/>
      </w:pPr>
      <w:r w:rsidRPr="004D0FC0">
        <w:t xml:space="preserve">Or. </w:t>
      </w:r>
      <w:r w:rsidRPr="004D0FC0">
        <w:rPr>
          <w:rStyle w:val="HideTWBExt"/>
          <w:rFonts w:eastAsiaTheme="majorEastAsia"/>
        </w:rPr>
        <w:t>&lt;Original&gt;</w:t>
      </w:r>
      <w:r w:rsidRPr="004D0FC0">
        <w:rPr>
          <w:rStyle w:val="HideTWBInt"/>
        </w:rPr>
        <w:t>{EN}</w:t>
      </w:r>
      <w:r w:rsidRPr="004D0FC0">
        <w:t>en</w:t>
      </w:r>
      <w:r w:rsidRPr="004D0FC0">
        <w:rPr>
          <w:rStyle w:val="HideTWBExt"/>
          <w:rFonts w:eastAsiaTheme="majorEastAsia"/>
        </w:rPr>
        <w:t>&lt;/Original&gt;</w:t>
      </w:r>
    </w:p>
    <w:p w:rsidR="00A907EE" w:rsidRPr="004D0FC0" w:rsidRDefault="00B801A5" w:rsidP="00A907EE">
      <w:r w:rsidRPr="004D0FC0">
        <w:rPr>
          <w:rStyle w:val="HideTWBExt"/>
        </w:rPr>
        <w:t>&lt;/Amend&gt;</w:t>
      </w:r>
    </w:p>
    <w:p w:rsidR="00A907EE" w:rsidRPr="004D0FC0" w:rsidRDefault="00B801A5" w:rsidP="00A907EE">
      <w:pPr>
        <w:pStyle w:val="AmNumberTabs"/>
        <w:keepNext/>
      </w:pPr>
      <w:r w:rsidRPr="004D0FC0">
        <w:rPr>
          <w:rStyle w:val="HideTWBExt"/>
          <w:b w:val="0"/>
        </w:rPr>
        <w:t>&lt;Amend&gt;</w:t>
      </w:r>
      <w:r w:rsidRPr="004D0FC0">
        <w:t>Änderungsantrag</w:t>
      </w:r>
      <w:r w:rsidRPr="004D0FC0">
        <w:tab/>
      </w:r>
      <w:r w:rsidRPr="004D0FC0">
        <w:tab/>
      </w:r>
      <w:r w:rsidRPr="004D0FC0">
        <w:rPr>
          <w:rStyle w:val="HideTWBExt"/>
          <w:b w:val="0"/>
        </w:rPr>
        <w:t>&lt;NumAm&gt;</w:t>
      </w:r>
      <w:r w:rsidRPr="004D0FC0">
        <w:t>78</w:t>
      </w:r>
      <w:r w:rsidRPr="004D0FC0">
        <w:rPr>
          <w:rStyle w:val="HideTWBExt"/>
          <w:b w:val="0"/>
        </w:rPr>
        <w:t>&lt;/NumAm&gt;</w:t>
      </w:r>
    </w:p>
    <w:p w:rsidR="00A907EE" w:rsidRPr="004D0FC0" w:rsidRDefault="00B801A5" w:rsidP="00A907EE">
      <w:pPr>
        <w:pStyle w:val="NormalBold"/>
      </w:pPr>
      <w:r w:rsidRPr="004D0FC0">
        <w:rPr>
          <w:rStyle w:val="HideTWBExt"/>
          <w:b w:val="0"/>
        </w:rPr>
        <w:t>&lt;RepeatBlock-By&gt;&lt;Members&gt;</w:t>
      </w:r>
      <w:r w:rsidRPr="004D0FC0">
        <w:t>Monica Semedo</w:t>
      </w:r>
      <w:r w:rsidRPr="004D0FC0">
        <w:rPr>
          <w:rStyle w:val="HideTWBExt"/>
          <w:b w:val="0"/>
        </w:rPr>
        <w:t>&lt;/Members&gt;</w:t>
      </w:r>
    </w:p>
    <w:p w:rsidR="00A907EE" w:rsidRPr="004D0FC0" w:rsidRDefault="00B801A5" w:rsidP="00A907EE">
      <w:r w:rsidRPr="004D0FC0">
        <w:rPr>
          <w:rStyle w:val="HideTWBExt"/>
        </w:rPr>
        <w:t>&lt;/RepeatBlock-By&gt;</w:t>
      </w:r>
    </w:p>
    <w:p w:rsidR="00A907EE" w:rsidRPr="004D0FC0" w:rsidRDefault="00B801A5" w:rsidP="00A907EE">
      <w:pPr>
        <w:pStyle w:val="NormalBold"/>
      </w:pPr>
      <w:r w:rsidRPr="004D0FC0">
        <w:rPr>
          <w:rStyle w:val="HideTWBExt"/>
          <w:b w:val="0"/>
        </w:rPr>
        <w:t>&lt;DocAmend&gt;</w:t>
      </w:r>
      <w:r w:rsidRPr="004D0FC0">
        <w:t>Vorschlag für eine Verordnu</w:t>
      </w:r>
      <w:r w:rsidRPr="004D0FC0">
        <w:t>ng</w:t>
      </w:r>
      <w:r w:rsidRPr="004D0FC0">
        <w:rPr>
          <w:rStyle w:val="HideTWBExt"/>
          <w:b w:val="0"/>
        </w:rPr>
        <w:t>&lt;/DocAmend&gt;</w:t>
      </w:r>
    </w:p>
    <w:p w:rsidR="00A907EE" w:rsidRPr="004D0FC0" w:rsidRDefault="00B801A5" w:rsidP="00A907EE">
      <w:pPr>
        <w:pStyle w:val="NormalBold"/>
        <w:keepNext/>
      </w:pPr>
      <w:r w:rsidRPr="004D0FC0">
        <w:rPr>
          <w:rStyle w:val="HideTWBExt"/>
          <w:b w:val="0"/>
        </w:rPr>
        <w:t>&lt;Article&gt;</w:t>
      </w:r>
      <w:r w:rsidRPr="004D0FC0">
        <w:t>Anhang – Tabelle</w:t>
      </w:r>
      <w:r w:rsidRPr="004D0FC0">
        <w:rPr>
          <w:rStyle w:val="HideTWBExt"/>
          <w:b w:val="0"/>
        </w:rPr>
        <w:t>&lt;/Article&gt;</w:t>
      </w:r>
    </w:p>
    <w:tbl>
      <w:tblPr>
        <w:tblW w:w="5625" w:type="pct"/>
        <w:tblInd w:w="-318" w:type="dxa"/>
        <w:tblLook w:val="04A0" w:firstRow="1" w:lastRow="0" w:firstColumn="1" w:lastColumn="0" w:noHBand="0" w:noVBand="1"/>
      </w:tblPr>
      <w:tblGrid>
        <w:gridCol w:w="1869"/>
        <w:gridCol w:w="2536"/>
        <w:gridCol w:w="2562"/>
        <w:gridCol w:w="1616"/>
        <w:gridCol w:w="1763"/>
        <w:gridCol w:w="2509"/>
        <w:gridCol w:w="1763"/>
      </w:tblGrid>
      <w:tr w:rsidR="00796A4B" w:rsidRPr="004D0FC0" w:rsidTr="00581C03">
        <w:tc>
          <w:tcPr>
            <w:tcW w:w="525"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Bereich</w:t>
            </w:r>
          </w:p>
        </w:tc>
        <w:tc>
          <w:tcPr>
            <w:tcW w:w="570"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Thema</w:t>
            </w: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Einzelthema</w:t>
            </w:r>
          </w:p>
        </w:tc>
        <w:tc>
          <w:tcPr>
            <w:tcW w:w="623"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Periodizität</w:t>
            </w:r>
          </w:p>
        </w:tc>
        <w:tc>
          <w:tcPr>
            <w:tcW w:w="675"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vertAlign w:val="superscript"/>
              </w:rPr>
            </w:pPr>
            <w:r w:rsidRPr="004D0FC0">
              <w:rPr>
                <w:rFonts w:ascii="Times New Roman" w:hAnsi="Times New Roman"/>
                <w:sz w:val="24"/>
              </w:rPr>
              <w:t xml:space="preserve">Bezugszeitraum </w:t>
            </w:r>
          </w:p>
        </w:tc>
        <w:tc>
          <w:tcPr>
            <w:tcW w:w="760"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vertAlign w:val="superscript"/>
              </w:rPr>
            </w:pPr>
            <w:r w:rsidRPr="004D0FC0">
              <w:rPr>
                <w:rFonts w:ascii="Times New Roman" w:hAnsi="Times New Roman"/>
                <w:sz w:val="24"/>
              </w:rPr>
              <w:t xml:space="preserve">Datenübermittlungsfrist </w:t>
            </w:r>
            <w:r w:rsidRPr="004D0FC0">
              <w:rPr>
                <w:rFonts w:ascii="Times New Roman" w:hAnsi="Times New Roman"/>
                <w:sz w:val="24"/>
                <w:vertAlign w:val="superscript"/>
              </w:rPr>
              <w:t>(1) (2)</w:t>
            </w:r>
          </w:p>
        </w:tc>
        <w:tc>
          <w:tcPr>
            <w:tcW w:w="624"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Erster Bezugszeitraum</w:t>
            </w:r>
          </w:p>
        </w:tc>
      </w:tr>
      <w:tr w:rsidR="00796A4B" w:rsidRPr="004D0FC0" w:rsidTr="00581C03">
        <w:tc>
          <w:tcPr>
            <w:tcW w:w="52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Verdienste</w:t>
            </w:r>
          </w:p>
        </w:tc>
        <w:tc>
          <w:tcPr>
            <w:tcW w:w="57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Struktur der Verdienste</w:t>
            </w: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Verdienste</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Jahres- und Monatsgesamtverdienst und alle seine </w:t>
            </w:r>
            <w:r w:rsidRPr="004D0FC0">
              <w:rPr>
                <w:rFonts w:ascii="Times New Roman" w:hAnsi="Times New Roman"/>
                <w:sz w:val="24"/>
              </w:rPr>
              <w:t>Komponenten sowie Stundenverdienst für jeden Arbeitnehmer in der Stichprobe.</w:t>
            </w:r>
          </w:p>
        </w:tc>
        <w:tc>
          <w:tcPr>
            <w:tcW w:w="623"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w:t>
            </w:r>
          </w:p>
        </w:tc>
        <w:tc>
          <w:tcPr>
            <w:tcW w:w="67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Kalenderjahr </w:t>
            </w:r>
          </w:p>
        </w:tc>
        <w:tc>
          <w:tcPr>
            <w:tcW w:w="76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T+16 Monate</w:t>
            </w:r>
          </w:p>
        </w:tc>
        <w:tc>
          <w:tcPr>
            <w:tcW w:w="624"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2026 </w:t>
            </w: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Merkmale des Arbeitgebers</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Wirtschaftliche, rechtliche, geografische und beschäftigungsbezogene Informationen über die örtliche </w:t>
            </w:r>
            <w:r w:rsidRPr="004D0FC0">
              <w:rPr>
                <w:rFonts w:ascii="Times New Roman" w:hAnsi="Times New Roman"/>
                <w:sz w:val="24"/>
              </w:rPr>
              <w:t xml:space="preserve">Einheit, zu der jeder in der Stichprobe erfasste Arbeitnehmer gehört, und über ihr Unternehmen.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Merkmale des Arbeitnehmers</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Individuelle demografische, bildungsbezogene, vertragliche und berufliche Informationen über jeden Arbeitnehmer in der </w:t>
            </w:r>
            <w:r w:rsidRPr="004D0FC0">
              <w:rPr>
                <w:rFonts w:ascii="Times New Roman" w:hAnsi="Times New Roman"/>
                <w:sz w:val="24"/>
              </w:rPr>
              <w:t>Stichprobe.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Arbeitszeiten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Informationen über bezahlte Arbeitszeiten für jeden Arbeitnehmer in der Stichprobe.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Technische Angaben der Erhebung</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Angaben zur Stichprobe und Datenerhebung für jeden in die Stichprobe einbezogenen Arbeitnehmer und </w:t>
            </w:r>
            <w:r w:rsidRPr="004D0FC0">
              <w:rPr>
                <w:rFonts w:ascii="Times New Roman" w:hAnsi="Times New Roman"/>
                <w:sz w:val="24"/>
              </w:rPr>
              <w:t xml:space="preserve">seinen Arbeitgeber (z. B. Gewichte).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57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Geschlechtsspezifisches Lohngefälle</w:t>
            </w: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Stundenverdienst</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Stundenverdienst von Arbeitnehmern und Arbeitnehmerinnen nach Hauptmerkmalen des Arbeitgebers und der Arbeitnehmenden und entsprechende relative Unterschiede </w:t>
            </w:r>
            <w:r w:rsidRPr="004D0FC0">
              <w:rPr>
                <w:rFonts w:ascii="Times New Roman" w:hAnsi="Times New Roman"/>
                <w:sz w:val="24"/>
              </w:rPr>
              <w:t>zwischen den Stundenverdiensten von Arbeitnehmern und Arbeitnehmerinnen.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w:t>
            </w:r>
          </w:p>
        </w:tc>
        <w:tc>
          <w:tcPr>
            <w:tcW w:w="67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Kalenderjahr </w:t>
            </w:r>
          </w:p>
        </w:tc>
        <w:tc>
          <w:tcPr>
            <w:tcW w:w="76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T+13 Monate</w:t>
            </w:r>
          </w:p>
        </w:tc>
        <w:tc>
          <w:tcPr>
            <w:tcW w:w="624"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2026 </w:t>
            </w: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Arbeitnehmer</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Anzahl der Arbeitnehmer und Arbeitnehmerinnen nach Merkmalen des Arbeitgebers und der Arbeitnehmenden.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525" w:type="pct"/>
            <w:vMerge w:val="restart"/>
            <w:tcBorders>
              <w:top w:val="single" w:sz="4" w:space="0" w:color="auto"/>
              <w:left w:val="single" w:sz="4" w:space="0" w:color="auto"/>
              <w:right w:val="single" w:sz="4" w:space="0" w:color="auto"/>
            </w:tcBorders>
          </w:tcPr>
          <w:p w:rsidR="00581C03" w:rsidRPr="004D0FC0" w:rsidRDefault="00581C03" w:rsidP="00581C03">
            <w:pPr>
              <w:pStyle w:val="ListParagraph"/>
              <w:ind w:left="0"/>
              <w:jc w:val="both"/>
              <w:rPr>
                <w:rFonts w:ascii="Times New Roman" w:hAnsi="Times New Roman" w:cs="Times New Roman"/>
                <w:noProof/>
                <w:sz w:val="24"/>
                <w:szCs w:val="24"/>
              </w:rPr>
            </w:pPr>
          </w:p>
        </w:tc>
        <w:tc>
          <w:tcPr>
            <w:tcW w:w="570" w:type="pct"/>
            <w:vMerge w:val="restart"/>
            <w:tcBorders>
              <w:top w:val="single" w:sz="4" w:space="0" w:color="auto"/>
              <w:left w:val="single" w:sz="4" w:space="0" w:color="auto"/>
              <w:right w:val="single" w:sz="4" w:space="0" w:color="auto"/>
            </w:tcBorders>
          </w:tcPr>
          <w:p w:rsidR="00581C03" w:rsidRPr="004D0FC0" w:rsidRDefault="00B801A5" w:rsidP="00581C03">
            <w:pPr>
              <w:pStyle w:val="ListParagraph"/>
              <w:ind w:left="0"/>
              <w:jc w:val="both"/>
              <w:rPr>
                <w:rFonts w:ascii="Times New Roman" w:hAnsi="Times New Roman" w:cs="Times New Roman"/>
                <w:noProof/>
                <w:sz w:val="24"/>
                <w:szCs w:val="24"/>
              </w:rPr>
            </w:pPr>
            <w:r w:rsidRPr="004D0FC0">
              <w:rPr>
                <w:rFonts w:ascii="Times New Roman" w:hAnsi="Times New Roman"/>
                <w:b/>
                <w:sz w:val="24"/>
              </w:rPr>
              <w:t>Mindestlohn</w:t>
            </w:r>
          </w:p>
        </w:tc>
        <w:tc>
          <w:tcPr>
            <w:tcW w:w="1222"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TableParagraph"/>
              <w:spacing w:line="256" w:lineRule="exact"/>
              <w:ind w:left="22"/>
              <w:rPr>
                <w:b/>
                <w:sz w:val="24"/>
              </w:rPr>
            </w:pPr>
            <w:r w:rsidRPr="004D0FC0">
              <w:rPr>
                <w:b/>
                <w:sz w:val="24"/>
              </w:rPr>
              <w:t xml:space="preserve">Höhe </w:t>
            </w:r>
            <w:r w:rsidRPr="004D0FC0">
              <w:rPr>
                <w:b/>
                <w:sz w:val="24"/>
              </w:rPr>
              <w:t>des gesetzlichen</w:t>
            </w:r>
          </w:p>
          <w:p w:rsidR="00581C03" w:rsidRPr="004D0FC0" w:rsidRDefault="00B801A5" w:rsidP="00581C03">
            <w:pPr>
              <w:pStyle w:val="ListParagraph"/>
              <w:ind w:left="0"/>
              <w:jc w:val="both"/>
              <w:rPr>
                <w:rFonts w:ascii="Times New Roman" w:hAnsi="Times New Roman" w:cs="Times New Roman"/>
                <w:noProof/>
                <w:sz w:val="24"/>
                <w:szCs w:val="24"/>
              </w:rPr>
            </w:pPr>
            <w:r w:rsidRPr="004D0FC0">
              <w:rPr>
                <w:rFonts w:ascii="Times New Roman" w:hAnsi="Times New Roman"/>
                <w:b/>
                <w:sz w:val="24"/>
              </w:rPr>
              <w:t>Mindestlohns</w:t>
            </w:r>
          </w:p>
        </w:tc>
        <w:tc>
          <w:tcPr>
            <w:tcW w:w="623"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TableParagraph"/>
              <w:spacing w:line="256" w:lineRule="exact"/>
              <w:ind w:left="4"/>
              <w:rPr>
                <w:b/>
                <w:sz w:val="24"/>
              </w:rPr>
            </w:pPr>
            <w:r w:rsidRPr="004D0FC0">
              <w:rPr>
                <w:b/>
                <w:sz w:val="24"/>
              </w:rPr>
              <w:t>Alle zwei</w:t>
            </w:r>
          </w:p>
          <w:p w:rsidR="00581C03" w:rsidRPr="004D0FC0" w:rsidRDefault="00B801A5" w:rsidP="00581C03">
            <w:pPr>
              <w:pStyle w:val="TableParagraph"/>
              <w:spacing w:line="274" w:lineRule="exact"/>
              <w:ind w:left="4"/>
              <w:rPr>
                <w:b/>
                <w:sz w:val="24"/>
              </w:rPr>
            </w:pPr>
            <w:r w:rsidRPr="004D0FC0">
              <w:rPr>
                <w:b/>
                <w:sz w:val="24"/>
              </w:rPr>
              <w:t>Jahre</w:t>
            </w:r>
          </w:p>
        </w:tc>
        <w:tc>
          <w:tcPr>
            <w:tcW w:w="675"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TableParagraph"/>
              <w:ind w:right="-44"/>
              <w:rPr>
                <w:b/>
                <w:sz w:val="24"/>
              </w:rPr>
            </w:pPr>
            <w:r w:rsidRPr="004D0FC0">
              <w:rPr>
                <w:b/>
                <w:sz w:val="24"/>
              </w:rPr>
              <w:t>Kalenderjahr</w:t>
            </w:r>
          </w:p>
        </w:tc>
        <w:tc>
          <w:tcPr>
            <w:tcW w:w="760" w:type="pct"/>
            <w:tcBorders>
              <w:top w:val="single" w:sz="4" w:space="0" w:color="auto"/>
              <w:left w:val="single" w:sz="4" w:space="0" w:color="auto"/>
              <w:bottom w:val="single" w:sz="4" w:space="0" w:color="auto"/>
              <w:right w:val="single" w:sz="4" w:space="0" w:color="auto"/>
            </w:tcBorders>
          </w:tcPr>
          <w:p w:rsidR="00581C03" w:rsidRPr="004D0FC0" w:rsidRDefault="00581C03" w:rsidP="00581C03">
            <w:pPr>
              <w:pStyle w:val="TableParagraph"/>
              <w:rPr>
                <w:sz w:val="24"/>
              </w:rPr>
            </w:pPr>
          </w:p>
        </w:tc>
        <w:tc>
          <w:tcPr>
            <w:tcW w:w="624"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TableParagraph"/>
              <w:rPr>
                <w:b/>
                <w:sz w:val="24"/>
              </w:rPr>
            </w:pPr>
            <w:r w:rsidRPr="004D0FC0">
              <w:rPr>
                <w:b/>
                <w:sz w:val="24"/>
              </w:rPr>
              <w:t>2026</w:t>
            </w:r>
          </w:p>
        </w:tc>
      </w:tr>
      <w:tr w:rsidR="00796A4B" w:rsidRPr="004D0FC0" w:rsidTr="00581C03">
        <w:tc>
          <w:tcPr>
            <w:tcW w:w="525" w:type="pct"/>
            <w:vMerge/>
            <w:tcBorders>
              <w:left w:val="single" w:sz="4" w:space="0" w:color="auto"/>
              <w:bottom w:val="single" w:sz="4" w:space="0" w:color="auto"/>
              <w:right w:val="single" w:sz="4" w:space="0" w:color="auto"/>
            </w:tcBorders>
          </w:tcPr>
          <w:p w:rsidR="00581C03" w:rsidRPr="004D0FC0" w:rsidRDefault="00581C03" w:rsidP="00351294">
            <w:pPr>
              <w:pStyle w:val="ListParagraph"/>
              <w:ind w:left="0"/>
              <w:jc w:val="both"/>
              <w:rPr>
                <w:rFonts w:ascii="Times New Roman" w:hAnsi="Times New Roman" w:cs="Times New Roman"/>
                <w:noProof/>
                <w:sz w:val="24"/>
                <w:szCs w:val="24"/>
              </w:rPr>
            </w:pPr>
          </w:p>
        </w:tc>
        <w:tc>
          <w:tcPr>
            <w:tcW w:w="570" w:type="pct"/>
            <w:vMerge/>
            <w:tcBorders>
              <w:left w:val="single" w:sz="4" w:space="0" w:color="auto"/>
              <w:bottom w:val="nil"/>
              <w:right w:val="single" w:sz="4" w:space="0" w:color="auto"/>
            </w:tcBorders>
          </w:tcPr>
          <w:p w:rsidR="00581C03" w:rsidRPr="004D0FC0" w:rsidRDefault="00581C03" w:rsidP="00351294">
            <w:pPr>
              <w:pStyle w:val="ListParagraph"/>
              <w:ind w:left="0"/>
              <w:jc w:val="both"/>
              <w:rPr>
                <w:rFonts w:ascii="Times New Roman" w:hAnsi="Times New Roman" w:cs="Times New Roman"/>
                <w:noProof/>
                <w:sz w:val="24"/>
                <w:szCs w:val="24"/>
              </w:rPr>
            </w:pPr>
          </w:p>
        </w:tc>
        <w:tc>
          <w:tcPr>
            <w:tcW w:w="1222"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TableParagraph"/>
              <w:spacing w:line="256" w:lineRule="exact"/>
              <w:ind w:left="22"/>
              <w:rPr>
                <w:b/>
                <w:sz w:val="24"/>
              </w:rPr>
            </w:pPr>
            <w:r w:rsidRPr="004D0FC0">
              <w:rPr>
                <w:b/>
                <w:sz w:val="24"/>
              </w:rPr>
              <w:t>Anzahl und Anteil der</w:t>
            </w:r>
          </w:p>
          <w:p w:rsidR="00581C03" w:rsidRPr="004D0FC0" w:rsidRDefault="00B801A5" w:rsidP="00581C03">
            <w:pPr>
              <w:pStyle w:val="TableParagraph"/>
              <w:spacing w:line="272" w:lineRule="exact"/>
              <w:ind w:left="22"/>
              <w:rPr>
                <w:b/>
                <w:sz w:val="24"/>
              </w:rPr>
            </w:pPr>
            <w:r w:rsidRPr="004D0FC0">
              <w:rPr>
                <w:b/>
                <w:sz w:val="24"/>
              </w:rPr>
              <w:t>Arbeitnehmer, für die</w:t>
            </w:r>
          </w:p>
          <w:p w:rsidR="00581C03" w:rsidRPr="004D0FC0" w:rsidRDefault="00B801A5" w:rsidP="00581C03">
            <w:pPr>
              <w:pStyle w:val="ListParagraph"/>
              <w:ind w:left="0"/>
              <w:jc w:val="both"/>
              <w:rPr>
                <w:rFonts w:ascii="Times New Roman" w:hAnsi="Times New Roman" w:cs="Times New Roman"/>
                <w:noProof/>
                <w:sz w:val="24"/>
                <w:szCs w:val="24"/>
              </w:rPr>
            </w:pPr>
            <w:r w:rsidRPr="004D0FC0">
              <w:rPr>
                <w:rFonts w:ascii="Times New Roman" w:hAnsi="Times New Roman"/>
                <w:b/>
                <w:sz w:val="24"/>
              </w:rPr>
              <w:t>der gesetzliche Mindestlohn gilt</w:t>
            </w:r>
          </w:p>
        </w:tc>
        <w:tc>
          <w:tcPr>
            <w:tcW w:w="623" w:type="pct"/>
            <w:tcBorders>
              <w:top w:val="single" w:sz="4" w:space="0" w:color="auto"/>
              <w:left w:val="single" w:sz="4" w:space="0" w:color="auto"/>
              <w:bottom w:val="single" w:sz="4" w:space="0" w:color="auto"/>
              <w:right w:val="single" w:sz="4" w:space="0" w:color="auto"/>
            </w:tcBorders>
          </w:tcPr>
          <w:p w:rsidR="00581C03" w:rsidRPr="004D0FC0" w:rsidRDefault="00581C03" w:rsidP="00351294">
            <w:pPr>
              <w:pStyle w:val="ListParagraph"/>
              <w:ind w:left="0"/>
              <w:jc w:val="both"/>
              <w:rPr>
                <w:rFonts w:ascii="Times New Roman" w:hAnsi="Times New Roman" w:cs="Times New Roman"/>
                <w:noProof/>
                <w:sz w:val="24"/>
                <w:szCs w:val="24"/>
              </w:rPr>
            </w:pPr>
          </w:p>
        </w:tc>
        <w:tc>
          <w:tcPr>
            <w:tcW w:w="675" w:type="pct"/>
            <w:tcBorders>
              <w:top w:val="single" w:sz="4" w:space="0" w:color="auto"/>
              <w:left w:val="single" w:sz="4" w:space="0" w:color="auto"/>
              <w:bottom w:val="single" w:sz="4" w:space="0" w:color="auto"/>
              <w:right w:val="single" w:sz="4" w:space="0" w:color="auto"/>
            </w:tcBorders>
          </w:tcPr>
          <w:p w:rsidR="00581C03" w:rsidRPr="004D0FC0" w:rsidRDefault="00581C03" w:rsidP="00351294">
            <w:pPr>
              <w:pStyle w:val="ListParagraph"/>
              <w:ind w:left="0"/>
              <w:jc w:val="both"/>
              <w:rPr>
                <w:rFonts w:ascii="Times New Roman" w:hAnsi="Times New Roman" w:cs="Times New Roman"/>
                <w:noProof/>
                <w:sz w:val="24"/>
                <w:szCs w:val="24"/>
              </w:rPr>
            </w:pPr>
          </w:p>
        </w:tc>
        <w:tc>
          <w:tcPr>
            <w:tcW w:w="760" w:type="pct"/>
            <w:tcBorders>
              <w:top w:val="single" w:sz="4" w:space="0" w:color="auto"/>
              <w:left w:val="single" w:sz="4" w:space="0" w:color="auto"/>
              <w:bottom w:val="single" w:sz="4" w:space="0" w:color="auto"/>
              <w:right w:val="single" w:sz="4" w:space="0" w:color="auto"/>
            </w:tcBorders>
          </w:tcPr>
          <w:p w:rsidR="00581C03" w:rsidRPr="004D0FC0" w:rsidRDefault="00581C03" w:rsidP="00351294">
            <w:pPr>
              <w:pStyle w:val="ListParagraph"/>
              <w:ind w:left="0"/>
              <w:jc w:val="both"/>
              <w:rPr>
                <w:rFonts w:ascii="Times New Roman" w:hAnsi="Times New Roman" w:cs="Times New Roman"/>
                <w:noProof/>
                <w:sz w:val="24"/>
                <w:szCs w:val="24"/>
              </w:rPr>
            </w:pPr>
          </w:p>
        </w:tc>
        <w:tc>
          <w:tcPr>
            <w:tcW w:w="624" w:type="pct"/>
            <w:tcBorders>
              <w:top w:val="single" w:sz="4" w:space="0" w:color="auto"/>
              <w:left w:val="single" w:sz="4" w:space="0" w:color="auto"/>
              <w:bottom w:val="single" w:sz="4" w:space="0" w:color="auto"/>
              <w:right w:val="single" w:sz="4" w:space="0" w:color="auto"/>
            </w:tcBorders>
          </w:tcPr>
          <w:p w:rsidR="00581C03" w:rsidRPr="004D0FC0" w:rsidRDefault="00581C03" w:rsidP="00351294">
            <w:pPr>
              <w:pStyle w:val="ListParagraph"/>
              <w:ind w:left="0"/>
              <w:jc w:val="both"/>
              <w:rPr>
                <w:rFonts w:ascii="Times New Roman" w:hAnsi="Times New Roman" w:cs="Times New Roman"/>
                <w:noProof/>
                <w:sz w:val="24"/>
                <w:szCs w:val="24"/>
              </w:rPr>
            </w:pPr>
          </w:p>
        </w:tc>
      </w:tr>
      <w:tr w:rsidR="00796A4B" w:rsidRPr="004D0FC0" w:rsidTr="00581C03">
        <w:tc>
          <w:tcPr>
            <w:tcW w:w="52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w:t>
            </w:r>
          </w:p>
        </w:tc>
        <w:tc>
          <w:tcPr>
            <w:tcW w:w="570" w:type="pct"/>
            <w:vMerge w:val="restart"/>
            <w:tcBorders>
              <w:top w:val="single" w:sz="4" w:space="0" w:color="auto"/>
              <w:left w:val="single" w:sz="4" w:space="0" w:color="auto"/>
              <w:bottom w:val="nil"/>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Struktur der Arbeitskosten</w:t>
            </w: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Gesamtkosten, die der Arbeitgeber für die </w:t>
            </w:r>
            <w:r w:rsidRPr="004D0FC0">
              <w:rPr>
                <w:rFonts w:ascii="Times New Roman" w:hAnsi="Times New Roman"/>
                <w:sz w:val="24"/>
              </w:rPr>
              <w:t>Beschäftigung von Arbeitskräften trägt, und die Komponenten dieser Kosten.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w:t>
            </w:r>
          </w:p>
        </w:tc>
        <w:tc>
          <w:tcPr>
            <w:tcW w:w="67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Kalenderjahr</w:t>
            </w:r>
          </w:p>
        </w:tc>
        <w:tc>
          <w:tcPr>
            <w:tcW w:w="76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T+18 Monate</w:t>
            </w:r>
          </w:p>
        </w:tc>
        <w:tc>
          <w:tcPr>
            <w:tcW w:w="624"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2028</w:t>
            </w: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nil"/>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Geleistete Arbeitsstunden</w:t>
            </w:r>
            <w:r w:rsidRPr="004D0FC0">
              <w:t xml:space="preserve"> </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Von den wichtigsten Arten von Arbeitnehmern tatsächlich geleistete Arbeitsstunden.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nil"/>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Bezahlte Stunden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Für die wichtigsten Arten von Arbeitnehmern bezahlte Stunden.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nil"/>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Arbeitnehmer</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Zahl der Arbeitnehmer nach wichtigsten Arten.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570" w:type="pct"/>
            <w:tcBorders>
              <w:top w:val="nil"/>
              <w:left w:val="single" w:sz="4" w:space="0" w:color="auto"/>
              <w:bottom w:val="single" w:sz="4" w:space="0" w:color="auto"/>
              <w:right w:val="single" w:sz="4" w:space="0" w:color="auto"/>
            </w:tcBorders>
          </w:tcPr>
          <w:p w:rsidR="00581C03" w:rsidRPr="004D0FC0" w:rsidRDefault="00581C03" w:rsidP="00351294">
            <w:pPr>
              <w:pStyle w:val="ListParagraph"/>
              <w:ind w:left="0"/>
              <w:jc w:val="both"/>
              <w:rPr>
                <w:rFonts w:ascii="Times New Roman" w:hAnsi="Times New Roman" w:cs="Times New Roman"/>
                <w:noProof/>
                <w:sz w:val="24"/>
                <w:szCs w:val="24"/>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Örtliche Einheiten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Informationen über in der Stichprobe enthaltene örtliche Einheiten.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57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Arbeitskostenindex</w:t>
            </w: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Vierteljährlicher Arbeitskostenindex pro Arbeitsstunde </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Vierjährlicher Arbeitskostenindex pro Arbeitsstunde nach Kostenart; unbereinigte und bereinigte Zeitreihen.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w:t>
            </w:r>
          </w:p>
        </w:tc>
        <w:tc>
          <w:tcPr>
            <w:tcW w:w="67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Kalenderquartal</w:t>
            </w:r>
          </w:p>
        </w:tc>
        <w:tc>
          <w:tcPr>
            <w:tcW w:w="76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Frühzeitige Schätzungen: T+45 Tage</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Endgültige Daten: T+6</w:t>
            </w:r>
            <w:r w:rsidRPr="004D0FC0">
              <w:rPr>
                <w:rFonts w:ascii="Times New Roman" w:hAnsi="Times New Roman"/>
                <w:sz w:val="24"/>
              </w:rPr>
              <w:t>5 Tage</w:t>
            </w:r>
          </w:p>
        </w:tc>
        <w:tc>
          <w:tcPr>
            <w:tcW w:w="624"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Erstes Quartal 2026</w:t>
            </w: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Vierteljährlicher Index der Gesamtarbeitskosten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Unbereinigte und bereinigte Zeitreihen.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Vierteljährlicher Index der geleisteten Arbeitsstunden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Unbereinigte und bereinigte Zeitreihen.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Jährliche Arbeitskosten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Jährliche Arbeitskostenniveaus (Gewichte) nach Kostenart.</w:t>
            </w:r>
          </w:p>
        </w:tc>
        <w:tc>
          <w:tcPr>
            <w:tcW w:w="623"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w:t>
            </w:r>
          </w:p>
        </w:tc>
        <w:tc>
          <w:tcPr>
            <w:tcW w:w="675"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Kalenderjahr</w:t>
            </w:r>
          </w:p>
        </w:tc>
        <w:tc>
          <w:tcPr>
            <w:tcW w:w="760"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Ende des ersten Quartals des Jahres „T+1“+65 Tage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r w:rsidR="00796A4B" w:rsidRPr="004D0FC0" w:rsidTr="00581C03">
        <w:trPr>
          <w:trHeight w:val="278"/>
        </w:trPr>
        <w:tc>
          <w:tcPr>
            <w:tcW w:w="52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Arbeitsnachfrage</w:t>
            </w:r>
          </w:p>
        </w:tc>
        <w:tc>
          <w:tcPr>
            <w:tcW w:w="57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Stellenangebote</w:t>
            </w: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Freie Stellen</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Erfasste Informationen über freie Stellen; unbereinigte und bereinigte </w:t>
            </w:r>
            <w:r w:rsidRPr="004D0FC0">
              <w:rPr>
                <w:rFonts w:ascii="Times New Roman" w:hAnsi="Times New Roman"/>
                <w:sz w:val="24"/>
              </w:rPr>
              <w:t>Zeitreihen.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w:t>
            </w:r>
          </w:p>
        </w:tc>
        <w:tc>
          <w:tcPr>
            <w:tcW w:w="675"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Kalenderquartal</w:t>
            </w:r>
          </w:p>
        </w:tc>
        <w:tc>
          <w:tcPr>
            <w:tcW w:w="760"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10"/>
              <w:jc w:val="both"/>
              <w:rPr>
                <w:rFonts w:ascii="Times New Roman" w:hAnsi="Times New Roman" w:cs="Times New Roman"/>
                <w:noProof/>
                <w:sz w:val="24"/>
                <w:szCs w:val="24"/>
              </w:rPr>
            </w:pPr>
            <w:r w:rsidRPr="004D0FC0">
              <w:rPr>
                <w:rFonts w:ascii="Times New Roman" w:hAnsi="Times New Roman"/>
                <w:sz w:val="24"/>
              </w:rPr>
              <w:t>- Frühzeitige Schätzungen: T+45 Tage</w:t>
            </w:r>
          </w:p>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Endgültige Daten: T+70 Tage</w:t>
            </w:r>
          </w:p>
        </w:tc>
        <w:tc>
          <w:tcPr>
            <w:tcW w:w="624" w:type="pct"/>
            <w:vMerge w:val="restar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10"/>
              <w:jc w:val="both"/>
              <w:rPr>
                <w:rFonts w:ascii="Times New Roman" w:hAnsi="Times New Roman" w:cs="Times New Roman"/>
                <w:noProof/>
                <w:sz w:val="24"/>
                <w:szCs w:val="24"/>
              </w:rPr>
            </w:pPr>
            <w:r w:rsidRPr="004D0FC0">
              <w:rPr>
                <w:rFonts w:ascii="Times New Roman" w:hAnsi="Times New Roman"/>
                <w:sz w:val="24"/>
              </w:rPr>
              <w:t>Erstes Quartal 2026</w:t>
            </w:r>
          </w:p>
        </w:tc>
      </w:tr>
      <w:tr w:rsidR="00796A4B" w:rsidRPr="004D0FC0" w:rsidTr="00581C03">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1222" w:type="pct"/>
            <w:tcBorders>
              <w:top w:val="single" w:sz="4" w:space="0" w:color="auto"/>
              <w:left w:val="single" w:sz="4" w:space="0" w:color="auto"/>
              <w:bottom w:val="single" w:sz="4" w:space="0" w:color="auto"/>
              <w:right w:val="single" w:sz="4" w:space="0" w:color="auto"/>
            </w:tcBorders>
            <w:hideMark/>
          </w:tcPr>
          <w:p w:rsidR="00581C03" w:rsidRPr="004D0FC0" w:rsidRDefault="00B801A5" w:rsidP="00351294">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Besetzte Stellen </w:t>
            </w:r>
          </w:p>
          <w:p w:rsidR="00581C03" w:rsidRPr="004D0FC0" w:rsidRDefault="00B801A5" w:rsidP="00351294">
            <w:pPr>
              <w:pStyle w:val="ListParagraph"/>
              <w:ind w:left="0"/>
              <w:jc w:val="both"/>
              <w:rPr>
                <w:noProof/>
                <w:sz w:val="24"/>
                <w:szCs w:val="24"/>
              </w:rPr>
            </w:pPr>
            <w:r w:rsidRPr="004D0FC0">
              <w:rPr>
                <w:rFonts w:ascii="Times New Roman" w:hAnsi="Times New Roman"/>
                <w:sz w:val="24"/>
              </w:rPr>
              <w:t>Erfasste Informationen über besetzte Stellen; unbereinigte und bereinigte Zeitreihen.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81C03" w:rsidRPr="004D0FC0" w:rsidRDefault="00581C03" w:rsidP="00351294">
            <w:pPr>
              <w:rPr>
                <w:noProof/>
                <w:szCs w:val="24"/>
                <w:lang w:eastAsia="de-DE"/>
              </w:rPr>
            </w:pPr>
          </w:p>
        </w:tc>
      </w:tr>
    </w:tbl>
    <w:p w:rsidR="00A907EE" w:rsidRPr="004D0FC0" w:rsidRDefault="00B801A5" w:rsidP="00A907EE">
      <w:pPr>
        <w:pStyle w:val="AmOrLang"/>
      </w:pPr>
      <w:r w:rsidRPr="004D0FC0">
        <w:t xml:space="preserve">Or. </w:t>
      </w:r>
      <w:r w:rsidRPr="004D0FC0">
        <w:rPr>
          <w:rStyle w:val="HideTWBExt"/>
          <w:rFonts w:eastAsiaTheme="majorEastAsia"/>
        </w:rPr>
        <w:t>&lt;Original&gt;</w:t>
      </w:r>
      <w:r w:rsidR="00D06877" w:rsidRPr="004D0FC0">
        <w:rPr>
          <w:rStyle w:val="HideTWBInt"/>
        </w:rPr>
        <w:t>{EN}</w:t>
      </w:r>
      <w:r w:rsidR="00D06877" w:rsidRPr="004D0FC0">
        <w:t>en</w:t>
      </w:r>
      <w:r w:rsidRPr="004D0FC0">
        <w:rPr>
          <w:rStyle w:val="HideTWBExt"/>
          <w:rFonts w:eastAsiaTheme="majorEastAsia"/>
        </w:rPr>
        <w:t>&lt;/Original&gt;</w:t>
      </w:r>
    </w:p>
    <w:p w:rsidR="00A907EE" w:rsidRPr="004D0FC0" w:rsidRDefault="00B801A5" w:rsidP="00A907EE">
      <w:r w:rsidRPr="004D0FC0">
        <w:rPr>
          <w:rStyle w:val="HideTWBExt"/>
        </w:rPr>
        <w:t>&lt;/Amend&gt;</w:t>
      </w:r>
    </w:p>
    <w:p w:rsidR="00A907EE" w:rsidRPr="004D0FC0" w:rsidRDefault="00B801A5" w:rsidP="00A907EE">
      <w:pPr>
        <w:pStyle w:val="AmNumberTabs"/>
        <w:keepNext/>
      </w:pPr>
      <w:r w:rsidRPr="004D0FC0">
        <w:rPr>
          <w:rStyle w:val="HideTWBExt"/>
          <w:b w:val="0"/>
        </w:rPr>
        <w:t>&lt;Amend&gt;</w:t>
      </w:r>
      <w:r w:rsidRPr="004D0FC0">
        <w:t>Änderungsantrag</w:t>
      </w:r>
      <w:r w:rsidRPr="004D0FC0">
        <w:tab/>
      </w:r>
      <w:r w:rsidRPr="004D0FC0">
        <w:tab/>
      </w:r>
      <w:r w:rsidRPr="004D0FC0">
        <w:rPr>
          <w:rStyle w:val="HideTWBExt"/>
          <w:b w:val="0"/>
        </w:rPr>
        <w:t>&lt;NumAm&gt;</w:t>
      </w:r>
      <w:r w:rsidRPr="004D0FC0">
        <w:t>79</w:t>
      </w:r>
      <w:r w:rsidRPr="004D0FC0">
        <w:rPr>
          <w:rStyle w:val="HideTWBExt"/>
          <w:b w:val="0"/>
        </w:rPr>
        <w:t>&lt;/NumAm&gt;</w:t>
      </w:r>
    </w:p>
    <w:p w:rsidR="00A907EE" w:rsidRPr="004D0FC0" w:rsidRDefault="00B801A5" w:rsidP="00A907EE">
      <w:pPr>
        <w:pStyle w:val="NormalBold"/>
      </w:pPr>
      <w:r w:rsidRPr="004D0FC0">
        <w:rPr>
          <w:rStyle w:val="HideTWBExt"/>
          <w:b w:val="0"/>
        </w:rPr>
        <w:t>&lt;RepeatBlock-By&gt;&lt;Members&gt;</w:t>
      </w:r>
      <w:r w:rsidRPr="004D0FC0">
        <w:t>Monica Semedo</w:t>
      </w:r>
      <w:r w:rsidRPr="004D0FC0">
        <w:rPr>
          <w:rStyle w:val="HideTWBExt"/>
          <w:b w:val="0"/>
        </w:rPr>
        <w:t>&lt;/Members&gt;</w:t>
      </w:r>
    </w:p>
    <w:p w:rsidR="00A907EE" w:rsidRPr="004D0FC0" w:rsidRDefault="00B801A5" w:rsidP="00A907EE">
      <w:r w:rsidRPr="004D0FC0">
        <w:rPr>
          <w:rStyle w:val="HideTWBExt"/>
        </w:rPr>
        <w:t>&lt;/RepeatBlock-By&gt;</w:t>
      </w:r>
    </w:p>
    <w:p w:rsidR="00A907EE" w:rsidRPr="004D0FC0" w:rsidRDefault="00B801A5" w:rsidP="00A907EE">
      <w:pPr>
        <w:pStyle w:val="NormalBold"/>
      </w:pPr>
      <w:r w:rsidRPr="004D0FC0">
        <w:rPr>
          <w:rStyle w:val="HideTWBExt"/>
          <w:b w:val="0"/>
        </w:rPr>
        <w:t>&lt;DocAmend&gt;</w:t>
      </w:r>
      <w:r w:rsidRPr="004D0FC0">
        <w:t>Vorschlag für eine Verordnung</w:t>
      </w:r>
      <w:r w:rsidRPr="004D0FC0">
        <w:rPr>
          <w:rStyle w:val="HideTWBExt"/>
          <w:b w:val="0"/>
        </w:rPr>
        <w:t>&lt;/DocAmend&gt;</w:t>
      </w:r>
    </w:p>
    <w:p w:rsidR="00A907EE" w:rsidRPr="004D0FC0" w:rsidRDefault="00B801A5" w:rsidP="00A907EE">
      <w:pPr>
        <w:pStyle w:val="NormalBold"/>
        <w:keepNext/>
      </w:pPr>
      <w:r w:rsidRPr="004D0FC0">
        <w:rPr>
          <w:rStyle w:val="HideTWBExt"/>
          <w:b w:val="0"/>
        </w:rPr>
        <w:t>&lt;Article&gt;</w:t>
      </w:r>
      <w:r w:rsidRPr="004D0FC0">
        <w:t>Anhang – Tabelle</w:t>
      </w:r>
      <w:r w:rsidRPr="004D0FC0">
        <w:rPr>
          <w:rStyle w:val="HideTWBExt"/>
          <w:b w:val="0"/>
        </w:rPr>
        <w:t>&lt;/Article&gt;</w:t>
      </w:r>
    </w:p>
    <w:tbl>
      <w:tblPr>
        <w:tblW w:w="5625" w:type="pct"/>
        <w:tblInd w:w="-318" w:type="dxa"/>
        <w:tblLayout w:type="fixed"/>
        <w:tblLook w:val="04A0" w:firstRow="1" w:lastRow="0" w:firstColumn="1" w:lastColumn="0" w:noHBand="0" w:noVBand="1"/>
      </w:tblPr>
      <w:tblGrid>
        <w:gridCol w:w="1164"/>
        <w:gridCol w:w="993"/>
        <w:gridCol w:w="55"/>
        <w:gridCol w:w="2501"/>
        <w:gridCol w:w="1278"/>
        <w:gridCol w:w="1380"/>
        <w:gridCol w:w="37"/>
        <w:gridCol w:w="1517"/>
        <w:gridCol w:w="31"/>
        <w:gridCol w:w="1237"/>
      </w:tblGrid>
      <w:tr w:rsidR="00796A4B" w:rsidRPr="004D0FC0" w:rsidTr="00581C03">
        <w:tc>
          <w:tcPr>
            <w:tcW w:w="571"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Bereich</w:t>
            </w:r>
          </w:p>
        </w:tc>
        <w:tc>
          <w:tcPr>
            <w:tcW w:w="514" w:type="pct"/>
            <w:gridSpan w:val="2"/>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Thema</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Einzelthema</w:t>
            </w:r>
          </w:p>
        </w:tc>
        <w:tc>
          <w:tcPr>
            <w:tcW w:w="627"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Periodizität</w:t>
            </w:r>
          </w:p>
        </w:tc>
        <w:tc>
          <w:tcPr>
            <w:tcW w:w="677"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vertAlign w:val="superscript"/>
              </w:rPr>
            </w:pPr>
            <w:r w:rsidRPr="004D0FC0">
              <w:rPr>
                <w:rFonts w:ascii="Times New Roman" w:hAnsi="Times New Roman"/>
                <w:sz w:val="24"/>
              </w:rPr>
              <w:t xml:space="preserve">Bezugszeitraum </w:t>
            </w:r>
          </w:p>
        </w:tc>
        <w:tc>
          <w:tcPr>
            <w:tcW w:w="762" w:type="pct"/>
            <w:gridSpan w:val="2"/>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vertAlign w:val="superscript"/>
              </w:rPr>
            </w:pPr>
            <w:r w:rsidRPr="004D0FC0">
              <w:rPr>
                <w:rFonts w:ascii="Times New Roman" w:hAnsi="Times New Roman"/>
                <w:sz w:val="24"/>
              </w:rPr>
              <w:t xml:space="preserve">Datenübermittlungsfrist </w:t>
            </w:r>
            <w:r w:rsidRPr="004D0FC0">
              <w:rPr>
                <w:rFonts w:ascii="Times New Roman" w:hAnsi="Times New Roman"/>
                <w:sz w:val="24"/>
                <w:vertAlign w:val="superscript"/>
              </w:rPr>
              <w:t>(1) (2)</w:t>
            </w:r>
          </w:p>
        </w:tc>
        <w:tc>
          <w:tcPr>
            <w:tcW w:w="624" w:type="pct"/>
            <w:gridSpan w:val="2"/>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Erster Bezugszeitraum</w:t>
            </w:r>
          </w:p>
        </w:tc>
      </w:tr>
      <w:tr w:rsidR="00796A4B" w:rsidRPr="004D0FC0" w:rsidTr="00581C03">
        <w:tc>
          <w:tcPr>
            <w:tcW w:w="571"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Verdienste</w:t>
            </w:r>
          </w:p>
        </w:tc>
        <w:tc>
          <w:tcPr>
            <w:tcW w:w="514"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Struktur der Verdienste</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Verdienste</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Jahres- und Monatsgesamtverdienst und alle seine Komponenten sowie Stundenverdienst für jeden Arbeitnehmer in der </w:t>
            </w:r>
            <w:r w:rsidRPr="004D0FC0">
              <w:rPr>
                <w:rFonts w:ascii="Times New Roman" w:hAnsi="Times New Roman"/>
                <w:sz w:val="24"/>
              </w:rPr>
              <w:t>Stichprobe.</w:t>
            </w:r>
          </w:p>
        </w:tc>
        <w:tc>
          <w:tcPr>
            <w:tcW w:w="62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Kalenderjahr </w:t>
            </w:r>
          </w:p>
        </w:tc>
        <w:tc>
          <w:tcPr>
            <w:tcW w:w="762"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T+16 Monate</w:t>
            </w:r>
          </w:p>
        </w:tc>
        <w:tc>
          <w:tcPr>
            <w:tcW w:w="624"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2026 </w:t>
            </w: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Merkmale des Arbeitgebers</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Wirtschaftliche, rechtliche, geografische und beschäftigungsbezogene Informationen über die örtliche Einheit, zu der jeder in der Stichprobe erfasste Arbeitnehmer gehört,</w:t>
            </w:r>
            <w:r w:rsidRPr="004D0FC0">
              <w:rPr>
                <w:rFonts w:ascii="Times New Roman" w:hAnsi="Times New Roman"/>
                <w:sz w:val="24"/>
              </w:rPr>
              <w:t xml:space="preserve"> und über ihr Unternehmen. </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Merkmale des Arbeitnehmers</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Individuelle demografische, bildungsbezogene, vertragliche und berufliche Informationen über jeden Arbeitnehmer in der Stichprobe.</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Arbeitszeiten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Informationen über bezahlte Arbeitszeiten </w:t>
            </w:r>
            <w:r w:rsidRPr="004D0FC0">
              <w:rPr>
                <w:rFonts w:ascii="Times New Roman" w:hAnsi="Times New Roman"/>
                <w:sz w:val="24"/>
              </w:rPr>
              <w:t>für jeden Arbeitnehmer in der Stichprobe.</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Technische Angaben der Erhebung</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Angaben zur Stichprobe und Datenerhebung für jeden in die Stichprobe einbezogenen Arbeitnehmer und seinen Arbeitgeber (z. B. Gewichte). </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Geschlechtsspezifisches </w:t>
            </w:r>
            <w:r w:rsidRPr="004D0FC0">
              <w:rPr>
                <w:rFonts w:ascii="Times New Roman" w:hAnsi="Times New Roman"/>
                <w:sz w:val="24"/>
              </w:rPr>
              <w:t>Lohngefälle</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Stundenverdienst</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Stundenverdienst von Arbeitnehmern und Arbeitnehmerinnen nach Hauptmerkmalen des Arbeitgebers und der Arbeitnehmenden und entsprechende relative Unterschiede zwischen den Stundenverdiensten von Arbeitnehmern und Arbeitnehmerinn</w:t>
            </w:r>
            <w:r w:rsidRPr="004D0FC0">
              <w:rPr>
                <w:rFonts w:ascii="Times New Roman" w:hAnsi="Times New Roman"/>
                <w:sz w:val="24"/>
              </w:rPr>
              <w:t>en.</w:t>
            </w:r>
          </w:p>
        </w:tc>
        <w:tc>
          <w:tcPr>
            <w:tcW w:w="62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Kalenderjahr </w:t>
            </w:r>
          </w:p>
        </w:tc>
        <w:tc>
          <w:tcPr>
            <w:tcW w:w="762"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T+13 Monate</w:t>
            </w:r>
          </w:p>
        </w:tc>
        <w:tc>
          <w:tcPr>
            <w:tcW w:w="624"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2026 </w:t>
            </w: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Arbeitnehmer</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Anzahl der Arbeitnehmer und Arbeitnehmerinnen nach Merkmalen des Arbeitgebers und der Arbeitnehmenden.</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rPr>
          <w:trHeight w:val="278"/>
        </w:trPr>
        <w:tc>
          <w:tcPr>
            <w:tcW w:w="571" w:type="pct"/>
            <w:tcBorders>
              <w:top w:val="single" w:sz="4" w:space="0" w:color="auto"/>
              <w:left w:val="single" w:sz="4" w:space="0" w:color="auto"/>
              <w:bottom w:val="single" w:sz="4" w:space="0" w:color="auto"/>
              <w:right w:val="single" w:sz="4" w:space="0" w:color="auto"/>
            </w:tcBorders>
          </w:tcPr>
          <w:p w:rsidR="00581C03" w:rsidRPr="004D0FC0" w:rsidRDefault="00581C03" w:rsidP="00351294">
            <w:pPr>
              <w:pStyle w:val="ListParagraph"/>
              <w:ind w:left="0"/>
              <w:jc w:val="both"/>
              <w:rPr>
                <w:rFonts w:ascii="Times New Roman" w:hAnsi="Times New Roman" w:cs="Times New Roman"/>
                <w:b/>
                <w:noProof/>
                <w:sz w:val="24"/>
                <w:szCs w:val="24"/>
              </w:rPr>
            </w:pPr>
          </w:p>
        </w:tc>
        <w:tc>
          <w:tcPr>
            <w:tcW w:w="487"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ListParagraph"/>
              <w:ind w:left="0"/>
              <w:jc w:val="both"/>
              <w:rPr>
                <w:rFonts w:ascii="Times New Roman" w:hAnsi="Times New Roman" w:cs="Times New Roman"/>
                <w:b/>
                <w:noProof/>
                <w:sz w:val="24"/>
                <w:szCs w:val="24"/>
              </w:rPr>
            </w:pPr>
            <w:r w:rsidRPr="004D0FC0">
              <w:rPr>
                <w:rFonts w:ascii="Times New Roman" w:hAnsi="Times New Roman"/>
                <w:b/>
                <w:sz w:val="24"/>
              </w:rPr>
              <w:t>Tarifvertragliche</w:t>
            </w:r>
          </w:p>
          <w:p w:rsidR="00581C03" w:rsidRPr="004D0FC0" w:rsidRDefault="00B801A5" w:rsidP="00351294">
            <w:pPr>
              <w:pStyle w:val="ListParagraph"/>
              <w:ind w:left="0"/>
              <w:jc w:val="both"/>
              <w:rPr>
                <w:rFonts w:ascii="Times New Roman" w:hAnsi="Times New Roman" w:cs="Times New Roman"/>
                <w:b/>
                <w:noProof/>
                <w:sz w:val="24"/>
                <w:szCs w:val="24"/>
              </w:rPr>
            </w:pPr>
            <w:r w:rsidRPr="004D0FC0">
              <w:rPr>
                <w:rFonts w:ascii="Times New Roman" w:hAnsi="Times New Roman"/>
                <w:b/>
                <w:sz w:val="24"/>
              </w:rPr>
              <w:t>Abdeckung</w:t>
            </w:r>
          </w:p>
          <w:p w:rsidR="00DF762C" w:rsidRPr="004D0FC0" w:rsidRDefault="00DF762C" w:rsidP="00351294">
            <w:pPr>
              <w:pStyle w:val="ListParagraph"/>
              <w:ind w:left="0"/>
              <w:jc w:val="both"/>
              <w:rPr>
                <w:rFonts w:ascii="Times New Roman" w:hAnsi="Times New Roman" w:cs="Times New Roman"/>
                <w:b/>
                <w:noProof/>
                <w:sz w:val="24"/>
                <w:szCs w:val="24"/>
              </w:rPr>
            </w:pPr>
          </w:p>
        </w:tc>
        <w:tc>
          <w:tcPr>
            <w:tcW w:w="1252" w:type="pct"/>
            <w:gridSpan w:val="2"/>
            <w:tcBorders>
              <w:top w:val="single" w:sz="4" w:space="0" w:color="auto"/>
              <w:left w:val="single" w:sz="4" w:space="0" w:color="auto"/>
              <w:bottom w:val="single" w:sz="4" w:space="0" w:color="auto"/>
              <w:right w:val="single" w:sz="4" w:space="0" w:color="auto"/>
            </w:tcBorders>
          </w:tcPr>
          <w:p w:rsidR="00581C03" w:rsidRPr="004D0FC0" w:rsidRDefault="00B801A5" w:rsidP="00351294">
            <w:pPr>
              <w:pStyle w:val="ListParagraph"/>
              <w:ind w:left="0"/>
              <w:jc w:val="both"/>
              <w:rPr>
                <w:rFonts w:ascii="Times New Roman" w:hAnsi="Times New Roman" w:cs="Times New Roman"/>
                <w:b/>
                <w:noProof/>
                <w:sz w:val="24"/>
                <w:szCs w:val="24"/>
              </w:rPr>
            </w:pPr>
            <w:r w:rsidRPr="004D0FC0">
              <w:rPr>
                <w:rFonts w:ascii="Times New Roman" w:hAnsi="Times New Roman"/>
                <w:b/>
                <w:sz w:val="24"/>
              </w:rPr>
              <w:t xml:space="preserve">Anzahl und Anteil der durch Tarifverträge abgedeckten </w:t>
            </w:r>
            <w:r w:rsidRPr="004D0FC0">
              <w:rPr>
                <w:rFonts w:ascii="Times New Roman" w:hAnsi="Times New Roman"/>
                <w:b/>
                <w:sz w:val="24"/>
              </w:rPr>
              <w:t>Arbeitnehmer</w:t>
            </w:r>
          </w:p>
        </w:tc>
        <w:tc>
          <w:tcPr>
            <w:tcW w:w="627" w:type="pct"/>
            <w:tcBorders>
              <w:top w:val="single" w:sz="4" w:space="0" w:color="auto"/>
              <w:left w:val="single" w:sz="4" w:space="0" w:color="auto"/>
              <w:bottom w:val="single" w:sz="4" w:space="0" w:color="auto"/>
              <w:right w:val="single" w:sz="4" w:space="0" w:color="auto"/>
            </w:tcBorders>
          </w:tcPr>
          <w:p w:rsidR="00581C03" w:rsidRPr="004D0FC0" w:rsidRDefault="00B801A5" w:rsidP="00351294">
            <w:pPr>
              <w:pStyle w:val="ListParagraph"/>
              <w:ind w:left="0"/>
              <w:jc w:val="both"/>
              <w:rPr>
                <w:rFonts w:ascii="Times New Roman" w:hAnsi="Times New Roman" w:cs="Times New Roman"/>
                <w:b/>
                <w:noProof/>
                <w:sz w:val="24"/>
                <w:szCs w:val="24"/>
              </w:rPr>
            </w:pPr>
            <w:r w:rsidRPr="004D0FC0">
              <w:rPr>
                <w:rFonts w:ascii="Times New Roman" w:hAnsi="Times New Roman"/>
                <w:b/>
                <w:sz w:val="24"/>
              </w:rPr>
              <w:t>Zweijährlich</w:t>
            </w:r>
          </w:p>
        </w:tc>
        <w:tc>
          <w:tcPr>
            <w:tcW w:w="695" w:type="pct"/>
            <w:gridSpan w:val="2"/>
            <w:tcBorders>
              <w:top w:val="single" w:sz="4" w:space="0" w:color="auto"/>
              <w:left w:val="single" w:sz="4" w:space="0" w:color="auto"/>
              <w:bottom w:val="single" w:sz="4" w:space="0" w:color="auto"/>
              <w:right w:val="single" w:sz="4" w:space="0" w:color="auto"/>
            </w:tcBorders>
          </w:tcPr>
          <w:p w:rsidR="00581C03" w:rsidRPr="004D0FC0" w:rsidRDefault="00B801A5" w:rsidP="00351294">
            <w:pPr>
              <w:pStyle w:val="ListParagraph"/>
              <w:ind w:left="0"/>
              <w:jc w:val="both"/>
              <w:rPr>
                <w:rFonts w:ascii="Times New Roman" w:hAnsi="Times New Roman" w:cs="Times New Roman"/>
                <w:b/>
                <w:noProof/>
                <w:sz w:val="24"/>
                <w:szCs w:val="24"/>
              </w:rPr>
            </w:pPr>
            <w:r w:rsidRPr="004D0FC0">
              <w:rPr>
                <w:rFonts w:ascii="Times New Roman" w:hAnsi="Times New Roman"/>
                <w:b/>
                <w:sz w:val="24"/>
              </w:rPr>
              <w:t>Kalenderjahr</w:t>
            </w:r>
          </w:p>
        </w:tc>
        <w:tc>
          <w:tcPr>
            <w:tcW w:w="759" w:type="pct"/>
            <w:gridSpan w:val="2"/>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ListParagraph"/>
              <w:ind w:left="0"/>
              <w:jc w:val="both"/>
              <w:rPr>
                <w:rFonts w:ascii="Times New Roman" w:hAnsi="Times New Roman" w:cs="Times New Roman"/>
                <w:b/>
                <w:noProof/>
                <w:sz w:val="24"/>
                <w:szCs w:val="24"/>
              </w:rPr>
            </w:pPr>
            <w:r w:rsidRPr="004D0FC0">
              <w:rPr>
                <w:rFonts w:ascii="Times New Roman" w:hAnsi="Times New Roman"/>
                <w:b/>
                <w:sz w:val="24"/>
              </w:rPr>
              <w:t>T+13 Monate</w:t>
            </w:r>
          </w:p>
        </w:tc>
        <w:tc>
          <w:tcPr>
            <w:tcW w:w="609"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ListParagraph"/>
              <w:ind w:left="0"/>
              <w:jc w:val="both"/>
              <w:rPr>
                <w:rFonts w:ascii="Times New Roman" w:hAnsi="Times New Roman" w:cs="Times New Roman"/>
                <w:b/>
                <w:noProof/>
                <w:sz w:val="24"/>
                <w:szCs w:val="24"/>
              </w:rPr>
            </w:pPr>
            <w:r w:rsidRPr="004D0FC0">
              <w:rPr>
                <w:rFonts w:ascii="Times New Roman" w:hAnsi="Times New Roman"/>
                <w:b/>
                <w:sz w:val="24"/>
              </w:rPr>
              <w:t>2026</w:t>
            </w:r>
          </w:p>
        </w:tc>
      </w:tr>
      <w:tr w:rsidR="00796A4B" w:rsidRPr="004D0FC0" w:rsidTr="00581C03">
        <w:tc>
          <w:tcPr>
            <w:tcW w:w="571"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w:t>
            </w:r>
          </w:p>
        </w:tc>
        <w:tc>
          <w:tcPr>
            <w:tcW w:w="514" w:type="pct"/>
            <w:gridSpan w:val="2"/>
            <w:vMerge w:val="restart"/>
            <w:tcBorders>
              <w:top w:val="single" w:sz="4" w:space="0" w:color="auto"/>
              <w:left w:val="single" w:sz="4" w:space="0" w:color="auto"/>
              <w:bottom w:val="nil"/>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Struktur der Arbeitskosten</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Gesamtkosten, die der Arbeitgeber für die Beschäftigung von Arbeitskräften trägt, und die Komponenten dieser Kosten.</w:t>
            </w:r>
          </w:p>
        </w:tc>
        <w:tc>
          <w:tcPr>
            <w:tcW w:w="62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Kalenderjahr</w:t>
            </w:r>
          </w:p>
        </w:tc>
        <w:tc>
          <w:tcPr>
            <w:tcW w:w="762"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T+18 Monate</w:t>
            </w:r>
          </w:p>
        </w:tc>
        <w:tc>
          <w:tcPr>
            <w:tcW w:w="624"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2028</w:t>
            </w: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nil"/>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Geleistete Arbeitsstunden</w:t>
            </w:r>
            <w:r w:rsidRPr="004D0FC0">
              <w:t xml:space="preserve"> </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Von den wichtigsten Arten von Arbeitnehmern tatsächlich geleistete Arbeitsstunden. </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nil"/>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Bezahlte Stunden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Für die wichtigsten Arten von Arbeitnehmern bezahlte Stunden.</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nil"/>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Arbeitnehmer</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Zahl der </w:t>
            </w:r>
            <w:r w:rsidRPr="004D0FC0">
              <w:rPr>
                <w:rFonts w:ascii="Times New Roman" w:hAnsi="Times New Roman"/>
                <w:sz w:val="24"/>
              </w:rPr>
              <w:t>Arbeitnehmer nach wichtigsten Arten.</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tcBorders>
              <w:top w:val="nil"/>
              <w:left w:val="single" w:sz="4" w:space="0" w:color="auto"/>
              <w:bottom w:val="single" w:sz="4" w:space="0" w:color="auto"/>
              <w:right w:val="single" w:sz="4" w:space="0" w:color="auto"/>
            </w:tcBorders>
          </w:tcPr>
          <w:p w:rsidR="001A747D" w:rsidRPr="004D0FC0" w:rsidRDefault="001A747D">
            <w:pPr>
              <w:pStyle w:val="ListParagraph"/>
              <w:ind w:left="0"/>
              <w:jc w:val="both"/>
              <w:rPr>
                <w:rFonts w:ascii="Times New Roman" w:hAnsi="Times New Roman" w:cs="Times New Roman"/>
                <w:noProof/>
                <w:sz w:val="24"/>
                <w:szCs w:val="24"/>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Örtliche Einheiten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Informationen über in der Stichprobe enthaltene örtliche Einheiten.</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Arbeitskostenindex</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Vierteljährlicher Arbeitskostenindex pro Arbeitsstunde </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Vierjährlicher Arbeitskostenindex pro </w:t>
            </w:r>
            <w:r w:rsidRPr="004D0FC0">
              <w:rPr>
                <w:rFonts w:ascii="Times New Roman" w:hAnsi="Times New Roman"/>
                <w:sz w:val="24"/>
              </w:rPr>
              <w:t>Arbeitsstunde nach Kostenart; unbereinigte und bereinigte Zeitreihen.</w:t>
            </w:r>
          </w:p>
        </w:tc>
        <w:tc>
          <w:tcPr>
            <w:tcW w:w="62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Kalenderquartal</w:t>
            </w:r>
          </w:p>
        </w:tc>
        <w:tc>
          <w:tcPr>
            <w:tcW w:w="762"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Frühzeitige Schätzungen: T+45 Tage</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Endgültige Daten: T+65 Tage</w:t>
            </w:r>
          </w:p>
        </w:tc>
        <w:tc>
          <w:tcPr>
            <w:tcW w:w="624"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Erstes Quartal 2026</w:t>
            </w: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Vierteljährlicher Index der Gesamtarbeitskosten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Unbereinigte und</w:t>
            </w:r>
            <w:r w:rsidRPr="004D0FC0">
              <w:rPr>
                <w:rFonts w:ascii="Times New Roman" w:hAnsi="Times New Roman"/>
                <w:sz w:val="24"/>
              </w:rPr>
              <w:t xml:space="preserve"> bereinigte Zeitreihen.</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Vierteljährlicher Index der geleisteten Arbeitsstunden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Unbereinigte und bereinigte Zeitreihen.</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7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62"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1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Jährliche Arbeitskosten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Jährliche Arbeitskostenniveaus (Gewichte) nach Kostenart.</w:t>
            </w:r>
          </w:p>
        </w:tc>
        <w:tc>
          <w:tcPr>
            <w:tcW w:w="627"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w:t>
            </w:r>
          </w:p>
        </w:tc>
        <w:tc>
          <w:tcPr>
            <w:tcW w:w="677"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Kalenderjahr</w:t>
            </w:r>
          </w:p>
        </w:tc>
        <w:tc>
          <w:tcPr>
            <w:tcW w:w="762" w:type="pct"/>
            <w:gridSpan w:val="2"/>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Ende des ersten </w:t>
            </w:r>
            <w:r w:rsidRPr="004D0FC0">
              <w:rPr>
                <w:rFonts w:ascii="Times New Roman" w:hAnsi="Times New Roman"/>
                <w:sz w:val="24"/>
              </w:rPr>
              <w:t>Quartals des Jahres „T+1“+65 Tage</w:t>
            </w:r>
          </w:p>
        </w:tc>
        <w:tc>
          <w:tcPr>
            <w:tcW w:w="624"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581C03">
        <w:trPr>
          <w:trHeight w:val="278"/>
        </w:trPr>
        <w:tc>
          <w:tcPr>
            <w:tcW w:w="571"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Arbeitsnachfrage</w:t>
            </w:r>
          </w:p>
        </w:tc>
        <w:tc>
          <w:tcPr>
            <w:tcW w:w="484"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Stellenangebote</w:t>
            </w:r>
          </w:p>
        </w:tc>
        <w:tc>
          <w:tcPr>
            <w:tcW w:w="1254" w:type="pct"/>
            <w:gridSpan w:val="2"/>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Freie Stellen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Erfasste Informationen über freie Stellen; unbereinigte und bereinigte Zeitreihen.</w:t>
            </w:r>
          </w:p>
        </w:tc>
        <w:tc>
          <w:tcPr>
            <w:tcW w:w="62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w:t>
            </w:r>
          </w:p>
        </w:tc>
        <w:tc>
          <w:tcPr>
            <w:tcW w:w="695"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Kalenderquartal</w:t>
            </w:r>
          </w:p>
        </w:tc>
        <w:tc>
          <w:tcPr>
            <w:tcW w:w="759" w:type="pct"/>
            <w:gridSpan w:val="2"/>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10"/>
              <w:jc w:val="both"/>
              <w:rPr>
                <w:rFonts w:ascii="Times New Roman" w:hAnsi="Times New Roman" w:cs="Times New Roman"/>
                <w:noProof/>
                <w:sz w:val="24"/>
                <w:szCs w:val="24"/>
              </w:rPr>
            </w:pPr>
            <w:r w:rsidRPr="004D0FC0">
              <w:rPr>
                <w:rFonts w:ascii="Times New Roman" w:hAnsi="Times New Roman"/>
                <w:sz w:val="24"/>
              </w:rPr>
              <w:t>- Frühzeitige Schätzungen: T+45 Tage</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 Endgültige Daten: </w:t>
            </w:r>
            <w:r w:rsidRPr="004D0FC0">
              <w:rPr>
                <w:rFonts w:ascii="Times New Roman" w:hAnsi="Times New Roman"/>
                <w:sz w:val="24"/>
              </w:rPr>
              <w:t>T+70 Tage</w:t>
            </w:r>
          </w:p>
        </w:tc>
        <w:tc>
          <w:tcPr>
            <w:tcW w:w="609"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10"/>
              <w:jc w:val="both"/>
              <w:rPr>
                <w:rFonts w:ascii="Times New Roman" w:hAnsi="Times New Roman" w:cs="Times New Roman"/>
                <w:noProof/>
                <w:sz w:val="24"/>
                <w:szCs w:val="24"/>
              </w:rPr>
            </w:pPr>
            <w:r w:rsidRPr="004D0FC0">
              <w:rPr>
                <w:rFonts w:ascii="Times New Roman" w:hAnsi="Times New Roman"/>
                <w:sz w:val="24"/>
              </w:rPr>
              <w:t>Erstes Quartal 2026</w:t>
            </w:r>
          </w:p>
        </w:tc>
      </w:tr>
      <w:tr w:rsidR="00796A4B" w:rsidRPr="004D0FC0" w:rsidTr="00581C03">
        <w:trPr>
          <w:trHeight w:val="277"/>
        </w:trPr>
        <w:tc>
          <w:tcPr>
            <w:tcW w:w="571"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484"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54" w:type="pct"/>
            <w:gridSpan w:val="2"/>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Besetzte Stellen </w:t>
            </w:r>
          </w:p>
          <w:p w:rsidR="001A747D" w:rsidRPr="004D0FC0" w:rsidRDefault="00B801A5">
            <w:pPr>
              <w:pStyle w:val="ListParagraph"/>
              <w:ind w:left="0"/>
              <w:jc w:val="both"/>
              <w:rPr>
                <w:noProof/>
                <w:sz w:val="24"/>
                <w:szCs w:val="24"/>
              </w:rPr>
            </w:pPr>
            <w:r w:rsidRPr="004D0FC0">
              <w:rPr>
                <w:rFonts w:ascii="Times New Roman" w:hAnsi="Times New Roman"/>
                <w:sz w:val="24"/>
              </w:rPr>
              <w:t>Erfasste Informationen über besetzte Stellen; unbereinigte und bereinigte Zeitreihen.</w:t>
            </w:r>
          </w:p>
        </w:tc>
        <w:tc>
          <w:tcPr>
            <w:tcW w:w="627"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95"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759" w:type="pct"/>
            <w:gridSpan w:val="2"/>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609" w:type="pct"/>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bl>
    <w:p w:rsidR="00A907EE" w:rsidRPr="004D0FC0" w:rsidRDefault="00B801A5" w:rsidP="00A907EE">
      <w:pPr>
        <w:pStyle w:val="AmOrLang"/>
      </w:pPr>
      <w:r w:rsidRPr="004D0FC0">
        <w:t xml:space="preserve">Or. </w:t>
      </w:r>
      <w:r w:rsidRPr="004D0FC0">
        <w:rPr>
          <w:rStyle w:val="HideTWBExt"/>
          <w:rFonts w:eastAsiaTheme="majorEastAsia"/>
        </w:rPr>
        <w:t>&lt;Original&gt;</w:t>
      </w:r>
      <w:r w:rsidR="00D06877" w:rsidRPr="004D0FC0">
        <w:rPr>
          <w:rStyle w:val="HideTWBInt"/>
        </w:rPr>
        <w:t>{EN}</w:t>
      </w:r>
      <w:r w:rsidR="00D06877" w:rsidRPr="004D0FC0">
        <w:t>en</w:t>
      </w:r>
      <w:r w:rsidRPr="004D0FC0">
        <w:rPr>
          <w:rStyle w:val="HideTWBExt"/>
          <w:rFonts w:eastAsiaTheme="majorEastAsia"/>
        </w:rPr>
        <w:t>&lt;/Original&gt;</w:t>
      </w:r>
    </w:p>
    <w:p w:rsidR="00A907EE" w:rsidRPr="004D0FC0" w:rsidRDefault="00B801A5" w:rsidP="00A907EE">
      <w:r w:rsidRPr="004D0FC0">
        <w:rPr>
          <w:rStyle w:val="HideTWBExt"/>
        </w:rPr>
        <w:t>&lt;/Amend&gt;</w:t>
      </w:r>
    </w:p>
    <w:p w:rsidR="00A907EE" w:rsidRPr="004D0FC0" w:rsidRDefault="00B801A5" w:rsidP="00A907EE">
      <w:pPr>
        <w:pStyle w:val="AmNumberTabs"/>
        <w:keepNext/>
      </w:pPr>
      <w:r w:rsidRPr="004D0FC0">
        <w:rPr>
          <w:rStyle w:val="HideTWBExt"/>
          <w:b w:val="0"/>
        </w:rPr>
        <w:t>&lt;Amend&gt;</w:t>
      </w:r>
      <w:r w:rsidRPr="004D0FC0">
        <w:t>Änderungsantrag</w:t>
      </w:r>
      <w:r w:rsidRPr="004D0FC0">
        <w:tab/>
      </w:r>
      <w:r w:rsidRPr="004D0FC0">
        <w:tab/>
      </w:r>
      <w:r w:rsidRPr="004D0FC0">
        <w:rPr>
          <w:rStyle w:val="HideTWBExt"/>
          <w:b w:val="0"/>
        </w:rPr>
        <w:t>&lt;NumAm&gt;</w:t>
      </w:r>
      <w:r w:rsidRPr="004D0FC0">
        <w:t>80</w:t>
      </w:r>
      <w:r w:rsidRPr="004D0FC0">
        <w:rPr>
          <w:rStyle w:val="HideTWBExt"/>
          <w:b w:val="0"/>
        </w:rPr>
        <w:t>&lt;/NumAm&gt;</w:t>
      </w:r>
    </w:p>
    <w:p w:rsidR="00A907EE" w:rsidRPr="004D0FC0" w:rsidRDefault="00B801A5" w:rsidP="00A907EE">
      <w:pPr>
        <w:pStyle w:val="NormalBold"/>
      </w:pPr>
      <w:r w:rsidRPr="004D0FC0">
        <w:rPr>
          <w:rStyle w:val="HideTWBExt"/>
          <w:b w:val="0"/>
        </w:rPr>
        <w:t>&lt;RepeatBlock-By&gt;&lt;Members&gt;</w:t>
      </w:r>
      <w:r w:rsidRPr="004D0FC0">
        <w:t xml:space="preserve">Irene </w:t>
      </w:r>
      <w:r w:rsidRPr="004D0FC0">
        <w:t>Tinagli</w:t>
      </w:r>
      <w:r w:rsidRPr="004D0FC0">
        <w:rPr>
          <w:rStyle w:val="HideTWBExt"/>
          <w:b w:val="0"/>
        </w:rPr>
        <w:t>&lt;/Members&gt;</w:t>
      </w:r>
    </w:p>
    <w:p w:rsidR="00A907EE" w:rsidRPr="004D0FC0" w:rsidRDefault="00B801A5" w:rsidP="00A907EE">
      <w:r w:rsidRPr="004D0FC0">
        <w:rPr>
          <w:rStyle w:val="HideTWBExt"/>
        </w:rPr>
        <w:t>&lt;/RepeatBlock-By&gt;</w:t>
      </w:r>
    </w:p>
    <w:p w:rsidR="00A907EE" w:rsidRPr="004D0FC0" w:rsidRDefault="00B801A5" w:rsidP="00A907EE">
      <w:pPr>
        <w:pStyle w:val="NormalBold"/>
      </w:pPr>
      <w:r w:rsidRPr="004D0FC0">
        <w:rPr>
          <w:rStyle w:val="HideTWBExt"/>
          <w:b w:val="0"/>
        </w:rPr>
        <w:t>&lt;DocAmend&gt;</w:t>
      </w:r>
      <w:r w:rsidRPr="004D0FC0">
        <w:t>Vorschlag für eine Verordnung</w:t>
      </w:r>
      <w:r w:rsidRPr="004D0FC0">
        <w:rPr>
          <w:rStyle w:val="HideTWBExt"/>
          <w:b w:val="0"/>
        </w:rPr>
        <w:t>&lt;/DocAmend&gt;</w:t>
      </w:r>
    </w:p>
    <w:p w:rsidR="00A907EE" w:rsidRPr="004D0FC0" w:rsidRDefault="00B801A5" w:rsidP="00A907EE">
      <w:pPr>
        <w:pStyle w:val="NormalBold"/>
        <w:keepNext/>
      </w:pPr>
      <w:r w:rsidRPr="004D0FC0">
        <w:rPr>
          <w:rStyle w:val="HideTWBExt"/>
          <w:b w:val="0"/>
        </w:rPr>
        <w:t>&lt;Article&gt;</w:t>
      </w:r>
      <w:r w:rsidRPr="004D0FC0">
        <w:t>Anhang – Tabelle</w:t>
      </w:r>
      <w:r w:rsidRPr="004D0FC0">
        <w:rPr>
          <w:rStyle w:val="HideTWBExt"/>
          <w:b w:val="0"/>
        </w:rPr>
        <w:t>&lt;/Article&gt;</w:t>
      </w:r>
    </w:p>
    <w:tbl>
      <w:tblPr>
        <w:tblW w:w="5625" w:type="pct"/>
        <w:tblInd w:w="-318" w:type="dxa"/>
        <w:tblLook w:val="04A0" w:firstRow="1" w:lastRow="0" w:firstColumn="1" w:lastColumn="0" w:noHBand="0" w:noVBand="1"/>
      </w:tblPr>
      <w:tblGrid>
        <w:gridCol w:w="1869"/>
        <w:gridCol w:w="2536"/>
        <w:gridCol w:w="2562"/>
        <w:gridCol w:w="1616"/>
        <w:gridCol w:w="1763"/>
        <w:gridCol w:w="2509"/>
        <w:gridCol w:w="1763"/>
      </w:tblGrid>
      <w:tr w:rsidR="00796A4B" w:rsidRPr="004D0FC0" w:rsidTr="001A747D">
        <w:tc>
          <w:tcPr>
            <w:tcW w:w="525"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Bereich</w:t>
            </w:r>
          </w:p>
        </w:tc>
        <w:tc>
          <w:tcPr>
            <w:tcW w:w="56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Thema</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Einzelthema</w:t>
            </w:r>
          </w:p>
        </w:tc>
        <w:tc>
          <w:tcPr>
            <w:tcW w:w="623"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Periodizität</w:t>
            </w:r>
          </w:p>
        </w:tc>
        <w:tc>
          <w:tcPr>
            <w:tcW w:w="677"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vertAlign w:val="superscript"/>
              </w:rPr>
            </w:pPr>
            <w:r w:rsidRPr="004D0FC0">
              <w:rPr>
                <w:rFonts w:ascii="Times New Roman" w:hAnsi="Times New Roman"/>
                <w:sz w:val="24"/>
              </w:rPr>
              <w:t xml:space="preserve">Bezugszeitraum </w:t>
            </w:r>
          </w:p>
        </w:tc>
        <w:tc>
          <w:tcPr>
            <w:tcW w:w="762"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vertAlign w:val="superscript"/>
              </w:rPr>
            </w:pPr>
            <w:r w:rsidRPr="004D0FC0">
              <w:rPr>
                <w:rFonts w:ascii="Times New Roman" w:hAnsi="Times New Roman"/>
                <w:sz w:val="24"/>
              </w:rPr>
              <w:t xml:space="preserve">Datenübermittlungsfrist </w:t>
            </w:r>
            <w:r w:rsidRPr="004D0FC0">
              <w:rPr>
                <w:rFonts w:ascii="Times New Roman" w:hAnsi="Times New Roman"/>
                <w:sz w:val="24"/>
                <w:vertAlign w:val="superscript"/>
              </w:rPr>
              <w:t>(1) (2)</w:t>
            </w:r>
          </w:p>
        </w:tc>
        <w:tc>
          <w:tcPr>
            <w:tcW w:w="625"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Erster Bezugszeitraum</w:t>
            </w:r>
          </w:p>
        </w:tc>
      </w:tr>
      <w:tr w:rsidR="00796A4B" w:rsidRPr="004D0FC0" w:rsidTr="001A747D">
        <w:tc>
          <w:tcPr>
            <w:tcW w:w="5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Verdienste</w:t>
            </w:r>
          </w:p>
        </w:tc>
        <w:tc>
          <w:tcPr>
            <w:tcW w:w="564"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Struktur der</w:t>
            </w:r>
            <w:r w:rsidRPr="004D0FC0">
              <w:rPr>
                <w:rFonts w:ascii="Times New Roman" w:hAnsi="Times New Roman"/>
                <w:sz w:val="24"/>
              </w:rPr>
              <w:t xml:space="preserve"> Verdienste</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Verdienste</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Jahres- und Monatsgesamtverdienst und alle seine Komponenten sowie Stundenverdienst für jeden Arbeitnehmer in der Stichprobe.</w:t>
            </w:r>
          </w:p>
        </w:tc>
        <w:tc>
          <w:tcPr>
            <w:tcW w:w="623"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Kalenderjahr </w:t>
            </w:r>
          </w:p>
        </w:tc>
        <w:tc>
          <w:tcPr>
            <w:tcW w:w="762"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T+16 Monate</w:t>
            </w:r>
          </w:p>
        </w:tc>
        <w:tc>
          <w:tcPr>
            <w:tcW w:w="6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2026 </w:t>
            </w: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Merkmale des Arbeitgebers</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Wirtschaftliche, rechtliche, </w:t>
            </w:r>
            <w:r w:rsidRPr="004D0FC0">
              <w:rPr>
                <w:rFonts w:ascii="Times New Roman" w:hAnsi="Times New Roman"/>
                <w:sz w:val="24"/>
              </w:rPr>
              <w:t xml:space="preserve">geografische und beschäftigungsbezogene Informationen über die örtliche Einheit, zu der jeder in der Stichprobe erfasste Arbeitnehmer gehört, und über ihr Unternehmen.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Merkmale des Arbeitnehmers</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Individuelle demografische, bildungsbezogene, </w:t>
            </w:r>
            <w:r w:rsidRPr="004D0FC0">
              <w:rPr>
                <w:rFonts w:ascii="Times New Roman" w:hAnsi="Times New Roman"/>
                <w:sz w:val="24"/>
              </w:rPr>
              <w:t>vertragliche und berufliche Informationen über jeden Arbeitnehmer in der Stichprobe.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Arbeitszeiten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Informationen über bezahlte Arbeitszeiten für jeden Arbeitnehmer in der Stichprobe.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Technische Angaben der Erhebung</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Angaben zur Stichprobe und </w:t>
            </w:r>
            <w:r w:rsidRPr="004D0FC0">
              <w:rPr>
                <w:rFonts w:ascii="Times New Roman" w:hAnsi="Times New Roman"/>
                <w:sz w:val="24"/>
              </w:rPr>
              <w:t xml:space="preserve">Datenerhebung für jeden in die Stichprobe einbezogenen Arbeitnehmer und seinen Arbeitgeber (z. B. Gewichte).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64"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Geschlechtsspezifisches Lohngefälle</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Stundenverdienst</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Stundenverdienst von Arbeitnehmern und Arbeitnehmerinnen nach Hauptmerkmalen des </w:t>
            </w:r>
            <w:r w:rsidRPr="004D0FC0">
              <w:rPr>
                <w:rFonts w:ascii="Times New Roman" w:hAnsi="Times New Roman"/>
                <w:sz w:val="24"/>
              </w:rPr>
              <w:t>Arbeitgebers und der Arbeitnehmenden und entsprechende relative Unterschiede zwischen den Stundenverdiensten von Arbeitnehmern und Arbeitnehmerinnen.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Kalenderjahr </w:t>
            </w:r>
          </w:p>
        </w:tc>
        <w:tc>
          <w:tcPr>
            <w:tcW w:w="762"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T+13 Monate</w:t>
            </w:r>
          </w:p>
        </w:tc>
        <w:tc>
          <w:tcPr>
            <w:tcW w:w="6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2026 </w:t>
            </w: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Arbeitnehmer</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Anzahl der Arbeitnehmer und Arbeitnehmerinnen nac</w:t>
            </w:r>
            <w:r w:rsidRPr="004D0FC0">
              <w:rPr>
                <w:rFonts w:ascii="Times New Roman" w:hAnsi="Times New Roman"/>
                <w:sz w:val="24"/>
              </w:rPr>
              <w:t>h Merkmalen des Arbeitgebers und der Arbeitnehmenden.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525" w:type="pct"/>
            <w:tcBorders>
              <w:top w:val="single" w:sz="4" w:space="0" w:color="auto"/>
              <w:left w:val="single" w:sz="4" w:space="0" w:color="auto"/>
              <w:bottom w:val="single" w:sz="4" w:space="0" w:color="auto"/>
              <w:right w:val="single" w:sz="4" w:space="0" w:color="auto"/>
            </w:tcBorders>
          </w:tcPr>
          <w:p w:rsidR="00581C03" w:rsidRPr="004D0FC0" w:rsidRDefault="00581C03" w:rsidP="00581C03">
            <w:pPr>
              <w:pStyle w:val="ListParagraph"/>
              <w:ind w:left="0"/>
              <w:jc w:val="both"/>
              <w:rPr>
                <w:rFonts w:ascii="Times New Roman" w:hAnsi="Times New Roman" w:cs="Times New Roman"/>
                <w:noProof/>
                <w:sz w:val="24"/>
                <w:szCs w:val="24"/>
              </w:rPr>
            </w:pPr>
          </w:p>
        </w:tc>
        <w:tc>
          <w:tcPr>
            <w:tcW w:w="564" w:type="pct"/>
            <w:tcBorders>
              <w:top w:val="single" w:sz="4" w:space="0" w:color="auto"/>
              <w:left w:val="single" w:sz="4" w:space="0" w:color="auto"/>
              <w:bottom w:val="nil"/>
              <w:right w:val="single" w:sz="4" w:space="0" w:color="auto"/>
            </w:tcBorders>
          </w:tcPr>
          <w:p w:rsidR="00581C03" w:rsidRPr="004D0FC0" w:rsidRDefault="00B801A5" w:rsidP="00581C03">
            <w:pPr>
              <w:pStyle w:val="ListParagraph"/>
              <w:ind w:left="0"/>
              <w:rPr>
                <w:rFonts w:ascii="Times New Roman" w:hAnsi="Times New Roman" w:cs="Times New Roman"/>
                <w:noProof/>
                <w:sz w:val="24"/>
              </w:rPr>
            </w:pPr>
            <w:r w:rsidRPr="004D0FC0">
              <w:rPr>
                <w:rFonts w:ascii="Times New Roman" w:hAnsi="Times New Roman"/>
                <w:b/>
              </w:rPr>
              <w:t>Tarifvertragliche Abdeckung</w:t>
            </w:r>
          </w:p>
        </w:tc>
        <w:tc>
          <w:tcPr>
            <w:tcW w:w="1224"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ListParagraph"/>
              <w:ind w:left="0"/>
              <w:rPr>
                <w:rFonts w:ascii="Times New Roman" w:hAnsi="Times New Roman" w:cs="Times New Roman"/>
                <w:noProof/>
              </w:rPr>
            </w:pPr>
            <w:r w:rsidRPr="004D0FC0">
              <w:rPr>
                <w:rFonts w:ascii="Times New Roman" w:hAnsi="Times New Roman"/>
                <w:b/>
              </w:rPr>
              <w:t>Anzahl der durch Tarifverträge abgedeckten Arbeitnehmer</w:t>
            </w:r>
          </w:p>
        </w:tc>
        <w:tc>
          <w:tcPr>
            <w:tcW w:w="623"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TableParagraph"/>
              <w:spacing w:line="270" w:lineRule="exact"/>
              <w:rPr>
                <w:b/>
                <w:sz w:val="2"/>
                <w:szCs w:val="2"/>
              </w:rPr>
            </w:pPr>
            <w:r w:rsidRPr="004D0FC0">
              <w:rPr>
                <w:b/>
                <w:sz w:val="24"/>
              </w:rPr>
              <w:t>Jährlich</w:t>
            </w:r>
          </w:p>
          <w:p w:rsidR="00581C03" w:rsidRPr="004D0FC0" w:rsidRDefault="00581C03" w:rsidP="00581C03">
            <w:pPr>
              <w:pStyle w:val="ListParagraph"/>
              <w:ind w:left="0"/>
              <w:rPr>
                <w:rFonts w:ascii="Times New Roman" w:hAnsi="Times New Roman" w:cs="Times New Roman"/>
                <w:noProof/>
                <w:sz w:val="24"/>
                <w:szCs w:val="24"/>
              </w:rPr>
            </w:pPr>
          </w:p>
        </w:tc>
        <w:tc>
          <w:tcPr>
            <w:tcW w:w="677"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ListParagraph"/>
              <w:ind w:left="0"/>
              <w:rPr>
                <w:rFonts w:ascii="Times New Roman" w:hAnsi="Times New Roman" w:cs="Times New Roman"/>
                <w:noProof/>
              </w:rPr>
            </w:pPr>
            <w:r w:rsidRPr="004D0FC0">
              <w:rPr>
                <w:rFonts w:ascii="Times New Roman" w:hAnsi="Times New Roman"/>
                <w:b/>
              </w:rPr>
              <w:t>Kalenderjahr</w:t>
            </w:r>
          </w:p>
        </w:tc>
        <w:tc>
          <w:tcPr>
            <w:tcW w:w="762"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ListParagraph"/>
              <w:ind w:left="0"/>
              <w:rPr>
                <w:rFonts w:ascii="Times New Roman" w:hAnsi="Times New Roman" w:cs="Times New Roman"/>
                <w:noProof/>
              </w:rPr>
            </w:pPr>
            <w:r w:rsidRPr="004D0FC0">
              <w:rPr>
                <w:rFonts w:ascii="Times New Roman" w:hAnsi="Times New Roman"/>
                <w:b/>
              </w:rPr>
              <w:t>T+13 Monate</w:t>
            </w:r>
          </w:p>
        </w:tc>
        <w:tc>
          <w:tcPr>
            <w:tcW w:w="625" w:type="pct"/>
            <w:tcBorders>
              <w:top w:val="single" w:sz="4" w:space="0" w:color="auto"/>
              <w:left w:val="single" w:sz="4" w:space="0" w:color="auto"/>
              <w:bottom w:val="single" w:sz="4" w:space="0" w:color="auto"/>
              <w:right w:val="single" w:sz="4" w:space="0" w:color="auto"/>
            </w:tcBorders>
          </w:tcPr>
          <w:p w:rsidR="00581C03" w:rsidRPr="004D0FC0" w:rsidRDefault="00B801A5" w:rsidP="00581C03">
            <w:pPr>
              <w:pStyle w:val="ListParagraph"/>
              <w:ind w:left="0"/>
              <w:rPr>
                <w:rFonts w:ascii="Times New Roman" w:hAnsi="Times New Roman" w:cs="Times New Roman"/>
                <w:noProof/>
              </w:rPr>
            </w:pPr>
            <w:r w:rsidRPr="004D0FC0">
              <w:rPr>
                <w:rFonts w:ascii="Times New Roman" w:hAnsi="Times New Roman"/>
                <w:b/>
              </w:rPr>
              <w:t>2026</w:t>
            </w:r>
          </w:p>
        </w:tc>
      </w:tr>
      <w:tr w:rsidR="00796A4B" w:rsidRPr="004D0FC0" w:rsidTr="001A747D">
        <w:tc>
          <w:tcPr>
            <w:tcW w:w="5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w:t>
            </w:r>
          </w:p>
        </w:tc>
        <w:tc>
          <w:tcPr>
            <w:tcW w:w="564" w:type="pct"/>
            <w:vMerge w:val="restart"/>
            <w:tcBorders>
              <w:top w:val="single" w:sz="4" w:space="0" w:color="auto"/>
              <w:left w:val="single" w:sz="4" w:space="0" w:color="auto"/>
              <w:bottom w:val="nil"/>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Struktur der Arbeitskosten</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Gesamtkosten, </w:t>
            </w:r>
            <w:r w:rsidRPr="004D0FC0">
              <w:rPr>
                <w:rFonts w:ascii="Times New Roman" w:hAnsi="Times New Roman"/>
                <w:sz w:val="24"/>
              </w:rPr>
              <w:t>die der Arbeitgeber für die Beschäftigung von Arbeitskräften trägt, und die Komponenten dieser Kosten.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Kalenderjahr</w:t>
            </w:r>
          </w:p>
        </w:tc>
        <w:tc>
          <w:tcPr>
            <w:tcW w:w="762"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T+18 Monate</w:t>
            </w:r>
          </w:p>
        </w:tc>
        <w:tc>
          <w:tcPr>
            <w:tcW w:w="6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2028</w:t>
            </w: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nil"/>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Geleistete Arbeitsstunden</w:t>
            </w:r>
            <w:r w:rsidRPr="004D0FC0">
              <w:t xml:space="preserve"> </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Von den wichtigsten Arten von Arbeitnehmern tatsächlich geleistete </w:t>
            </w:r>
            <w:r w:rsidRPr="004D0FC0">
              <w:rPr>
                <w:rFonts w:ascii="Times New Roman" w:hAnsi="Times New Roman"/>
                <w:sz w:val="24"/>
              </w:rPr>
              <w:t xml:space="preserve">Arbeitsstunden.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nil"/>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Bezahlte Stunden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Für die wichtigsten Arten von Arbeitnehmern bezahlte Stunden.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nil"/>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Arbeitnehmer</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Zahl der Arbeitnehmer nach wichtigsten Arten.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64" w:type="pct"/>
            <w:tcBorders>
              <w:top w:val="nil"/>
              <w:left w:val="single" w:sz="4" w:space="0" w:color="auto"/>
              <w:bottom w:val="single" w:sz="4" w:space="0" w:color="auto"/>
              <w:right w:val="single" w:sz="4" w:space="0" w:color="auto"/>
            </w:tcBorders>
          </w:tcPr>
          <w:p w:rsidR="001A747D" w:rsidRPr="004D0FC0" w:rsidRDefault="001A747D">
            <w:pPr>
              <w:pStyle w:val="ListParagraph"/>
              <w:ind w:left="0"/>
              <w:jc w:val="both"/>
              <w:rPr>
                <w:rFonts w:ascii="Times New Roman" w:hAnsi="Times New Roman" w:cs="Times New Roman"/>
                <w:noProof/>
                <w:sz w:val="24"/>
                <w:szCs w:val="24"/>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Örtliche Einheiten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Informationen über in der Stichprobe enthaltene örtliche </w:t>
            </w:r>
            <w:r w:rsidRPr="004D0FC0">
              <w:rPr>
                <w:rFonts w:ascii="Times New Roman" w:hAnsi="Times New Roman"/>
                <w:sz w:val="24"/>
              </w:rPr>
              <w:t>Einheiten.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564"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Arbeitskostenindex</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Vierteljährlicher Arbeitskostenindex pro Arbeitsstunde </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Vierjährlicher Arbeitskostenindex pro Arbeitsstunde nach Kostenart; unbereinigte und bereinigte Zeitreihen.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Kalenderquartal</w:t>
            </w:r>
          </w:p>
        </w:tc>
        <w:tc>
          <w:tcPr>
            <w:tcW w:w="762"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 Frühzeitige </w:t>
            </w:r>
            <w:r w:rsidRPr="004D0FC0">
              <w:rPr>
                <w:rFonts w:ascii="Times New Roman" w:hAnsi="Times New Roman"/>
                <w:sz w:val="24"/>
              </w:rPr>
              <w:t>Schätzungen: T+45 Tage</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Endgültige Daten: T+65 Tage</w:t>
            </w:r>
          </w:p>
        </w:tc>
        <w:tc>
          <w:tcPr>
            <w:tcW w:w="6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Erstes Quartal 2026</w:t>
            </w: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Vierteljährlicher Index der Gesamtarbeitskosten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Unbereinigte und bereinigte Zeitreihen.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Vierteljährlicher Index der geleisteten Arbeitsstunden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Unbereinigte und bereinigte </w:t>
            </w:r>
            <w:r w:rsidRPr="004D0FC0">
              <w:rPr>
                <w:rFonts w:ascii="Times New Roman" w:hAnsi="Times New Roman"/>
                <w:sz w:val="24"/>
              </w:rPr>
              <w:t>Zeitreihen.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Jährliche Arbeitskosten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Jährliche Arbeitskostenniveaus (Gewichte) nach Kostenart.</w:t>
            </w:r>
          </w:p>
        </w:tc>
        <w:tc>
          <w:tcPr>
            <w:tcW w:w="623"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Jährlich</w:t>
            </w:r>
          </w:p>
        </w:tc>
        <w:tc>
          <w:tcPr>
            <w:tcW w:w="677"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Kalenderjahr</w:t>
            </w:r>
          </w:p>
        </w:tc>
        <w:tc>
          <w:tcPr>
            <w:tcW w:w="762"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Ende des ersten Quartals des Jahres „T+1“+65 Tage</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r w:rsidR="00796A4B" w:rsidRPr="004D0FC0" w:rsidTr="001A747D">
        <w:trPr>
          <w:trHeight w:val="278"/>
        </w:trPr>
        <w:tc>
          <w:tcPr>
            <w:tcW w:w="5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Arbeitsnachfrage</w:t>
            </w:r>
          </w:p>
        </w:tc>
        <w:tc>
          <w:tcPr>
            <w:tcW w:w="564"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Stellenangebote</w:t>
            </w: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Freie Stellen</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Erfasste Informationen über freie </w:t>
            </w:r>
            <w:r w:rsidRPr="004D0FC0">
              <w:rPr>
                <w:rFonts w:ascii="Times New Roman" w:hAnsi="Times New Roman"/>
                <w:sz w:val="24"/>
              </w:rPr>
              <w:t>Stellen; unbereinigte und bereinigte Zeitreihen.</w:t>
            </w:r>
          </w:p>
        </w:tc>
        <w:tc>
          <w:tcPr>
            <w:tcW w:w="623"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Vierteljährlich</w:t>
            </w:r>
          </w:p>
        </w:tc>
        <w:tc>
          <w:tcPr>
            <w:tcW w:w="677"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Kalenderquartal</w:t>
            </w:r>
          </w:p>
        </w:tc>
        <w:tc>
          <w:tcPr>
            <w:tcW w:w="762"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10"/>
              <w:jc w:val="both"/>
              <w:rPr>
                <w:rFonts w:ascii="Times New Roman" w:hAnsi="Times New Roman" w:cs="Times New Roman"/>
                <w:noProof/>
                <w:sz w:val="24"/>
                <w:szCs w:val="24"/>
              </w:rPr>
            </w:pPr>
            <w:r w:rsidRPr="004D0FC0">
              <w:rPr>
                <w:rFonts w:ascii="Times New Roman" w:hAnsi="Times New Roman"/>
                <w:sz w:val="24"/>
              </w:rPr>
              <w:t>- Frühzeitige Schätzungen: T+45 Tage</w:t>
            </w:r>
          </w:p>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Endgültige Daten: T+70 Tage</w:t>
            </w:r>
          </w:p>
        </w:tc>
        <w:tc>
          <w:tcPr>
            <w:tcW w:w="625" w:type="pct"/>
            <w:vMerge w:val="restar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10"/>
              <w:jc w:val="both"/>
              <w:rPr>
                <w:rFonts w:ascii="Times New Roman" w:hAnsi="Times New Roman" w:cs="Times New Roman"/>
                <w:noProof/>
                <w:sz w:val="24"/>
                <w:szCs w:val="24"/>
              </w:rPr>
            </w:pPr>
            <w:r w:rsidRPr="004D0FC0">
              <w:rPr>
                <w:rFonts w:ascii="Times New Roman" w:hAnsi="Times New Roman"/>
                <w:sz w:val="24"/>
              </w:rPr>
              <w:t>Erstes Quartal 2026</w:t>
            </w:r>
          </w:p>
        </w:tc>
      </w:tr>
      <w:tr w:rsidR="00796A4B" w:rsidRPr="004D0FC0" w:rsidTr="001A747D">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1224" w:type="pct"/>
            <w:tcBorders>
              <w:top w:val="single" w:sz="4" w:space="0" w:color="auto"/>
              <w:left w:val="single" w:sz="4" w:space="0" w:color="auto"/>
              <w:bottom w:val="single" w:sz="4" w:space="0" w:color="auto"/>
              <w:right w:val="single" w:sz="4" w:space="0" w:color="auto"/>
            </w:tcBorders>
            <w:hideMark/>
          </w:tcPr>
          <w:p w:rsidR="001A747D" w:rsidRPr="004D0FC0" w:rsidRDefault="00B801A5">
            <w:pPr>
              <w:pStyle w:val="ListParagraph"/>
              <w:ind w:left="0"/>
              <w:jc w:val="both"/>
              <w:rPr>
                <w:rFonts w:ascii="Times New Roman" w:hAnsi="Times New Roman" w:cs="Times New Roman"/>
                <w:noProof/>
                <w:sz w:val="24"/>
                <w:szCs w:val="24"/>
              </w:rPr>
            </w:pPr>
            <w:r w:rsidRPr="004D0FC0">
              <w:rPr>
                <w:rFonts w:ascii="Times New Roman" w:hAnsi="Times New Roman"/>
                <w:sz w:val="24"/>
              </w:rPr>
              <w:t xml:space="preserve">Besetzte Stellen </w:t>
            </w:r>
          </w:p>
          <w:p w:rsidR="001A747D" w:rsidRPr="004D0FC0" w:rsidRDefault="00B801A5">
            <w:pPr>
              <w:pStyle w:val="ListParagraph"/>
              <w:ind w:left="0"/>
              <w:jc w:val="both"/>
              <w:rPr>
                <w:noProof/>
                <w:sz w:val="24"/>
                <w:szCs w:val="24"/>
              </w:rPr>
            </w:pPr>
            <w:r w:rsidRPr="004D0FC0">
              <w:rPr>
                <w:rFonts w:ascii="Times New Roman" w:hAnsi="Times New Roman"/>
                <w:sz w:val="24"/>
              </w:rPr>
              <w:t xml:space="preserve">Erfasste Informationen über besetzte Stellen; unbereinigte und </w:t>
            </w:r>
            <w:r w:rsidRPr="004D0FC0">
              <w:rPr>
                <w:rFonts w:ascii="Times New Roman" w:hAnsi="Times New Roman"/>
                <w:sz w:val="24"/>
              </w:rPr>
              <w:t>bereinigte Zeitreihen.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A747D" w:rsidRPr="004D0FC0" w:rsidRDefault="001A747D">
            <w:pPr>
              <w:rPr>
                <w:noProof/>
                <w:szCs w:val="24"/>
                <w:lang w:eastAsia="de-DE"/>
              </w:rPr>
            </w:pPr>
          </w:p>
        </w:tc>
      </w:tr>
    </w:tbl>
    <w:p w:rsidR="00A907EE" w:rsidRPr="004D0FC0" w:rsidRDefault="00B801A5" w:rsidP="00A907EE">
      <w:pPr>
        <w:pStyle w:val="AmOrLang"/>
      </w:pPr>
      <w:r w:rsidRPr="004D0FC0">
        <w:t xml:space="preserve">Or. </w:t>
      </w:r>
      <w:r w:rsidRPr="004D0FC0">
        <w:rPr>
          <w:rStyle w:val="HideTWBExt"/>
          <w:rFonts w:eastAsiaTheme="majorEastAsia"/>
        </w:rPr>
        <w:t>&lt;Original&gt;</w:t>
      </w:r>
      <w:r w:rsidR="00D06877" w:rsidRPr="004D0FC0">
        <w:rPr>
          <w:rStyle w:val="HideTWBInt"/>
        </w:rPr>
        <w:t>{EN}</w:t>
      </w:r>
      <w:r w:rsidR="00D06877" w:rsidRPr="004D0FC0">
        <w:t>en</w:t>
      </w:r>
      <w:r w:rsidRPr="004D0FC0">
        <w:rPr>
          <w:rStyle w:val="HideTWBExt"/>
          <w:rFonts w:eastAsiaTheme="majorEastAsia"/>
        </w:rPr>
        <w:t>&lt;/Original&gt;</w:t>
      </w:r>
    </w:p>
    <w:p w:rsidR="00A907EE" w:rsidRPr="004D0FC0" w:rsidRDefault="00B801A5" w:rsidP="00A907EE">
      <w:r w:rsidRPr="004D0FC0">
        <w:rPr>
          <w:rStyle w:val="HideTWBExt"/>
        </w:rPr>
        <w:t>&lt;/Amend&gt;</w:t>
      </w:r>
    </w:p>
    <w:p w:rsidR="00FA192C" w:rsidRPr="004D0FC0" w:rsidRDefault="00B801A5" w:rsidP="00FA192C">
      <w:r w:rsidRPr="004D0FC0">
        <w:rPr>
          <w:rStyle w:val="HideTWBExt"/>
        </w:rPr>
        <w:t>&lt;/RepeatBlock-Amend&gt;</w:t>
      </w:r>
      <w:bookmarkEnd w:id="2"/>
    </w:p>
    <w:p w:rsidR="008363E4" w:rsidRPr="004D0FC0" w:rsidRDefault="008363E4" w:rsidP="00FA192C"/>
    <w:sectPr w:rsidR="008363E4" w:rsidRPr="004D0FC0" w:rsidSect="006322D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D0FC0" w:rsidRDefault="00B801A5">
      <w:r w:rsidRPr="004D0FC0">
        <w:separator/>
      </w:r>
    </w:p>
  </w:endnote>
  <w:endnote w:type="continuationSeparator" w:id="0">
    <w:p w:rsidR="00000000" w:rsidRPr="004D0FC0" w:rsidRDefault="00B801A5">
      <w:r w:rsidRPr="004D0F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2D2" w:rsidRPr="004D0FC0" w:rsidRDefault="006322D2" w:rsidP="006322D2">
    <w:pPr>
      <w:pStyle w:val="EPFooter"/>
    </w:pPr>
    <w:r w:rsidRPr="004D0FC0">
      <w:t>PE</w:t>
    </w:r>
    <w:r w:rsidRPr="004D0FC0">
      <w:rPr>
        <w:rStyle w:val="HideTWBExt"/>
      </w:rPr>
      <w:t>&lt;NoPE&gt;</w:t>
    </w:r>
    <w:r w:rsidRPr="004D0FC0">
      <w:t>758.193</w:t>
    </w:r>
    <w:r w:rsidRPr="004D0FC0">
      <w:rPr>
        <w:rStyle w:val="HideTWBExt"/>
      </w:rPr>
      <w:t>&lt;/NoPE&gt;&lt;Version&gt;</w:t>
    </w:r>
    <w:r w:rsidRPr="004D0FC0">
      <w:t>v01-00</w:t>
    </w:r>
    <w:r w:rsidRPr="004D0FC0">
      <w:rPr>
        <w:rStyle w:val="HideTWBExt"/>
      </w:rPr>
      <w:t>&lt;/Version&gt;</w:t>
    </w:r>
    <w:r w:rsidRPr="004D0FC0">
      <w:tab/>
    </w:r>
    <w:r w:rsidRPr="004D0FC0">
      <w:fldChar w:fldCharType="begin"/>
    </w:r>
    <w:r w:rsidRPr="004D0FC0">
      <w:instrText xml:space="preserve"> PAGE  \* MERGEFORMAT </w:instrText>
    </w:r>
    <w:r w:rsidRPr="004D0FC0">
      <w:fldChar w:fldCharType="separate"/>
    </w:r>
    <w:r w:rsidR="00B801A5">
      <w:rPr>
        <w:noProof/>
      </w:rPr>
      <w:t>2</w:t>
    </w:r>
    <w:r w:rsidRPr="004D0FC0">
      <w:fldChar w:fldCharType="end"/>
    </w:r>
    <w:r w:rsidRPr="004D0FC0">
      <w:t>/</w:t>
    </w:r>
    <w:fldSimple w:instr=" NUMPAGES  \* MERGEFORMAT ">
      <w:r w:rsidR="00B801A5">
        <w:rPr>
          <w:noProof/>
        </w:rPr>
        <w:t>44</w:t>
      </w:r>
    </w:fldSimple>
    <w:r w:rsidRPr="004D0FC0">
      <w:tab/>
    </w:r>
    <w:r w:rsidRPr="004D0FC0">
      <w:rPr>
        <w:rStyle w:val="HideTWBExt"/>
      </w:rPr>
      <w:t>&lt;PathFdR&gt;</w:t>
    </w:r>
    <w:r w:rsidRPr="004D0FC0">
      <w:t>AM\1294937DE.docx</w:t>
    </w:r>
    <w:r w:rsidRPr="004D0FC0">
      <w:rPr>
        <w:rStyle w:val="HideTWBExt"/>
      </w:rPr>
      <w:t>&lt;/PathFdR&gt;</w:t>
    </w:r>
  </w:p>
  <w:p w:rsidR="00BD21EB" w:rsidRPr="004D0FC0" w:rsidRDefault="006322D2" w:rsidP="006322D2">
    <w:pPr>
      <w:pStyle w:val="EPFooter2"/>
    </w:pPr>
    <w:r w:rsidRPr="004D0FC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2D2" w:rsidRPr="004D0FC0" w:rsidRDefault="006322D2" w:rsidP="006322D2">
    <w:pPr>
      <w:pStyle w:val="EPFooter"/>
    </w:pPr>
    <w:r w:rsidRPr="004D0FC0">
      <w:rPr>
        <w:rStyle w:val="HideTWBExt"/>
      </w:rPr>
      <w:t>&lt;PathFdR&gt;</w:t>
    </w:r>
    <w:r w:rsidRPr="004D0FC0">
      <w:t>AM\1294937DE.docx</w:t>
    </w:r>
    <w:r w:rsidRPr="004D0FC0">
      <w:rPr>
        <w:rStyle w:val="HideTWBExt"/>
      </w:rPr>
      <w:t>&lt;/PathFdR&gt;</w:t>
    </w:r>
    <w:r w:rsidRPr="004D0FC0">
      <w:tab/>
    </w:r>
    <w:r w:rsidRPr="004D0FC0">
      <w:fldChar w:fldCharType="begin"/>
    </w:r>
    <w:r w:rsidRPr="004D0FC0">
      <w:instrText xml:space="preserve"> PAGE  \* MERGEFORMAT </w:instrText>
    </w:r>
    <w:r w:rsidRPr="004D0FC0">
      <w:fldChar w:fldCharType="separate"/>
    </w:r>
    <w:r w:rsidR="00B801A5">
      <w:rPr>
        <w:noProof/>
      </w:rPr>
      <w:t>3</w:t>
    </w:r>
    <w:r w:rsidRPr="004D0FC0">
      <w:fldChar w:fldCharType="end"/>
    </w:r>
    <w:r w:rsidRPr="004D0FC0">
      <w:t>/</w:t>
    </w:r>
    <w:fldSimple w:instr=" NUMPAGES  \* MERGEFORMAT ">
      <w:r w:rsidR="00B801A5">
        <w:rPr>
          <w:noProof/>
        </w:rPr>
        <w:t>44</w:t>
      </w:r>
    </w:fldSimple>
    <w:r w:rsidRPr="004D0FC0">
      <w:tab/>
      <w:t>PE</w:t>
    </w:r>
    <w:r w:rsidRPr="004D0FC0">
      <w:rPr>
        <w:rStyle w:val="HideTWBExt"/>
      </w:rPr>
      <w:t>&lt;NoPE&gt;</w:t>
    </w:r>
    <w:r w:rsidRPr="004D0FC0">
      <w:t>758.193</w:t>
    </w:r>
    <w:r w:rsidRPr="004D0FC0">
      <w:rPr>
        <w:rStyle w:val="HideTWBExt"/>
      </w:rPr>
      <w:t>&lt;/NoPE&gt;&lt;Version&gt;</w:t>
    </w:r>
    <w:r w:rsidRPr="004D0FC0">
      <w:t>v01-00</w:t>
    </w:r>
    <w:r w:rsidRPr="004D0FC0">
      <w:rPr>
        <w:rStyle w:val="HideTWBExt"/>
      </w:rPr>
      <w:t>&lt;/Version&gt;</w:t>
    </w:r>
  </w:p>
  <w:p w:rsidR="00BD21EB" w:rsidRPr="004D0FC0" w:rsidRDefault="006322D2" w:rsidP="006322D2">
    <w:pPr>
      <w:pStyle w:val="EPFooter2"/>
    </w:pPr>
    <w:r w:rsidRPr="004D0FC0">
      <w:tab/>
    </w:r>
    <w:r w:rsidRPr="004D0FC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22D2" w:rsidRPr="004D0FC0" w:rsidRDefault="006322D2" w:rsidP="006322D2">
    <w:pPr>
      <w:pStyle w:val="EPFooter"/>
    </w:pPr>
    <w:r w:rsidRPr="004D0FC0">
      <w:rPr>
        <w:rStyle w:val="HideTWBExt"/>
      </w:rPr>
      <w:t>&lt;PathFdR&gt;</w:t>
    </w:r>
    <w:r w:rsidRPr="004D0FC0">
      <w:t>AM\1294937DE.docx</w:t>
    </w:r>
    <w:r w:rsidRPr="004D0FC0">
      <w:rPr>
        <w:rStyle w:val="HideTWBExt"/>
      </w:rPr>
      <w:t>&lt;/PathFdR&gt;</w:t>
    </w:r>
    <w:r w:rsidRPr="004D0FC0">
      <w:tab/>
    </w:r>
    <w:r w:rsidRPr="004D0FC0">
      <w:tab/>
      <w:t>PE</w:t>
    </w:r>
    <w:r w:rsidRPr="004D0FC0">
      <w:rPr>
        <w:rStyle w:val="HideTWBExt"/>
      </w:rPr>
      <w:t>&lt;NoPE&gt;</w:t>
    </w:r>
    <w:r w:rsidRPr="004D0FC0">
      <w:t>758.193</w:t>
    </w:r>
    <w:r w:rsidRPr="004D0FC0">
      <w:rPr>
        <w:rStyle w:val="HideTWBExt"/>
      </w:rPr>
      <w:t>&lt;/NoPE&gt;&lt;Version&gt;</w:t>
    </w:r>
    <w:r w:rsidRPr="004D0FC0">
      <w:t>v01-00</w:t>
    </w:r>
    <w:r w:rsidRPr="004D0FC0">
      <w:rPr>
        <w:rStyle w:val="HideTWBExt"/>
      </w:rPr>
      <w:t>&lt;/Version&gt;</w:t>
    </w:r>
  </w:p>
  <w:p w:rsidR="00BD21EB" w:rsidRPr="004D0FC0" w:rsidRDefault="006322D2" w:rsidP="006322D2">
    <w:pPr>
      <w:pStyle w:val="EPFooter2"/>
    </w:pPr>
    <w:r w:rsidRPr="004D0FC0">
      <w:t>DE</w:t>
    </w:r>
    <w:r w:rsidRPr="004D0FC0">
      <w:tab/>
    </w:r>
    <w:r w:rsidRPr="004D0FC0">
      <w:rPr>
        <w:b w:val="0"/>
        <w:i/>
        <w:color w:val="C0C0C0"/>
        <w:sz w:val="22"/>
      </w:rPr>
      <w:t>In Vielfalt geeint</w:t>
    </w:r>
    <w:r w:rsidRPr="004D0FC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D0FC0" w:rsidRDefault="00B801A5">
      <w:r w:rsidRPr="004D0FC0">
        <w:separator/>
      </w:r>
    </w:p>
  </w:footnote>
  <w:footnote w:type="continuationSeparator" w:id="0">
    <w:p w:rsidR="00000000" w:rsidRPr="004D0FC0" w:rsidRDefault="00B801A5">
      <w:r w:rsidRPr="004D0F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1A5" w:rsidRDefault="00B801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1A5" w:rsidRDefault="00B801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1A5" w:rsidRDefault="00B801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opyToNetwork" w:val="-1"/>
    <w:docVar w:name="CVA" w:val="7"/>
    <w:docVar w:name="DOCCODMNU" w:val=" 1"/>
    <w:docVar w:name="DOCDT" w:val="24/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171668 HideTWBInt;}}{\*\rsidtbl \rsid24658\rsid223860\rsid735077\rsid1718133\rsid2171668\rsid2892074_x000d__x000a_\rsid3565327\rsid4666813\rsid6641733\rsid7823322\rsid924463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ROUSSEVA Albena Lubomirova}{\operator ROUSSEVA Albena Lubomirova}{\creatim\yr2024\mo1\dy18\hr12\min15}{\revtim\yr2024\mo1\dy18\hr12\min15}_x000d__x000a_{\version1}{\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71668\newtblstyruls\nogrowautofit\usenormstyforlist\noindnmbrts\felnbrelev\nocxsptable\indrlsweleven\noafcnsttbl\afelev\utinl\hwelev\spltpgpar\notcvasp\notbrkcnstfrctbl\notvatxbx\krnprsnet\cachedcolbal _x000d__x000a_\nouicompat \fet0{\*\wgrffmtfilter 013f}\nofeaturethrottle1\ilfomacatclnup0{\*\template C:\\Users\\ALROUS~1\\AppData\\Local\\Temp\\Blank1.dotx}{\*\ftnsep \ltrpar \pard\plain \ltrpar_x000d__x000a_\ql \li0\ri0\widctlpar\wrapdefault\aspalpha\aspnum\faauto\adjustright\rin0\lin0\itap0 \rtlch\fcs1 \af0\afs20\alang1025 \ltrch\fcs0 \fs24\lang2057\langfe2057\cgrid\langnp2057\langfenp2057 {\rtlch\fcs1 \af0 \ltrch\fcs0 \insrsid9244636 \chftnsep _x000d__x000a_\par }}{\*\ftnsepc \ltrpar \pard\plain \ltrpar\ql \li0\ri0\widctlpar\wrapdefault\aspalpha\aspnum\faauto\adjustright\rin0\lin0\itap0 \rtlch\fcs1 \af0\afs20\alang1025 \ltrch\fcs0 \fs24\lang2057\langfe2057\cgrid\langnp2057\langfenp2057 {\rtlch\fcs1 \af0 _x000d__x000a_\ltrch\fcs0 \insrsid9244636 \chftnsepc _x000d__x000a_\par }}{\*\aftnsep \ltrpar \pard\plain \ltrpar\ql \li0\ri0\widctlpar\wrapdefault\aspalpha\aspnum\faauto\adjustright\rin0\lin0\itap0 \rtlch\fcs1 \af0\afs20\alang1025 \ltrch\fcs0 \fs24\lang2057\langfe2057\cgrid\langnp2057\langfenp2057 {\rtlch\fcs1 \af0 _x000d__x000a_\ltrch\fcs0 \insrsid9244636 \chftnsep _x000d__x000a_\par }}{\*\aftnsepc \ltrpar \pard\plain \ltrpar\ql \li0\ri0\widctlpar\wrapdefault\aspalpha\aspnum\faauto\adjustright\rin0\lin0\itap0 \rtlch\fcs1 \af0\afs20\alang1025 \ltrch\fcs0 \fs24\lang2057\langfe2057\cgrid\langnp2057\langfenp2057 {\rtlch\fcs1 \af0 _x000d__x000a_\ltrch\fcs0 \insrsid92446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171668\charrsid5245788 {\*\bkmkstart ReplaceBookmark}#}{\rtlch\fcs1 \af1 \ltrch\fcs0 _x000d__x000a_\cs17\v\f1\fs20\cf15\insrsid2171668\charrsid5245788 &gt;&gt;&gt;CVAR@@AmendA}{\rtlch\fcs1 \af0 \ltrch\fcs0 \insrsid2171668\charrsid524578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8_x000d__x000a_ebaaff4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25617 HideTWBExt;}{\*\cs18 \additive \v\f1\fs20\cf15 _x000d__x000a_\spriority0 \styrsid6625617 HideTWBInt;}{\s19\ql \li0\ri0\sa120\nowidctlpar\wrapdefault\aspalpha\aspnum\faauto\adjustright\rin0\lin0\itap0 \rtlch\fcs1 \af0\afs20\alang1025 \ltrch\fcs0 \fs24\lang2057\langfe2057\cgrid\langnp2057\langfenp2057 _x000d__x000a_\sbasedon0 \snext19 \spriority0 \styrsid6625617 Normal6a;}{\s20\ql \li0\ri0\nowidctlpar\wrapdefault\aspalpha\aspnum\faauto\adjustright\rin0\lin0\itap0 \rtlch\fcs1 \af0\afs20\alang1025 \ltrch\fcs0 \b\fs24\lang2057\langfe2057\cgrid\langnp2057\langfenp2057 _x000d__x000a_\sbasedon0 \snext20 \spriority0 \styrsid6625617 NormalBold;}{\s21\ql \li0\ri0\sa240\nowidctlpar\wrapdefault\aspalpha\aspnum\faauto\adjustright\rin0\lin0\itap0 \rtlch\fcs1 \af0\afs20\alang1025 \ltrch\fcs0 _x000d__x000a_\i\fs24\lang2057\langfe2057\cgrid\langnp2057\langfenp2057 \sbasedon0 \snext21 \spriority0 \styrsid6625617 AmJustText;}{\s22\qc \li0\ri0\sb240\sa240\nowidctlpar\wrapdefault\aspalpha\aspnum\faauto\adjustright\rin0\lin0\itap0 \rtlch\fcs1 _x000d__x000a_\af0\afs20\alang1025 \ltrch\fcs0 \i\fs24\lang2057\langfe2057\cgrid\langnp2057\langfenp2057 \sbasedon0 \snext22 \spriority0 \styrsid6625617 AmCrossRef;}{_x000d__x000a_\s23\qc \li0\ri0\sb240\sa240\keepn\nowidctlpar\wrapdefault\aspalpha\aspnum\faauto\adjustright\rin0\lin0\itap0 \rtlch\fcs1 \af0\afs20\alang1025 \ltrch\fcs0 \i\fs24\lang2057\langfe2057\cgrid\langnp2057\langfenp2057 _x000d__x000a_\sbasedon0 \snext21 \spriority0 \styrsid6625617 AmJustTitle;}{\s24\qr \li0\ri0\sb240\sa240\nowidctlpar\wrapdefault\aspalpha\aspnum\faauto\adjustright\rin0\lin0\itap0 \rtlch\fcs1 \af0\afs20\alang1025 \ltrch\fcs0 _x000d__x000a_\fs24\lang2057\langfe2057\cgrid\langnp2057\langfenp2057 \sbasedon0 \snext24 \spriority0 \styrsid6625617 AmOrLang;}{\s25\qc \li0\ri0\sa240\nowidctlpar\wrapdefault\aspalpha\aspnum\faauto\adjustright\rin0\lin0\itap0 \rtlch\fcs1 \af0\afs20\alang1025 _x000d__x000a_\ltrch\fcs0 \i\fs24\lang2057\langfe2057\cgrid\langnp2057\langfenp2057 \sbasedon0 \snext25 \spriority0 \styrsid662561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625617 AmNumberTabs;}}{\*\rsidtbl \rsid24658\rsid223860\rsid735077\rsid1718133\rsid2892074\rsid3565327\rsid4666813\rsid6625617\rsid6641733_x000d__x000a_\rsid7823322\rsid9636012\rsid10377208\rsid11215221\rsid11549030\rsid12154954\rsid14382809\rsid14424199\rsid15204470\rsid15285974\rsid15950462\rsid16148505\rsid16324206\rsid16662270}{\mmathPr\mmathFont34\mbrkBin0\mbrkBinSub0\msmallFrac0\mdispDef1\mlMargin0_x000d__x000a_\mrMargin0\mdefJc1\mwrapIndent1440\mintLim0\mnaryLim1}{\info{\author ROUSSEVA Albena Lubomirova}{\operator ROUSSEVA Albena Lubomirova}{\creatim\yr2024\mo1\dy18\hr12\min15}{\revtim\yr2024\mo1\dy18\hr12\min15}{\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25617\newtblstyruls\nogrowautofit\usenormstyforlist\noindnmbrts\felnbrelev\nocxsptable\indrlsweleven\noafcnsttbl\afelev\utinl\hwelev\spltpgpar\notcvasp\notbrkcnstfrctbl\notvatxbx\krnprsnet\cachedcolbal _x000d__x000a_\nouicompat \fet0{\*\wgrffmtfilter 013f}\nofeaturethrottle1\ilfomacatclnup0{\*\template C:\\Users\\ALROUS~1\\AppData\\Local\\Temp\\Blank1.dotx}{\*\ftnsep \ltrpar \pard\plain \ltrpar_x000d__x000a_\ql \li0\ri0\widctlpar\wrapdefault\aspalpha\aspnum\faauto\adjustright\rin0\lin0\itap0 \rtlch\fcs1 \af0\afs20\alang1025 \ltrch\fcs0 \fs24\lang2057\langfe2057\cgrid\langnp2057\langfenp2057 {\rtlch\fcs1 \af0 \ltrch\fcs0 \insrsid16148505 \chftnsep _x000d__x000a_\par }}{\*\ftnsepc \ltrpar \pard\plain \ltrpar\ql \li0\ri0\widctlpar\wrapdefault\aspalpha\aspnum\faauto\adjustright\rin0\lin0\itap0 \rtlch\fcs1 \af0\afs20\alang1025 \ltrch\fcs0 \fs24\lang2057\langfe2057\cgrid\langnp2057\langfenp2057 {\rtlch\fcs1 \af0 _x000d__x000a_\ltrch\fcs0 \insrsid16148505 \chftnsepc _x000d__x000a_\par }}{\*\aftnsep \ltrpar \pard\plain \ltrpar\ql \li0\ri0\widctlpar\wrapdefault\aspalpha\aspnum\faauto\adjustright\rin0\lin0\itap0 \rtlch\fcs1 \af0\afs20\alang1025 \ltrch\fcs0 \fs24\lang2057\langfe2057\cgrid\langnp2057\langfenp2057 {\rtlch\fcs1 \af0 _x000d__x000a_\ltrch\fcs0 \insrsid16148505 \chftnsep _x000d__x000a_\par }}{\*\aftnsepc \ltrpar \pard\plain \ltrpar\ql \li0\ri0\widctlpar\wrapdefault\aspalpha\aspnum\faauto\adjustright\rin0\lin0\itap0 \rtlch\fcs1 \af0\afs20\alang1025 \ltrch\fcs0 \fs24\lang2057\langfe2057\cgrid\langnp2057\langfenp2057 {\rtlch\fcs1 \af0 _x000d__x000a_\ltrch\fcs0 \insrsid16148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25617 \rtlch\fcs1 _x000d__x000a_\af0\afs20\alang1025 \ltrch\fcs0 \b\fs24\lang2057\langfe2057\cgrid\langnp2057\langfenp2057 {\rtlch\fcs1 \af0 \ltrch\fcs0 \cs17\b0\v\fs20\cf9\lang1024\langfe1024\loch\af1\hich\af1\dbch\af31501\noproof\insrsid6625617\charrsid5245788 {\*\bkmkstart restart}_x000d__x000a_\hich\af1\dbch\af31501\loch\f1 &lt;}{\rtlch\fcs1 \af0 \ltrch\fcs0 \cs17\b0\v\fs20\cf9\lang1024\langfe1024\loch\af1\hich\af1\dbch\af31501\noproof\insrsid6625617 \hich\af1\dbch\af31501\loch\f1 Amend}{\rtlch\fcs1 \af0 \ltrch\fcs0 _x000d__x000a_\cs17\b0\v\fs20\cf9\lang1024\langfe1024\loch\af1\hich\af1\dbch\af31501\noproof\insrsid6625617\charrsid5245788 \hich\af1\dbch\af31501\loch\f1 &gt;}{\rtlch\fcs1 \af0 \ltrch\fcs0 \insrsid6625617\charrsid5245788 Amendment\tab \tab }{\rtlch\fcs1 \af0 \ltrch\fcs0 _x000d__x000a_\cs17\b0\v\fs20\cf9\lang1024\langfe1024\loch\af1\hich\af1\dbch\af31501\noproof\insrsid6625617\charrsid5245788 \hich\af1\dbch\af31501\loch\f1 &lt;}{\rtlch\fcs1 \af0 \ltrch\fcs0 _x000d__x000a_\cs17\b0\v\fs20\cf9\lang1024\langfe1024\loch\af1\hich\af1\dbch\af31501\noproof\insrsid6625617 \hich\af1\dbch\af31501\loch\f1 NumAm&gt;}{\rtlch\fcs1 \af0 \ltrch\fcs0 \insrsid6625617\charrsid5245788 #}{\rtlch\fcs1 \af1 \ltrch\fcs0 _x000d__x000a_\cs18\v\f1\fs20\cf15\insrsid6625617\charrsid5245788 ENMIENDA@NRAM@}{\rtlch\fcs1 \af0 \ltrch\fcs0 \insrsid6625617\charrsid5245788 #}{\rtlch\fcs1 \af0 \ltrch\fcs0 _x000d__x000a_\cs17\b0\v\fs20\cf9\lang1024\langfe1024\loch\af1\hich\af1\dbch\af31501\noproof\insrsid6625617\charrsid5245788 \hich\af1\dbch\af31501\loch\f1 &lt;/}{\rtlch\fcs1 \af0 \ltrch\fcs0 _x000d__x000a_\cs17\b0\v\fs20\cf9\lang1024\langfe1024\loch\af1\hich\af1\dbch\af31501\noproof\insrsid6625617 \hich\af1\dbch\af31501\loch\f1 NumAm&gt;}{\rtlch\fcs1 \af0 \ltrch\fcs0 \insrsid6625617\charrsid5245788 _x000d__x000a_\par }\pard\plain \ltrpar\s20\ql \li0\ri0\nowidctlpar\wrapdefault\aspalpha\aspnum\faauto\adjustright\rin0\lin0\itap0\pararsid6625617 \rtlch\fcs1 \af0\afs20\alang1025 \ltrch\fcs0 \b\fs24\lang2057\langfe2057\cgrid\langnp2057\langfenp2057 {\rtlch\fcs1 \af0 _x000d__x000a_\ltrch\fcs0 \cs17\b0\v\fs20\cf9\lang1024\langfe1024\loch\af1\hich\af1\dbch\af31501\noproof\insrsid6625617\charrsid5245788 \hich\af1\dbch\af31501\loch\f1 &lt;\hich\af1\dbch\af31501\loch\f1 RepeatBlock-By&gt;}{\rtlch\fcs1 \af0 \ltrch\fcs0 _x000d__x000a_\insrsid6625617\charrsid5245788 #}{\rtlch\fcs1 \af1 \ltrch\fcs0 \cs18\v\f1\fs20\cf15\insrsid6625617\charrsid5245788 (MOD@InsideLoop()}{\rtlch\fcs1 \af0 \ltrch\fcs0 \insrsid6625617\charrsid5245788 ##}{\rtlch\fcs1 \af1 \ltrch\fcs0 _x000d__x000a_\cs18\v\f1\fs20\cf15\insrsid6625617\charrsid5245788 &gt;&gt;&gt;@[ZMEMBERSMSG]@}{\rtlch\fcs1 \af0 \ltrch\fcs0 \insrsid6625617\charrsid5245788 #}{\rtlch\fcs1 \af0 \ltrch\fcs0 _x000d__x000a_\cs17\b0\v\fs20\cf9\lang1024\langfe1024\loch\af1\hich\af1\dbch\af31501\noproof\insrsid6625617\charrsid5245788 \hich\af1\dbch\af31501\loch\f1 &lt;Members&gt;}{\rtlch\fcs1 \af0 \ltrch\fcs0 \insrsid6625617\charrsid5245788 #}{\rtlch\fcs1 \af1 \ltrch\fcs0 _x000d__x000a_\cs18\v\f1\fs20\cf15\insrsid6625617\charrsid5245788 (MOD@InsideLoop(\'a7)}{\rtlch\fcs1 \af0 \ltrch\fcs0 \insrsid6625617\charrsid5245788 #}{\rtlch\fcs1 \af0 \ltrch\fcs0 \cf10\insrsid6625617\charrsid8673194 \u9668\'3f}{\rtlch\fcs1 \af0 \ltrch\fcs0 _x000d__x000a_\insrsid6625617\charrsid5245788 #}{\rtlch\fcs1 \af1 \ltrch\fcs0 \cs18\v\f1\fs20\cf15\insrsid6625617\charrsid5245788 TVTMEMBERS\'a7@MEMBERS@}{\rtlch\fcs1 \af0 \ltrch\fcs0 \insrsid6625617\charrsid5245788 #}{\rtlch\fcs1 \af0 \ltrch\fcs0 _x000d__x000a_\cf10\insrsid6625617\charrsid8673194 \u9658\'3f}{\rtlch\fcs1 \af0 \ltrch\fcs0 \cs17\b0\v\fs20\cf9\lang1024\langfe1024\loch\af1\hich\af1\dbch\af31501\noproof\insrsid6625617\charrsid5245788 \hich\af1\dbch\af31501\loch\f1 &lt;/Members&gt;}{\rtlch\fcs1 \af0 _x000d__x000a_\ltrch\fcs0 \insrsid6625617\charrsid5245788 _x000d__x000a_\par }\pard\plain \ltrpar\ql \li0\ri0\widctlpar\wrapdefault\aspalpha\aspnum\faauto\adjustright\rin0\lin0\itap0\pararsid6625617 \rtlch\fcs1 \af0\afs20\alang1025 \ltrch\fcs0 \fs24\lang2057\langfe2057\cgrid\langnp2057\langfenp2057 {\rtlch\fcs1 \af0 \ltrch\fcs0 _x000d__x000a_\cs17\v\fs20\cf9\lang1024\langfe1024\loch\af1\hich\af1\dbch\af31501\noproof\insrsid6625617\charrsid5245788 \hich\af1\dbch\af31501\loch\f1 &lt;AuNomDe&gt;&lt;OptDel&gt;}{\rtlch\fcs1 \af0 \ltrch\fcs0 \insrsid6625617\charrsid5245788 #}{\rtlch\fcs1 \af1 \ltrch\fcs0 _x000d__x000a_\cs18\v\f1\fs20\cf15\insrsid6625617\charrsid5245788 MNU[ONBEHALFYES][NOTAPP]@CHOICE@}{\rtlch\fcs1 \af0 \ltrch\fcs0 \insrsid6625617\charrsid5245788 #}{\rtlch\fcs1 \af0 \ltrch\fcs0 _x000d__x000a_\cs17\v\fs20\cf9\lang1024\langfe1024\loch\af1\hich\af1\dbch\af31501\noproof\insrsid6625617\charrsid5245788 \hich\af1\dbch\af31501\loch\f1 &lt;/OptDel&gt;&lt;/AuNomDe&gt;}{\rtlch\fcs1 \af0 \ltrch\fcs0 \insrsid6625617\charrsid5245788 _x000d__x000a_\par &lt;&lt;&lt;}{\rtlch\fcs1 \af0 \ltrch\fcs0 \cs17\v\fs20\cf9\lang1024\langfe1024\loch\af1\hich\af1\dbch\af31501\noproof\insrsid6625617\charrsid5245788 \hich\af1\dbch\af31501\loch\f1 &lt;/RepeatBlock-By&gt;}{\rtlch\fcs1 \af0 \ltrch\fcs0 \insrsid6625617\charrsid5245788 _x000d__x000a__x000d__x000a_\par }\pard\plain \ltrpar\s20\ql \li0\ri0\nowidctlpar\wrapdefault\aspalpha\aspnum\faauto\adjustright\rin0\lin0\itap0\pararsid6625617 \rtlch\fcs1 \af0\afs20\alang1025 \ltrch\fcs0 \b\fs24\lang2057\langfe2057\cgrid\langnp2057\langfenp2057 {\rtlch\fcs1 \af0 _x000d__x000a_\ltrch\fcs0 \cs17\b0\v\fs20\cf9\lang1024\langfe1024\loch\af1\hich\af1\dbch\af31501\noproof\insrsid6625617\charrsid5245788 \hich\af1\dbch\af31501\loch\f1 &lt;DocAmend&gt;}{\rtlch\fcs1 \af0 \ltrch\fcs0 \insrsid6625617\charrsid5245788 #}{\rtlch\fcs1 \af1 _x000d__x000a_\ltrch\fcs0 \cs18\v\f1\fs20\cf15\insrsid6625617\charrsid5245788 MNU[OPTPROPOSALCOD][OPTPROPOSALCNS][OPTPROPOSALNLE]@CHOICE@CODEMNU}{\rtlch\fcs1 \af0 \ltrch\fcs0 \insrsid6625617\charrsid5245788 #}{\rtlch\fcs1 \af0 \ltrch\fcs0 _x000d__x000a_\cs17\b0\v\fs20\cf9\lang1024\langfe1024\loch\af1\hich\af1\dbch\af31501\noproof\insrsid6625617\charrsid5245788 \hich\af1\dbch\af31501\loch\f1 &lt;/DocAmend&gt;}{\rtlch\fcs1 \af0 \ltrch\fcs0 \insrsid6625617\charrsid5245788 _x000d__x000a_\par }\pard \ltrpar\s20\ql \li0\ri0\keepn\nowidctlpar\wrapdefault\aspalpha\aspnum\faauto\adjustright\rin0\lin0\itap0\pararsid6625617 {\rtlch\fcs1 \af0 \ltrch\fcs0 _x000d__x000a_\cs17\b0\v\fs20\cf9\lang1024\langfe1024\loch\af1\hich\af1\dbch\af31501\noproof\insrsid6625617\charrsid5245788 \hich\af1\dbch\af31501\loch\f1 &lt;Article&gt;}{\rtlch\fcs1 \af0 \ltrch\fcs0 \insrsid6625617\charrsid5245788 #}{\rtlch\fcs1 \af1 \ltrch\fcs0 _x000d__x000a_\cs18\v\f1\fs20\cf15\insrsid6625617\charrsid5245788 MNU[AMACTPARTYES][AMACTPARTNO]@CHOICE@AMACTMNU}{\rtlch\fcs1 \af0 \ltrch\fcs0 \insrsid6625617\charrsid5245788 #}{\rtlch\fcs1 \af0 \ltrch\fcs0 _x000d__x000a_\cs17\b0\v\fs20\cf9\lang1024\langfe1024\loch\af1\hich\af1\dbch\af31501\noproof\insrsid6625617\charrsid5245788 \hich\af1\dbch\af31501\loch\f1 &lt;/Article&gt;}{\rtlch\fcs1 \af0 \ltrch\fcs0 \insrsid6625617\charrsid5245788 _x000d__x000a_\par }\pard\plain \ltrpar\ql \li0\ri0\keepn\widctlpar\wrapdefault\aspalpha\aspnum\faauto\adjustright\rin0\lin0\itap0\pararsid6625617 \rtlch\fcs1 \af0\afs20\alang1025 \ltrch\fcs0 \fs24\lang2057\langfe2057\cgrid\langnp2057\langfenp2057 {\rtlch\fcs1 \af0 _x000d__x000a_\ltrch\fcs0 \cs17\v\fs20\cf9\lang1024\langfe1024\loch\af1\hich\af1\dbch\af31501\noproof\insrsid6625617\charrsid5245788 \hich\af1\dbch\af31501\loch\f1 &lt;DocAmend2&gt;&lt;OptDel&gt;}{\rtlch\fcs1 \af0 \ltrch\fcs0 \insrsid6625617\charrsid5245788 #}{\rtlch\fcs1 \af1 _x000d__x000a_\ltrch\fcs0 \cs18\v\f1\fs20\cf15\insrsid6625617\charrsid5245788 MNU[OPTNRACTYES][NOTAPP]@CHOICE@AMACTMNU}{\rtlch\fcs1 \af0 \ltrch\fcs0 \insrsid6625617\charrsid5245788 #}{\rtlch\fcs1 \af0 \ltrch\fcs0 _x000d__x000a_\cs17\v\fs20\cf9\lang1024\langfe1024\loch\af1\hich\af1\dbch\af31501\noproof\insrsid6625617\charrsid5245788 \hich\af1\dbch\af31501\loch\f1 &lt;/OptDel&gt;&lt;/DocAmend\hich\af1\dbch\af31501\loch\f1 2&gt;}{\rtlch\fcs1 \af0 \ltrch\fcs0 \insrsid6625617\charrsid5245788 _x000d__x000a__x000d__x000a_\par }\pard \ltrpar\ql \li0\ri0\widctlpar\wrapdefault\aspalpha\aspnum\faauto\adjustright\rin0\lin0\itap0\pararsid6625617 {\rtlch\fcs1 \af0 \ltrch\fcs0 \cs17\v\fs20\cf9\lang1024\langfe1024\loch\af1\hich\af1\dbch\af31501\noproof\insrsid6625617\charrsid5245788 _x000d__x000a_\hich\af1\dbch\af31501\loch\f1 &lt;Article2&gt;&lt;OptDel&gt;}{\rtlch\fcs1 \af0 \ltrch\fcs0 \insrsid6625617\charrsid5245788 #}{\rtlch\fcs1 \af1 \ltrch\fcs0 \cs18\v\f1\fs20\cf15\insrsid6625617\charrsid5245788 MNU[OPTACTPARTYES][NOTAPP]@CHOICE@AMACTMNU}{\rtlch\fcs1 _x000d__x000a_\af0 \ltrch\fcs0 \insrsid6625617\charrsid5245788 #}{\rtlch\fcs1 \af0 \ltrch\fcs0 \cs17\v\fs20\cf9\lang1024\langfe1024\loch\af1\hich\af1\dbch\af31501\noproof\insrsid6625617\charrsid5245788 \hich\af1\dbch\af31501\loch\f1 &lt;/OptDel&gt;&lt;/Article2&gt;}{\rtlch\fcs1 _x000d__x000a_\af0 \ltrch\fcs0 \insrsid6625617\charrsid52457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625617\charrsid5245788 \cell }\pard\plain \ltrpar\ql \li0\ri0\widctlpar\intbl\wrapdefault\aspalpha\aspnum\faauto\adjustright\rin0\lin0 \rtlch\fcs1 _x000d__x000a_\af0\afs20\alang1025 \ltrch\fcs0 \fs24\lang2057\langfe2057\cgrid\langnp2057\langfenp2057 {\rtlch\fcs1 \af0 \ltrch\fcs0 \insrsid6625617\charrsid52457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6625617\charrsid5245788 #}{\rtlch\fcs1 \af1 \ltrch\fcs0 \cs18\v\f1\fs20\cf15\insrsid6625617\charrsid5245788 MNU[OPTLEFTAMACT][LEFTPROP]@CHOICE@AMACTMNU}{_x000d__x000a_\rtlch\fcs1 \af0 \ltrch\fcs0 \insrsid6625617\charrsid5245788 #\cell Amendment\cell }\pard\plain \ltrpar\ql \li0\ri0\widctlpar\intbl\wrapdefault\aspalpha\aspnum\faauto\adjustright\rin0\lin0 \rtlch\fcs1 \af0\afs20\alang1025 \ltrch\fcs0 _x000d__x000a_\fs24\lang2057\langfe2057\cgrid\langnp2057\langfenp2057 {\rtlch\fcs1 \af0 \ltrch\fcs0 \insrsid6625617\charrsid52457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625617\charrsid5245788 ##\cell ##}{\rtlch\fcs1 \af0\afs24 \ltrch\fcs0 \insrsid6625617\charrsid5245788 \cell }\pard\plain \ltrpar\ql \li0\ri0\widctlpar\intbl\wrapdefault\aspalpha\aspnum\faauto\adjustright\rin0\lin0 \rtlch\fcs1 _x000d__x000a_\af0\afs20\alang1025 \ltrch\fcs0 \fs24\lang2057\langfe2057\cgrid\langnp2057\langfenp2057 {\rtlch\fcs1 \af0 \ltrch\fcs0 \insrsid6625617\charrsid52457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625617 \rtlch\fcs1 \af0\afs20\alang1025 \ltrch\fcs0 \fs24\lang2057\langfe2057\cgrid\langnp2057\langfenp2057 {\rtlch\fcs1 \af0 \ltrch\fcs0 _x000d__x000a_\insrsid6625617\charrsid5245788 Or. }{\rtlch\fcs1 \af0 \ltrch\fcs0 \cs17\v\fs20\cf9\lang1024\langfe1024\loch\af1\hich\af1\dbch\af31501\noproof\insrsid6625617\charrsid5245788 \hich\af1\dbch\af31501\loch\f1 &lt;Original&gt;}{\rtlch\fcs1 \af0 \ltrch\fcs0 _x000d__x000a_\insrsid6625617\charrsid5245788 #}{\rtlch\fcs1 \af1 \ltrch\fcs0 \cs18\v\f1\fs20\cf15\insrsid6625617\charrsid5245788 KEY(MAIN/LANGMIN)sh@ORLANGMSG@}{\rtlch\fcs1 \af0 \ltrch\fcs0 \insrsid6625617\charrsid5245788 #}{\rtlch\fcs1 \af0 \ltrch\fcs0 _x000d__x000a_\cs17\v\fs20\cf9\lang1024\langfe1024\loch\af1\hich\af1\dbch\af31501\noproof\insrsid6625617\charrsid5245788 \hich\af1\dbch\af31501\loch\f1 &lt;/Original&gt;}{\rtlch\fcs1 \af0 \ltrch\fcs0 \insrsid6625617\charrsid5245788 _x000d__x000a_\par }\pard\plain \ltrpar\s22\qc \li0\ri0\sb240\sa240\nowidctlpar\wrapdefault\aspalpha\aspnum\faauto\adjustright\rin0\lin0\itap0\pararsid6625617 \rtlch\fcs1 \af0\afs20\alang1025 \ltrch\fcs0 \i\fs24\lang2057\langfe2057\cgrid\langnp2057\langfenp2057 {_x000d__x000a_\rtlch\fcs1 \af0 \ltrch\fcs0 \cs17\i0\v\fs20\cf9\lang1024\langfe1024\loch\af1\hich\af1\dbch\af31501\noproof\insrsid6625617\charrsid5245788 \hich\af1\dbch\af31501\loch\f1 &lt;OptDel&gt;}{\rtlch\fcs1 \af0 \ltrch\fcs0 \insrsid6625617\charrsid5245788 #}{_x000d__x000a_\rtlch\fcs1 \af1 \ltrch\fcs0 \cs18\v\f1\fs20\cf15\insrsid6625617\charrsid5245788 MNU[CROSSREFNO][CROSSREFYES]@CHOICE@}{\rtlch\fcs1 \af0 \ltrch\fcs0 \insrsid6625617\charrsid5245788 #}{\rtlch\fcs1 \af0 \ltrch\fcs0 _x000d__x000a_\cs17\i0\v\fs20\cf9\lang1024\langfe1024\loch\af1\hich\af1\dbch\af31501\noproof\insrsid6625617\charrsid5245788 \hich\af1\dbch\af31501\loch\f1 &lt;/OptDel&gt;}{\rtlch\fcs1 \af0 \ltrch\fcs0 \insrsid6625617\charrsid5245788 _x000d__x000a_\par }\pard\plain \ltrpar\s23\qc \li0\ri0\sb240\sa240\keepn\nowidctlpar\wrapdefault\aspalpha\aspnum\faauto\adjustright\rin0\lin0\itap0\pararsid6625617 \rtlch\fcs1 \af0\afs20\alang1025 \ltrch\fcs0 \i\fs24\lang2057\langfe2057\cgrid\langnp2057\langfenp2057 {_x000d__x000a_\rtlch\fcs1 \af0 \ltrch\fcs0 \cs17\i0\v\fs20\cf9\lang1024\langfe1024\loch\af1\hich\af1\dbch\af31501\noproof\insrsid6625617\charrsid5245788 \hich\af1\dbch\af31501\loch\f1 &lt;TitreJust&gt;}{\rtlch\fcs1 \af0 \ltrch\fcs0 \insrsid6625617\charrsid5245788 _x000d__x000a_Justification}{\rtlch\fcs1 \af0 \ltrch\fcs0 \cs17\i0\v\fs20\cf9\lang1024\langfe1024\loch\af1\hich\af1\dbch\af31501\noproof\insrsid6625617\charrsid5245788 \hich\af1\dbch\af31501\loch\f1 &lt;/TitreJust&gt;}{\rtlch\fcs1 \af0 \ltrch\fcs0 _x000d__x000a_\insrsid6625617\charrsid5245788 _x000d__x000a_\par }\pard\plain \ltrpar\s21\ql \li0\ri0\sa240\nowidctlpar\wrapdefault\aspalpha\aspnum\faauto\adjustright\rin0\lin0\itap0\pararsid6625617 \rtlch\fcs1 \af0\afs20\alang1025 \ltrch\fcs0 \i\fs24\lang2057\langfe2057\cgrid\langnp2057\langfenp2057 {\rtlch\fcs1 \af0 _x000d__x000a_\ltrch\fcs0 \cs17\i0\v\fs20\cf9\lang1024\langfe1024\loch\af1\hich\af1\dbch\af31501\noproof\insrsid6625617\charrsid5245788 \hich\af1\dbch\af31501\loch\f1 &lt;OptDelPrev&gt;}{\rtlch\fcs1 \af0 \ltrch\fcs0 \insrsid6625617\charrsid5245788 #}{\rtlch\fcs1 \af1 _x000d__x000a_\ltrch\fcs0 \cs18\v\f1\fs20\cf15\insrsid6625617\charrsid5245788 MNU[TEXTJUSTYES][TEXTJUSTNO]@CHOICE@}{\rtlch\fcs1 \af0 \ltrch\fcs0 \insrsid6625617\charrsid5245788 #}{\rtlch\fcs1 \af0 \ltrch\fcs0 _x000d__x000a_\cs17\i0\v\fs20\cf9\lang1024\langfe1024\loch\af1\hich\af1\dbch\af31501\noproof\insrsid6625617\charrsid5245788 \hich\af1\dbch\af31501\loch\f1 &lt;/OptDelPrev&gt;}{\rtlch\fcs1 \af0 \ltrch\fcs0 \insrsid6625617\charrsid5245788 _x000d__x000a_\par }\pard\plain \ltrpar\ql \li0\ri0\widctlpar\wrapdefault\aspalpha\aspnum\faauto\adjustright\rin0\lin0\itap0\pararsid6625617 \rtlch\fcs1 \af0\afs20\alang1025 \ltrch\fcs0 \fs24\lang2057\langfe2057\cgrid\langnp2057\langfenp2057 {\rtlch\fcs1 \af0 \ltrch\fcs0 _x000d__x000a_\cs17\v\fs20\cf9\lang1024\langfe1024\loch\af1\hich\af1\dbch\af31501\noproof\insrsid6625617\charrsid5245788 \hich\af1\dbch\af31501\loch\f1 &lt;/}{\rtlch\fcs1 \af0 \ltrch\fcs0 _x000d__x000a_\cs17\v\fs20\cf9\lang1024\langfe1024\loch\af1\hich\af1\dbch\af31501\noproof\insrsid6625617 \hich\af1\dbch\af31501\loch\f1 Amend}{\rtlch\fcs1 \af0 \ltrch\fcs0 _x000d__x000a_\cs17\v\fs20\cf9\lang1024\langfe1024\loch\af1\hich\af1\dbch\af31501\noproof\insrsid6625617\charrsid524578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4d_x000d__x000a_38acff49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4"/>
    <w:docVar w:name="TVTAMPART" w:val="Annex – Table"/>
    <w:docVar w:name="TVTMEMBERS1" w:val="Irene Tinagli"/>
    <w:docVar w:name="TXTAUTHOR" w:val="Irene Tinagli"/>
    <w:docVar w:name="TXTLANGUE" w:val="DE"/>
    <w:docVar w:name="TXTLANGUEMIN" w:val="de"/>
    <w:docVar w:name="TXTNRC" w:val="0316/2023"/>
    <w:docVar w:name="TXTNRCOM" w:val=" (2023)0459"/>
    <w:docVar w:name="TXTNRFIRSTAM" w:val="20"/>
    <w:docVar w:name="TXTNRLASTAM" w:val="80"/>
    <w:docVar w:name="TXTNRPE" w:val="758.193"/>
    <w:docVar w:name="TXTNRPE2" w:val="757.907"/>
    <w:docVar w:name="TXTNRPROC" w:val="2023/0288"/>
    <w:docVar w:name="TXTPEorAP" w:val="PE"/>
    <w:docVar w:name="TXTROUTE" w:val="AM\1294937DE.docx"/>
    <w:docVar w:name="TXTTITLE" w:val="European labour market statistics on businesses, repealing Council Regulation (EC) No 530/1999 and Regulations (EC) No 450/2003 and (EC) No 453/2008 of the European Parliament and of the Council"/>
    <w:docVar w:name="TXTVERSION" w:val="01-00"/>
    <w:docVar w:name="TXTVERSION2" w:val="01-00"/>
  </w:docVars>
  <w:rsids>
    <w:rsidRoot w:val="00125F2B"/>
    <w:rsid w:val="000027DA"/>
    <w:rsid w:val="000111BD"/>
    <w:rsid w:val="000366EB"/>
    <w:rsid w:val="00073830"/>
    <w:rsid w:val="00075DBE"/>
    <w:rsid w:val="000B0781"/>
    <w:rsid w:val="000B2E92"/>
    <w:rsid w:val="000C2F46"/>
    <w:rsid w:val="000D446F"/>
    <w:rsid w:val="000E7234"/>
    <w:rsid w:val="000F2A80"/>
    <w:rsid w:val="000F7815"/>
    <w:rsid w:val="00125F2B"/>
    <w:rsid w:val="00126BC4"/>
    <w:rsid w:val="00150057"/>
    <w:rsid w:val="00166CCB"/>
    <w:rsid w:val="001809DD"/>
    <w:rsid w:val="001A4802"/>
    <w:rsid w:val="001A747D"/>
    <w:rsid w:val="001B761C"/>
    <w:rsid w:val="001C2054"/>
    <w:rsid w:val="001C3F22"/>
    <w:rsid w:val="001C502E"/>
    <w:rsid w:val="001D13C9"/>
    <w:rsid w:val="001D5CC4"/>
    <w:rsid w:val="001D7A49"/>
    <w:rsid w:val="001F0FDD"/>
    <w:rsid w:val="00200FC8"/>
    <w:rsid w:val="0020367C"/>
    <w:rsid w:val="00222325"/>
    <w:rsid w:val="00231EA7"/>
    <w:rsid w:val="00236619"/>
    <w:rsid w:val="002574CB"/>
    <w:rsid w:val="00280EA6"/>
    <w:rsid w:val="002A1C82"/>
    <w:rsid w:val="002B6A7B"/>
    <w:rsid w:val="002C5761"/>
    <w:rsid w:val="002E3F68"/>
    <w:rsid w:val="002E4311"/>
    <w:rsid w:val="002F0AAB"/>
    <w:rsid w:val="003003A7"/>
    <w:rsid w:val="00315664"/>
    <w:rsid w:val="00322475"/>
    <w:rsid w:val="00351294"/>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D0FC0"/>
    <w:rsid w:val="004E0AAC"/>
    <w:rsid w:val="004E1C4C"/>
    <w:rsid w:val="004F03F0"/>
    <w:rsid w:val="004F2903"/>
    <w:rsid w:val="005246D8"/>
    <w:rsid w:val="00547F73"/>
    <w:rsid w:val="00557617"/>
    <w:rsid w:val="00571479"/>
    <w:rsid w:val="00581C03"/>
    <w:rsid w:val="005A7205"/>
    <w:rsid w:val="005A7EB4"/>
    <w:rsid w:val="005B32E3"/>
    <w:rsid w:val="005E50C2"/>
    <w:rsid w:val="00607ABE"/>
    <w:rsid w:val="006322D2"/>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96A4B"/>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3C4E"/>
    <w:rsid w:val="00904AD5"/>
    <w:rsid w:val="00907CCA"/>
    <w:rsid w:val="009154FF"/>
    <w:rsid w:val="00917A85"/>
    <w:rsid w:val="00966038"/>
    <w:rsid w:val="009A65D8"/>
    <w:rsid w:val="009B0305"/>
    <w:rsid w:val="009F230F"/>
    <w:rsid w:val="00A12595"/>
    <w:rsid w:val="00A15973"/>
    <w:rsid w:val="00A233E9"/>
    <w:rsid w:val="00A46736"/>
    <w:rsid w:val="00A507FC"/>
    <w:rsid w:val="00A5426B"/>
    <w:rsid w:val="00A845EF"/>
    <w:rsid w:val="00A84E16"/>
    <w:rsid w:val="00A907EE"/>
    <w:rsid w:val="00A93389"/>
    <w:rsid w:val="00A93F8C"/>
    <w:rsid w:val="00AA0426"/>
    <w:rsid w:val="00AB74D6"/>
    <w:rsid w:val="00AC7149"/>
    <w:rsid w:val="00AD730A"/>
    <w:rsid w:val="00AE4459"/>
    <w:rsid w:val="00AE77E6"/>
    <w:rsid w:val="00AF25FC"/>
    <w:rsid w:val="00AF2819"/>
    <w:rsid w:val="00B0638A"/>
    <w:rsid w:val="00B10564"/>
    <w:rsid w:val="00B41B4D"/>
    <w:rsid w:val="00B77A45"/>
    <w:rsid w:val="00B801A5"/>
    <w:rsid w:val="00B8066A"/>
    <w:rsid w:val="00B85286"/>
    <w:rsid w:val="00B90B7F"/>
    <w:rsid w:val="00B9188F"/>
    <w:rsid w:val="00BA48D2"/>
    <w:rsid w:val="00BC1B1F"/>
    <w:rsid w:val="00BD21EB"/>
    <w:rsid w:val="00BE0C84"/>
    <w:rsid w:val="00BE5062"/>
    <w:rsid w:val="00C10F61"/>
    <w:rsid w:val="00C22CC4"/>
    <w:rsid w:val="00C2336C"/>
    <w:rsid w:val="00C35E35"/>
    <w:rsid w:val="00C41E32"/>
    <w:rsid w:val="00C92798"/>
    <w:rsid w:val="00CB34F1"/>
    <w:rsid w:val="00CB7B07"/>
    <w:rsid w:val="00CC3983"/>
    <w:rsid w:val="00D00CC7"/>
    <w:rsid w:val="00D0687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D453A"/>
    <w:rsid w:val="00DE672F"/>
    <w:rsid w:val="00DF762C"/>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91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A0D65A-3F19-41B9-A1EA-5473BE1D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351294"/>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styleId="ListParagraph">
    <w:name w:val="List Paragraph"/>
    <w:basedOn w:val="Normal"/>
    <w:uiPriority w:val="34"/>
    <w:qFormat/>
    <w:rsid w:val="00A907EE"/>
    <w:pPr>
      <w:widowControl/>
      <w:ind w:left="720"/>
    </w:pPr>
    <w:rPr>
      <w:rFonts w:ascii="Calibri" w:eastAsiaTheme="minorHAnsi" w:hAnsi="Calibri" w:cs="Calibri"/>
      <w:sz w:val="22"/>
      <w:szCs w:val="22"/>
      <w:lang w:eastAsia="en-US"/>
    </w:rPr>
  </w:style>
  <w:style w:type="paragraph" w:customStyle="1" w:styleId="TableParagraph">
    <w:name w:val="Table Paragraph"/>
    <w:basedOn w:val="Normal"/>
    <w:uiPriority w:val="1"/>
    <w:qFormat/>
    <w:rsid w:val="00A907EE"/>
    <w:pPr>
      <w:autoSpaceDE w:val="0"/>
      <w:autoSpaceDN w:val="0"/>
    </w:pPr>
    <w:rPr>
      <w:sz w:val="22"/>
      <w:szCs w:val="22"/>
      <w:lang w:eastAsia="en-US"/>
    </w:rPr>
  </w:style>
  <w:style w:type="paragraph" w:styleId="Footer">
    <w:name w:val="footer"/>
    <w:basedOn w:val="Normal"/>
    <w:link w:val="FooterChar"/>
    <w:semiHidden/>
    <w:rsid w:val="001A747D"/>
    <w:pPr>
      <w:tabs>
        <w:tab w:val="center" w:pos="4513"/>
        <w:tab w:val="right" w:pos="9026"/>
      </w:tabs>
    </w:pPr>
  </w:style>
  <w:style w:type="character" w:customStyle="1" w:styleId="FooterChar">
    <w:name w:val="Footer Char"/>
    <w:basedOn w:val="DefaultParagraphFont"/>
    <w:link w:val="Footer"/>
    <w:semiHidden/>
    <w:rsid w:val="001A747D"/>
    <w:rPr>
      <w:sz w:val="24"/>
    </w:rPr>
  </w:style>
  <w:style w:type="character" w:customStyle="1" w:styleId="Normal12Char">
    <w:name w:val="Normal12 Char"/>
    <w:basedOn w:val="DefaultParagraphFont"/>
    <w:link w:val="Normal12"/>
    <w:locked/>
    <w:rsid w:val="00351294"/>
    <w:rPr>
      <w:noProof/>
      <w:sz w:val="24"/>
    </w:rPr>
  </w:style>
  <w:style w:type="paragraph" w:customStyle="1" w:styleId="Normal12">
    <w:name w:val="Normal12"/>
    <w:basedOn w:val="Normal"/>
    <w:link w:val="Normal12Char"/>
    <w:rsid w:val="00351294"/>
    <w:pPr>
      <w:spacing w:after="240"/>
    </w:pPr>
    <w:rPr>
      <w:noProof/>
    </w:rPr>
  </w:style>
  <w:style w:type="character" w:customStyle="1" w:styleId="Normal6Char">
    <w:name w:val="Normal6 Char"/>
    <w:basedOn w:val="DefaultParagraphFont"/>
    <w:link w:val="Normal6"/>
    <w:locked/>
    <w:rsid w:val="00351294"/>
    <w:rPr>
      <w:sz w:val="24"/>
      <w:lang w:val="de-DE"/>
    </w:rPr>
  </w:style>
  <w:style w:type="paragraph" w:customStyle="1" w:styleId="Normal6">
    <w:name w:val="Normal6"/>
    <w:basedOn w:val="Normal"/>
    <w:link w:val="Normal6Char"/>
    <w:rsid w:val="00351294"/>
    <w:pPr>
      <w:spacing w:after="120"/>
    </w:pPr>
  </w:style>
  <w:style w:type="paragraph" w:customStyle="1" w:styleId="Normal12Italic">
    <w:name w:val="Normal12Italic"/>
    <w:basedOn w:val="Normal12"/>
    <w:rsid w:val="00351294"/>
    <w:rPr>
      <w:i/>
    </w:rPr>
  </w:style>
  <w:style w:type="paragraph" w:customStyle="1" w:styleId="Footer2">
    <w:name w:val="Footer2"/>
    <w:basedOn w:val="Normal12"/>
    <w:rsid w:val="00351294"/>
    <w:pPr>
      <w:tabs>
        <w:tab w:val="center" w:pos="4535"/>
        <w:tab w:val="right" w:pos="9923"/>
      </w:tabs>
      <w:spacing w:line="480" w:lineRule="auto"/>
      <w:ind w:left="-851"/>
    </w:pPr>
    <w:rPr>
      <w:rFonts w:ascii="Arial" w:cs="Arial"/>
      <w:b/>
      <w:sz w:val="48"/>
    </w:rPr>
  </w:style>
  <w:style w:type="paragraph" w:customStyle="1" w:styleId="EntPE">
    <w:name w:val="EntPE"/>
    <w:basedOn w:val="Normal12"/>
    <w:rsid w:val="00351294"/>
    <w:pPr>
      <w:jc w:val="center"/>
    </w:pPr>
    <w:rPr>
      <w:noProof w:val="0"/>
      <w:sz w:val="56"/>
    </w:rPr>
  </w:style>
  <w:style w:type="character" w:styleId="CommentReference">
    <w:name w:val="annotation reference"/>
    <w:basedOn w:val="DefaultParagraphFont"/>
    <w:rsid w:val="00903C4E"/>
    <w:rPr>
      <w:sz w:val="16"/>
      <w:szCs w:val="16"/>
    </w:rPr>
  </w:style>
  <w:style w:type="paragraph" w:styleId="CommentText">
    <w:name w:val="annotation text"/>
    <w:basedOn w:val="Normal"/>
    <w:link w:val="CommentTextChar"/>
    <w:rsid w:val="00903C4E"/>
    <w:rPr>
      <w:sz w:val="20"/>
    </w:rPr>
  </w:style>
  <w:style w:type="character" w:customStyle="1" w:styleId="CommentTextChar">
    <w:name w:val="Comment Text Char"/>
    <w:basedOn w:val="DefaultParagraphFont"/>
    <w:link w:val="CommentText"/>
    <w:rsid w:val="00903C4E"/>
  </w:style>
  <w:style w:type="paragraph" w:styleId="CommentSubject">
    <w:name w:val="annotation subject"/>
    <w:basedOn w:val="CommentText"/>
    <w:next w:val="CommentText"/>
    <w:link w:val="CommentSubjectChar"/>
    <w:semiHidden/>
    <w:unhideWhenUsed/>
    <w:rsid w:val="00903C4E"/>
    <w:rPr>
      <w:b/>
      <w:bCs/>
    </w:rPr>
  </w:style>
  <w:style w:type="character" w:customStyle="1" w:styleId="CommentSubjectChar">
    <w:name w:val="Comment Subject Char"/>
    <w:basedOn w:val="CommentTextChar"/>
    <w:link w:val="CommentSubject"/>
    <w:semiHidden/>
    <w:rsid w:val="00903C4E"/>
    <w:rPr>
      <w:b/>
      <w:bCs/>
    </w:rPr>
  </w:style>
  <w:style w:type="paragraph" w:styleId="Revision">
    <w:name w:val="Revision"/>
    <w:hidden/>
    <w:uiPriority w:val="99"/>
    <w:semiHidden/>
    <w:rsid w:val="00903C4E"/>
    <w:rPr>
      <w:sz w:val="24"/>
    </w:rPr>
  </w:style>
  <w:style w:type="paragraph" w:styleId="BalloonText">
    <w:name w:val="Balloon Text"/>
    <w:basedOn w:val="Normal"/>
    <w:link w:val="BalloonTextChar"/>
    <w:semiHidden/>
    <w:unhideWhenUsed/>
    <w:rsid w:val="00903C4E"/>
    <w:rPr>
      <w:rFonts w:ascii="Segoe UI" w:hAnsi="Segoe UI" w:cs="Segoe UI"/>
      <w:sz w:val="18"/>
      <w:szCs w:val="18"/>
    </w:rPr>
  </w:style>
  <w:style w:type="character" w:customStyle="1" w:styleId="BalloonTextChar">
    <w:name w:val="Balloon Text Char"/>
    <w:basedOn w:val="DefaultParagraphFont"/>
    <w:link w:val="BalloonText"/>
    <w:semiHidden/>
    <w:rsid w:val="00903C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7267</Words>
  <Characters>50247</Characters>
  <Application>Microsoft Office Word</Application>
  <DocSecurity>0</DocSecurity>
  <Lines>2639</Lines>
  <Paragraphs>845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56846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2024-02-07T18:07:00Z</dcterms:created>
  <dcterms:modified xsi:type="dcterms:W3CDTF">2024-02-07T18:07:00Z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1294937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9.17.1 Build [20240101]</vt:lpwstr>
  </property>
  <property fmtid="{D5CDD505-2E9C-101B-9397-08002B2CF9AE}" pid="9" name="FooterPath">
    <vt:lpwstr>AM\1294937DE.docx</vt:lpwstr>
  </property>
  <property fmtid="{D5CDD505-2E9C-101B-9397-08002B2CF9AE}" pid="10" name="LastEdited with">
    <vt:lpwstr>9.17.1 Build [20240111]</vt:lpwstr>
  </property>
  <property fmtid="{D5CDD505-2E9C-101B-9397-08002B2CF9AE}" pid="11" name="PE number">
    <vt:lpwstr>758.193</vt:lpwstr>
  </property>
  <property fmtid="{D5CDD505-2E9C-101B-9397-08002B2CF9AE}" pid="12" name="SDLStudio">
    <vt:lpwstr/>
  </property>
  <property fmtid="{D5CDD505-2E9C-101B-9397-08002B2CF9AE}" pid="13" name="SendToEpades">
    <vt:lpwstr>OK(AMNUM) - 2024/01/23 19:11</vt:lpwstr>
  </property>
  <property fmtid="{D5CDD505-2E9C-101B-9397-08002B2CF9AE}" pid="14" name="Bookout">
    <vt:lpwstr>OK - 2024/02/07 19:07</vt:lpwstr>
  </property>
</Properties>
</file>