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B008CC" w:rsidRPr="00137856" w:rsidTr="00D0685A">
        <w:trPr>
          <w:trHeight w:hRule="exact" w:val="1420"/>
        </w:trPr>
        <w:tc>
          <w:tcPr>
            <w:tcW w:w="6804" w:type="dxa"/>
            <w:vAlign w:val="center"/>
          </w:tcPr>
          <w:p w:rsidR="00B008CC" w:rsidRPr="00137856" w:rsidRDefault="00B008CC" w:rsidP="00D0685A">
            <w:pPr>
              <w:pStyle w:val="EPName"/>
            </w:pPr>
            <w:r w:rsidRPr="00137856">
              <w:t>Europ</w:t>
            </w:r>
            <w:r w:rsidRPr="00137856">
              <w:t>a-Parlamentet</w:t>
            </w:r>
          </w:p>
          <w:p w:rsidR="00B008CC" w:rsidRPr="00137856" w:rsidRDefault="00B008CC" w:rsidP="00D0685A">
            <w:pPr>
              <w:pStyle w:val="EPTerm"/>
            </w:pPr>
            <w:r w:rsidRPr="00137856">
              <w:t>2019-2024</w:t>
            </w:r>
          </w:p>
        </w:tc>
        <w:tc>
          <w:tcPr>
            <w:tcW w:w="2488" w:type="dxa"/>
          </w:tcPr>
          <w:p w:rsidR="00B008CC" w:rsidRPr="00137856" w:rsidRDefault="00B008CC" w:rsidP="00D0685A">
            <w:pPr>
              <w:pStyle w:val="EPLogo"/>
            </w:pPr>
            <w:r w:rsidRPr="00137856">
              <w:drawing>
                <wp:inline distT="0" distB="0" distL="0" distR="0" wp14:anchorId="62D964F9" wp14:editId="490395E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23829"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rsidR="00B008CC" w:rsidRPr="00137856" w:rsidRDefault="00B008CC" w:rsidP="00B008CC">
      <w:pPr>
        <w:pStyle w:val="LineTop"/>
      </w:pPr>
    </w:p>
    <w:p w:rsidR="000E7234" w:rsidRPr="00137856" w:rsidRDefault="00137856" w:rsidP="000E7234">
      <w:pPr>
        <w:pStyle w:val="EPBody"/>
      </w:pPr>
      <w:r w:rsidRPr="00137856">
        <w:rPr>
          <w:rStyle w:val="HideTWBExt"/>
          <w:noProof w:val="0"/>
        </w:rPr>
        <w:t>&lt;</w:t>
      </w:r>
      <w:r w:rsidRPr="00137856">
        <w:rPr>
          <w:rStyle w:val="HideTWBExt"/>
          <w:i w:val="0"/>
          <w:noProof w:val="0"/>
        </w:rPr>
        <w:t>Commission</w:t>
      </w:r>
      <w:r w:rsidRPr="00137856">
        <w:rPr>
          <w:rStyle w:val="HideTWBExt"/>
          <w:noProof w:val="0"/>
        </w:rPr>
        <w:t>&gt;</w:t>
      </w:r>
      <w:r w:rsidRPr="00137856">
        <w:rPr>
          <w:rStyle w:val="HideTWBInt"/>
          <w:color w:val="auto"/>
        </w:rPr>
        <w:t>{ECON}</w:t>
      </w:r>
      <w:r w:rsidRPr="00137856">
        <w:t>Økonomi- og Valutaudvalget</w:t>
      </w:r>
      <w:r w:rsidRPr="00137856">
        <w:rPr>
          <w:rStyle w:val="HideTWBExt"/>
          <w:noProof w:val="0"/>
        </w:rPr>
        <w:t>&lt;/</w:t>
      </w:r>
      <w:r w:rsidRPr="00137856">
        <w:rPr>
          <w:rStyle w:val="HideTWBExt"/>
          <w:i w:val="0"/>
          <w:noProof w:val="0"/>
        </w:rPr>
        <w:t>Commission</w:t>
      </w:r>
      <w:r w:rsidRPr="00137856">
        <w:rPr>
          <w:rStyle w:val="HideTWBExt"/>
          <w:noProof w:val="0"/>
        </w:rPr>
        <w:t>&gt;</w:t>
      </w:r>
    </w:p>
    <w:p w:rsidR="000E7234" w:rsidRPr="00137856" w:rsidRDefault="000E7234" w:rsidP="000E7234">
      <w:pPr>
        <w:pStyle w:val="LineBottom"/>
      </w:pPr>
    </w:p>
    <w:p w:rsidR="00B85286" w:rsidRPr="00137856" w:rsidRDefault="00137856">
      <w:pPr>
        <w:pStyle w:val="CoverReference"/>
      </w:pPr>
      <w:r w:rsidRPr="00137856">
        <w:rPr>
          <w:rStyle w:val="HideTWBExt"/>
          <w:b w:val="0"/>
          <w:noProof w:val="0"/>
        </w:rPr>
        <w:t>&lt;RefProc&gt;</w:t>
      </w:r>
      <w:r w:rsidRPr="00137856">
        <w:t>2023/0379</w:t>
      </w:r>
      <w:r w:rsidRPr="00137856">
        <w:rPr>
          <w:rStyle w:val="HideTWBExt"/>
          <w:b w:val="0"/>
          <w:noProof w:val="0"/>
        </w:rPr>
        <w:t>&lt;/RefProc&gt;&lt;RefTypeProc&gt;</w:t>
      </w:r>
      <w:r w:rsidRPr="00137856">
        <w:t>(COD)</w:t>
      </w:r>
      <w:r w:rsidRPr="00137856">
        <w:rPr>
          <w:rStyle w:val="HideTWBExt"/>
          <w:b w:val="0"/>
          <w:noProof w:val="0"/>
        </w:rPr>
        <w:t>&lt;/RefTypeProc&gt;</w:t>
      </w:r>
    </w:p>
    <w:p w:rsidR="00B85286" w:rsidRPr="00137856" w:rsidRDefault="00137856">
      <w:pPr>
        <w:pStyle w:val="CoverDate"/>
      </w:pPr>
      <w:r w:rsidRPr="00137856">
        <w:rPr>
          <w:rStyle w:val="HideTWBExt"/>
          <w:noProof w:val="0"/>
        </w:rPr>
        <w:t>&lt;Date&gt;</w:t>
      </w:r>
      <w:r w:rsidRPr="00137856">
        <w:rPr>
          <w:rStyle w:val="HideTWBInt"/>
          <w:color w:val="auto"/>
        </w:rPr>
        <w:t>{01/02/2024}</w:t>
      </w:r>
      <w:r w:rsidRPr="00137856">
        <w:t>1.2.2024</w:t>
      </w:r>
      <w:r w:rsidRPr="00137856">
        <w:rPr>
          <w:rStyle w:val="HideTWBExt"/>
          <w:noProof w:val="0"/>
        </w:rPr>
        <w:t>&lt;/Date&gt;</w:t>
      </w:r>
    </w:p>
    <w:p w:rsidR="009B0305" w:rsidRPr="00137856" w:rsidRDefault="00137856" w:rsidP="009B0305">
      <w:pPr>
        <w:pStyle w:val="CoverDocType"/>
      </w:pPr>
      <w:r w:rsidRPr="00137856">
        <w:rPr>
          <w:rStyle w:val="HideTWBExt"/>
          <w:b w:val="0"/>
          <w:noProof w:val="0"/>
        </w:rPr>
        <w:t>&lt;TypeAM&gt;</w:t>
      </w:r>
      <w:r w:rsidRPr="00137856">
        <w:t>ÆNDRINGSFORSLAG</w:t>
      </w:r>
      <w:r w:rsidRPr="00137856">
        <w:rPr>
          <w:rStyle w:val="HideTWBExt"/>
          <w:b w:val="0"/>
          <w:noProof w:val="0"/>
        </w:rPr>
        <w:t>&lt;/TypeAM&gt;</w:t>
      </w:r>
    </w:p>
    <w:p w:rsidR="00B85286" w:rsidRPr="00137856" w:rsidRDefault="00137856" w:rsidP="001C2054">
      <w:pPr>
        <w:pStyle w:val="CoverDocType24a"/>
      </w:pPr>
      <w:r w:rsidRPr="00137856">
        <w:rPr>
          <w:rStyle w:val="HideTWBExt"/>
          <w:b w:val="0"/>
          <w:noProof w:val="0"/>
        </w:rPr>
        <w:t>&lt;RangeAM&gt;</w:t>
      </w:r>
      <w:r w:rsidRPr="00137856">
        <w:t>73 - 134</w:t>
      </w:r>
      <w:r w:rsidRPr="00137856">
        <w:rPr>
          <w:rStyle w:val="HideTWBExt"/>
          <w:b w:val="0"/>
          <w:noProof w:val="0"/>
        </w:rPr>
        <w:t>&lt;/RangeAM&gt;</w:t>
      </w:r>
    </w:p>
    <w:p w:rsidR="001C2054" w:rsidRPr="00137856" w:rsidRDefault="00137856" w:rsidP="00A93F8C">
      <w:pPr>
        <w:pStyle w:val="CoverBold"/>
      </w:pPr>
      <w:r w:rsidRPr="00137856">
        <w:rPr>
          <w:rStyle w:val="HideTWBExt"/>
          <w:b w:val="0"/>
          <w:noProof w:val="0"/>
        </w:rPr>
        <w:t>&lt;TitreType&gt;</w:t>
      </w:r>
      <w:r w:rsidRPr="00137856">
        <w:t>Udkast til betænkning</w:t>
      </w:r>
      <w:r w:rsidRPr="00137856">
        <w:rPr>
          <w:rStyle w:val="HideTWBExt"/>
          <w:b w:val="0"/>
          <w:noProof w:val="0"/>
        </w:rPr>
        <w:t>&lt;/TitreType&gt;</w:t>
      </w:r>
    </w:p>
    <w:p w:rsidR="00B85286" w:rsidRPr="00137856" w:rsidRDefault="00137856" w:rsidP="00A93F8C">
      <w:pPr>
        <w:pStyle w:val="CoverBold"/>
      </w:pPr>
      <w:r w:rsidRPr="00137856">
        <w:rPr>
          <w:rStyle w:val="HideTWBExt"/>
          <w:b w:val="0"/>
          <w:noProof w:val="0"/>
        </w:rPr>
        <w:t>&lt;Rapporteur&gt;</w:t>
      </w:r>
      <w:r w:rsidRPr="00137856">
        <w:t>Jonás Fernández</w:t>
      </w:r>
      <w:r w:rsidRPr="00137856">
        <w:rPr>
          <w:rStyle w:val="HideTWBExt"/>
          <w:b w:val="0"/>
          <w:noProof w:val="0"/>
        </w:rPr>
        <w:t>&lt;/Rapporteur&gt;</w:t>
      </w:r>
    </w:p>
    <w:p w:rsidR="00B85286" w:rsidRPr="00137856" w:rsidRDefault="00137856">
      <w:pPr>
        <w:pStyle w:val="CoverNormal24a"/>
      </w:pPr>
      <w:r w:rsidRPr="00137856">
        <w:rPr>
          <w:rStyle w:val="HideTWBExt"/>
          <w:noProof w:val="0"/>
        </w:rPr>
        <w:t>&lt;DocRefPE&gt;</w:t>
      </w:r>
      <w:r w:rsidRPr="00137856">
        <w:t>(PE757.977v01-00)</w:t>
      </w:r>
      <w:r w:rsidRPr="00137856">
        <w:rPr>
          <w:rStyle w:val="HideTWBExt"/>
          <w:noProof w:val="0"/>
        </w:rPr>
        <w:t>&lt;/DocRefPE&gt;</w:t>
      </w:r>
    </w:p>
    <w:p w:rsidR="00B85286" w:rsidRPr="00137856" w:rsidRDefault="00137856">
      <w:pPr>
        <w:pStyle w:val="CoverNormal24a"/>
      </w:pPr>
      <w:r w:rsidRPr="00137856">
        <w:rPr>
          <w:rStyle w:val="HideTWBExt"/>
          <w:noProof w:val="0"/>
        </w:rPr>
        <w:t>&lt;Titre&gt;</w:t>
      </w:r>
      <w:r w:rsidRPr="00137856">
        <w:t>om ændring af forordning (EU) 2016/1011 for så vidt angår anvendelsesområdet for reglerne for benchmarks, brugen i Unionen af benchmarks leveret af en admin</w:t>
      </w:r>
      <w:r w:rsidRPr="00137856">
        <w:t>istrator, der er etableret i et tredjeland, og visse indberetningskrav</w:t>
      </w:r>
      <w:r w:rsidRPr="00137856">
        <w:rPr>
          <w:rStyle w:val="HideTWBExt"/>
          <w:noProof w:val="0"/>
        </w:rPr>
        <w:t>&lt;/Titre&gt;</w:t>
      </w:r>
    </w:p>
    <w:p w:rsidR="006337D4" w:rsidRPr="00137856" w:rsidRDefault="00137856" w:rsidP="006337D4">
      <w:pPr>
        <w:pStyle w:val="CoverNormal"/>
      </w:pPr>
      <w:r w:rsidRPr="00137856">
        <w:rPr>
          <w:rStyle w:val="HideTWBExt"/>
          <w:noProof w:val="0"/>
        </w:rPr>
        <w:t>&lt;DocAmend&gt;</w:t>
      </w:r>
      <w:r w:rsidRPr="00137856">
        <w:t>Forslag til forordning</w:t>
      </w:r>
      <w:r w:rsidRPr="00137856">
        <w:rPr>
          <w:rStyle w:val="HideTWBExt"/>
          <w:noProof w:val="0"/>
        </w:rPr>
        <w:t>&lt;/DocAmend&gt;</w:t>
      </w:r>
    </w:p>
    <w:p w:rsidR="00B85286" w:rsidRPr="00137856" w:rsidRDefault="00137856">
      <w:pPr>
        <w:pStyle w:val="CoverNormal24a"/>
      </w:pPr>
      <w:r w:rsidRPr="00137856">
        <w:rPr>
          <w:rStyle w:val="HideTWBExt"/>
          <w:noProof w:val="0"/>
        </w:rPr>
        <w:t>&lt;DocRef&gt;</w:t>
      </w:r>
      <w:r w:rsidRPr="00137856">
        <w:t>(COM(2023)0660 – C9</w:t>
      </w:r>
      <w:r w:rsidRPr="00137856">
        <w:noBreakHyphen/>
        <w:t>0389/2023 – 2023/0379(COD))</w:t>
      </w:r>
      <w:r w:rsidRPr="00137856">
        <w:rPr>
          <w:rStyle w:val="HideTWBExt"/>
          <w:noProof w:val="0"/>
        </w:rPr>
        <w:t>&lt;/DocRef&gt;</w:t>
      </w:r>
    </w:p>
    <w:p w:rsidR="00B85286" w:rsidRPr="00137856" w:rsidRDefault="00137856" w:rsidP="00E660E2">
      <w:pPr>
        <w:widowControl/>
        <w:tabs>
          <w:tab w:val="center" w:pos="4677"/>
        </w:tabs>
      </w:pPr>
      <w:r w:rsidRPr="00137856">
        <w:br w:type="page"/>
      </w:r>
      <w:r w:rsidRPr="00137856">
        <w:lastRenderedPageBreak/>
        <w:t>AM_Com_LegReport</w:t>
      </w:r>
    </w:p>
    <w:p w:rsidR="001762D4" w:rsidRPr="00137856" w:rsidRDefault="00137856" w:rsidP="001762D4">
      <w:pPr>
        <w:pStyle w:val="AMNumberTabs0"/>
        <w:keepNext/>
      </w:pPr>
      <w:r w:rsidRPr="00137856">
        <w:br w:type="page"/>
      </w:r>
      <w:bookmarkStart w:id="0" w:name="IntroB"/>
      <w:r w:rsidRPr="00137856">
        <w:rPr>
          <w:rStyle w:val="HideTWBExt"/>
          <w:b w:val="0"/>
          <w:noProof w:val="0"/>
        </w:rPr>
        <w:lastRenderedPageBreak/>
        <w:t>&lt;RepeatBlock-Amend&gt;</w:t>
      </w:r>
      <w:bookmarkStart w:id="1" w:name="restart"/>
      <w:bookmarkEnd w:id="0"/>
      <w:r w:rsidRPr="00137856">
        <w:rPr>
          <w:rStyle w:val="HideTWBExt"/>
          <w:b w:val="0"/>
          <w:noProof w:val="0"/>
        </w:rPr>
        <w:t>&lt;Amend&gt;</w:t>
      </w:r>
      <w:bookmarkEnd w:id="1"/>
      <w:r w:rsidRPr="00137856">
        <w:t>Ændringsforslag</w:t>
      </w:r>
      <w:r w:rsidRPr="00137856">
        <w:tab/>
      </w:r>
      <w:r w:rsidRPr="00137856">
        <w:tab/>
      </w:r>
      <w:r w:rsidRPr="00137856">
        <w:rPr>
          <w:rStyle w:val="HideTWBExt"/>
          <w:b w:val="0"/>
          <w:noProof w:val="0"/>
        </w:rPr>
        <w:t>&lt;NumAm&gt;</w:t>
      </w:r>
      <w:r w:rsidRPr="00137856">
        <w:t>73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4</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w:t>
            </w:r>
            <w:r w:rsidRPr="00137856">
              <w:tab/>
              <w:t xml:space="preserve">I henhold til artikel 19d i forordning (EU) </w:t>
            </w:r>
            <w:r w:rsidRPr="00137856">
              <w:t>2016/1011 skal administratorer af væsentlige benchmarks bestræbe sig på at levere et EU-benchmark for klimaovergangen eller et Paristilpasset EU-benchmark senest den 1. januar 2022</w:t>
            </w:r>
            <w:r w:rsidRPr="00137856">
              <w:rPr>
                <w:b/>
                <w:i/>
              </w:rPr>
              <w:t>. Da denne dato er udløbet, bør denne bestemmelse udgå</w:t>
            </w:r>
            <w:r w:rsidRPr="00137856">
              <w:t>.</w:t>
            </w:r>
          </w:p>
        </w:tc>
        <w:tc>
          <w:tcPr>
            <w:tcW w:w="4876" w:type="dxa"/>
            <w:hideMark/>
          </w:tcPr>
          <w:p w:rsidR="001762D4" w:rsidRPr="00137856" w:rsidRDefault="00137856">
            <w:pPr>
              <w:pStyle w:val="Normal6"/>
              <w:rPr>
                <w:szCs w:val="24"/>
              </w:rPr>
            </w:pPr>
            <w:r w:rsidRPr="00137856">
              <w:t>(4)</w:t>
            </w:r>
            <w:r w:rsidRPr="00137856">
              <w:tab/>
              <w:t>I henhold til ar</w:t>
            </w:r>
            <w:r w:rsidRPr="00137856">
              <w:t>tikel 19d i forordning (EU) 2016/1011 skal administratorer af væsentlige benchmarks bestræbe sig på at levere et EU-benchmark for klimaovergangen eller et Paristilpasset EU-benchmark senest den 1. januar 2022</w:t>
            </w:r>
            <w:r w:rsidRPr="00137856">
              <w:rPr>
                <w:b/>
                <w:i/>
              </w:rPr>
              <w:t xml:space="preserve"> i et forsøg på at etablere minimumsstandarder f</w:t>
            </w:r>
            <w:r w:rsidRPr="00137856">
              <w:rPr>
                <w:b/>
                <w:i/>
              </w:rPr>
              <w:t>or klimabenchmarks</w:t>
            </w:r>
            <w:r w:rsidRPr="00137856">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w:t>
      </w:r>
      <w:r w:rsidRPr="00137856">
        <w:rPr>
          <w:rStyle w:val="HideTWBExt"/>
          <w:b w:val="0"/>
          <w:noProof w:val="0"/>
        </w:rPr>
        <w:t>rticle&gt;</w:t>
      </w:r>
      <w:r w:rsidRPr="00137856">
        <w:t>Betragtning 5 a (ny)</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(5a)</w:t>
            </w:r>
            <w:r w:rsidRPr="00137856">
              <w:rPr>
                <w:b/>
                <w:i/>
              </w:rPr>
              <w:tab/>
              <w:t xml:space="preserve">I tilfælde, hvor en administrator leverer en kombination af benchmarks, hvoraf ingen hver især overstiger tærsklen på 50 mia. EUR, men kumulativt overstiger tærsklen på </w:t>
            </w:r>
            <w:r w:rsidRPr="00137856">
              <w:rPr>
                <w:b/>
                <w:i/>
              </w:rPr>
              <w:t>50 mia. EUR, vil administratoren af disse ikkevæsentlige benchmarks være underlagt de samme forpligtelser som væsentlige 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w:t>
      </w:r>
      <w:r w:rsidRPr="00137856">
        <w:rPr>
          <w:rStyle w:val="HideTWBExt"/>
          <w:b w:val="0"/>
          <w:noProof w:val="0"/>
        </w:rPr>
        <w: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6</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(6)</w:t>
            </w:r>
            <w:r w:rsidRPr="00137856">
              <w:tab/>
              <w:t xml:space="preserve">Benchmarkadministratorer </w:t>
            </w:r>
            <w:r w:rsidRPr="00137856">
              <w:rPr>
                <w:b/>
                <w:i/>
              </w:rPr>
              <w:t>er bedst placeret til at</w:t>
            </w:r>
            <w:r w:rsidRPr="00137856">
              <w:t xml:space="preserve"> overvåge brugen i Unionen af de benchmarks, de leverer</w:t>
            </w:r>
            <w:r w:rsidRPr="00137856">
              <w:rPr>
                <w:b/>
                <w:i/>
              </w:rPr>
              <w:t xml:space="preserve">. </w:t>
            </w:r>
            <w:r w:rsidRPr="00137856">
              <w:t>De bør</w:t>
            </w:r>
            <w:r w:rsidRPr="00137856">
              <w:rPr>
                <w:b/>
                <w:i/>
              </w:rPr>
              <w:t xml:space="preserve"> derfor</w:t>
            </w:r>
            <w:r w:rsidRPr="00137856">
              <w:t xml:space="preserve"> underrette den berørte kompetente myndighed eller Den Europæiske Værdipapir- og Markedstilsynsmyndighed (ESMA), afhængigt af hvor administratoren er etableret, når den samlede brug af et af deres benchmarks har overskredet den tærskelværdi, d</w:t>
            </w:r>
            <w:r w:rsidRPr="00137856">
              <w:t>er er fastsat i artikel 24, stk. 1, litra a), i forordning (EU) 2016/1011. For at sikre</w:t>
            </w:r>
            <w:r w:rsidRPr="00137856">
              <w:rPr>
                <w:b/>
                <w:i/>
              </w:rPr>
              <w:t>, at benchmarkadministratorer har tilstrækkelig tid til at tilpasse sig de krav, der gælder for væsentlige benchmarks, bør de først være omfattet</w:t>
            </w:r>
            <w:r w:rsidRPr="00137856">
              <w:t xml:space="preserve"> af disse </w:t>
            </w:r>
            <w:r w:rsidRPr="00137856">
              <w:rPr>
                <w:b/>
                <w:i/>
              </w:rPr>
              <w:t>krav fra 60 ar</w:t>
            </w:r>
            <w:r w:rsidRPr="00137856">
              <w:rPr>
                <w:b/>
                <w:i/>
              </w:rPr>
              <w:t>bejdsdage efter at have indgivet en sådan underretning. Desuden</w:t>
            </w:r>
            <w:r w:rsidRPr="00137856">
              <w:t xml:space="preserve"> bør </w:t>
            </w:r>
            <w:r w:rsidRPr="00137856">
              <w:rPr>
                <w:b/>
                <w:i/>
              </w:rPr>
              <w:t xml:space="preserve">benchmarkadministratorer efter anmodning give de berørte kompetente myndigheder eller </w:t>
            </w:r>
            <w:r w:rsidRPr="00137856">
              <w:t xml:space="preserve">ESMA </w:t>
            </w:r>
            <w:r w:rsidRPr="00137856">
              <w:rPr>
                <w:b/>
                <w:i/>
              </w:rPr>
              <w:t>alle de oplysninger, der er nødvendige for at vurdere den samlede brug af det pågældende benchmar</w:t>
            </w:r>
            <w:r w:rsidRPr="00137856">
              <w:rPr>
                <w:b/>
                <w:i/>
              </w:rPr>
              <w:t>k i Unionen.</w:t>
            </w:r>
            <w:r w:rsidRPr="00137856">
              <w:t xml:space="preserve"> </w:t>
            </w:r>
            <w:r w:rsidRPr="00137856">
              <w:rPr>
                <w:b/>
                <w:i/>
              </w:rPr>
              <w:t>Hvis en benchmarkadministrator undlader eller nægter at underrette om, at brugen af et af dennes benchmarks har overskredet den tærskelværdi, der er fastsat i artikel 24, stk. 1, litra a), i forordning (EU) 2016/1011, og hvis de kompetente myn</w:t>
            </w:r>
            <w:r w:rsidRPr="00137856">
              <w:rPr>
                <w:b/>
                <w:i/>
              </w:rPr>
              <w:t>digheder har klare og påviselige grunde til at antage, at tærskelværdien er overskredet, bør de berørte kompetente myndigheder eller ESMA, alt efter hvad der er relevant, kunne erklære, at tærskelværdien er overskredet, efter først at have givet administra</w:t>
            </w:r>
            <w:r w:rsidRPr="00137856">
              <w:rPr>
                <w:b/>
                <w:i/>
              </w:rPr>
              <w:t xml:space="preserve">toren mulighed for at blive hørt. En sådan erklæring bør udløse de samme forpligtelser for benchmarkadministratoren som en underretning fra benchmarkadministratoren. Dette bør ikke berøre ESMA's eller de kompetente myndigheders mulighed for at pålægge de </w:t>
            </w:r>
            <w:r w:rsidRPr="00137856">
              <w:rPr>
                <w:b/>
                <w:i/>
              </w:rPr>
              <w:lastRenderedPageBreak/>
              <w:t>a</w:t>
            </w:r>
            <w:r w:rsidRPr="00137856">
              <w:rPr>
                <w:b/>
                <w:i/>
              </w:rPr>
              <w:t>dministratorer, der ikke underretter om, at et af deres benchmarks har overskredet den gældende tærskelværdi, administrative sanktioner.</w:t>
            </w:r>
          </w:p>
        </w:tc>
        <w:tc>
          <w:tcPr>
            <w:tcW w:w="4876" w:type="dxa"/>
            <w:hideMark/>
          </w:tcPr>
          <w:p w:rsidR="001762D4" w:rsidRPr="00137856" w:rsidRDefault="00137856" w:rsidP="00481004">
            <w:pPr>
              <w:pStyle w:val="Normal6"/>
              <w:rPr>
                <w:szCs w:val="24"/>
              </w:rPr>
            </w:pPr>
            <w:r w:rsidRPr="00137856">
              <w:lastRenderedPageBreak/>
              <w:t>(6)</w:t>
            </w:r>
            <w:r w:rsidRPr="00137856">
              <w:tab/>
              <w:t xml:space="preserve">Benchmarkadministratorer </w:t>
            </w:r>
            <w:r w:rsidRPr="00137856">
              <w:rPr>
                <w:b/>
                <w:i/>
              </w:rPr>
              <w:t>bør</w:t>
            </w:r>
            <w:r w:rsidRPr="00137856">
              <w:t xml:space="preserve"> overvåge brugen i Unionen af de benchmarks, de leverer</w:t>
            </w:r>
            <w:r w:rsidRPr="00137856">
              <w:rPr>
                <w:b/>
                <w:i/>
              </w:rPr>
              <w:t xml:space="preserve"> og</w:t>
            </w:r>
            <w:r w:rsidRPr="00137856">
              <w:t xml:space="preserve"> de bør underrette den berørte kompetente myndighed eller Den Europæiske Værdipapir- og Markedstilsynsmyndighed (ESMA), afhængigt af hvor administratoren er etableret, når den samlede brug af et af deres benchmarks har overskredet den tærskelværdi, der er </w:t>
            </w:r>
            <w:r w:rsidRPr="00137856">
              <w:t>fastsat i artikel 24, stk. 1, litra a), i forordning (EU) 2016/1011. For at sikre</w:t>
            </w:r>
            <w:r w:rsidRPr="00137856">
              <w:rPr>
                <w:b/>
                <w:i/>
              </w:rPr>
              <w:t xml:space="preserve"> en konsekvent gennemførelse</w:t>
            </w:r>
            <w:r w:rsidRPr="00137856">
              <w:t xml:space="preserve"> af disse </w:t>
            </w:r>
            <w:r w:rsidRPr="00137856">
              <w:rPr>
                <w:b/>
                <w:i/>
              </w:rPr>
              <w:t>tærskelværdier</w:t>
            </w:r>
            <w:r w:rsidRPr="00137856">
              <w:t xml:space="preserve"> bør ESMA </w:t>
            </w:r>
            <w:r w:rsidRPr="00137856">
              <w:rPr>
                <w:b/>
                <w:i/>
              </w:rPr>
              <w:t>udarbejde udkast</w:t>
            </w:r>
            <w:r w:rsidRPr="00137856">
              <w:t xml:space="preserve"> til </w:t>
            </w:r>
            <w:r w:rsidRPr="00137856">
              <w:rPr>
                <w:b/>
                <w:i/>
              </w:rPr>
              <w:t>reguleringsmæssige tekniske standarder med henblik på yderligere</w:t>
            </w:r>
            <w:r w:rsidRPr="00137856">
              <w:t xml:space="preserve"> at </w:t>
            </w:r>
            <w:r w:rsidRPr="00137856">
              <w:rPr>
                <w:b/>
                <w:i/>
              </w:rPr>
              <w:t>præcisere beregningsmeto</w:t>
            </w:r>
            <w:r w:rsidRPr="00137856">
              <w:rPr>
                <w:b/>
                <w:i/>
              </w:rPr>
              <w:t>den</w:t>
            </w:r>
            <w:r w:rsidRPr="00137856">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8</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(8)</w:t>
            </w:r>
            <w:r w:rsidRPr="00137856">
              <w:rPr>
                <w:b/>
                <w:i/>
              </w:rPr>
              <w:tab/>
              <w:t>I særlige tilfælde kan der dog være benchmarks med en samlet brug under den tærskelværdi, der er fastsat i artikel 24, stk. 1, litra a), i forordning (EU) 2016/1011, som på grund af den særlige situation på marked</w:t>
            </w:r>
            <w:r w:rsidRPr="00137856">
              <w:rPr>
                <w:b/>
                <w:i/>
              </w:rPr>
              <w:t>et i en medlemsstat ikke desto mindre er af en sådan betydning for den pågældende medlemsstat, at manglende pålidelighed vil have en indvirkning, der svarer til indvirkningen af et benchmark, hvis brug overstiger denne tærskelværdi. Derfor bør den kompeten</w:t>
            </w:r>
            <w:r w:rsidRPr="00137856">
              <w:rPr>
                <w:b/>
                <w:i/>
              </w:rPr>
              <w:t>te myndighed i den pågældende medlemsstat kunne udpege et sådant benchmark, hvis det pågældende benchmark leveres af en EU-administrator, som væsentligt på grundlag af et sæt kvalitative kriterier. For benchmarks leveret af en ikke-EU-administrator bør det</w:t>
            </w:r>
            <w:r w:rsidRPr="00137856">
              <w:rPr>
                <w:b/>
                <w:i/>
              </w:rPr>
              <w:t xml:space="preserve"> være ESMA, der efter anmodning fra en eller flere kompetente myndigheder udpeger et sådant benchmark som et væsentligt benchmark.</w:t>
            </w:r>
          </w:p>
        </w:tc>
        <w:tc>
          <w:tcPr>
            <w:tcW w:w="4876" w:type="dxa"/>
            <w:hideMark/>
          </w:tcPr>
          <w:p w:rsidR="001762D4" w:rsidRPr="00137856" w:rsidRDefault="00137856">
            <w:pPr>
              <w:pStyle w:val="Normal6"/>
              <w:rPr>
                <w:szCs w:val="24"/>
              </w:rPr>
            </w:pPr>
            <w:r w:rsidRPr="00137856">
              <w:rPr>
                <w:b/>
                <w:i/>
              </w:rPr>
              <w:t>udgår</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 xml:space="preserve">Markus </w:t>
      </w:r>
      <w:r w:rsidRPr="00137856">
        <w:t>Ferber, Inese Vaidere</w:t>
      </w:r>
      <w:r w:rsidRPr="00137856">
        <w:rPr>
          <w:rStyle w:val="HideTWBExt"/>
          <w:b w:val="0"/>
          <w:noProof w:val="0"/>
        </w:rPr>
        <w:t>&lt;/Members&gt;</w:t>
      </w:r>
    </w:p>
    <w:p w:rsidR="001762D4" w:rsidRPr="00137856" w:rsidRDefault="00137856" w:rsidP="001762D4">
      <w:r w:rsidRPr="00137856">
        <w:rPr>
          <w:rStyle w:val="HideTWBExt"/>
          <w:noProof w:val="0"/>
        </w:rPr>
        <w:lastRenderedPageBreak/>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9</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(9)</w:t>
            </w:r>
            <w:r w:rsidRPr="00137856">
              <w:rPr>
                <w:b/>
                <w:i/>
              </w:rPr>
              <w:tab/>
              <w:t>For at sikre sammenhæng mellem og koordinering af nationale udpegelser af benchmarks</w:t>
            </w:r>
            <w:r w:rsidRPr="00137856">
              <w:rPr>
                <w:b/>
                <w:i/>
              </w:rPr>
              <w:t xml:space="preserve"> som væsentlige benchmarks bør de kompetente myndigheder, der har til hensigt at udpege et benchmark som væsentligt, høre ESMA. Af samme grund bør en kompetent myndighed i en medlemsstat, der har til hensigt at udpege et benchmark, som leveres af en admini</w:t>
            </w:r>
            <w:r w:rsidRPr="00137856">
              <w:rPr>
                <w:b/>
                <w:i/>
              </w:rPr>
              <w:t>strator, der er etableret i en anden medlemsstat, som væsentligt, også høre den kompetente myndighed i denne anden medlemsstat. Hvis de kompetente myndigheder er uenige om, hvilken af dem der skal udpege og føre tilsyn med et benchmark, bør ESMA bilægge de</w:t>
            </w:r>
            <w:r w:rsidRPr="00137856">
              <w:rPr>
                <w:b/>
                <w:i/>
              </w:rPr>
              <w:t>nne tvist i overensstemmelse med artikel 19 i Europa-Parlamentets og Rådets forordning (EU) nr. 1095/2010.</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__________________</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vertAlign w:val="superscript"/>
              </w:rPr>
              <w:t>5</w:t>
            </w:r>
            <w:r w:rsidRPr="00137856">
              <w:t xml:space="preserve"> Europa-Parlamentets og Rådets forordning (EU) nr. 1095/2010 af 24. november 2010 om oprettelse af en europæisk tilsynsmyndighed (Den Europæiske Værdipapir- og Markedstilsynsmyndighed), om ændring af afgørelse nr. 716/2009/EF og om ophævelse af Kommissione</w:t>
            </w:r>
            <w:r w:rsidRPr="00137856">
              <w:t>ns afgørelse 2009/77/EF (EUT L 331 af 15.12.2010, s. 84).</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EC2D82" w:rsidRPr="00137856" w:rsidRDefault="00137856" w:rsidP="00EC2D82">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78</w:t>
      </w:r>
      <w:r w:rsidRPr="00137856">
        <w:rPr>
          <w:rStyle w:val="HideTWBExt"/>
          <w:b w:val="0"/>
          <w:noProof w:val="0"/>
        </w:rPr>
        <w:t>&lt;/NumAm&gt;</w:t>
      </w:r>
    </w:p>
    <w:p w:rsidR="00EC2D82" w:rsidRPr="00137856" w:rsidRDefault="00137856" w:rsidP="00EC2D82">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EC2D82" w:rsidRPr="00137856" w:rsidRDefault="00137856" w:rsidP="00EC2D82">
      <w:r w:rsidRPr="00137856">
        <w:rPr>
          <w:rStyle w:val="HideTWBExt"/>
          <w:noProof w:val="0"/>
        </w:rPr>
        <w:t>&lt;/RepeatBlock-By&gt;</w:t>
      </w:r>
    </w:p>
    <w:p w:rsidR="00EC2D82" w:rsidRPr="00137856" w:rsidRDefault="00137856" w:rsidP="00EC2D82">
      <w:pPr>
        <w:pStyle w:val="NormalBold"/>
        <w:keepNext/>
      </w:pPr>
      <w:r w:rsidRPr="00137856">
        <w:rPr>
          <w:rStyle w:val="HideTWBExt"/>
          <w:b w:val="0"/>
          <w:noProof w:val="0"/>
        </w:rPr>
        <w:lastRenderedPageBreak/>
        <w:t>&lt;DocAmend&gt;</w:t>
      </w:r>
      <w:r w:rsidRPr="00137856">
        <w:t>Forslag til forordning</w:t>
      </w:r>
      <w:r w:rsidRPr="00137856">
        <w:rPr>
          <w:rStyle w:val="HideTWBExt"/>
          <w:b w:val="0"/>
          <w:noProof w:val="0"/>
        </w:rPr>
        <w:t>&lt;/DocAmend&gt;</w:t>
      </w:r>
    </w:p>
    <w:p w:rsidR="00EC2D82" w:rsidRPr="00137856" w:rsidRDefault="00137856" w:rsidP="00EC2D82">
      <w:pPr>
        <w:pStyle w:val="NormalBold"/>
      </w:pPr>
      <w:r w:rsidRPr="00137856">
        <w:rPr>
          <w:rStyle w:val="HideTWBExt"/>
          <w:b w:val="0"/>
          <w:noProof w:val="0"/>
        </w:rPr>
        <w:t>&lt;Article&gt;</w:t>
      </w:r>
      <w:r w:rsidRPr="00137856">
        <w:t>Betragtning 12</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EC2D82">
        <w:trPr>
          <w:jc w:val="center"/>
        </w:trPr>
        <w:tc>
          <w:tcPr>
            <w:tcW w:w="9752" w:type="dxa"/>
            <w:gridSpan w:val="2"/>
          </w:tcPr>
          <w:p w:rsidR="00EC2D82" w:rsidRPr="00137856" w:rsidRDefault="00EC2D82" w:rsidP="00EC2D82">
            <w:pPr>
              <w:keepNext/>
            </w:pPr>
          </w:p>
        </w:tc>
      </w:tr>
      <w:tr w:rsidR="00791339" w:rsidRPr="00137856" w:rsidTr="00EC2D82">
        <w:trPr>
          <w:jc w:val="center"/>
        </w:trPr>
        <w:tc>
          <w:tcPr>
            <w:tcW w:w="4876" w:type="dxa"/>
            <w:hideMark/>
          </w:tcPr>
          <w:p w:rsidR="00EC2D82" w:rsidRPr="00137856" w:rsidRDefault="00137856" w:rsidP="00EC2D82">
            <w:pPr>
              <w:pStyle w:val="ColumnHeading"/>
              <w:keepNext/>
            </w:pPr>
            <w:r w:rsidRPr="00137856">
              <w:t>Kommissionens forslag</w:t>
            </w:r>
          </w:p>
        </w:tc>
        <w:tc>
          <w:tcPr>
            <w:tcW w:w="4876" w:type="dxa"/>
            <w:hideMark/>
          </w:tcPr>
          <w:p w:rsidR="00EC2D82" w:rsidRPr="00137856" w:rsidRDefault="00137856" w:rsidP="00EC2D82">
            <w:pPr>
              <w:pStyle w:val="ColumnHeading"/>
              <w:keepNext/>
            </w:pPr>
            <w:r w:rsidRPr="00137856">
              <w:t>Ændringsforslag</w:t>
            </w:r>
          </w:p>
        </w:tc>
      </w:tr>
      <w:tr w:rsidR="00791339" w:rsidRPr="00137856" w:rsidTr="00EC2D82">
        <w:trPr>
          <w:jc w:val="center"/>
        </w:trPr>
        <w:tc>
          <w:tcPr>
            <w:tcW w:w="4876" w:type="dxa"/>
            <w:hideMark/>
          </w:tcPr>
          <w:p w:rsidR="00EC2D82" w:rsidRPr="00137856" w:rsidRDefault="00137856" w:rsidP="00EC2D82">
            <w:pPr>
              <w:pStyle w:val="Normal6"/>
            </w:pPr>
            <w:r w:rsidRPr="00137856">
              <w:t>(12)</w:t>
            </w:r>
            <w:r w:rsidRPr="00137856">
              <w:tab/>
              <w:t xml:space="preserve">EU-benchmarks for klimaovergangen og Paristilpassede EU-benchmarks er specifikke kategorier af benchmarks, der er defineret ved </w:t>
            </w:r>
            <w:r w:rsidRPr="00137856">
              <w:t>deres overholdelse af regler vedrørende deres metodologi og de oplysninger, som deres administrator skal fremlægge. Af denne grund og for at forhindre påstande, der kan forlede brugerne til at tro, at sådanne benchmarks er i overensstemmelse med de standar</w:t>
            </w:r>
            <w:r w:rsidRPr="00137856">
              <w:t xml:space="preserve">der, der er knyttet til disse mærker, er det nødvendigt, at disse benchmarks gøres til genstand for obligatorisk registrering eller </w:t>
            </w:r>
            <w:r w:rsidRPr="00137856">
              <w:rPr>
                <w:b/>
                <w:i/>
              </w:rPr>
              <w:t>godkendelse</w:t>
            </w:r>
            <w:r w:rsidRPr="00137856">
              <w:t>, alt efter hvad der er relevant, samt tilsyn.</w:t>
            </w:r>
          </w:p>
        </w:tc>
        <w:tc>
          <w:tcPr>
            <w:tcW w:w="4876" w:type="dxa"/>
            <w:hideMark/>
          </w:tcPr>
          <w:p w:rsidR="00EC2D82" w:rsidRPr="00137856" w:rsidRDefault="00137856" w:rsidP="00EC2D82">
            <w:pPr>
              <w:pStyle w:val="Normal6"/>
              <w:rPr>
                <w:szCs w:val="24"/>
              </w:rPr>
            </w:pPr>
            <w:r w:rsidRPr="00137856">
              <w:t>(12)</w:t>
            </w:r>
            <w:r w:rsidRPr="00137856">
              <w:tab/>
              <w:t>EU-benchmarks for klimaovergangen og Paristilpassede EU-bench</w:t>
            </w:r>
            <w:r w:rsidRPr="00137856">
              <w:t xml:space="preserve">marks er specifikke kategorier af benchmarks, der er defineret ved deres overholdelse af regler vedrørende deres metodologi og de </w:t>
            </w:r>
            <w:r w:rsidRPr="00137856">
              <w:rPr>
                <w:b/>
                <w:i/>
              </w:rPr>
              <w:t xml:space="preserve">krav til </w:t>
            </w:r>
            <w:r w:rsidRPr="00137856">
              <w:t>oplysninger, som deres administrator skal fremlægge. Af denne grund og for at forhindre påstande, der kan forlede bru</w:t>
            </w:r>
            <w:r w:rsidRPr="00137856">
              <w:t>gerne til at tro, at sådanne benchmarks er i overensstemmelse med de standarder, der er knyttet til disse mærker, er det nødvendigt, at disse benchmarks gøres til genstand for obligatorisk registrering</w:t>
            </w:r>
            <w:r w:rsidRPr="00137856">
              <w:rPr>
                <w:b/>
                <w:i/>
              </w:rPr>
              <w:t>, godkendelse</w:t>
            </w:r>
            <w:r w:rsidRPr="00137856">
              <w:t xml:space="preserve"> eller </w:t>
            </w:r>
            <w:r w:rsidRPr="00137856">
              <w:rPr>
                <w:b/>
                <w:i/>
              </w:rPr>
              <w:t>anerkendelse</w:t>
            </w:r>
            <w:r w:rsidRPr="00137856">
              <w:t>, alt efter hvad der er</w:t>
            </w:r>
            <w:r w:rsidRPr="00137856">
              <w:t xml:space="preserve"> relevant, samt tilsyn.</w:t>
            </w:r>
          </w:p>
        </w:tc>
      </w:tr>
    </w:tbl>
    <w:p w:rsidR="00EC2D82" w:rsidRPr="00137856" w:rsidRDefault="00137856" w:rsidP="00EC2D82">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E73CE2" w:rsidRPr="00137856" w:rsidRDefault="00137856" w:rsidP="00E73CE2">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79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12</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(12)</w:t>
            </w:r>
            <w:r w:rsidRPr="00137856">
              <w:tab/>
              <w:t>EU-benchmarks for klimaovergangen og Paristilpassede EU-benchmarks er specifikke kategorier af benchmarks, der er defineret ved deres overholdelse af regler vedrørende deres metodologi og de oplysninger, som dere</w:t>
            </w:r>
            <w:r w:rsidRPr="00137856">
              <w:t>s administrator skal fremlægge. Af denne grund og for at forhindre påstande, der kan forlede brugerne til at tro, at sådanne benchmarks er i overensstemmelse med de standarder, der er knyttet til disse mærker, er det nødvendigt, at disse benchmarks gøres t</w:t>
            </w:r>
            <w:r w:rsidRPr="00137856">
              <w:t xml:space="preserve">il genstand for obligatorisk registrering eller godkendelse, alt efter </w:t>
            </w:r>
            <w:r w:rsidRPr="00137856">
              <w:lastRenderedPageBreak/>
              <w:t>hvad der er relevant, samt tilsyn.</w:t>
            </w:r>
          </w:p>
        </w:tc>
        <w:tc>
          <w:tcPr>
            <w:tcW w:w="4876" w:type="dxa"/>
            <w:hideMark/>
          </w:tcPr>
          <w:p w:rsidR="001762D4" w:rsidRPr="00137856" w:rsidRDefault="00137856">
            <w:pPr>
              <w:pStyle w:val="Normal6"/>
              <w:rPr>
                <w:szCs w:val="24"/>
              </w:rPr>
            </w:pPr>
            <w:r w:rsidRPr="00137856">
              <w:lastRenderedPageBreak/>
              <w:t>(12)</w:t>
            </w:r>
            <w:r w:rsidRPr="00137856">
              <w:tab/>
              <w:t>EU-benchmarks for klimaovergangen og Paristilpassede EU-benchmarks er specifikke kategorier af benchmarks, der er defineret ved deres overholdels</w:t>
            </w:r>
            <w:r w:rsidRPr="00137856">
              <w:t xml:space="preserve">e af regler vedrørende deres metodologi og </w:t>
            </w:r>
            <w:r w:rsidRPr="00137856">
              <w:rPr>
                <w:b/>
                <w:i/>
              </w:rPr>
              <w:t xml:space="preserve">krav til </w:t>
            </w:r>
            <w:r w:rsidRPr="00137856">
              <w:t>de oplysninger, som deres administrator skal fremlægge. Af denne grund og for at forhindre påstande, der kan forlede brugerne til at tro, at sådanne benchmarks er i overensstemmelse med de standarder, der</w:t>
            </w:r>
            <w:r w:rsidRPr="00137856">
              <w:t xml:space="preserve"> er knyttet til disse mærker, er det nødvendigt, at disse benchmarks gøres til genstand for obligatorisk registrering eller godkendelse</w:t>
            </w:r>
            <w:r w:rsidRPr="00137856">
              <w:rPr>
                <w:b/>
                <w:i/>
              </w:rPr>
              <w:t xml:space="preserve">, </w:t>
            </w:r>
            <w:r w:rsidRPr="00137856">
              <w:rPr>
                <w:b/>
                <w:i/>
              </w:rPr>
              <w:lastRenderedPageBreak/>
              <w:t>anerkendelse eller validering</w:t>
            </w:r>
            <w:r w:rsidRPr="00137856">
              <w:t>, alt efter hvad der er relevant, samt tilsyn.</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De fleste klimabenchmarks leveres af ikke-EU-administratorer. EU's ESG-mærker bør også være tilgængelige for anerkendte eller validerede tredjelandsadministratorer, forudsat at de opfylder alle krav til ESG-mærkning i ben</w:t>
      </w:r>
      <w:r w:rsidRPr="00137856">
        <w:rPr>
          <w:noProof w:val="0"/>
        </w:rPr>
        <w:t>chmarkforordningen.</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80</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12 a (ny)</w:t>
      </w:r>
      <w:r w:rsidRPr="00137856">
        <w:rPr>
          <w:rStyle w:val="HideTWBExt"/>
          <w:b w:val="0"/>
          <w:noProof w:val="0"/>
        </w:rPr>
        <w:t>&lt;/Art</w:t>
      </w:r>
      <w:r w:rsidRPr="00137856">
        <w:rPr>
          <w:rStyle w:val="HideTWBExt"/>
          <w:b w:val="0"/>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(12a)</w:t>
            </w:r>
            <w:r w:rsidRPr="00137856">
              <w:rPr>
                <w:b/>
                <w:i/>
              </w:rPr>
              <w:tab/>
              <w:t xml:space="preserve">Den reguleringsmæssige behandling af råvarebenchmarks bør skræddersys til deres specifikke karakteristika. Råvarebenchmarks, der er omfattet af de generelle regler for finansielle benchmarks, bør </w:t>
            </w:r>
            <w:r w:rsidRPr="00137856">
              <w:rPr>
                <w:b/>
                <w:i/>
              </w:rPr>
              <w:t>behandles på samme måde som andre finansielle benchmarks og bør kun være omfattet af forordning (EU) 2016/1011, hvis de er væsentlige eller kritiske benchmarks og ikke er blevet undtaget fra nærværende forordnings anvendelsesområde. Råvarebenchmarks, der e</w:t>
            </w:r>
            <w:r w:rsidRPr="00137856">
              <w:rPr>
                <w:b/>
                <w:i/>
              </w:rPr>
              <w:t>r omfattet af den særlige ordning i bilag II til forordning (EU) 2016/1011, bør altid være omfattet af forordningen, da der er mindre beskyttelse med hensyn til at sikre robustheden af dataindsamling for produktion af 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w:t>
      </w:r>
      <w:r w:rsidRPr="00137856">
        <w:rPr>
          <w:rStyle w:val="HideTWBExt"/>
          <w:noProof w:val="0"/>
        </w:rPr>
        <w:t>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81</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lastRenderedPageBreak/>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13</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(13)</w:t>
            </w:r>
            <w:r w:rsidRPr="00137856">
              <w:tab/>
              <w:t xml:space="preserve">For at sikre, at tilsynet med væsentlige benchmarks påbegyndes i rette tid bør administratorer af benchmarks, der er blevet væsentlige — </w:t>
            </w:r>
            <w:r w:rsidRPr="00137856">
              <w:rPr>
                <w:b/>
                <w:i/>
              </w:rPr>
              <w:t xml:space="preserve">enten </w:t>
            </w:r>
            <w:r w:rsidRPr="00137856">
              <w:t>fordi de har nået den gældende kvantitative tærskelværdi</w:t>
            </w:r>
            <w:r w:rsidRPr="00137856">
              <w:rPr>
                <w:b/>
                <w:i/>
              </w:rPr>
              <w:t>, eller fordi de er blevet udpeget</w:t>
            </w:r>
            <w:r w:rsidRPr="00137856">
              <w:t xml:space="preserve"> </w:t>
            </w:r>
            <w:r w:rsidRPr="00137856">
              <w:t>— være forpligtet til inden for 60 arbejdsdage at ansøge om godkendelse eller registrering eller, hvis der er tale om benchmarks leveret af en administrator, der er etableret i et tredjeland, validering eller anerkendelse.</w:t>
            </w:r>
          </w:p>
        </w:tc>
        <w:tc>
          <w:tcPr>
            <w:tcW w:w="4876" w:type="dxa"/>
            <w:hideMark/>
          </w:tcPr>
          <w:p w:rsidR="001762D4" w:rsidRPr="00137856" w:rsidRDefault="00137856">
            <w:pPr>
              <w:pStyle w:val="Normal6"/>
              <w:rPr>
                <w:szCs w:val="24"/>
              </w:rPr>
            </w:pPr>
            <w:r w:rsidRPr="00137856">
              <w:t>(13)</w:t>
            </w:r>
            <w:r w:rsidRPr="00137856">
              <w:tab/>
              <w:t>For at sikre, at tilsynet me</w:t>
            </w:r>
            <w:r w:rsidRPr="00137856">
              <w:t>d væsentlige benchmarks påbegyndes i rette tid bør administratorer af benchmarks, der er blevet væsentlige — fordi de har nået den gældende kvantitative tærskelværdi — være forpligtet til inden for 60 arbejdsdage at ansøge om godkendelse eller registrering</w:t>
            </w:r>
            <w:r w:rsidRPr="00137856">
              <w:t xml:space="preserve"> eller, hvis der er tale om benchmarks leveret af en administrator, der er etableret i et tredjeland, validering eller anerkendelse.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 xml:space="preserve">Gilles Boyer, </w:t>
      </w:r>
      <w:r w:rsidRPr="00137856">
        <w:t>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20 a (ny)</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(20a)</w:t>
            </w:r>
            <w:r w:rsidRPr="00137856">
              <w:rPr>
                <w:b/>
                <w:i/>
              </w:rPr>
              <w:tab/>
              <w:t xml:space="preserve">Ved forordning (EU) 2019/2089 er der indført regler for </w:t>
            </w:r>
            <w:r w:rsidRPr="00137856">
              <w:rPr>
                <w:b/>
                <w:i/>
              </w:rPr>
              <w:t>gennemsigtighed i forbindelse med benchmarks, hvori det i deres markedsføring eller juridiske kommunikation hævdes, at der i disse tages hensyn til miljømæssige, sociale eller ledelsesmæssige faktorer (ESG-faktorer) i deres udformning. For at opretholde en</w:t>
            </w:r>
            <w:r w:rsidRPr="00137856">
              <w:rPr>
                <w:b/>
                <w:i/>
              </w:rPr>
              <w:t xml:space="preserve"> høj grad af gennemsigtighed i forbindelse med ESG-relaterede anprisninger og et passende beskyttelsesniveau for brugerne er det nødvendigt, at brugere af benchmarks, der fremsætter ESG-relaterede anprisninger, ikke anvender sådanne benchmarks, når de ikke</w:t>
            </w:r>
            <w:r w:rsidRPr="00137856">
              <w:rPr>
                <w:b/>
                <w:i/>
              </w:rPr>
              <w:t xml:space="preserve"> giver de oplysninger, der er omhandlet i artikel 13, </w:t>
            </w:r>
            <w:r w:rsidRPr="00137856">
              <w:rPr>
                <w:b/>
                <w:i/>
              </w:rPr>
              <w:lastRenderedPageBreak/>
              <w:t>stk. 1, litra d), og artikel 27, stk. 2a, i forordning (EU) 2016/1011, og når denne offentliggørelse af oplysninger ikke lever op til kravene i forordning (EU) 2019/2088. Dette bør gælde for anvendelsen</w:t>
            </w:r>
            <w:r w:rsidRPr="00137856">
              <w:rPr>
                <w:b/>
                <w:i/>
              </w:rPr>
              <w:t xml:space="preserve"> af ethvert benchmark, der hævder at tage hensyn til ESG-faktorer i deres udformning, uanset om et sådant benchmark administreres i Unionen eller i et tredjeland.</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Betragtning 21</w:t>
      </w:r>
      <w:r w:rsidRPr="001378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(21)</w:t>
            </w:r>
            <w:r w:rsidRPr="00137856">
              <w:tab/>
            </w:r>
            <w:r w:rsidRPr="00137856">
              <w:t xml:space="preserve">For at sikre en problemfri overgang til de regler, der indføres ved denne forordning, </w:t>
            </w:r>
            <w:r w:rsidRPr="00137856">
              <w:rPr>
                <w:b/>
                <w:i/>
              </w:rPr>
              <w:t>og for at undgå</w:t>
            </w:r>
            <w:r w:rsidRPr="00137856">
              <w:t xml:space="preserve">, </w:t>
            </w:r>
            <w:r w:rsidRPr="00137856">
              <w:rPr>
                <w:b/>
                <w:i/>
              </w:rPr>
              <w:t>at administratorer skal gennemgå en registrerings- eller godkendelsesprocedure mere end én gang</w:t>
            </w:r>
            <w:r w:rsidRPr="00137856">
              <w:t xml:space="preserve">, </w:t>
            </w:r>
            <w:r w:rsidRPr="00137856">
              <w:rPr>
                <w:b/>
                <w:i/>
              </w:rPr>
              <w:t>bør de kompetente myndigheder og ESMA indføre mindre byr</w:t>
            </w:r>
            <w:r w:rsidRPr="00137856">
              <w:rPr>
                <w:b/>
                <w:i/>
              </w:rPr>
              <w:t>defulde ansøgningsprocedurer for administratorer</w:t>
            </w:r>
            <w:r w:rsidRPr="00137856">
              <w:t>,</w:t>
            </w:r>
            <w:r w:rsidRPr="00137856">
              <w:rPr>
                <w:b/>
                <w:i/>
              </w:rPr>
              <w:t xml:space="preserve"> der allerede er</w:t>
            </w:r>
            <w:r w:rsidRPr="00137856">
              <w:t xml:space="preserve"> godkendt, </w:t>
            </w:r>
            <w:r w:rsidRPr="00137856">
              <w:rPr>
                <w:b/>
                <w:i/>
              </w:rPr>
              <w:t>registreret</w:t>
            </w:r>
            <w:r w:rsidRPr="00137856">
              <w:t xml:space="preserve">, valideret eller </w:t>
            </w:r>
            <w:r w:rsidRPr="00137856">
              <w:rPr>
                <w:b/>
                <w:i/>
              </w:rPr>
              <w:t>anerkendt, og som ansøger om en ny godkendelse, registrering, validering eller anerkendelse senest to år efter datoen for anvendelsen af denne ændrings</w:t>
            </w:r>
            <w:r w:rsidRPr="00137856">
              <w:rPr>
                <w:b/>
                <w:i/>
              </w:rPr>
              <w:t>forordning</w:t>
            </w:r>
            <w:r w:rsidRPr="00137856">
              <w:t>.</w:t>
            </w:r>
          </w:p>
        </w:tc>
        <w:tc>
          <w:tcPr>
            <w:tcW w:w="4876" w:type="dxa"/>
            <w:hideMark/>
          </w:tcPr>
          <w:p w:rsidR="001762D4" w:rsidRPr="00137856" w:rsidRDefault="00137856">
            <w:pPr>
              <w:pStyle w:val="Normal6"/>
              <w:rPr>
                <w:szCs w:val="24"/>
              </w:rPr>
            </w:pPr>
            <w:r w:rsidRPr="00137856">
              <w:t>(21)</w:t>
            </w:r>
            <w:r w:rsidRPr="00137856">
              <w:tab/>
              <w:t xml:space="preserve">For at sikre en problemfri overgang til de regler, der indføres ved denne forordning, </w:t>
            </w:r>
            <w:r w:rsidRPr="00137856">
              <w:rPr>
                <w:b/>
                <w:i/>
              </w:rPr>
              <w:t>bør administratorer</w:t>
            </w:r>
            <w:r w:rsidRPr="00137856">
              <w:t xml:space="preserve">, </w:t>
            </w:r>
            <w:r w:rsidRPr="00137856">
              <w:rPr>
                <w:b/>
                <w:i/>
              </w:rPr>
              <w:t>der tidligere er registreret, godkendt, anerkendt</w:t>
            </w:r>
            <w:r w:rsidRPr="00137856">
              <w:t xml:space="preserve">, </w:t>
            </w:r>
            <w:r w:rsidRPr="00137856">
              <w:rPr>
                <w:b/>
                <w:i/>
              </w:rPr>
              <w:t>valideret eller tilsvarende i henhold til forordning (EU) 2016/1011, fortsat være</w:t>
            </w:r>
            <w:r w:rsidRPr="00137856">
              <w:rPr>
                <w:b/>
                <w:i/>
              </w:rPr>
              <w:t xml:space="preserve"> registreret</w:t>
            </w:r>
            <w:r w:rsidRPr="00137856">
              <w:t xml:space="preserve">, godkendt, </w:t>
            </w:r>
            <w:r w:rsidRPr="00137856">
              <w:rPr>
                <w:b/>
                <w:i/>
              </w:rPr>
              <w:t>anerkendt</w:t>
            </w:r>
            <w:r w:rsidRPr="00137856">
              <w:t xml:space="preserve">, valideret eller </w:t>
            </w:r>
            <w:r w:rsidRPr="00137856">
              <w:rPr>
                <w:b/>
                <w:i/>
              </w:rPr>
              <w:t>tilsvarende uden at skulle ansøge igen, i det omfang de administrerer et benchmark inden for anvendelsesområdet eller frivilligt vælger at deltage i forordningen</w:t>
            </w:r>
            <w:r w:rsidRPr="00137856">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 – litra a</w:t>
      </w:r>
      <w:r w:rsidRPr="00137856">
        <w:rPr>
          <w:rStyle w:val="HideTWBExt"/>
          <w:b w:val="0"/>
          <w:noProof w:val="0"/>
        </w:rPr>
        <w:t>&lt;/Article&gt;</w:t>
      </w:r>
    </w:p>
    <w:p w:rsidR="001762D4" w:rsidRPr="00137856" w:rsidRDefault="00137856" w:rsidP="001762D4">
      <w:pPr>
        <w:keepNext/>
      </w:pPr>
      <w:r w:rsidRPr="00137856">
        <w:rPr>
          <w:rStyle w:val="HideTWBExt"/>
          <w:noProof w:val="0"/>
        </w:rPr>
        <w:lastRenderedPageBreak/>
        <w:t>&lt;DocAmend2&gt;</w:t>
      </w:r>
      <w:r w:rsidRPr="00137856">
        <w:t>Forordning (EU) 2016/1011</w:t>
      </w:r>
      <w:r w:rsidRPr="00137856">
        <w:rPr>
          <w:rStyle w:val="HideTWBExt"/>
          <w:noProof w:val="0"/>
        </w:rPr>
        <w:t>&lt;/DocAme</w:t>
      </w:r>
      <w:r w:rsidRPr="00137856">
        <w:rPr>
          <w:rStyle w:val="HideTWBExt"/>
          <w:noProof w:val="0"/>
        </w:rPr>
        <w:t>nd2&gt;</w:t>
      </w:r>
    </w:p>
    <w:p w:rsidR="001762D4" w:rsidRPr="00137856" w:rsidRDefault="00137856" w:rsidP="001762D4">
      <w:r w:rsidRPr="00137856">
        <w:rPr>
          <w:rStyle w:val="HideTWBExt"/>
          <w:noProof w:val="0"/>
        </w:rPr>
        <w:t>&lt;Article2&gt;</w:t>
      </w:r>
      <w:r w:rsidRPr="00137856">
        <w:t>Artikel 2 – stk. 1a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1a.</w:t>
            </w:r>
            <w:r w:rsidRPr="00137856">
              <w:tab/>
              <w:t>Afsnit II, III, IV og VI finder kun anvendelse på kritiske benchmarks, væsentlige benchmarks, EU-benchmarks for klimaovergangen og Paristilpassede EU-benchmarks.</w:t>
            </w:r>
          </w:p>
        </w:tc>
        <w:tc>
          <w:tcPr>
            <w:tcW w:w="4876" w:type="dxa"/>
            <w:hideMark/>
          </w:tcPr>
          <w:p w:rsidR="001762D4" w:rsidRPr="00137856" w:rsidRDefault="00137856">
            <w:pPr>
              <w:pStyle w:val="Normal6"/>
              <w:rPr>
                <w:szCs w:val="24"/>
              </w:rPr>
            </w:pPr>
            <w:r w:rsidRPr="00137856">
              <w:t>1a.</w:t>
            </w:r>
            <w:r w:rsidRPr="00137856">
              <w:tab/>
              <w:t xml:space="preserve">Afsnit II, III, </w:t>
            </w:r>
            <w:r w:rsidRPr="00137856">
              <w:rPr>
                <w:b/>
                <w:i/>
              </w:rPr>
              <w:t xml:space="preserve">med undtagelse af artikel 23a til 23d, </w:t>
            </w:r>
            <w:r w:rsidRPr="00137856">
              <w:t>IV og VI finder kun anvendelse på kritiske benchmarks, væsentlige benchmarks, EU-benchmarks for klimaovergangen</w:t>
            </w:r>
            <w:r w:rsidRPr="00137856">
              <w:rPr>
                <w:b/>
                <w:i/>
              </w:rPr>
              <w:t xml:space="preserve">, </w:t>
            </w:r>
            <w:r w:rsidRPr="00137856">
              <w:t xml:space="preserve">Paristilpassede EU-benchmarks og </w:t>
            </w:r>
            <w:r w:rsidRPr="00137856">
              <w:rPr>
                <w:b/>
                <w:i/>
              </w:rPr>
              <w:t xml:space="preserve">ESG-benchmarks. Afsnit III, med undtagelse af artikel </w:t>
            </w:r>
            <w:r w:rsidRPr="00137856">
              <w:rPr>
                <w:b/>
                <w:i/>
              </w:rPr>
              <w:t>23a-23d, og afsnit IV og VI finder anvendelse på råvarebenchmarks, der er omfattet af bilag II</w:t>
            </w:r>
            <w:r w:rsidRPr="00137856">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w:t>
      </w:r>
      <w:r w:rsidRPr="00137856">
        <w:t>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 – litra a</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 – stk. 1a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w:t>
            </w:r>
            <w:r w:rsidRPr="00137856">
              <w:t>1a.</w:t>
            </w:r>
            <w:r w:rsidRPr="00137856">
              <w:tab/>
              <w:t>Afsnit II, III, IV og VI finder kun anvendelse på kritiske benchmarks, væsentlige benchmarks, EU-benchmarks for klimaovergangen og Paristilpassede EU-benchmarks."</w:t>
            </w:r>
          </w:p>
        </w:tc>
        <w:tc>
          <w:tcPr>
            <w:tcW w:w="4876" w:type="dxa"/>
            <w:hideMark/>
          </w:tcPr>
          <w:p w:rsidR="001762D4" w:rsidRPr="00137856" w:rsidRDefault="00137856">
            <w:pPr>
              <w:pStyle w:val="Normal6"/>
              <w:rPr>
                <w:szCs w:val="24"/>
              </w:rPr>
            </w:pPr>
            <w:r w:rsidRPr="00137856">
              <w:t>1a.</w:t>
            </w:r>
            <w:r w:rsidRPr="00137856">
              <w:tab/>
              <w:t xml:space="preserve">Afsnit II, III, </w:t>
            </w:r>
            <w:r w:rsidRPr="00137856">
              <w:rPr>
                <w:b/>
                <w:i/>
              </w:rPr>
              <w:t xml:space="preserve">med undtagelse af artikel 23a til 23c, </w:t>
            </w:r>
            <w:r w:rsidRPr="00137856">
              <w:t>IV og VI fin</w:t>
            </w:r>
            <w:r w:rsidRPr="00137856">
              <w:t>der kun anvendelse på kritiske benchmarks, væsentlige benchmarks</w:t>
            </w:r>
            <w:r w:rsidRPr="00137856">
              <w:rPr>
                <w:b/>
                <w:i/>
              </w:rPr>
              <w:t>, råvarebenchmark, der er omfattet af bilag II</w:t>
            </w:r>
            <w:r w:rsidRPr="00137856">
              <w:t>, EU-benchmarks for klimaovergangen og Paristilpassede EU-benchmarks."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 – litra b</w:t>
      </w:r>
      <w:r w:rsidRPr="00137856">
        <w:rPr>
          <w:rStyle w:val="HideTWBExt"/>
          <w:b w:val="0"/>
          <w:noProof w:val="0"/>
        </w:rPr>
        <w:t>&lt;/Article&gt;</w:t>
      </w:r>
    </w:p>
    <w:p w:rsidR="001762D4" w:rsidRPr="00137856" w:rsidRDefault="00137856" w:rsidP="001762D4">
      <w:pPr>
        <w:keepNext/>
      </w:pPr>
      <w:r w:rsidRPr="00137856">
        <w:rPr>
          <w:rStyle w:val="HideTWBExt"/>
          <w:noProof w:val="0"/>
        </w:rPr>
        <w:lastRenderedPageBreak/>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 xml:space="preserve">Artikel 2 – stk. 2 – </w:t>
      </w:r>
      <w:r w:rsidRPr="00137856">
        <w:t>litra g og litra i</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I stk. 2 udgår litra g) og i).</w:t>
            </w:r>
          </w:p>
        </w:tc>
        <w:tc>
          <w:tcPr>
            <w:tcW w:w="4876" w:type="dxa"/>
            <w:hideMark/>
          </w:tcPr>
          <w:p w:rsidR="001762D4" w:rsidRPr="00137856" w:rsidRDefault="00137856">
            <w:pPr>
              <w:pStyle w:val="Normal6"/>
              <w:rPr>
                <w:szCs w:val="24"/>
              </w:rPr>
            </w:pPr>
            <w:r w:rsidRPr="00137856">
              <w:rPr>
                <w:b/>
                <w:i/>
              </w:rPr>
              <w:t>udgår</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Undtagelsen for små råvarebenchmarks bør opretholdes.</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EC2D82" w:rsidRPr="00137856" w:rsidRDefault="00137856" w:rsidP="00EC2D82">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EC2D82" w:rsidRPr="00137856" w:rsidRDefault="00137856" w:rsidP="00EC2D82">
      <w:pPr>
        <w:pStyle w:val="NormalBold"/>
      </w:pPr>
      <w:r w:rsidRPr="00137856">
        <w:rPr>
          <w:rStyle w:val="HideTWBExt"/>
          <w:b w:val="0"/>
          <w:noProof w:val="0"/>
        </w:rPr>
        <w:t>&lt;Article&gt;</w:t>
      </w:r>
      <w:r w:rsidRPr="00137856">
        <w:t>Artikel 1 – stk. 1 – nr. 1 – litra a a (nyt)</w:t>
      </w:r>
      <w:r w:rsidRPr="00137856">
        <w:rPr>
          <w:rStyle w:val="HideTWBExt"/>
          <w:b w:val="0"/>
          <w:noProof w:val="0"/>
        </w:rPr>
        <w:t>&lt;/Article&gt;</w:t>
      </w:r>
    </w:p>
    <w:p w:rsidR="00EC2D82" w:rsidRPr="00137856" w:rsidRDefault="00137856" w:rsidP="00EC2D82">
      <w:pPr>
        <w:keepNext/>
      </w:pPr>
      <w:r w:rsidRPr="00137856">
        <w:rPr>
          <w:rStyle w:val="HideTWBExt"/>
          <w:noProof w:val="0"/>
        </w:rPr>
        <w:t>&lt;DocAme</w:t>
      </w:r>
      <w:r w:rsidRPr="00137856">
        <w:rPr>
          <w:rStyle w:val="HideTWBExt"/>
          <w:noProof w:val="0"/>
        </w:rPr>
        <w:t>nd2&gt;</w:t>
      </w:r>
      <w:r w:rsidRPr="00137856">
        <w:t>Forordning (EU) 2016/1011</w:t>
      </w:r>
      <w:r w:rsidRPr="00137856">
        <w:rPr>
          <w:rStyle w:val="HideTWBExt"/>
          <w:noProof w:val="0"/>
        </w:rPr>
        <w:t>&lt;/DocAmend2&gt;</w:t>
      </w:r>
    </w:p>
    <w:p w:rsidR="00EC2D82" w:rsidRPr="00137856" w:rsidRDefault="00137856" w:rsidP="00EC2D82">
      <w:r w:rsidRPr="00137856">
        <w:rPr>
          <w:rStyle w:val="HideTWBExt"/>
          <w:noProof w:val="0"/>
        </w:rPr>
        <w:t>&lt;Article2&gt;</w:t>
      </w:r>
      <w:r w:rsidRPr="00137856">
        <w:t>Artikel 3 – stk. 1 – litra 23 c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EC2D82" w:rsidRPr="00137856" w:rsidRDefault="00EC2D82">
            <w:pPr>
              <w:pStyle w:val="Normal6"/>
            </w:pPr>
          </w:p>
        </w:tc>
        <w:tc>
          <w:tcPr>
            <w:tcW w:w="4876" w:type="dxa"/>
          </w:tcPr>
          <w:p w:rsidR="00EC2D82" w:rsidRPr="00137856" w:rsidRDefault="00137856">
            <w:pPr>
              <w:pStyle w:val="Normal6"/>
              <w:rPr>
                <w:b/>
                <w:i/>
              </w:rPr>
            </w:pPr>
            <w:r w:rsidRPr="00137856">
              <w:rPr>
                <w:b/>
                <w:i/>
              </w:rPr>
              <w:t>aa)</w:t>
            </w:r>
            <w:r w:rsidRPr="00137856">
              <w:rPr>
                <w:b/>
                <w:i/>
              </w:rPr>
              <w:tab/>
              <w:t>Som afsnit 23ca) tilføjes:</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(23ca)</w:t>
            </w:r>
            <w:r w:rsidRPr="00137856">
              <w:rPr>
                <w:b/>
                <w:i/>
              </w:rPr>
              <w:tab/>
              <w:t>"ESG-benchmark": et benchmark, der forfølger ESG-mål i overensstemmelse</w:t>
            </w:r>
            <w:r w:rsidRPr="00137856">
              <w:rPr>
                <w:b/>
                <w:i/>
              </w:rPr>
              <w:t xml:space="preserve"> med forordning (EU) 2019/2088.</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ESG-benchmarkoplysninger skal bringes i overensstemmelse med EU's lovgivningsmæssige oplysninger om finansielle produkter (SFDR).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88</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5F6EEE" w:rsidRPr="00137856" w:rsidRDefault="00137856" w:rsidP="005F6EEE">
      <w:pPr>
        <w:pStyle w:val="NormalBold"/>
      </w:pPr>
      <w:r w:rsidRPr="00137856">
        <w:rPr>
          <w:rStyle w:val="HideTWBExt"/>
          <w:b w:val="0"/>
          <w:noProof w:val="0"/>
        </w:rPr>
        <w:t>&lt;Article&gt;</w:t>
      </w:r>
      <w:r w:rsidRPr="00137856">
        <w:t>Artikel 1 – stk. 1 – nr. 5 – litra b</w:t>
      </w:r>
      <w:r w:rsidRPr="00137856">
        <w:rPr>
          <w:rStyle w:val="HideTWBExt"/>
          <w:b w:val="0"/>
          <w:noProof w:val="0"/>
        </w:rPr>
        <w:t>&lt;/Article&gt;</w:t>
      </w:r>
    </w:p>
    <w:p w:rsidR="005F6EEE" w:rsidRPr="00137856" w:rsidRDefault="00137856" w:rsidP="005F6EEE">
      <w:pPr>
        <w:keepNext/>
      </w:pPr>
      <w:r w:rsidRPr="00137856">
        <w:rPr>
          <w:rStyle w:val="HideTWBExt"/>
          <w:noProof w:val="0"/>
        </w:rPr>
        <w:t>&lt;DocAmend2&gt;</w:t>
      </w:r>
      <w:r w:rsidRPr="00137856">
        <w:t>Forordning (EU) 2016/1011</w:t>
      </w:r>
      <w:r w:rsidRPr="00137856">
        <w:rPr>
          <w:rStyle w:val="HideTWBExt"/>
          <w:noProof w:val="0"/>
        </w:rPr>
        <w:t>&lt;/DocAmend2&gt;</w:t>
      </w:r>
    </w:p>
    <w:p w:rsidR="0043190D" w:rsidRPr="00137856" w:rsidRDefault="00137856" w:rsidP="0043190D">
      <w:r w:rsidRPr="00137856">
        <w:rPr>
          <w:rStyle w:val="HideTWBExt"/>
          <w:noProof w:val="0"/>
        </w:rPr>
        <w:t>&lt;Article2&gt;</w:t>
      </w:r>
      <w:r w:rsidRPr="00137856">
        <w:t>Artikel 13 – stk. 4</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w:t>
            </w:r>
            <w:r w:rsidRPr="00137856">
              <w:tab/>
              <w:t>Stk. 4 udgår.</w:t>
            </w:r>
          </w:p>
        </w:tc>
        <w:tc>
          <w:tcPr>
            <w:tcW w:w="4876" w:type="dxa"/>
            <w:hideMark/>
          </w:tcPr>
          <w:p w:rsidR="001762D4" w:rsidRPr="00137856" w:rsidRDefault="00137856">
            <w:pPr>
              <w:pStyle w:val="Normal6"/>
              <w:rPr>
                <w:szCs w:val="24"/>
              </w:rPr>
            </w:pPr>
            <w:r w:rsidRPr="00137856">
              <w:t>b)</w:t>
            </w:r>
            <w:r w:rsidRPr="00137856">
              <w:tab/>
              <w:t>Stk. 4 affattes således:</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4.</w:t>
            </w:r>
            <w:r w:rsidRPr="00137856">
              <w:tab/>
            </w:r>
            <w:r w:rsidRPr="00137856">
              <w:rPr>
                <w:b/>
                <w:i/>
              </w:rPr>
              <w:t>ESMA udarbejder:</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a)</w:t>
            </w:r>
            <w:r w:rsidRPr="00137856">
              <w:tab/>
            </w:r>
            <w:r w:rsidRPr="00137856">
              <w:rPr>
                <w:b/>
                <w:i/>
              </w:rPr>
              <w:t xml:space="preserve">reguleringsmæssige tekniske standarder med henblik på at bringe </w:t>
            </w:r>
            <w:r w:rsidRPr="00137856">
              <w:rPr>
                <w:b/>
                <w:i/>
              </w:rPr>
              <w:t>ESG-oplysninger på benchmarkniveau, som benchmarkadministratoren skal offentliggøre, i overensstemmelse med de reguleringsmæssige oplysningskrav i henhold til forordning (EU) 2019/2088 og dens delegerede forordninger.</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ESMA forelægger disse udkast til reg</w:t>
            </w:r>
            <w:r w:rsidRPr="00137856">
              <w:rPr>
                <w:b/>
                <w:i/>
              </w:rPr>
              <w:t>uleringsmæssige tekniske standarder for Kommissionen senest den 1. april 2025.</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Kommissionen tillægges beføjelser til at vedtage de forskriftsmæssige tekniske standarder, hvortil der henvises i første afsnit, i henhold til artikel 10 til 14 i forordning (</w:t>
            </w:r>
            <w:r w:rsidRPr="00137856">
              <w:rPr>
                <w:b/>
                <w:i/>
              </w:rPr>
              <w:t>EU) nr. 1095/2010.</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b)</w:t>
            </w:r>
            <w:r w:rsidRPr="00137856">
              <w:tab/>
            </w:r>
            <w:r w:rsidRPr="00137856">
              <w:rPr>
                <w:b/>
                <w:i/>
              </w:rPr>
              <w:t>retningslinjer for benchmarknavne, der er tilpasset dem for navne på fonde, med prioritering af benchmarks, der ligger til grund for ETF'er og indeksfonde, senest [12 måneder efter datoen for denne ændringsforordnings ikrafttræden]</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 xml:space="preserve">Tilpasning vedrørende obligatoriske ESG-oplysninger om ESG-benchmarks til EU's lovgivningsmæssige oplysninger om finansielle produkter (SFDR) og mellem krav til benchmarknavne og krav om </w:t>
      </w:r>
      <w:r w:rsidRPr="00137856">
        <w:rPr>
          <w:noProof w:val="0"/>
        </w:rPr>
        <w:t>fondsnavne, navnlig for ETF'er (hvis navne svarer til deres underliggende indeks), er af afgørende betydning (UCITS-direktivet og FAIF-direktivet).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89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Erik Poulsen, Gilles Boyer</w:t>
      </w:r>
      <w:r w:rsidRPr="00137856">
        <w:rPr>
          <w:rStyle w:val="HideTWBExt"/>
          <w:b w:val="0"/>
          <w:noProof w:val="0"/>
        </w:rPr>
        <w:t>&lt;/Memb</w:t>
      </w:r>
      <w:r w:rsidRPr="00137856">
        <w:rPr>
          <w:rStyle w:val="HideTWBExt"/>
          <w:b w:val="0"/>
          <w:noProof w:val="0"/>
        </w:rPr>
        <w:t>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7 a (nyt)</w:t>
      </w:r>
      <w:r w:rsidRPr="00137856">
        <w:rPr>
          <w:rStyle w:val="HideTWBExt"/>
          <w:b w:val="0"/>
          <w:noProof w:val="0"/>
        </w:rPr>
        <w:t>&lt;/Article&gt;</w:t>
      </w:r>
    </w:p>
    <w:p w:rsidR="001762D4" w:rsidRPr="00137856" w:rsidRDefault="00137856" w:rsidP="001762D4">
      <w:pPr>
        <w:keepNext/>
      </w:pPr>
      <w:r w:rsidRPr="00137856">
        <w:rPr>
          <w:rStyle w:val="HideTWBExt"/>
          <w:noProof w:val="0"/>
        </w:rPr>
        <w:lastRenderedPageBreak/>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18 – stk. 1 – afsnit 2</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Gældende ordlyd</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7a)</w:t>
            </w:r>
            <w:r w:rsidRPr="00137856">
              <w:rPr>
                <w:b/>
                <w:i/>
              </w:rPr>
              <w:tab/>
              <w:t>I artikel 18, andet afsnit, foretages følgende ændringer:</w:t>
            </w:r>
          </w:p>
        </w:tc>
      </w:tr>
      <w:tr w:rsidR="00791339" w:rsidRPr="00137856" w:rsidTr="001762D4">
        <w:trPr>
          <w:jc w:val="center"/>
        </w:trPr>
        <w:tc>
          <w:tcPr>
            <w:tcW w:w="4876" w:type="dxa"/>
            <w:hideMark/>
          </w:tcPr>
          <w:p w:rsidR="001762D4" w:rsidRPr="00137856" w:rsidRDefault="00137856">
            <w:pPr>
              <w:pStyle w:val="Normal6"/>
            </w:pPr>
            <w:r w:rsidRPr="00137856">
              <w:t xml:space="preserve">Artikel </w:t>
            </w:r>
            <w:r w:rsidRPr="00137856">
              <w:rPr>
                <w:b/>
                <w:i/>
              </w:rPr>
              <w:t xml:space="preserve">24, </w:t>
            </w:r>
            <w:r w:rsidRPr="00137856">
              <w:t>25</w:t>
            </w:r>
            <w:r w:rsidRPr="00137856">
              <w:rPr>
                <w:b/>
                <w:i/>
              </w:rPr>
              <w:t xml:space="preserve"> og 26</w:t>
            </w:r>
            <w:r w:rsidRPr="00137856">
              <w:t xml:space="preserve"> finder ikke anvendelse på levering af og bidrag til rentebenchmarks.</w:t>
            </w:r>
          </w:p>
        </w:tc>
        <w:tc>
          <w:tcPr>
            <w:tcW w:w="4876" w:type="dxa"/>
            <w:hideMark/>
          </w:tcPr>
          <w:p w:rsidR="001762D4" w:rsidRPr="00137856" w:rsidRDefault="00137856">
            <w:pPr>
              <w:pStyle w:val="Normal6"/>
              <w:rPr>
                <w:szCs w:val="24"/>
              </w:rPr>
            </w:pPr>
            <w:r w:rsidRPr="00137856">
              <w:t>Artikel 25 finder ikke anvendelse på levering af og bidrag til rentebenchmarks.</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CrossRef"/>
      </w:pPr>
      <w:r w:rsidRPr="00137856">
        <w:t>(https://eur-lex.europa.eu/legal-content/DA/TXT/?uri=CELEX%3A02016R1011-20240109)</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This amendment introduces a change to article 18 in the current BMR. The aim of the amendment is to allow interest rate b</w:t>
      </w:r>
      <w:r w:rsidRPr="00137856">
        <w:rPr>
          <w:noProof w:val="0"/>
        </w:rPr>
        <w:t>enchmarks to be defined as “significant”, thus fall within the revised BMR scope through the general 50 bn euro threshold and qualitative designation criteria laid down in article 24 for significant benchmarks. Otherwise, interest rate benchmarks would nee</w:t>
      </w:r>
      <w:r w:rsidRPr="00137856">
        <w:rPr>
          <w:noProof w:val="0"/>
        </w:rPr>
        <w:t>d to exceed a much higher threshold before being included in the scope and being super-vised than all other types of benchmarks. Specifically, they would need to fulfil the criteria for being “critical”, which very few benchmarks are, and which entails gre</w:t>
      </w:r>
      <w:r w:rsidRPr="00137856">
        <w:rPr>
          <w:noProof w:val="0"/>
        </w:rPr>
        <w:t>ater burdens, a more cumbersome designation and could pose issues as regards ensuring a level-playing field towards third countries. Such a situation would be illogical and undesirable given interest rate benchmarks play a key role in pricing financial ass</w:t>
      </w:r>
      <w:r w:rsidRPr="00137856">
        <w:rPr>
          <w:noProof w:val="0"/>
        </w:rPr>
        <w:t>ets, are used extensively by households and are often more vulnerable to manipulation than other benchmarks (e.g. LIBOR-scandal).</w:t>
      </w:r>
    </w:p>
    <w:p w:rsidR="001762D4" w:rsidRPr="00137856" w:rsidRDefault="00137856" w:rsidP="001762D4">
      <w:r w:rsidRPr="00137856">
        <w:rPr>
          <w:rStyle w:val="HideTWBExt"/>
          <w:noProof w:val="0"/>
        </w:rPr>
        <w:t>&lt;/Amend&gt;</w:t>
      </w:r>
    </w:p>
    <w:p w:rsidR="005C48C1" w:rsidRPr="00137856" w:rsidRDefault="00137856" w:rsidP="005C48C1">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90</w:t>
      </w:r>
      <w:r w:rsidRPr="00137856">
        <w:rPr>
          <w:rStyle w:val="HideTWBExt"/>
          <w:b w:val="0"/>
          <w:noProof w:val="0"/>
        </w:rPr>
        <w:t>&lt;/NumAm&gt;</w:t>
      </w:r>
    </w:p>
    <w:p w:rsidR="005C48C1" w:rsidRPr="00137856" w:rsidRDefault="00137856" w:rsidP="005C48C1">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5C48C1" w:rsidRPr="00137856" w:rsidRDefault="00137856" w:rsidP="005C48C1">
      <w:r w:rsidRPr="00137856">
        <w:rPr>
          <w:rStyle w:val="HideTWBExt"/>
          <w:noProof w:val="0"/>
        </w:rPr>
        <w:t>&lt;/RepeatBlock-By&gt;</w:t>
      </w:r>
    </w:p>
    <w:p w:rsidR="005C48C1" w:rsidRPr="00137856" w:rsidRDefault="00137856" w:rsidP="005C48C1">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5C48C1" w:rsidRPr="00137856" w:rsidRDefault="00137856" w:rsidP="005C48C1">
      <w:pPr>
        <w:pStyle w:val="NormalBold"/>
      </w:pPr>
      <w:r w:rsidRPr="00137856">
        <w:rPr>
          <w:rStyle w:val="HideTWBExt"/>
          <w:b w:val="0"/>
          <w:noProof w:val="0"/>
        </w:rPr>
        <w:t>&lt;Article&gt;</w:t>
      </w:r>
      <w:r w:rsidRPr="00137856">
        <w:t>Artikel 1 – stk. 1 – nr. 8 a (nyt)</w:t>
      </w:r>
      <w:r w:rsidRPr="00137856">
        <w:rPr>
          <w:rStyle w:val="HideTWBExt"/>
          <w:b w:val="0"/>
          <w:noProof w:val="0"/>
        </w:rPr>
        <w:t>&lt;/Article&gt;</w:t>
      </w:r>
    </w:p>
    <w:p w:rsidR="005C48C1" w:rsidRPr="00137856" w:rsidRDefault="00137856" w:rsidP="005C48C1">
      <w:pPr>
        <w:keepNext/>
      </w:pPr>
      <w:r w:rsidRPr="00137856">
        <w:rPr>
          <w:rStyle w:val="HideTWBExt"/>
          <w:noProof w:val="0"/>
        </w:rPr>
        <w:t>&lt;DocAmend2&gt;</w:t>
      </w:r>
      <w:r w:rsidRPr="00137856">
        <w:t>Forordning (EU) 2016/1011</w:t>
      </w:r>
      <w:r w:rsidRPr="00137856">
        <w:rPr>
          <w:rStyle w:val="HideTWBExt"/>
          <w:noProof w:val="0"/>
        </w:rPr>
        <w:t>&lt;/DocAmend2&gt;</w:t>
      </w:r>
    </w:p>
    <w:p w:rsidR="005C48C1" w:rsidRPr="00137856" w:rsidRDefault="00137856" w:rsidP="005C48C1">
      <w:r w:rsidRPr="00137856">
        <w:rPr>
          <w:rStyle w:val="HideTWBExt"/>
          <w:noProof w:val="0"/>
        </w:rPr>
        <w:t>&lt;Article2&gt;</w:t>
      </w:r>
      <w:r w:rsidRPr="00137856">
        <w:t>Artikel 19 – stk. 1 – afsnit 2</w:t>
      </w:r>
      <w:r w:rsidRPr="0013785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5F6EEE">
        <w:trPr>
          <w:jc w:val="center"/>
        </w:trPr>
        <w:tc>
          <w:tcPr>
            <w:tcW w:w="9752" w:type="dxa"/>
            <w:gridSpan w:val="2"/>
          </w:tcPr>
          <w:p w:rsidR="005C48C1" w:rsidRPr="00137856" w:rsidRDefault="005C48C1" w:rsidP="00EC2D82">
            <w:pPr>
              <w:keepNext/>
            </w:pPr>
          </w:p>
        </w:tc>
      </w:tr>
      <w:tr w:rsidR="00791339" w:rsidRPr="00137856" w:rsidTr="005F6EEE">
        <w:trPr>
          <w:jc w:val="center"/>
        </w:trPr>
        <w:tc>
          <w:tcPr>
            <w:tcW w:w="4876" w:type="dxa"/>
            <w:hideMark/>
          </w:tcPr>
          <w:p w:rsidR="005C48C1" w:rsidRPr="00137856" w:rsidRDefault="00137856" w:rsidP="00EC2D82">
            <w:pPr>
              <w:pStyle w:val="ColumnHeading"/>
              <w:keepNext/>
            </w:pPr>
            <w:r w:rsidRPr="00137856">
              <w:t>Gældende ordlyd</w:t>
            </w:r>
          </w:p>
        </w:tc>
        <w:tc>
          <w:tcPr>
            <w:tcW w:w="4876" w:type="dxa"/>
            <w:hideMark/>
          </w:tcPr>
          <w:p w:rsidR="005C48C1" w:rsidRPr="00137856" w:rsidRDefault="00137856" w:rsidP="00EC2D82">
            <w:pPr>
              <w:pStyle w:val="ColumnHeading"/>
              <w:keepNext/>
            </w:pPr>
            <w:r w:rsidRPr="00137856">
              <w:t>Ændringsforslag</w:t>
            </w:r>
          </w:p>
        </w:tc>
      </w:tr>
      <w:tr w:rsidR="00791339" w:rsidRPr="00137856" w:rsidTr="005F6EEE">
        <w:trPr>
          <w:jc w:val="center"/>
        </w:trPr>
        <w:tc>
          <w:tcPr>
            <w:tcW w:w="4876" w:type="dxa"/>
          </w:tcPr>
          <w:p w:rsidR="005C48C1" w:rsidRPr="00137856" w:rsidRDefault="005C48C1" w:rsidP="00EC2D82">
            <w:pPr>
              <w:pStyle w:val="Normal6"/>
            </w:pPr>
          </w:p>
        </w:tc>
        <w:tc>
          <w:tcPr>
            <w:tcW w:w="4876" w:type="dxa"/>
            <w:hideMark/>
          </w:tcPr>
          <w:p w:rsidR="005C48C1" w:rsidRPr="00137856" w:rsidRDefault="00137856" w:rsidP="00EC2D82">
            <w:pPr>
              <w:pStyle w:val="Normal6"/>
              <w:rPr>
                <w:szCs w:val="24"/>
              </w:rPr>
            </w:pPr>
            <w:r w:rsidRPr="00137856">
              <w:rPr>
                <w:b/>
                <w:i/>
              </w:rPr>
              <w:t>8a)</w:t>
            </w:r>
            <w:r w:rsidRPr="00137856">
              <w:rPr>
                <w:b/>
                <w:i/>
              </w:rPr>
              <w:tab/>
              <w:t xml:space="preserve">I artikel 19, </w:t>
            </w:r>
            <w:r w:rsidRPr="00137856">
              <w:rPr>
                <w:b/>
                <w:i/>
              </w:rPr>
              <w:t xml:space="preserve">stk. 1, andet afsnit, foretages følgende ændringer: </w:t>
            </w:r>
          </w:p>
        </w:tc>
      </w:tr>
      <w:tr w:rsidR="00791339" w:rsidRPr="00137856" w:rsidTr="005F6EEE">
        <w:trPr>
          <w:jc w:val="center"/>
        </w:trPr>
        <w:tc>
          <w:tcPr>
            <w:tcW w:w="4876" w:type="dxa"/>
          </w:tcPr>
          <w:p w:rsidR="005C48C1" w:rsidRPr="00137856" w:rsidRDefault="00137856" w:rsidP="00EC2D82">
            <w:pPr>
              <w:pStyle w:val="Normal6"/>
            </w:pPr>
            <w:r w:rsidRPr="00137856">
              <w:rPr>
                <w:shd w:val="clear" w:color="auto" w:fill="FFFFFF"/>
              </w:rPr>
              <w:t>Artikel 24</w:t>
            </w:r>
            <w:r w:rsidRPr="00137856">
              <w:rPr>
                <w:b/>
                <w:i/>
                <w:shd w:val="clear" w:color="auto" w:fill="FFFFFF"/>
              </w:rPr>
              <w:t>, 25</w:t>
            </w:r>
            <w:r w:rsidRPr="00137856">
              <w:rPr>
                <w:shd w:val="clear" w:color="auto" w:fill="FFFFFF"/>
              </w:rPr>
              <w:t xml:space="preserve"> og </w:t>
            </w:r>
            <w:r w:rsidRPr="00137856">
              <w:rPr>
                <w:b/>
                <w:i/>
                <w:shd w:val="clear" w:color="auto" w:fill="FFFFFF"/>
              </w:rPr>
              <w:t>26</w:t>
            </w:r>
            <w:r w:rsidRPr="00137856">
              <w:rPr>
                <w:shd w:val="clear" w:color="auto" w:fill="FFFFFF"/>
              </w:rPr>
              <w:t xml:space="preserve"> finder ikke anvendelse på levering af og bidrag til </w:t>
            </w:r>
            <w:r w:rsidRPr="00137856">
              <w:rPr>
                <w:shd w:val="clear" w:color="auto" w:fill="FFFFFF"/>
              </w:rPr>
              <w:lastRenderedPageBreak/>
              <w:t>råvarebenchmarks.</w:t>
            </w:r>
          </w:p>
        </w:tc>
        <w:tc>
          <w:tcPr>
            <w:tcW w:w="4876" w:type="dxa"/>
          </w:tcPr>
          <w:p w:rsidR="005C48C1" w:rsidRPr="00137856" w:rsidRDefault="00137856" w:rsidP="00EC2D82">
            <w:pPr>
              <w:pStyle w:val="Normal6"/>
            </w:pPr>
            <w:r w:rsidRPr="00137856">
              <w:lastRenderedPageBreak/>
              <w:t xml:space="preserve">Artikel 24 og </w:t>
            </w:r>
            <w:r w:rsidRPr="00137856">
              <w:rPr>
                <w:b/>
                <w:i/>
              </w:rPr>
              <w:t>25</w:t>
            </w:r>
            <w:r w:rsidRPr="00137856">
              <w:t xml:space="preserve"> finder ikke anvendelse på levering af og bidrag til råvarebenchmarks.</w:t>
            </w:r>
          </w:p>
        </w:tc>
      </w:tr>
    </w:tbl>
    <w:p w:rsidR="008F1F42" w:rsidRPr="00137856" w:rsidRDefault="00137856" w:rsidP="008F1F42">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w:t>
      </w:r>
      <w:r w:rsidRPr="00137856">
        <w:rPr>
          <w:rStyle w:val="HideTWBExt"/>
          <w:noProof w:val="0"/>
        </w:rPr>
        <w:t>riginal&gt;</w:t>
      </w:r>
    </w:p>
    <w:p w:rsidR="008F1F42" w:rsidRPr="00137856" w:rsidRDefault="00137856" w:rsidP="008F1F42">
      <w:pPr>
        <w:pStyle w:val="CrossRef"/>
      </w:pPr>
      <w:r w:rsidRPr="00137856">
        <w:t>(https://eur-lex.europa.eu/legal-content/DA/TXT/?uri=CELEX%3A02016R1011-20240109)</w:t>
      </w:r>
    </w:p>
    <w:p w:rsidR="005C48C1" w:rsidRPr="00137856" w:rsidRDefault="00137856" w:rsidP="005C48C1">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91</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(9)</w:t>
            </w:r>
            <w:r w:rsidRPr="00137856">
              <w:rPr>
                <w:b/>
                <w:i/>
              </w:rPr>
              <w:tab/>
              <w:t>I artikel 19a tilføjes følgende som stk. 4:</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4.</w:t>
            </w:r>
            <w:r w:rsidRPr="00137856">
              <w:rPr>
                <w:b/>
                <w:i/>
              </w:rPr>
              <w:tab/>
              <w:t>Administratorer,</w:t>
            </w:r>
            <w:r w:rsidRPr="00137856">
              <w:rPr>
                <w:b/>
                <w:i/>
              </w:rPr>
              <w:t xml:space="preserve"> der ikke er godkendt eller registreret i henhold til artikel 34, må ikke:</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a)</w:t>
            </w:r>
            <w:r w:rsidRPr="00137856">
              <w:rPr>
                <w:b/>
                <w:i/>
              </w:rPr>
              <w:tab/>
              <w:t>levere EU-benchmarks for klimaovergangen og Paristilpassede EU-benchmarks</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for de benchmarks, de stiller til rådighed til brug i Unionen, eller i den juridiske dokumentatio</w:t>
            </w:r>
            <w:r w:rsidRPr="00137856">
              <w:rPr>
                <w:b/>
                <w:i/>
              </w:rPr>
              <w:t>n eller markedsføringsdokumentationen for disse benchmarks, angive eller antyde, at de benchmarks, de stiller til rådighed, opfylder de krav, der gælder for leveringen af EU-benchmarks for klimaovergangen eller Paristilpassede EU-benchmarks."</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EU-investorer bør kunne gøre brug af EU-ESG-mærkede indekser, der tilbydes af administratorer uden for EU, forudsat at de opfylder alle kravene i benchmarkforordningens tredjelandsordning. Et k</w:t>
      </w:r>
      <w:r w:rsidRPr="00137856">
        <w:rPr>
          <w:noProof w:val="0"/>
        </w:rPr>
        <w:t xml:space="preserve">rav om, at administratorer af EU-ESG-mærkede indekser skal flytte til EU, risikerer at mindske EU-investorernes adgang til eksisterende indekser, der er </w:t>
      </w:r>
      <w:r w:rsidRPr="00137856">
        <w:rPr>
          <w:noProof w:val="0"/>
        </w:rPr>
        <w:lastRenderedPageBreak/>
        <w:t>afgørende for deres forretningsprocesser og potentielle nye og innovative produkter.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w:t>
      </w:r>
      <w:r w:rsidRPr="00137856">
        <w:t>dringsforslag</w:t>
      </w:r>
      <w:r w:rsidRPr="00137856">
        <w:tab/>
      </w:r>
      <w:r w:rsidRPr="00137856">
        <w:tab/>
      </w:r>
      <w:r w:rsidRPr="00137856">
        <w:rPr>
          <w:rStyle w:val="HideTWBExt"/>
          <w:b w:val="0"/>
          <w:noProof w:val="0"/>
        </w:rPr>
        <w:t>&lt;NumAm&gt;</w:t>
      </w:r>
      <w:r w:rsidRPr="00137856">
        <w:t>92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 xml:space="preserve">Forordning (EU) </w:t>
      </w:r>
      <w:r w:rsidRPr="00137856">
        <w:t>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 – indledning</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w:t>
            </w:r>
            <w:r w:rsidRPr="00137856">
              <w:tab/>
              <w:t xml:space="preserve">Administratorer, der ikke er godkendt eller </w:t>
            </w:r>
            <w:r w:rsidRPr="00137856">
              <w:rPr>
                <w:b/>
                <w:i/>
              </w:rPr>
              <w:t>registreret</w:t>
            </w:r>
            <w:r w:rsidRPr="00137856">
              <w:t xml:space="preserve"> i henhold til artikel 34, må ikke:</w:t>
            </w:r>
          </w:p>
        </w:tc>
        <w:tc>
          <w:tcPr>
            <w:tcW w:w="4876" w:type="dxa"/>
            <w:hideMark/>
          </w:tcPr>
          <w:p w:rsidR="001762D4" w:rsidRPr="00137856" w:rsidRDefault="00137856">
            <w:pPr>
              <w:pStyle w:val="Normal6"/>
              <w:rPr>
                <w:szCs w:val="24"/>
              </w:rPr>
            </w:pPr>
            <w:r w:rsidRPr="00137856">
              <w:t>4.</w:t>
            </w:r>
            <w:r w:rsidRPr="00137856">
              <w:tab/>
              <w:t>Administratorer, der ikke er godkendt i h</w:t>
            </w:r>
            <w:r w:rsidRPr="00137856">
              <w:t xml:space="preserve">enhold til artikel 34, eller </w:t>
            </w:r>
            <w:r w:rsidRPr="00137856">
              <w:rPr>
                <w:b/>
                <w:i/>
              </w:rPr>
              <w:t>anerkendt</w:t>
            </w:r>
            <w:r w:rsidRPr="00137856">
              <w:t xml:space="preserve"> i henhold til </w:t>
            </w:r>
            <w:r w:rsidRPr="00137856">
              <w:rPr>
                <w:b/>
                <w:bCs/>
                <w:i/>
                <w:iCs/>
              </w:rPr>
              <w:t>artikel</w:t>
            </w:r>
            <w:r w:rsidRPr="00137856">
              <w:rPr>
                <w:b/>
                <w:i/>
              </w:rPr>
              <w:t xml:space="preserve"> 32</w:t>
            </w:r>
            <w:r w:rsidRPr="00137856">
              <w:t>, må ikke: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Kun anerkendte tredjelandsadministratorer bør kunne levere EU-PAB-CTB-benchmarks ud over EU-administratorer. Dette</w:t>
      </w:r>
      <w:r w:rsidRPr="00137856">
        <w:rPr>
          <w:noProof w:val="0"/>
        </w:rPr>
        <w:t xml:space="preserve"> vil sikre, at alle administratorer, der har tilladelse til at levere disse EU-mærker, er underlagt ESMA's direkte tilsyn.</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w:t>
      </w:r>
      <w:r w:rsidRPr="00137856">
        <w:t>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 – indledning</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w:t>
            </w:r>
            <w:r w:rsidRPr="00137856">
              <w:tab/>
              <w:t xml:space="preserve">Administratorer, der ikke er </w:t>
            </w:r>
            <w:r w:rsidRPr="00137856">
              <w:rPr>
                <w:b/>
                <w:i/>
              </w:rPr>
              <w:t>godkendt eller registreret</w:t>
            </w:r>
            <w:r w:rsidRPr="00137856">
              <w:t xml:space="preserve"> i henhold til artikel </w:t>
            </w:r>
            <w:r w:rsidRPr="00137856">
              <w:rPr>
                <w:b/>
                <w:i/>
              </w:rPr>
              <w:t>34</w:t>
            </w:r>
            <w:r w:rsidRPr="00137856">
              <w:t>, må ikke:</w:t>
            </w:r>
          </w:p>
        </w:tc>
        <w:tc>
          <w:tcPr>
            <w:tcW w:w="4876" w:type="dxa"/>
            <w:hideMark/>
          </w:tcPr>
          <w:p w:rsidR="001762D4" w:rsidRPr="00137856" w:rsidRDefault="00137856">
            <w:pPr>
              <w:pStyle w:val="Normal6"/>
              <w:rPr>
                <w:szCs w:val="24"/>
              </w:rPr>
            </w:pPr>
            <w:r w:rsidRPr="00137856">
              <w:t>4.</w:t>
            </w:r>
            <w:r w:rsidRPr="00137856">
              <w:tab/>
              <w:t xml:space="preserve">Administratorer, der ikke er </w:t>
            </w:r>
            <w:r w:rsidRPr="00137856">
              <w:rPr>
                <w:b/>
                <w:i/>
              </w:rPr>
              <w:t>inkluderet i ESMA-registret</w:t>
            </w:r>
            <w:r w:rsidRPr="00137856">
              <w:t xml:space="preserve"> i henhold til artikel </w:t>
            </w:r>
            <w:r w:rsidRPr="00137856">
              <w:rPr>
                <w:b/>
                <w:i/>
              </w:rPr>
              <w:t>36</w:t>
            </w:r>
            <w:r w:rsidRPr="00137856">
              <w:t>, må ikke: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w:t>
      </w:r>
      <w:r w:rsidRPr="00137856">
        <w:rPr>
          <w:rStyle w:val="HideTWBExt"/>
          <w:b w:val="0"/>
          <w:noProof w:val="0"/>
        </w:rPr>
        <w:t>&gt;&lt;Members&gt;</w:t>
      </w:r>
      <w:r w:rsidRPr="00137856">
        <w:t xml:space="preserve">Marco Zanni, Valentino Grant, Antonio Maria </w:t>
      </w:r>
      <w:r w:rsidRPr="00137856">
        <w:lastRenderedPageBreak/>
        <w:t>Rinaldi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w:t>
      </w:r>
      <w:r w:rsidRPr="00137856">
        <w:t>. 4 – indledning</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w:t>
            </w:r>
            <w:r w:rsidRPr="00137856">
              <w:tab/>
              <w:t xml:space="preserve">Administratorer, der ikke er </w:t>
            </w:r>
            <w:r w:rsidRPr="00137856">
              <w:rPr>
                <w:b/>
                <w:i/>
              </w:rPr>
              <w:t>godkendt eller registreret i henhold til</w:t>
            </w:r>
            <w:r w:rsidRPr="00137856">
              <w:t xml:space="preserve"> artikel </w:t>
            </w:r>
            <w:r w:rsidRPr="00137856">
              <w:rPr>
                <w:b/>
                <w:i/>
              </w:rPr>
              <w:t>34</w:t>
            </w:r>
            <w:r w:rsidRPr="00137856">
              <w:t>, må ikke:</w:t>
            </w:r>
          </w:p>
        </w:tc>
        <w:tc>
          <w:tcPr>
            <w:tcW w:w="4876" w:type="dxa"/>
            <w:hideMark/>
          </w:tcPr>
          <w:p w:rsidR="001762D4" w:rsidRPr="00137856" w:rsidRDefault="00137856">
            <w:pPr>
              <w:pStyle w:val="Normal6"/>
              <w:rPr>
                <w:szCs w:val="24"/>
              </w:rPr>
            </w:pPr>
            <w:r w:rsidRPr="00137856">
              <w:t>4.</w:t>
            </w:r>
            <w:r w:rsidRPr="00137856">
              <w:tab/>
              <w:t xml:space="preserve">Administratorer, der ikke er </w:t>
            </w:r>
            <w:r w:rsidRPr="00137856">
              <w:rPr>
                <w:b/>
                <w:i/>
              </w:rPr>
              <w:t>inkluderet i det register, der er omhandlet i</w:t>
            </w:r>
            <w:r w:rsidRPr="00137856">
              <w:t xml:space="preserve"> artikel </w:t>
            </w:r>
            <w:r w:rsidRPr="00137856">
              <w:rPr>
                <w:b/>
                <w:i/>
              </w:rPr>
              <w:t>36</w:t>
            </w:r>
            <w:r w:rsidRPr="00137856">
              <w:t xml:space="preserve">, må </w:t>
            </w:r>
            <w:r w:rsidRPr="00137856">
              <w:t>ikke: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 – indledning</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w:t>
            </w:r>
            <w:r w:rsidRPr="00137856">
              <w:tab/>
              <w:t xml:space="preserve">Administratorer, der ikke er </w:t>
            </w:r>
            <w:r w:rsidRPr="00137856">
              <w:rPr>
                <w:b/>
                <w:i/>
              </w:rPr>
              <w:t>godkendt eller registreret i henhold til</w:t>
            </w:r>
            <w:r w:rsidRPr="00137856">
              <w:t xml:space="preserve"> artikel </w:t>
            </w:r>
            <w:r w:rsidRPr="00137856">
              <w:rPr>
                <w:b/>
                <w:i/>
              </w:rPr>
              <w:t>34</w:t>
            </w:r>
            <w:r w:rsidRPr="00137856">
              <w:t>, må ikke:</w:t>
            </w:r>
          </w:p>
        </w:tc>
        <w:tc>
          <w:tcPr>
            <w:tcW w:w="4876" w:type="dxa"/>
            <w:hideMark/>
          </w:tcPr>
          <w:p w:rsidR="001762D4" w:rsidRPr="00137856" w:rsidRDefault="00137856">
            <w:pPr>
              <w:pStyle w:val="Normal6"/>
              <w:rPr>
                <w:szCs w:val="24"/>
              </w:rPr>
            </w:pPr>
            <w:r w:rsidRPr="00137856">
              <w:t>4.</w:t>
            </w:r>
            <w:r w:rsidRPr="00137856">
              <w:tab/>
              <w:t>Administratore</w:t>
            </w:r>
            <w:r w:rsidRPr="00137856">
              <w:t xml:space="preserve">r, der ikke er </w:t>
            </w:r>
            <w:r w:rsidRPr="00137856">
              <w:rPr>
                <w:b/>
                <w:i/>
              </w:rPr>
              <w:t>inkluderet i det register, der er omhandlet i</w:t>
            </w:r>
            <w:r w:rsidRPr="00137856">
              <w:t xml:space="preserve"> artikel </w:t>
            </w:r>
            <w:r w:rsidRPr="00137856">
              <w:rPr>
                <w:b/>
                <w:i/>
              </w:rPr>
              <w:t>36</w:t>
            </w:r>
            <w:r w:rsidRPr="00137856">
              <w:t>, må ikke: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 xml:space="preserve">Forslag til </w:t>
      </w:r>
      <w:r w:rsidRPr="00137856">
        <w:t>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 – afsnit 1 – litra 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a)</w:t>
            </w:r>
            <w:r w:rsidRPr="00137856">
              <w:tab/>
              <w:t>levere EU-benchmarks for klimaov</w:t>
            </w:r>
            <w:r w:rsidRPr="00137856">
              <w:t>ergangen og Paristilpassede EU-benchmarks</w:t>
            </w:r>
          </w:p>
        </w:tc>
        <w:tc>
          <w:tcPr>
            <w:tcW w:w="4876" w:type="dxa"/>
            <w:hideMark/>
          </w:tcPr>
          <w:p w:rsidR="001762D4" w:rsidRPr="00137856" w:rsidRDefault="00137856">
            <w:pPr>
              <w:pStyle w:val="Normal6"/>
              <w:rPr>
                <w:szCs w:val="24"/>
              </w:rPr>
            </w:pPr>
            <w:r w:rsidRPr="00137856">
              <w:t>a)</w:t>
            </w:r>
            <w:r w:rsidRPr="00137856">
              <w:tab/>
              <w:t xml:space="preserve">levere </w:t>
            </w:r>
            <w:r w:rsidRPr="00137856">
              <w:rPr>
                <w:b/>
                <w:i/>
              </w:rPr>
              <w:t xml:space="preserve">eller validere </w:t>
            </w:r>
            <w:r w:rsidRPr="00137856">
              <w:t>EU-benchmarks for klimaovergangen og Paristilpassede EU-benchmarks</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w:t>
      </w:r>
      <w:r w:rsidRPr="00137856">
        <w:t xml:space="preserve">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19a – stk. 4 – afsnit 1 – litra</w:t>
      </w:r>
      <w:r w:rsidRPr="00137856">
        <w:t xml:space="preserve"> 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a)</w:t>
            </w:r>
            <w:r w:rsidRPr="00137856">
              <w:tab/>
              <w:t>levere EU-benchmarks for klimaovergangen og Paristilpassede EU-benchmarks</w:t>
            </w:r>
          </w:p>
        </w:tc>
        <w:tc>
          <w:tcPr>
            <w:tcW w:w="4876" w:type="dxa"/>
            <w:hideMark/>
          </w:tcPr>
          <w:p w:rsidR="001762D4" w:rsidRPr="00137856" w:rsidRDefault="00137856">
            <w:pPr>
              <w:pStyle w:val="Normal6"/>
              <w:rPr>
                <w:szCs w:val="24"/>
              </w:rPr>
            </w:pPr>
            <w:r w:rsidRPr="00137856">
              <w:rPr>
                <w:i/>
              </w:rPr>
              <w:t>(Vedrører ikke den danske tekst)</w:t>
            </w:r>
            <w:r w:rsidRPr="00137856">
              <w:tab/>
              <w:t xml:space="preserve"> </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98</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Marco Zanni, Valentino Grant, Antonio Maria Rinaldi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9</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w:t>
      </w:r>
      <w:r w:rsidRPr="00137856">
        <w:t>tikel 19a – stk. 4 – afsnit 1 – litra 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a)</w:t>
            </w:r>
            <w:r w:rsidRPr="00137856">
              <w:tab/>
              <w:t>levere EU-benchmarks for klimaovergangen og Paristilpassede EU-benchmarks</w:t>
            </w:r>
          </w:p>
        </w:tc>
        <w:tc>
          <w:tcPr>
            <w:tcW w:w="4876" w:type="dxa"/>
            <w:hideMark/>
          </w:tcPr>
          <w:p w:rsidR="001762D4" w:rsidRPr="00137856" w:rsidRDefault="00137856">
            <w:pPr>
              <w:pStyle w:val="Normal6"/>
              <w:rPr>
                <w:szCs w:val="24"/>
              </w:rPr>
            </w:pPr>
            <w:r w:rsidRPr="00137856">
              <w:rPr>
                <w:i/>
              </w:rPr>
              <w:t>(Vedrører ikke den danske tekst)</w:t>
            </w:r>
            <w:r w:rsidRPr="00137856">
              <w:tab/>
              <w:t xml:space="preserve"> </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99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10 a (nyt)</w:t>
      </w:r>
      <w:r w:rsidRPr="00137856">
        <w:rPr>
          <w:rStyle w:val="HideTWBExt"/>
          <w:b w:val="0"/>
          <w:noProof w:val="0"/>
        </w:rPr>
        <w:t>&lt;/Article&gt;</w:t>
      </w:r>
    </w:p>
    <w:p w:rsidR="001762D4" w:rsidRPr="00137856" w:rsidRDefault="00137856" w:rsidP="001762D4">
      <w:pPr>
        <w:keepNext/>
      </w:pPr>
      <w:r w:rsidRPr="00137856">
        <w:rPr>
          <w:rStyle w:val="HideTWBExt"/>
          <w:noProof w:val="0"/>
        </w:rPr>
        <w:lastRenderedPageBreak/>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19d</w:t>
      </w:r>
      <w:r w:rsidRPr="0013785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8F1F42">
        <w:trPr>
          <w:jc w:val="center"/>
        </w:trPr>
        <w:tc>
          <w:tcPr>
            <w:tcW w:w="9752" w:type="dxa"/>
            <w:gridSpan w:val="2"/>
          </w:tcPr>
          <w:p w:rsidR="001762D4" w:rsidRPr="00137856" w:rsidRDefault="001762D4">
            <w:pPr>
              <w:keepNext/>
            </w:pPr>
          </w:p>
        </w:tc>
      </w:tr>
      <w:tr w:rsidR="00791339" w:rsidRPr="00137856" w:rsidTr="008F1F42">
        <w:trPr>
          <w:jc w:val="center"/>
        </w:trPr>
        <w:tc>
          <w:tcPr>
            <w:tcW w:w="4876" w:type="dxa"/>
            <w:hideMark/>
          </w:tcPr>
          <w:p w:rsidR="001762D4" w:rsidRPr="00137856" w:rsidRDefault="00137856">
            <w:pPr>
              <w:pStyle w:val="ColumnHeading"/>
              <w:keepNext/>
            </w:pPr>
            <w:r w:rsidRPr="00137856">
              <w:t>Gældende ordlyd</w:t>
            </w:r>
          </w:p>
        </w:tc>
        <w:tc>
          <w:tcPr>
            <w:tcW w:w="4876" w:type="dxa"/>
            <w:hideMark/>
          </w:tcPr>
          <w:p w:rsidR="001762D4" w:rsidRPr="00137856" w:rsidRDefault="00137856">
            <w:pPr>
              <w:pStyle w:val="ColumnHeading"/>
              <w:keepNext/>
            </w:pPr>
            <w:r w:rsidRPr="00137856">
              <w:t>Ændringsforslag</w:t>
            </w:r>
          </w:p>
        </w:tc>
      </w:tr>
      <w:tr w:rsidR="00791339" w:rsidRPr="00137856" w:rsidTr="008F1F42">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10a)</w:t>
            </w:r>
            <w:r w:rsidRPr="00137856">
              <w:rPr>
                <w:b/>
                <w:i/>
              </w:rPr>
              <w:tab/>
              <w:t>Artikel 19d ændres således:</w:t>
            </w:r>
          </w:p>
        </w:tc>
      </w:tr>
      <w:tr w:rsidR="00791339" w:rsidRPr="00137856" w:rsidTr="008F1F42">
        <w:trPr>
          <w:jc w:val="center"/>
        </w:trPr>
        <w:tc>
          <w:tcPr>
            <w:tcW w:w="4876" w:type="dxa"/>
            <w:hideMark/>
          </w:tcPr>
          <w:p w:rsidR="001762D4" w:rsidRPr="00137856" w:rsidRDefault="00137856">
            <w:pPr>
              <w:pStyle w:val="Normal6"/>
            </w:pPr>
            <w:r w:rsidRPr="00137856">
              <w:t>Artikel 19d</w:t>
            </w:r>
          </w:p>
        </w:tc>
        <w:tc>
          <w:tcPr>
            <w:tcW w:w="4876" w:type="dxa"/>
            <w:hideMark/>
          </w:tcPr>
          <w:p w:rsidR="001762D4" w:rsidRPr="00137856" w:rsidRDefault="00137856">
            <w:pPr>
              <w:pStyle w:val="Normal6"/>
              <w:rPr>
                <w:szCs w:val="24"/>
              </w:rPr>
            </w:pPr>
            <w:r w:rsidRPr="00137856">
              <w:t>Artikel 19d</w:t>
            </w:r>
          </w:p>
        </w:tc>
      </w:tr>
      <w:tr w:rsidR="00791339" w:rsidRPr="00137856" w:rsidTr="008F1F42">
        <w:trPr>
          <w:jc w:val="center"/>
        </w:trPr>
        <w:tc>
          <w:tcPr>
            <w:tcW w:w="4876" w:type="dxa"/>
            <w:hideMark/>
          </w:tcPr>
          <w:p w:rsidR="001762D4" w:rsidRPr="00137856" w:rsidRDefault="00137856">
            <w:pPr>
              <w:pStyle w:val="Normal6"/>
            </w:pPr>
            <w:r w:rsidRPr="00137856">
              <w:t>Bestræbelser på levering af EU-benchmarks for klimaovergangen</w:t>
            </w:r>
          </w:p>
        </w:tc>
        <w:tc>
          <w:tcPr>
            <w:tcW w:w="4876" w:type="dxa"/>
            <w:hideMark/>
          </w:tcPr>
          <w:p w:rsidR="001762D4" w:rsidRPr="00137856" w:rsidRDefault="00137856">
            <w:pPr>
              <w:pStyle w:val="Normal6"/>
              <w:rPr>
                <w:szCs w:val="24"/>
              </w:rPr>
            </w:pPr>
            <w:r w:rsidRPr="00137856">
              <w:t xml:space="preserve">Bestræbelser på levering af </w:t>
            </w:r>
            <w:r w:rsidRPr="00137856">
              <w:t>EU-benchmarks for klimaovergangen</w:t>
            </w:r>
            <w:r w:rsidRPr="00137856">
              <w:rPr>
                <w:b/>
                <w:i/>
              </w:rPr>
              <w:t xml:space="preserve"> og Paristilpassede EU-benchmarks</w:t>
            </w:r>
          </w:p>
        </w:tc>
      </w:tr>
      <w:tr w:rsidR="00791339" w:rsidRPr="00137856" w:rsidTr="008F1F42">
        <w:trPr>
          <w:jc w:val="center"/>
        </w:trPr>
        <w:tc>
          <w:tcPr>
            <w:tcW w:w="4876" w:type="dxa"/>
            <w:hideMark/>
          </w:tcPr>
          <w:p w:rsidR="001762D4" w:rsidRPr="00137856" w:rsidRDefault="00137856">
            <w:pPr>
              <w:pStyle w:val="Normal6"/>
            </w:pPr>
            <w:r w:rsidRPr="00137856">
              <w:rPr>
                <w:b/>
                <w:i/>
              </w:rPr>
              <w:t xml:space="preserve">Senest den 1. januar 2022 skal </w:t>
            </w:r>
            <w:r w:rsidRPr="00137856">
              <w:t>administratorer, der er etableret i Unionen, og som udbyder væsentlige benchmarks, der fastsættes på grundlag af værdien af et eller flere underliggende akti</w:t>
            </w:r>
            <w:r w:rsidRPr="00137856">
              <w:t>ver eller priser, bestræbe sig på at levere et eller flere EU-benchmarks for klimaovergangen.</w:t>
            </w:r>
          </w:p>
        </w:tc>
        <w:tc>
          <w:tcPr>
            <w:tcW w:w="4876" w:type="dxa"/>
            <w:hideMark/>
          </w:tcPr>
          <w:p w:rsidR="001762D4" w:rsidRPr="00137856" w:rsidRDefault="00137856">
            <w:pPr>
              <w:pStyle w:val="Normal6"/>
              <w:rPr>
                <w:szCs w:val="24"/>
              </w:rPr>
            </w:pPr>
            <w:r w:rsidRPr="00137856">
              <w:t>Administratorer, der er etableret i Unionen, og som udbyder væsentlige benchmarks, der fastsættes på grundlag af værdien af et eller flere underliggende aktiver e</w:t>
            </w:r>
            <w:r w:rsidRPr="00137856">
              <w:t xml:space="preserve">ller priser, </w:t>
            </w:r>
            <w:r w:rsidRPr="00137856">
              <w:rPr>
                <w:b/>
                <w:i/>
              </w:rPr>
              <w:t xml:space="preserve">skal </w:t>
            </w:r>
            <w:r w:rsidRPr="00137856">
              <w:t>bestræbe sig på at levere et eller flere EU-benchmarks for klimaovergangen</w:t>
            </w:r>
            <w:r w:rsidRPr="00137856">
              <w:rPr>
                <w:b/>
                <w:i/>
              </w:rPr>
              <w:t xml:space="preserve"> eller Paristilpassede benchmarks</w:t>
            </w:r>
            <w:r w:rsidRPr="00137856">
              <w:t>.</w:t>
            </w:r>
          </w:p>
        </w:tc>
      </w:tr>
      <w:tr w:rsidR="00791339" w:rsidRPr="00137856" w:rsidTr="008F1F42">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w:t>
            </w:r>
          </w:p>
        </w:tc>
      </w:tr>
    </w:tbl>
    <w:p w:rsidR="008F1F42" w:rsidRPr="00137856" w:rsidRDefault="00137856" w:rsidP="008F1F42">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8F1F42" w:rsidRPr="00137856" w:rsidRDefault="00137856" w:rsidP="008F1F42">
      <w:pPr>
        <w:pStyle w:val="CrossRef"/>
      </w:pPr>
      <w:r w:rsidRPr="00137856">
        <w:t>(https://eur-lex.europa.eu/legal-content/DA/TXT/?uri=CELEX%3A02016R1011-20240109)</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100</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E25682" w:rsidRPr="00137856" w:rsidRDefault="00137856" w:rsidP="00E25682">
      <w:pPr>
        <w:pStyle w:val="NormalBold"/>
      </w:pPr>
      <w:r w:rsidRPr="00137856">
        <w:rPr>
          <w:rStyle w:val="HideTWBExt"/>
          <w:b w:val="0"/>
          <w:noProof w:val="0"/>
        </w:rPr>
        <w:t>&lt;Article&gt;</w:t>
      </w:r>
      <w:r w:rsidRPr="00137856">
        <w:t>Artikel 1 – stk. 1 – nr. 10 b (nyt)</w:t>
      </w:r>
      <w:r w:rsidRPr="00137856">
        <w:rPr>
          <w:rStyle w:val="HideTWBExt"/>
          <w:b w:val="0"/>
          <w:noProof w:val="0"/>
        </w:rPr>
        <w:t>&lt;/Article&gt;</w:t>
      </w:r>
    </w:p>
    <w:p w:rsidR="00842138" w:rsidRPr="00137856" w:rsidRDefault="00137856" w:rsidP="00842138">
      <w:pPr>
        <w:keepNext/>
      </w:pPr>
      <w:r w:rsidRPr="00137856">
        <w:rPr>
          <w:rStyle w:val="HideTWBExt"/>
          <w:noProof w:val="0"/>
        </w:rPr>
        <w:t>&lt;DocAmen</w:t>
      </w:r>
      <w:r w:rsidRPr="00137856">
        <w:rPr>
          <w:rStyle w:val="HideTWBExt"/>
          <w:noProof w:val="0"/>
        </w:rPr>
        <w:t>d2&gt;</w:t>
      </w:r>
      <w:r w:rsidRPr="00137856">
        <w:t>Forordning (EU) 2016/1011</w:t>
      </w:r>
      <w:r w:rsidRPr="00137856">
        <w:rPr>
          <w:rStyle w:val="HideTWBExt"/>
          <w:noProof w:val="0"/>
        </w:rPr>
        <w:t>&lt;/DocAmend2&gt;</w:t>
      </w:r>
    </w:p>
    <w:p w:rsidR="00842138" w:rsidRPr="00137856" w:rsidRDefault="00137856" w:rsidP="00842138">
      <w:r w:rsidRPr="00137856">
        <w:rPr>
          <w:rStyle w:val="HideTWBExt"/>
          <w:noProof w:val="0"/>
        </w:rPr>
        <w:t>&lt;Article2&gt;</w:t>
      </w:r>
      <w:r w:rsidRPr="00137856">
        <w:t>Artikel 19d a (ny)</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9B782B" w:rsidRPr="00137856" w:rsidRDefault="009B782B">
            <w:pPr>
              <w:pStyle w:val="Normal6"/>
            </w:pPr>
          </w:p>
        </w:tc>
        <w:tc>
          <w:tcPr>
            <w:tcW w:w="4876" w:type="dxa"/>
          </w:tcPr>
          <w:p w:rsidR="009B782B" w:rsidRPr="00137856" w:rsidRDefault="00137856">
            <w:pPr>
              <w:pStyle w:val="Normal6"/>
              <w:rPr>
                <w:b/>
                <w:i/>
              </w:rPr>
            </w:pPr>
            <w:r w:rsidRPr="00137856">
              <w:rPr>
                <w:b/>
                <w:i/>
              </w:rPr>
              <w:t>10b)</w:t>
            </w:r>
            <w:r w:rsidRPr="00137856">
              <w:rPr>
                <w:b/>
                <w:i/>
              </w:rPr>
              <w:tab/>
              <w:t>Følgende artikel indsættes:</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b/>
                <w:i/>
              </w:rPr>
            </w:pPr>
            <w:r w:rsidRPr="00137856">
              <w:rPr>
                <w:b/>
                <w:i/>
              </w:rPr>
              <w:t>"Artikel 19da</w:t>
            </w:r>
          </w:p>
          <w:p w:rsidR="009B782B" w:rsidRPr="00137856" w:rsidRDefault="00137856">
            <w:pPr>
              <w:pStyle w:val="Normal6"/>
              <w:rPr>
                <w:szCs w:val="24"/>
              </w:rPr>
            </w:pPr>
            <w:r w:rsidRPr="00137856">
              <w:rPr>
                <w:b/>
                <w:i/>
              </w:rPr>
              <w:t>Overskrift til artiklen her</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w:t>
            </w:r>
            <w:r w:rsidRPr="00137856">
              <w:rPr>
                <w:b/>
                <w:i/>
              </w:rPr>
              <w:tab/>
              <w:t xml:space="preserve">Administratorer, der ikke er godkendt eller </w:t>
            </w:r>
            <w:r w:rsidRPr="00137856">
              <w:rPr>
                <w:b/>
                <w:i/>
              </w:rPr>
              <w:t>registreret i henhold til artikel 34, eller anerkendt i henhold til artikel 32, må ikke:</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a) </w:t>
            </w:r>
            <w:r w:rsidRPr="00137856">
              <w:rPr>
                <w:b/>
                <w:i/>
              </w:rPr>
              <w:tab/>
              <w:t>levere eller validere ESG-</w:t>
            </w:r>
            <w:r w:rsidRPr="00137856">
              <w:rPr>
                <w:b/>
                <w:i/>
              </w:rPr>
              <w:lastRenderedPageBreak/>
              <w:t>benchmarks eller</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b) </w:t>
            </w:r>
            <w:r w:rsidRPr="00137856">
              <w:rPr>
                <w:b/>
                <w:i/>
              </w:rPr>
              <w:tab/>
              <w:t>for de benchmarks, de stiller til rådighed til brug i Unionen, eller i den juridiske dokumentation eller markeds</w:t>
            </w:r>
            <w:r w:rsidRPr="00137856">
              <w:rPr>
                <w:b/>
                <w:i/>
              </w:rPr>
              <w:t>føringsdokumentationen for disse benchmarks, angive eller antyde, at de benchmarks, de stiller til rådighed, forfølger ESG-mål eller tager hensyn til ESG-faktorer.</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2. </w:t>
            </w:r>
            <w:r w:rsidRPr="00137856">
              <w:rPr>
                <w:b/>
                <w:i/>
              </w:rPr>
              <w:tab/>
              <w:t>ESMA udarbejder udkast til reguleringsmæssige tekniske standarder med henblik på at pr</w:t>
            </w:r>
            <w:r w:rsidRPr="00137856">
              <w:rPr>
                <w:b/>
                <w:i/>
              </w:rPr>
              <w:t>æcisere fælles standarder for navnene på ESG-benchmarks i overensstemmelse med forordning (EU) 2019/2088 og direktiv 2011/61/EU og 2009/65/EF.</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ESMA forelægger disse udkast til reguleringsmæssige tekniske standarder for Kommissionen inden ... [12 måneder </w:t>
            </w:r>
            <w:r w:rsidRPr="00137856">
              <w:rPr>
                <w:b/>
                <w:i/>
              </w:rPr>
              <w:t>efter denne forordnings ikrafttræden].</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Kommissionen tillægges beføjelse til at supplere denne forordning ved at vedtage de i første afsnit omhandlede reguleringsmæssige tekniske standarder i overensstemmelse med artikel 10-14 i forordning (EU) nr. 1095/2</w:t>
            </w:r>
            <w:r w:rsidRPr="00137856">
              <w:rPr>
                <w:b/>
                <w:i/>
              </w:rPr>
              <w:t>010."</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Tilpasning vedrørende obligatoriske ESG-oplysninger om ESG-benchmarks til EU's lovgivningsmæssige oplysninger om finansielle produkter (SFDR) og mellem krav til benchmarknavne og kra</w:t>
      </w:r>
      <w:r w:rsidRPr="00137856">
        <w:rPr>
          <w:noProof w:val="0"/>
        </w:rPr>
        <w:t>v om fondsnavne, navnlig for ETF'er (hvis navne svarer til deres underliggende indeks), er af afgørende betydning (UCITS-direktivet og FAIF-direktivet).</w:t>
      </w:r>
    </w:p>
    <w:p w:rsidR="001762D4" w:rsidRPr="00137856" w:rsidRDefault="00137856" w:rsidP="001762D4">
      <w:r w:rsidRPr="00137856">
        <w:rPr>
          <w:rStyle w:val="HideTWBExt"/>
          <w:noProof w:val="0"/>
        </w:rPr>
        <w:t>&lt;/Amend&gt;</w:t>
      </w:r>
    </w:p>
    <w:p w:rsidR="00B56F1B" w:rsidRPr="00137856" w:rsidRDefault="00137856" w:rsidP="00B56F1B">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101</w:t>
      </w:r>
      <w:r w:rsidRPr="00137856">
        <w:rPr>
          <w:rStyle w:val="HideTWBExt"/>
          <w:b w:val="0"/>
          <w:noProof w:val="0"/>
        </w:rPr>
        <w:t>&lt;/NumAm&gt;</w:t>
      </w:r>
    </w:p>
    <w:p w:rsidR="00B56F1B" w:rsidRPr="00137856" w:rsidRDefault="00137856" w:rsidP="00B56F1B">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B56F1B" w:rsidRPr="00137856" w:rsidRDefault="00137856" w:rsidP="00B56F1B">
      <w:r w:rsidRPr="00137856">
        <w:rPr>
          <w:rStyle w:val="HideTWBExt"/>
          <w:noProof w:val="0"/>
        </w:rPr>
        <w:t>&lt;/RepeatBlock-By&gt;</w:t>
      </w:r>
    </w:p>
    <w:p w:rsidR="00B56F1B" w:rsidRPr="00137856" w:rsidRDefault="00137856" w:rsidP="00B56F1B">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B56F1B" w:rsidRPr="00137856" w:rsidRDefault="00137856" w:rsidP="00B56F1B">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B56F1B" w:rsidRPr="00137856" w:rsidRDefault="00137856" w:rsidP="00B56F1B">
      <w:pPr>
        <w:keepNext/>
      </w:pPr>
      <w:r w:rsidRPr="00137856">
        <w:rPr>
          <w:rStyle w:val="HideTWBExt"/>
          <w:noProof w:val="0"/>
        </w:rPr>
        <w:t>&lt;DocAmend2&gt;</w:t>
      </w:r>
      <w:r w:rsidRPr="00137856">
        <w:t>Forordning (EU) 2016/1011</w:t>
      </w:r>
      <w:r w:rsidRPr="00137856">
        <w:rPr>
          <w:rStyle w:val="HideTWBExt"/>
          <w:noProof w:val="0"/>
        </w:rPr>
        <w:t>&lt;/DocAmend2&gt;</w:t>
      </w:r>
    </w:p>
    <w:p w:rsidR="00B56F1B" w:rsidRPr="00137856" w:rsidRDefault="00137856" w:rsidP="00B56F1B">
      <w:r w:rsidRPr="00137856">
        <w:rPr>
          <w:rStyle w:val="HideTWBExt"/>
          <w:noProof w:val="0"/>
        </w:rPr>
        <w:t>&lt;Article2&gt;</w:t>
      </w:r>
      <w:r w:rsidRPr="00137856">
        <w:t>Artikel 24 – stk. 1 – afsnit 1 – litra 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EC2D82">
        <w:trPr>
          <w:jc w:val="center"/>
        </w:trPr>
        <w:tc>
          <w:tcPr>
            <w:tcW w:w="9752" w:type="dxa"/>
            <w:gridSpan w:val="2"/>
          </w:tcPr>
          <w:p w:rsidR="00B56F1B" w:rsidRPr="00137856" w:rsidRDefault="00B56F1B" w:rsidP="00EC2D82">
            <w:pPr>
              <w:keepNext/>
            </w:pPr>
          </w:p>
        </w:tc>
      </w:tr>
      <w:tr w:rsidR="00791339" w:rsidRPr="00137856" w:rsidTr="00EC2D82">
        <w:trPr>
          <w:jc w:val="center"/>
        </w:trPr>
        <w:tc>
          <w:tcPr>
            <w:tcW w:w="4876" w:type="dxa"/>
            <w:hideMark/>
          </w:tcPr>
          <w:p w:rsidR="00B56F1B" w:rsidRPr="00137856" w:rsidRDefault="00137856" w:rsidP="00EC2D82">
            <w:pPr>
              <w:pStyle w:val="ColumnHeading"/>
              <w:keepNext/>
            </w:pPr>
            <w:r w:rsidRPr="00137856">
              <w:t>Kommissionens forslag</w:t>
            </w:r>
          </w:p>
        </w:tc>
        <w:tc>
          <w:tcPr>
            <w:tcW w:w="4876" w:type="dxa"/>
            <w:hideMark/>
          </w:tcPr>
          <w:p w:rsidR="00B56F1B" w:rsidRPr="00137856" w:rsidRDefault="00137856" w:rsidP="00EC2D82">
            <w:pPr>
              <w:pStyle w:val="ColumnHeading"/>
              <w:keepNext/>
            </w:pPr>
            <w:r w:rsidRPr="00137856">
              <w:t>Ændringsforslag</w:t>
            </w:r>
          </w:p>
        </w:tc>
      </w:tr>
      <w:tr w:rsidR="00791339" w:rsidRPr="00137856" w:rsidTr="00EC2D82">
        <w:trPr>
          <w:jc w:val="center"/>
        </w:trPr>
        <w:tc>
          <w:tcPr>
            <w:tcW w:w="4876" w:type="dxa"/>
            <w:hideMark/>
          </w:tcPr>
          <w:p w:rsidR="00B56F1B" w:rsidRPr="00137856" w:rsidRDefault="00137856" w:rsidP="00EC2D82">
            <w:pPr>
              <w:pStyle w:val="Normal6"/>
            </w:pPr>
            <w:r w:rsidRPr="00137856">
              <w:t>a)</w:t>
            </w:r>
            <w:r w:rsidRPr="00137856">
              <w:tab/>
              <w:t>benchmarket anvendes direkte eller indirekte i en kombination af benchmarks i Unionen som reference for finansielle instrumenter eller finansielle kontrakter eller til måling af de økonomiske resultater for investeringsfonde, som har en</w:t>
            </w:r>
            <w:r w:rsidRPr="00137856">
              <w:t xml:space="preserve"> samlet gennemsnitlig værdi på mindst </w:t>
            </w:r>
            <w:r w:rsidRPr="00137856">
              <w:rPr>
                <w:b/>
                <w:i/>
              </w:rPr>
              <w:t xml:space="preserve">50 </w:t>
            </w:r>
            <w:r w:rsidRPr="00137856">
              <w:t>mia. EUR, på grundlag af alle benchmarkets forskellige løbetider, hvor det er relevant, over en periode på seks måneder</w:t>
            </w:r>
          </w:p>
        </w:tc>
        <w:tc>
          <w:tcPr>
            <w:tcW w:w="4876" w:type="dxa"/>
            <w:hideMark/>
          </w:tcPr>
          <w:p w:rsidR="00B56F1B" w:rsidRPr="00137856" w:rsidRDefault="00137856" w:rsidP="00EC2D82">
            <w:pPr>
              <w:pStyle w:val="Normal6"/>
              <w:rPr>
                <w:szCs w:val="24"/>
              </w:rPr>
            </w:pPr>
            <w:r w:rsidRPr="00137856">
              <w:t>a)</w:t>
            </w:r>
            <w:r w:rsidRPr="00137856">
              <w:tab/>
              <w:t>benchmarket anvendes direkte eller indirekte i en kombination af benchmarks i Unionen som re</w:t>
            </w:r>
            <w:r w:rsidRPr="00137856">
              <w:t xml:space="preserve">ference for finansielle instrumenter eller finansielle kontrakter eller til måling af de økonomiske resultater for investeringsfonde, som har en samlet gennemsnitlig værdi på mindst </w:t>
            </w:r>
            <w:r w:rsidRPr="00137856">
              <w:rPr>
                <w:b/>
                <w:i/>
              </w:rPr>
              <w:t>75 </w:t>
            </w:r>
            <w:r w:rsidRPr="00137856">
              <w:t xml:space="preserve">mia. EUR, på grundlag af alle benchmarkets forskellige løbetider, hvor </w:t>
            </w:r>
            <w:r w:rsidRPr="00137856">
              <w:t>det er relevant, over en periode på seks måneder</w:t>
            </w:r>
          </w:p>
        </w:tc>
      </w:tr>
    </w:tbl>
    <w:p w:rsidR="00B56F1B" w:rsidRPr="00137856" w:rsidRDefault="00137856" w:rsidP="00B56F1B">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B56F1B" w:rsidRPr="00137856" w:rsidRDefault="00137856" w:rsidP="00B56F1B">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1 – afsnit 1 – litra 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a)</w:t>
            </w:r>
            <w:r w:rsidRPr="00137856">
              <w:tab/>
              <w:t>benchmarket anvendes direkte eller indirekte i en kombination a</w:t>
            </w:r>
            <w:r w:rsidRPr="00137856">
              <w:t xml:space="preserve">f benchmarks i Unionen som reference for finansielle instrumenter eller finansielle kontrakter eller til måling af de økonomiske resultater for investeringsfonde, som har en samlet gennemsnitlig værdi på mindst </w:t>
            </w:r>
            <w:r w:rsidRPr="00137856">
              <w:rPr>
                <w:b/>
                <w:i/>
              </w:rPr>
              <w:t>50</w:t>
            </w:r>
            <w:r w:rsidRPr="00137856">
              <w:t xml:space="preserve"> mia. EUR, på grundlag af alle benchmarkets</w:t>
            </w:r>
            <w:r w:rsidRPr="00137856">
              <w:t xml:space="preserve"> forskellige løbetider, hvor det er relevant, over en periode på seks måneder</w:t>
            </w:r>
          </w:p>
        </w:tc>
        <w:tc>
          <w:tcPr>
            <w:tcW w:w="4876" w:type="dxa"/>
            <w:hideMark/>
          </w:tcPr>
          <w:p w:rsidR="001762D4" w:rsidRPr="00137856" w:rsidRDefault="00137856">
            <w:pPr>
              <w:pStyle w:val="Normal6"/>
              <w:rPr>
                <w:szCs w:val="24"/>
              </w:rPr>
            </w:pPr>
            <w:r w:rsidRPr="00137856">
              <w:t>a)</w:t>
            </w:r>
            <w:r w:rsidRPr="00137856">
              <w:tab/>
              <w:t xml:space="preserve">benchmarket anvendes direkte eller indirekte i en kombination af benchmarks i Unionen som reference for finansielle instrumenter eller finansielle kontrakter eller til måling </w:t>
            </w:r>
            <w:r w:rsidRPr="00137856">
              <w:t xml:space="preserve">af de økonomiske resultater for investeringsfonde, som har en samlet gennemsnitlig værdi på mindst </w:t>
            </w:r>
            <w:r w:rsidRPr="00137856">
              <w:rPr>
                <w:b/>
                <w:i/>
              </w:rPr>
              <w:t>60</w:t>
            </w:r>
            <w:r w:rsidRPr="00137856">
              <w:t xml:space="preserve"> mia. EUR, på grundlag af alle benchmarkets forskellige løbetider, hvor det er relevant, over en periode på seks måneder</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lastRenderedPageBreak/>
        <w:t>&lt;DocAmend2&gt;</w:t>
      </w:r>
      <w:r w:rsidRPr="00137856">
        <w:t xml:space="preserve">Forordning (EU) </w:t>
      </w:r>
      <w:r w:rsidRPr="00137856">
        <w:t>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1 – afsnit 1 – litra b</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benchmarket er blevet udpeget som væsentligt i overensstemmelse med proceduren i stk. 3, 4 og 5 eller proceduren i stk. 6.</w:t>
            </w:r>
          </w:p>
        </w:tc>
        <w:tc>
          <w:tcPr>
            <w:tcW w:w="4876" w:type="dxa"/>
            <w:hideMark/>
          </w:tcPr>
          <w:p w:rsidR="001762D4" w:rsidRPr="00137856" w:rsidRDefault="00137856">
            <w:pPr>
              <w:pStyle w:val="Normal6"/>
              <w:rPr>
                <w:szCs w:val="24"/>
              </w:rPr>
            </w:pPr>
            <w:r w:rsidRPr="00137856">
              <w:rPr>
                <w:b/>
                <w:i/>
              </w:rPr>
              <w:t>udgår</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For at sikre en ensartet anvendelse af denne forordning bør afgørelsen af, om et benchmark er væsentligt, udelukkende baseres på kvantitative kriterier.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w:t>
      </w:r>
      <w:r w:rsidRPr="00137856">
        <w:rPr>
          <w:rStyle w:val="HideTWBExt"/>
          <w:b w:val="0"/>
          <w:noProof w:val="0"/>
        </w:rPr>
        <w:t>NumAm&gt;</w:t>
      </w:r>
      <w:r w:rsidRPr="00137856">
        <w:t>104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1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1a.</w:t>
            </w:r>
            <w:r w:rsidRPr="00137856">
              <w:rPr>
                <w:b/>
                <w:i/>
              </w:rPr>
              <w:tab/>
              <w:t xml:space="preserve">Det samlede volumen af ikkevæsentlige benchmarks, som en administrator leverer, der anvendes direkte eller indirekte i en kombination af benchmarks </w:t>
            </w:r>
            <w:r w:rsidRPr="00137856">
              <w:rPr>
                <w:b/>
                <w:i/>
              </w:rPr>
              <w:t>som reference for finansielle instrumenter eller finansielle kontrakter eller til måling af de økonomiske resultater for investeringsfonde, som har en samlet gennemsnitlig værdi på mindst 50 mia. EUR, på grundlag af alle benchmarkets forskellige løbetider,</w:t>
            </w:r>
            <w:r w:rsidRPr="00137856">
              <w:rPr>
                <w:b/>
                <w:i/>
              </w:rPr>
              <w:t xml:space="preserve"> hvor det er relevant, over en periode på seks måneder, er underlagt samme forpligtelser som væsentlige 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lastRenderedPageBreak/>
        <w:t>&lt;Amend&gt;</w:t>
      </w:r>
      <w:r w:rsidRPr="00137856">
        <w:t>Ændringsforslag</w:t>
      </w:r>
      <w:r w:rsidRPr="00137856">
        <w:tab/>
      </w:r>
      <w:r w:rsidRPr="00137856">
        <w:tab/>
      </w:r>
      <w:r w:rsidRPr="00137856">
        <w:rPr>
          <w:rStyle w:val="HideTWBExt"/>
          <w:b w:val="0"/>
          <w:noProof w:val="0"/>
        </w:rPr>
        <w:t>&lt;NumAm&gt;</w:t>
      </w:r>
      <w:r w:rsidRPr="00137856">
        <w:t>105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3</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3.</w:t>
            </w:r>
            <w:r w:rsidRPr="00137856">
              <w:rPr>
                <w:b/>
                <w:i/>
              </w:rPr>
              <w:tab/>
              <w:t>En</w:t>
            </w:r>
            <w:r w:rsidRPr="00137856">
              <w:rPr>
                <w:b/>
                <w:i/>
              </w:rPr>
              <w:t xml:space="preserve"> kompetent myndighed kan efter at have hørt ESMA i overensstemmelse med stk. 4 og under hensyntagen til ESMA's rådgivning udpege et benchmark leveret af en administrator, der er etableret i Unionen, og som ikke opfylder betingelsen i stk. 1, litra a), som </w:t>
            </w:r>
            <w:r w:rsidRPr="00137856">
              <w:rPr>
                <w:b/>
                <w:i/>
              </w:rPr>
              <w:t>væsentligt, hvis benchmarket opfylder alle følgende betingelser:</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a)</w:t>
            </w:r>
            <w:r w:rsidRPr="00137856">
              <w:rPr>
                <w:b/>
                <w:i/>
              </w:rPr>
              <w:tab/>
              <w:t>der er ikke nogen, eller kun meget få, passende markedsbaserede alternativer til benchmarket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i tilfælde af at benchmarket ikke længere leveres eller leveres på grundlag af inpu</w:t>
            </w:r>
            <w:r w:rsidRPr="00137856">
              <w:rPr>
                <w:b/>
                <w:i/>
              </w:rPr>
              <w:t>tdata, der ikke længere er fuldt ud repræsentative for den underliggende markedsmæssige eller økonomiske realitet, eller på grundlag af upålidelige data, ville det have væsentlige negative konsekvenser for markedernes integritet, den finansielle stabilitet</w:t>
            </w:r>
            <w:r w:rsidRPr="00137856">
              <w:rPr>
                <w:b/>
                <w:i/>
              </w:rPr>
              <w:t>, forbrugerne, realøkonomien eller finansieringen af husholdninger og virksomheder i dets medlemsstat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c)</w:t>
            </w:r>
            <w:r w:rsidRPr="00137856">
              <w:rPr>
                <w:b/>
                <w:i/>
              </w:rPr>
              <w:tab/>
              <w:t>benchmarket er ikke udpeget af en kompetent myndighed i en anden medlemsstat.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Hvis en kompetent myndighed konkluderer, at et benchmark opfylder kri</w:t>
            </w:r>
            <w:r w:rsidRPr="00137856">
              <w:rPr>
                <w:b/>
                <w:i/>
              </w:rPr>
              <w:t>terierne i første afsnit, udarbejder den kompetente myndighed et udkast til afgørelse om at udpege benchmarket som væsentligt og underretter den pågældende administrator og den kompetente myndighed i administratorens hjemland om nævnte udkast til afgørelse</w:t>
            </w:r>
            <w:r w:rsidRPr="00137856">
              <w:rPr>
                <w:b/>
                <w:i/>
              </w:rPr>
              <w:t xml:space="preserve">, hvis det er </w:t>
            </w:r>
            <w:r w:rsidRPr="00137856">
              <w:rPr>
                <w:b/>
                <w:i/>
              </w:rPr>
              <w:lastRenderedPageBreak/>
              <w:t>relevant. Den berørte kompetente myndighed hører også ESMA om udkastet til afgørelse.</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De berørte administratorer og den kompetente myndighed i administratorens hjemland har en frist på 15 arbejdsdage fra datoen for underretningen om udkaste</w:t>
            </w:r>
            <w:r w:rsidRPr="00137856">
              <w:rPr>
                <w:b/>
                <w:i/>
              </w:rPr>
              <w:t>t til afgørelse, som er udarbejdet af den berørte udpegende kompetente myndighed, til at fremsætte skriftlige bemærkninger og kommentarer. Den berørte udpegende kompetente myndighed underretter ESMA om de modtagne bemærkninger og kommentarer og tager behør</w:t>
            </w:r>
            <w:r w:rsidRPr="00137856">
              <w:rPr>
                <w:b/>
                <w:i/>
              </w:rPr>
              <w:t>igt hensyn til disse bemærkninger og kommentarer, inden den vedtager en endelig afgørelse.</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Den udpegende kompetente myndighed underretter ESMA om sin afgørelse og offentliggør afgørelsen, herunder begrundelsen herfor og konsekvenserne af denne udpegelse,</w:t>
            </w:r>
            <w:r w:rsidRPr="00137856">
              <w:rPr>
                <w:b/>
                <w:i/>
              </w:rPr>
              <w:t xml:space="preserve"> på sit websted uden unødigt ophold."</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 xml:space="preserve">For at sikre en ensartet anvendelse af denne forordning bør afgørelsen af, om et benchmark er væsentligt, udelukkende baseres på kvantitative </w:t>
      </w:r>
      <w:r w:rsidRPr="00137856">
        <w:rPr>
          <w:noProof w:val="0"/>
        </w:rPr>
        <w:t>kriterier.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w:t>
      </w:r>
      <w:r w:rsidRPr="00137856">
        <w:t>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3 – afsnit 1 – litra b</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w:t>
            </w:r>
            <w:r w:rsidRPr="00137856">
              <w:tab/>
            </w:r>
            <w:r w:rsidRPr="00137856">
              <w:t xml:space="preserve">i tilfælde af at benchmarket ikke længere leveres eller leveres på grundlag af inputdata, der ikke længere er fuldt ud repræsentative for den underliggende markedsmæssige eller økonomiske realitet, </w:t>
            </w:r>
            <w:r w:rsidRPr="00137856">
              <w:lastRenderedPageBreak/>
              <w:t>eller på grundlag af upålidelige data, ville det have væse</w:t>
            </w:r>
            <w:r w:rsidRPr="00137856">
              <w:t xml:space="preserve">ntlige negative konsekvenser for </w:t>
            </w:r>
            <w:r w:rsidRPr="00137856">
              <w:rPr>
                <w:b/>
                <w:i/>
              </w:rPr>
              <w:t xml:space="preserve">markedernes integritet, </w:t>
            </w:r>
            <w:r w:rsidRPr="00137856">
              <w:t xml:space="preserve">den finansielle stabilitet, forbrugerne, realøkonomien eller finansieringen af husholdninger og virksomheder i </w:t>
            </w:r>
            <w:r w:rsidRPr="00137856">
              <w:rPr>
                <w:b/>
                <w:i/>
              </w:rPr>
              <w:t>dets medlemsstat</w:t>
            </w:r>
          </w:p>
        </w:tc>
        <w:tc>
          <w:tcPr>
            <w:tcW w:w="4876" w:type="dxa"/>
            <w:hideMark/>
          </w:tcPr>
          <w:p w:rsidR="001762D4" w:rsidRPr="00137856" w:rsidRDefault="00137856">
            <w:pPr>
              <w:pStyle w:val="Normal6"/>
              <w:rPr>
                <w:szCs w:val="24"/>
              </w:rPr>
            </w:pPr>
            <w:r w:rsidRPr="00137856">
              <w:lastRenderedPageBreak/>
              <w:t>b)</w:t>
            </w:r>
            <w:r w:rsidRPr="00137856">
              <w:tab/>
              <w:t>i tilfælde af at benchmarket ikke længere leveres eller leveres på g</w:t>
            </w:r>
            <w:r w:rsidRPr="00137856">
              <w:t xml:space="preserve">rundlag af inputdata, der ikke længere er fuldt ud repræsentative for den underliggende markedsmæssige eller økonomiske realitet, </w:t>
            </w:r>
            <w:r w:rsidRPr="00137856">
              <w:lastRenderedPageBreak/>
              <w:t>eller på grundlag af upålidelige data, ville det have væsentlige negative konsekvenser for den finansielle stabilitet</w:t>
            </w:r>
            <w:r w:rsidRPr="00137856">
              <w:rPr>
                <w:b/>
                <w:i/>
              </w:rPr>
              <w:t xml:space="preserve"> i Unione</w:t>
            </w:r>
            <w:r w:rsidRPr="00137856">
              <w:rPr>
                <w:b/>
                <w:i/>
              </w:rPr>
              <w:t>n</w:t>
            </w:r>
            <w:r w:rsidRPr="00137856">
              <w:t xml:space="preserve">, forbrugerne, realøkonomien eller finansieringen af husholdninger og virksomheder i </w:t>
            </w:r>
            <w:r w:rsidRPr="00137856">
              <w:rPr>
                <w:b/>
                <w:i/>
              </w:rPr>
              <w:t>Unionen</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B56F1B">
      <w:pPr>
        <w:widowControl/>
      </w:pPr>
      <w:r w:rsidRPr="00137856">
        <w:rPr>
          <w:rStyle w:val="HideTWBExt"/>
          <w:noProof w:val="0"/>
        </w:rPr>
        <w:t>&lt;Article2&gt;</w:t>
      </w:r>
      <w:r w:rsidRPr="00137856">
        <w:t>Artikel 24 – stk. 3 – afsnit 3</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 xml:space="preserve">De berørte administratorer og den kompetente myndighed i administratorens hjemland har en frist på </w:t>
            </w:r>
            <w:r w:rsidRPr="00137856">
              <w:rPr>
                <w:b/>
                <w:i/>
              </w:rPr>
              <w:t>15</w:t>
            </w:r>
            <w:r w:rsidRPr="00137856">
              <w:t xml:space="preserve"> arbejdsdage fra datoen for underretningen om udkastet til afgørelse, som er udarbejdet af den berørte udpegende kompetente myndighed, til at fremsætte skr</w:t>
            </w:r>
            <w:r w:rsidRPr="00137856">
              <w:t>iftlige bemærkninger og kommentarer. Den berørte udpegende kompetente myndighed underretter ESMA om de modtagne bemærkninger og kommentarer og tager behørigt hensyn til disse bemærkninger og kommentarer, inden den vedtager en endelig afgørelse.</w:t>
            </w:r>
          </w:p>
        </w:tc>
        <w:tc>
          <w:tcPr>
            <w:tcW w:w="4876" w:type="dxa"/>
            <w:hideMark/>
          </w:tcPr>
          <w:p w:rsidR="001762D4" w:rsidRPr="00137856" w:rsidRDefault="00137856">
            <w:pPr>
              <w:pStyle w:val="Normal6"/>
              <w:rPr>
                <w:szCs w:val="24"/>
              </w:rPr>
            </w:pPr>
            <w:r w:rsidRPr="00137856">
              <w:t xml:space="preserve">De berørte </w:t>
            </w:r>
            <w:r w:rsidRPr="00137856">
              <w:t xml:space="preserve">administratorer og den kompetente myndighed i administratorens hjemland har en frist på </w:t>
            </w:r>
            <w:r w:rsidRPr="00137856">
              <w:rPr>
                <w:b/>
                <w:i/>
              </w:rPr>
              <w:t>30</w:t>
            </w:r>
            <w:r w:rsidRPr="00137856">
              <w:t xml:space="preserve"> arbejdsdage fra datoen for underretningen om udkastet til afgørelse, som er udarbejdet af den berørte udpegende kompetente myndighed, til at fremsætte skriftlige bem</w:t>
            </w:r>
            <w:r w:rsidRPr="00137856">
              <w:t>ærkninger og kommentarer. Den berørte udpegende kompetente myndighed underretter ESMA om de modtagne bemærkninger og kommentarer og tager behørigt hensyn til disse bemærkninger og kommentarer, inden den vedtager en endelig afgørelse.</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108</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4</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4.</w:t>
            </w:r>
            <w:r w:rsidRPr="00137856">
              <w:rPr>
                <w:b/>
                <w:i/>
              </w:rPr>
              <w:tab/>
              <w:t xml:space="preserve">Når ESMA høres af en kompetent myndighed om den påtænkte udpegelse af et benchmark som væsentligt i overensstemmelse med stk. 3, </w:t>
            </w:r>
            <w:r w:rsidRPr="00137856">
              <w:rPr>
                <w:b/>
                <w:i/>
              </w:rPr>
              <w:t>første afsnit, yder ESMA inden for tre måneder rådgivning, der tager hensyn til følgende faktorer i lyset af det pågældende benchmarks specifikke karakteristika:</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a)</w:t>
            </w:r>
            <w:r w:rsidRPr="00137856">
              <w:rPr>
                <w:b/>
                <w:i/>
              </w:rPr>
              <w:tab/>
              <w:t>om den anmodende kompetente myndighed i tilstrækkelig grad har underbygget sin vurde</w:t>
            </w:r>
            <w:r w:rsidRPr="00137856">
              <w:rPr>
                <w:b/>
                <w:i/>
              </w:rPr>
              <w:t>ring af, at betingelserne i stk. 3, første afsnit, er opfyldt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 xml:space="preserve">om det, hvis benchmarket ikke længere leveres eller leveres på grundlag af inputdata, der ikke længere er fuldt ud repræsentative for den underliggende markedsmæssige eller økonomiske </w:t>
            </w:r>
            <w:r w:rsidRPr="00137856">
              <w:rPr>
                <w:b/>
                <w:i/>
              </w:rPr>
              <w:t>realitet, eller som er upålidelige, ville have væsentlige negative konsekvenser for markedernes integritet, den finansielle stabilitet, forbrugerne, realøkonomien eller finansieringen af husholdninger og virksomheder i andre medlemsstater end den medlemsst</w:t>
            </w:r>
            <w:r w:rsidRPr="00137856">
              <w:rPr>
                <w:b/>
                <w:i/>
              </w:rPr>
              <w:t>at, hvor den anmodende kompetente myndighed er etableret.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Med henblik på litra b) tager ESMA, hvis det er relevant, behørigt hensyn til de oplysninger, som den anmodende myndighed har fremlagt i henhold til stk. 3, tredje afsnit.</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w:t>
      </w:r>
      <w:r w:rsidRPr="00137856">
        <w:rPr>
          <w:rStyle w:val="HideTWBExt"/>
          <w:noProof w:val="0"/>
        </w:rPr>
        <w: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For at sikre en ensartet anvendelse af denne forordning bør afgørelsen af, om et benchmark er væsentligt, udelukkende baseres på kvantitative kriterier.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109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lastRenderedPageBreak/>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 xml:space="preserve">Artikel 24 – stk. 4 – afsnit 1 – litra </w:t>
      </w:r>
      <w:r w:rsidRPr="00137856">
        <w:t>b</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w:t>
            </w:r>
            <w:r w:rsidRPr="00137856">
              <w:tab/>
            </w:r>
            <w:r w:rsidRPr="00137856">
              <w:t>om det, hvis benchmarket ikke længere leveres eller leveres på grundlag af inputdata, der ikke længere er fuldt ud repræsentative for den underliggende markedsmæssige eller økonomiske realitet, eller som er upålidelige, ville have væsentlige negative konse</w:t>
            </w:r>
            <w:r w:rsidRPr="00137856">
              <w:t xml:space="preserve">kvenser for </w:t>
            </w:r>
            <w:r w:rsidRPr="00137856">
              <w:rPr>
                <w:b/>
                <w:i/>
              </w:rPr>
              <w:t xml:space="preserve">markedernes integritet, </w:t>
            </w:r>
            <w:r w:rsidRPr="00137856">
              <w:t xml:space="preserve">den finansielle stabilitet, forbrugerne, realøkonomien eller finansieringen af husholdninger og virksomheder i </w:t>
            </w:r>
            <w:r w:rsidRPr="00137856">
              <w:rPr>
                <w:b/>
                <w:i/>
              </w:rPr>
              <w:t>andre medlemsstater</w:t>
            </w:r>
            <w:r w:rsidRPr="00137856">
              <w:t xml:space="preserve"> end den medlemsstat, hvor den anmodende kompetente myndighed er etableret.</w:t>
            </w:r>
          </w:p>
        </w:tc>
        <w:tc>
          <w:tcPr>
            <w:tcW w:w="4876" w:type="dxa"/>
            <w:hideMark/>
          </w:tcPr>
          <w:p w:rsidR="001762D4" w:rsidRPr="00137856" w:rsidRDefault="00137856">
            <w:pPr>
              <w:pStyle w:val="Normal6"/>
              <w:rPr>
                <w:szCs w:val="24"/>
              </w:rPr>
            </w:pPr>
            <w:r w:rsidRPr="00137856">
              <w:t>b)</w:t>
            </w:r>
            <w:r w:rsidRPr="00137856">
              <w:tab/>
              <w:t>om det, hvi</w:t>
            </w:r>
            <w:r w:rsidRPr="00137856">
              <w:t>s benchmarket ikke længere leveres eller leveres på grundlag af inputdata, der ikke længere er fuldt ud repræsentative for den underliggende markedsmæssige eller økonomiske realitet, eller som er upålidelige, ville have væsentlige negative konsekvenser for</w:t>
            </w:r>
            <w:r w:rsidRPr="00137856">
              <w:t xml:space="preserve"> den finansielle stabilitet, forbrugerne, realøkonomien eller finansieringen af husholdninger og virksomheder i </w:t>
            </w:r>
            <w:r w:rsidRPr="00137856">
              <w:rPr>
                <w:b/>
                <w:i/>
              </w:rPr>
              <w:t>Unionen</w:t>
            </w:r>
            <w:r w:rsidRPr="00137856">
              <w:t xml:space="preserve"> end den medlemsstat, hvor den anmodende kompetente myndighed er etableret.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w:t>
      </w:r>
      <w:r w:rsidRPr="00137856">
        <w:t>lag</w:t>
      </w:r>
      <w:r w:rsidRPr="00137856">
        <w:tab/>
      </w:r>
      <w:r w:rsidRPr="00137856">
        <w:tab/>
      </w:r>
      <w:r w:rsidRPr="00137856">
        <w:rPr>
          <w:rStyle w:val="HideTWBExt"/>
          <w:b w:val="0"/>
          <w:noProof w:val="0"/>
        </w:rPr>
        <w:t>&lt;NumAm&gt;</w:t>
      </w:r>
      <w:r w:rsidRPr="00137856">
        <w:t>110</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5</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5.</w:t>
            </w:r>
            <w:r w:rsidRPr="00137856">
              <w:rPr>
                <w:b/>
                <w:i/>
              </w:rPr>
              <w:tab/>
            </w:r>
            <w:r w:rsidRPr="00137856">
              <w:t xml:space="preserve">Hvis ESMA konstaterer, at et benchmark opfylder betingelserne i stk. 3, første afsnit, i mere end én medlemsstat, underretter ESMA de kompetente myndigheder i de berørte </w:t>
            </w:r>
            <w:r w:rsidRPr="00137856">
              <w:t>medlemsstater herom.</w:t>
            </w:r>
            <w:r w:rsidRPr="00137856">
              <w:rPr>
                <w:b/>
                <w:i/>
              </w:rPr>
              <w:t xml:space="preserve"> Disse myndigheder når til enighed om, hvilke af dem der udpeger det pågældende benchmark som væsentligt benchmark.</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 xml:space="preserve">Hvis de kompetente myndigheder ikke når til enighed om det forhold, der er omhandlet i første afsnit, indbringer </w:t>
            </w:r>
            <w:r w:rsidRPr="00137856">
              <w:rPr>
                <w:b/>
                <w:i/>
              </w:rPr>
              <w:t xml:space="preserve">de sagen for ESMA, og ESMA bilægger </w:t>
            </w:r>
            <w:r w:rsidRPr="00137856">
              <w:rPr>
                <w:b/>
                <w:i/>
              </w:rPr>
              <w:lastRenderedPageBreak/>
              <w:t>tvisten i overensstemmelse med artikel 19 i forordning (EU) nr. 1095/2010.</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 xml:space="preserve">For at sikre en ensartet anvendelse af denne forordning bør afgørelsen af, </w:t>
      </w:r>
      <w:r w:rsidRPr="00137856">
        <w:rPr>
          <w:noProof w:val="0"/>
        </w:rPr>
        <w:t>om et benchmark er væsentligt, udelukkende baseres på kvantitative kriterier.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111</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w:t>
      </w:r>
      <w:r w:rsidRPr="00137856">
        <w:t>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F8078F">
      <w:pPr>
        <w:widowControl/>
      </w:pPr>
      <w:r w:rsidRPr="00137856">
        <w:rPr>
          <w:rStyle w:val="HideTWBExt"/>
          <w:noProof w:val="0"/>
        </w:rPr>
        <w:t>&lt;Article2&gt;</w:t>
      </w:r>
      <w:r w:rsidRPr="00137856">
        <w:t>Artikel 24 – stk. 5 – afsnit 1</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5.</w:t>
            </w:r>
            <w:r w:rsidRPr="00137856">
              <w:tab/>
            </w:r>
            <w:r w:rsidRPr="00137856">
              <w:t xml:space="preserve">Hvis ESMA konstaterer, at et benchmark opfylder betingelserne i stk. 3, første afsnit, i </w:t>
            </w:r>
            <w:r w:rsidRPr="00137856">
              <w:rPr>
                <w:b/>
                <w:i/>
              </w:rPr>
              <w:t>mere end én medlemsstat</w:t>
            </w:r>
            <w:r w:rsidRPr="00137856">
              <w:t>, underretter ESMA de kompetente myndigheder i de berørte medlemsstater herom. Disse myndigheder når til enighed om, hvilke af dem der udpeger d</w:t>
            </w:r>
            <w:r w:rsidRPr="00137856">
              <w:t>et pågældende benchmark som væsentligt benchmark.</w:t>
            </w:r>
          </w:p>
        </w:tc>
        <w:tc>
          <w:tcPr>
            <w:tcW w:w="4876" w:type="dxa"/>
            <w:hideMark/>
          </w:tcPr>
          <w:p w:rsidR="001762D4" w:rsidRPr="00137856" w:rsidRDefault="00137856">
            <w:pPr>
              <w:pStyle w:val="Normal6"/>
              <w:rPr>
                <w:szCs w:val="24"/>
              </w:rPr>
            </w:pPr>
            <w:r w:rsidRPr="00137856">
              <w:t>5.</w:t>
            </w:r>
            <w:r w:rsidRPr="00137856">
              <w:tab/>
              <w:t xml:space="preserve">Hvis ESMA konstaterer, at et benchmark opfylder betingelserne i stk. 3, første afsnit, i </w:t>
            </w:r>
            <w:r w:rsidRPr="00137856">
              <w:rPr>
                <w:b/>
                <w:i/>
              </w:rPr>
              <w:t>Unionen</w:t>
            </w:r>
            <w:r w:rsidRPr="00137856">
              <w:t>, underretter ESMA de kompetente myndigheder i de berørte medlemsstater herom. Disse myndigheder når til en</w:t>
            </w:r>
            <w:r w:rsidRPr="00137856">
              <w:t>ighed om, hvilke af dem der udpeger det pågældende benchmark som væsentligt benchmark.</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w:t>
      </w:r>
      <w:r w:rsidRPr="00137856">
        <w:t xml:space="preserve">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5 – afsnit 2</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 xml:space="preserve">Hvis de kompetente myndigheder ikke når </w:t>
            </w:r>
            <w:r w:rsidRPr="00137856">
              <w:t xml:space="preserve">til enighed om det forhold, der er omhandlet i første afsnit, indbringer de </w:t>
            </w:r>
            <w:r w:rsidRPr="00137856">
              <w:lastRenderedPageBreak/>
              <w:t>sagen for ESMA, og ESMA bilægger tvisten i overensstemmelse med artikel 19 i forordning (EU) nr. 1095/2010.</w:t>
            </w:r>
          </w:p>
        </w:tc>
        <w:tc>
          <w:tcPr>
            <w:tcW w:w="4876" w:type="dxa"/>
            <w:hideMark/>
          </w:tcPr>
          <w:p w:rsidR="001762D4" w:rsidRPr="00137856" w:rsidRDefault="00137856">
            <w:pPr>
              <w:pStyle w:val="Normal6"/>
              <w:rPr>
                <w:szCs w:val="24"/>
              </w:rPr>
            </w:pPr>
            <w:r w:rsidRPr="00137856">
              <w:lastRenderedPageBreak/>
              <w:t xml:space="preserve">Hvis de kompetente myndigheder ikke når til enighed om det forhold, der </w:t>
            </w:r>
            <w:r w:rsidRPr="00137856">
              <w:t xml:space="preserve">er omhandlet i første afsnit, indbringer de </w:t>
            </w:r>
            <w:r w:rsidRPr="00137856">
              <w:lastRenderedPageBreak/>
              <w:t xml:space="preserve">sagen for ESMA, og ESMA bilægger tvisten </w:t>
            </w:r>
            <w:r w:rsidRPr="00137856">
              <w:rPr>
                <w:b/>
                <w:i/>
              </w:rPr>
              <w:t xml:space="preserve">mellem de kompetente myndigheder i grænseoverskridende situationer </w:t>
            </w:r>
            <w:r w:rsidRPr="00137856">
              <w:t>i overensstemmelse med artikel 19 i forordning (EU) nr. 1095/2010.</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w:t>
      </w:r>
      <w:r w:rsidRPr="00137856">
        <w:rPr>
          <w:rStyle w:val="HideTWBExt"/>
          <w:noProof w:val="0"/>
        </w:rPr>
        <w:t>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 xml:space="preserve">Forordning (EU) </w:t>
      </w:r>
      <w:r w:rsidRPr="00137856">
        <w:t>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6</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6.</w:t>
            </w:r>
            <w:r w:rsidRPr="00137856">
              <w:rPr>
                <w:b/>
                <w:i/>
              </w:rPr>
              <w:tab/>
              <w:t>ESMA kan efter anmodning fra den kompetente myndighed udpege et benchmark leveret af en administrator, der er etableret i tredjeland, og som ikke når</w:t>
            </w:r>
            <w:r w:rsidRPr="00137856">
              <w:rPr>
                <w:b/>
                <w:i/>
              </w:rPr>
              <w:t xml:space="preserve"> tærskelværdien i stk. 1, litra a), som væsentligt, hvis benchmarket opfylder alle følgende betingelser:</w:t>
            </w:r>
          </w:p>
        </w:tc>
        <w:tc>
          <w:tcPr>
            <w:tcW w:w="4876" w:type="dxa"/>
            <w:hideMark/>
          </w:tcPr>
          <w:p w:rsidR="001762D4" w:rsidRPr="00137856" w:rsidRDefault="00137856">
            <w:pPr>
              <w:pStyle w:val="Normal6"/>
              <w:rPr>
                <w:szCs w:val="24"/>
              </w:rPr>
            </w:pPr>
            <w:r w:rsidRPr="00137856">
              <w:rPr>
                <w:b/>
                <w:i/>
              </w:rPr>
              <w:t>udgår</w:t>
            </w:r>
          </w:p>
        </w:tc>
      </w:tr>
      <w:tr w:rsidR="00791339" w:rsidRPr="00137856" w:rsidTr="001762D4">
        <w:trPr>
          <w:jc w:val="center"/>
        </w:trPr>
        <w:tc>
          <w:tcPr>
            <w:tcW w:w="4876" w:type="dxa"/>
            <w:hideMark/>
          </w:tcPr>
          <w:p w:rsidR="001762D4" w:rsidRPr="00137856" w:rsidRDefault="00137856">
            <w:pPr>
              <w:pStyle w:val="Normal6"/>
            </w:pPr>
            <w:r w:rsidRPr="00137856">
              <w:rPr>
                <w:b/>
                <w:i/>
              </w:rPr>
              <w:t>a)</w:t>
            </w:r>
            <w:r w:rsidRPr="00137856">
              <w:rPr>
                <w:b/>
                <w:i/>
              </w:rPr>
              <w:tab/>
              <w:t>der er ikke nogen, eller kun meget få, passende markedsbaserede alternativer til benchmarket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b)</w:t>
            </w:r>
            <w:r w:rsidRPr="00137856">
              <w:rPr>
                <w:b/>
                <w:i/>
              </w:rPr>
              <w:tab/>
              <w:t xml:space="preserve">i tilfælde af at benchmarket ikke længere </w:t>
            </w:r>
            <w:r w:rsidRPr="00137856">
              <w:rPr>
                <w:b/>
                <w:i/>
              </w:rPr>
              <w:t>leveres eller leveres på grundlag af inputdata, der ikke længere er fuldt ud repræsentative for den underliggende markedsmæssige eller økonomiske realitet, eller som er upålidelige, ville det have væsentlige negative konsekvenser for markedernes integritet</w:t>
            </w:r>
            <w:r w:rsidRPr="00137856">
              <w:rPr>
                <w:b/>
                <w:i/>
              </w:rPr>
              <w:t>, den finansielle stabilitet, forbrugerne, realøkonomien eller finansieringen af husholdninger og virksomheder i en eller flere medlemsstater.</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ESMA underretter inden udpegelsesafgørelsen og hurtigst muligt administratoren af benchmarket om sin hensigt og</w:t>
            </w:r>
            <w:r w:rsidRPr="00137856">
              <w:rPr>
                <w:b/>
                <w:i/>
              </w:rPr>
              <w:t xml:space="preserve"> opfordrer administratoren til inden for 15 arbejdsdage at forelægge </w:t>
            </w:r>
            <w:r w:rsidRPr="00137856">
              <w:rPr>
                <w:b/>
                <w:i/>
              </w:rPr>
              <w:lastRenderedPageBreak/>
              <w:t>ESMA en begrundet erklæring, som indeholder alle relevante oplysninger med henblik på vurderingen vedrørende udpegelsen af benchmarket som væsentligt.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Hvis det er relevant, opfordrer ES</w:t>
            </w:r>
            <w:r w:rsidRPr="00137856">
              <w:rPr>
                <w:b/>
                <w:i/>
              </w:rPr>
              <w:t>MA hurtigst muligt den kompetente myndighed i den jurisdiktion, hvor administratoren er etableret, til at fremlægge alle relevante oplysninger med henblik på vurderingen vedrørende udpegelsen af benchmarket.</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ESMA begrunder enhver udpegelsesafgørelse unde</w:t>
            </w:r>
            <w:r w:rsidRPr="00137856">
              <w:rPr>
                <w:b/>
                <w:i/>
              </w:rPr>
              <w:t>r hensyntagen til, om der foreligger tilstrækkelig dokumentation for, at betingelserne i dette stykkes første afsnit er opfyldt, i lyset af det pågældende benchmarks særlige karakteristika.</w:t>
            </w:r>
          </w:p>
        </w:tc>
        <w:tc>
          <w:tcPr>
            <w:tcW w:w="4876" w:type="dxa"/>
          </w:tcPr>
          <w:p w:rsidR="001762D4" w:rsidRPr="00137856" w:rsidRDefault="001762D4">
            <w:pPr>
              <w:pStyle w:val="Normal6"/>
              <w:rPr>
                <w:szCs w:val="24"/>
              </w:rPr>
            </w:pPr>
          </w:p>
        </w:tc>
      </w:tr>
      <w:tr w:rsidR="00791339" w:rsidRPr="00137856" w:rsidTr="001762D4">
        <w:trPr>
          <w:jc w:val="center"/>
        </w:trPr>
        <w:tc>
          <w:tcPr>
            <w:tcW w:w="4876" w:type="dxa"/>
            <w:hideMark/>
          </w:tcPr>
          <w:p w:rsidR="001762D4" w:rsidRPr="00137856" w:rsidRDefault="00137856">
            <w:pPr>
              <w:pStyle w:val="Normal6"/>
            </w:pPr>
            <w:r w:rsidRPr="00137856">
              <w:rPr>
                <w:b/>
                <w:i/>
              </w:rPr>
              <w:t>ESMA offentliggør sin begrundede afgørelse på sit websted og und</w:t>
            </w:r>
            <w:r w:rsidRPr="00137856">
              <w:rPr>
                <w:b/>
                <w:i/>
              </w:rPr>
              <w:t>erretter uden unødigt ophold den eller de anmodende kompetente myndigheder.</w:t>
            </w:r>
          </w:p>
        </w:tc>
        <w:tc>
          <w:tcPr>
            <w:tcW w:w="4876" w:type="dxa"/>
          </w:tcPr>
          <w:p w:rsidR="001762D4" w:rsidRPr="00137856" w:rsidRDefault="001762D4">
            <w:pPr>
              <w:pStyle w:val="Normal6"/>
              <w:rPr>
                <w:szCs w:val="24"/>
              </w:rPr>
            </w:pP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For at sikre en ensartet anvendelse af denne forordning bør afgørelsen af, om et benchmark er væsentligt, udelu</w:t>
      </w:r>
      <w:r w:rsidRPr="00137856">
        <w:rPr>
          <w:noProof w:val="0"/>
        </w:rPr>
        <w:t>kkende baseres på kvantitative kriterier.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6 – afsnit 1 – indledning</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6.</w:t>
            </w:r>
            <w:r w:rsidRPr="00137856">
              <w:tab/>
              <w:t xml:space="preserve">ESMA kan efter anmodning fra den kompetente myndighed udpege et benchmark leveret af en </w:t>
            </w:r>
            <w:r w:rsidRPr="00137856">
              <w:t xml:space="preserve">administrator, der er etableret i tredjeland, og som ikke når </w:t>
            </w:r>
            <w:r w:rsidRPr="00137856">
              <w:lastRenderedPageBreak/>
              <w:t>tærskelværdien i stk. 1, litra a), som væsentligt, hvis benchmarket opfylder alle følgende betingelser:</w:t>
            </w:r>
          </w:p>
        </w:tc>
        <w:tc>
          <w:tcPr>
            <w:tcW w:w="4876" w:type="dxa"/>
            <w:hideMark/>
          </w:tcPr>
          <w:p w:rsidR="001762D4" w:rsidRPr="00137856" w:rsidRDefault="00137856">
            <w:pPr>
              <w:pStyle w:val="Normal6"/>
              <w:rPr>
                <w:szCs w:val="24"/>
              </w:rPr>
            </w:pPr>
            <w:r w:rsidRPr="00137856">
              <w:lastRenderedPageBreak/>
              <w:t>6.</w:t>
            </w:r>
            <w:r w:rsidRPr="00137856">
              <w:tab/>
              <w:t xml:space="preserve">ESMA kan </w:t>
            </w:r>
            <w:r w:rsidRPr="00137856">
              <w:rPr>
                <w:b/>
                <w:i/>
              </w:rPr>
              <w:t xml:space="preserve">kun </w:t>
            </w:r>
            <w:r w:rsidRPr="00137856">
              <w:t>efter anmodning fra den kompetente myndighed udpege et benchmark leveret a</w:t>
            </w:r>
            <w:r w:rsidRPr="00137856">
              <w:t xml:space="preserve">f en administrator, der er etableret i tredjeland, og som ikke når </w:t>
            </w:r>
            <w:r w:rsidRPr="00137856">
              <w:lastRenderedPageBreak/>
              <w:t>tærskelværdien i stk. 1, litra a), som væsentligt, hvis benchmarket opfylder alle følgende betingelser:</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 xml:space="preserve">Artikel 24 – stk. 6 – afsnit 1 – litra </w:t>
      </w:r>
      <w:r w:rsidRPr="00137856">
        <w:t>b</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w:t>
            </w:r>
            <w:r w:rsidRPr="00137856">
              <w:tab/>
            </w:r>
            <w:r w:rsidRPr="00137856">
              <w:t>i tilfælde af at benchmarket ikke længere leveres eller leveres på grundlag af inputdata, der ikke længere er fuldt ud repræsentative for den underliggende markedsmæssige eller økonomiske realitet, eller som er upålidelige, ville det have væsentlige negati</w:t>
            </w:r>
            <w:r w:rsidRPr="00137856">
              <w:t xml:space="preserve">ve konsekvenser for </w:t>
            </w:r>
            <w:r w:rsidRPr="00137856">
              <w:rPr>
                <w:b/>
                <w:i/>
              </w:rPr>
              <w:t xml:space="preserve">markedernes integritet, </w:t>
            </w:r>
            <w:r w:rsidRPr="00137856">
              <w:t xml:space="preserve">den finansielle stabilitet, forbrugerne, realøkonomien eller finansieringen af husholdninger og virksomheder i </w:t>
            </w:r>
            <w:r w:rsidRPr="00137856">
              <w:rPr>
                <w:b/>
                <w:i/>
              </w:rPr>
              <w:t>en eller flere medlemsstater</w:t>
            </w:r>
            <w:r w:rsidRPr="00137856">
              <w:t>.</w:t>
            </w:r>
          </w:p>
        </w:tc>
        <w:tc>
          <w:tcPr>
            <w:tcW w:w="4876" w:type="dxa"/>
            <w:hideMark/>
          </w:tcPr>
          <w:p w:rsidR="001762D4" w:rsidRPr="00137856" w:rsidRDefault="00137856">
            <w:pPr>
              <w:pStyle w:val="Normal6"/>
              <w:rPr>
                <w:szCs w:val="24"/>
              </w:rPr>
            </w:pPr>
            <w:r w:rsidRPr="00137856">
              <w:t>b)</w:t>
            </w:r>
            <w:r w:rsidRPr="00137856">
              <w:tab/>
              <w:t>i tilfælde af at benchmarket ikke længere leveres eller leveres på g</w:t>
            </w:r>
            <w:r w:rsidRPr="00137856">
              <w:t>rundlag af inputdata, der ikke længere er fuldt ud repræsentative for den underliggende markedsmæssige eller økonomiske realitet, eller som er upålidelige, ville det have væsentlige negative konsekvenser for den finansielle stabilitet</w:t>
            </w:r>
            <w:r w:rsidRPr="00137856">
              <w:rPr>
                <w:b/>
                <w:i/>
              </w:rPr>
              <w:t xml:space="preserve"> i Unionen</w:t>
            </w:r>
            <w:r w:rsidRPr="00137856">
              <w:t>, forbrugern</w:t>
            </w:r>
            <w:r w:rsidRPr="00137856">
              <w:t xml:space="preserve">e, realøkonomien eller finansieringen af husholdninger og virksomheder i </w:t>
            </w:r>
            <w:r w:rsidRPr="00137856">
              <w:rPr>
                <w:b/>
                <w:i/>
              </w:rPr>
              <w:t>Unionen</w:t>
            </w:r>
            <w:r w:rsidRPr="00137856">
              <w:t>.</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 xml:space="preserve">Forslag </w:t>
      </w:r>
      <w:r w:rsidRPr="00137856">
        <w:t>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6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6a.</w:t>
            </w:r>
            <w:r w:rsidRPr="00137856">
              <w:tab/>
            </w:r>
            <w:r w:rsidRPr="00137856">
              <w:rPr>
                <w:b/>
                <w:i/>
              </w:rPr>
              <w:t>Administratorer af benchmarks, der ikke</w:t>
            </w:r>
            <w:r w:rsidRPr="00137856">
              <w:rPr>
                <w:b/>
                <w:i/>
              </w:rPr>
              <w:t xml:space="preserve"> opfylder kravene for at blive betragtet som kritiske, væsentlige, råvarebenchmarks, der er omfattet af </w:t>
            </w:r>
            <w:r w:rsidRPr="00137856">
              <w:rPr>
                <w:b/>
                <w:i/>
              </w:rPr>
              <w:lastRenderedPageBreak/>
              <w:t>bilag II, EU-benchmarks for klimaovergangen, Paristilpassede EU-benchmarks eller ESG-benchmarks, kan frivilligt ansøge om adgang til det register, der e</w:t>
            </w:r>
            <w:r w:rsidRPr="00137856">
              <w:rPr>
                <w:b/>
                <w:i/>
              </w:rPr>
              <w:t>r omhandlet i artikel 36, enten ved hjælp af godkendelse, registreringsanerkendelse eller validering. Administratorer, der frivilligt vælger at deltage i denne forordning, skal gøre dette skriftligt sammen med deres nuværende tilsynsmyndighed for hvert ben</w:t>
            </w:r>
            <w:r w:rsidRPr="00137856">
              <w:rPr>
                <w:b/>
                <w:i/>
              </w:rPr>
              <w:t>chmark og hvert af disse benchmarks skal anses for at være væsentlige benchmarks i henhold til forordning (EU) 2016/1011. Benchmarkadministratorer, der blev godkendt, registreret, valideret eller anerkendt den... [denne ændringsforordnings anvendelsesdato]</w:t>
            </w:r>
            <w:r w:rsidRPr="00137856">
              <w:rPr>
                <w:b/>
                <w:i/>
              </w:rPr>
              <w:t>, som anvender denne frivillige valgmulighed senest seks måneder efter denne ændringsforordnings ikrafttræden, er ikke forpligtet til igen at ansøge om registrering, anerkendelse eller validering af godkendelse.</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 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24 – stk. 7</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7.</w:t>
            </w:r>
            <w:r w:rsidRPr="00137856">
              <w:tab/>
            </w:r>
            <w:r w:rsidRPr="00137856">
              <w:rPr>
                <w:b/>
                <w:i/>
              </w:rPr>
              <w:t>Kommissionen tillægges beføjelser</w:t>
            </w:r>
            <w:r w:rsidRPr="00137856">
              <w:t xml:space="preserve"> til </w:t>
            </w:r>
            <w:r w:rsidRPr="00137856">
              <w:rPr>
                <w:b/>
                <w:i/>
              </w:rPr>
              <w:t>at vedtage delegerede retsakter i overensstemmelse med artikel 49</w:t>
            </w:r>
            <w:r w:rsidRPr="00137856">
              <w:t xml:space="preserve"> med henblik på at </w:t>
            </w:r>
            <w:r w:rsidRPr="00137856">
              <w:rPr>
                <w:b/>
                <w:i/>
              </w:rPr>
              <w:t xml:space="preserve">bestemme den beregningsmetode, der </w:t>
            </w:r>
            <w:r w:rsidRPr="00137856">
              <w:rPr>
                <w:b/>
                <w:i/>
              </w:rPr>
              <w:t>skal anvendes til at fastsætte den tærskelværdi, der er omhandlet i stk. 1, litra a), på baggrund af markedsudviklingen, pris og udviklingen i lovgivningen."</w:t>
            </w:r>
          </w:p>
        </w:tc>
        <w:tc>
          <w:tcPr>
            <w:tcW w:w="4876" w:type="dxa"/>
            <w:hideMark/>
          </w:tcPr>
          <w:p w:rsidR="001762D4" w:rsidRPr="00137856" w:rsidRDefault="00137856">
            <w:pPr>
              <w:pStyle w:val="Normal6"/>
              <w:rPr>
                <w:szCs w:val="24"/>
              </w:rPr>
            </w:pPr>
            <w:r w:rsidRPr="00137856">
              <w:t>7.</w:t>
            </w:r>
            <w:r w:rsidRPr="00137856">
              <w:tab/>
            </w:r>
            <w:r w:rsidRPr="00137856">
              <w:rPr>
                <w:b/>
                <w:i/>
              </w:rPr>
              <w:t>ESMA udarbejder udkast</w:t>
            </w:r>
            <w:r w:rsidRPr="00137856">
              <w:t xml:space="preserve"> til </w:t>
            </w:r>
            <w:r w:rsidRPr="00137856">
              <w:rPr>
                <w:b/>
                <w:i/>
              </w:rPr>
              <w:t>reguleringsmæssige tekniske standarder</w:t>
            </w:r>
            <w:r w:rsidRPr="00137856">
              <w:t xml:space="preserve"> med henblik på at </w:t>
            </w:r>
            <w:r w:rsidRPr="00137856">
              <w:rPr>
                <w:b/>
                <w:i/>
              </w:rPr>
              <w:t>præcisere:</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i)</w:t>
            </w:r>
            <w:r w:rsidRPr="00137856">
              <w:t xml:space="preserve"> </w:t>
            </w:r>
            <w:r w:rsidRPr="00137856">
              <w:tab/>
            </w:r>
            <w:r w:rsidRPr="00137856">
              <w:rPr>
                <w:b/>
                <w:i/>
              </w:rPr>
              <w:t>den beregningsmetode, herunder potentielle datakilder, der skal anvendes til at fastsætte den tærskelværdi, der er omhandlet i stk. 1, litra a)</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ii) </w:t>
            </w:r>
            <w:r w:rsidRPr="00137856">
              <w:tab/>
            </w:r>
            <w:r w:rsidRPr="00137856">
              <w:rPr>
                <w:b/>
                <w:i/>
              </w:rPr>
              <w:t>kriterierne for vurdering af, hvornår et benchmark overskrider den tærskelværdi, der er omhandlet i</w:t>
            </w:r>
            <w:r w:rsidRPr="00137856">
              <w:rPr>
                <w:b/>
                <w:i/>
              </w:rPr>
              <w:t xml:space="preserve"> artikel 24, stk. 1, litra a), i én medlemsstat eller i hele Unionen</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ESMA forelægger disse udkast til reguleringsmæssige tekniske standarder for Kommissionen inden ... [12 måneder efter denne forordnings ikrafttræden].</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Kommissionen tillægges beføjelse </w:t>
            </w:r>
            <w:r w:rsidRPr="00137856">
              <w:rPr>
                <w:b/>
                <w:i/>
              </w:rPr>
              <w:t>til at supplere denne forordning ved at vedtage de i første afsnit omhandlede reguleringsmæssige tekniske standarder i overensstemmelse med artikel 10-14 i forordning (EU) nr. 1095/2010.</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For at benchmarkadministratorer kan overvåge anvendelsen af de benchmarks, de leverer, og om tærsklen er nået, bør ESMA have til opgave at forelægge udkast til reguleringsmæssige standarder med henblik på yderligere at præcisere beregningsmetoden.</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118</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12</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w:t>
      </w:r>
      <w:r w:rsidRPr="00137856">
        <w:rPr>
          <w:rStyle w:val="HideTWBExt"/>
          <w:noProof w:val="0"/>
        </w:rPr>
        <w:t>cle2&gt;</w:t>
      </w:r>
      <w:r w:rsidRPr="00137856">
        <w:t>Artikel 24a – stk. 2</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2)</w:t>
            </w:r>
            <w:r w:rsidRPr="00137856">
              <w:tab/>
              <w:t xml:space="preserve">Senest 60 arbejdsdage efter en udpegelse som omhandlet i artikel 24, stk. 3, ansøger administratoren af det pågældende benchmark, medmindre administratoren allerede er </w:t>
            </w:r>
            <w:r w:rsidRPr="00137856">
              <w:t xml:space="preserve">godkendt eller registreret, om godkendelse eller registrering hos den udpegende kompetente </w:t>
            </w:r>
            <w:r w:rsidRPr="00137856">
              <w:lastRenderedPageBreak/>
              <w:t>myndighed i overensstemmelse med artikel 34.</w:t>
            </w:r>
          </w:p>
        </w:tc>
        <w:tc>
          <w:tcPr>
            <w:tcW w:w="4876" w:type="dxa"/>
            <w:hideMark/>
          </w:tcPr>
          <w:p w:rsidR="001762D4" w:rsidRPr="00137856" w:rsidRDefault="00137856">
            <w:pPr>
              <w:pStyle w:val="Normal6"/>
              <w:rPr>
                <w:szCs w:val="24"/>
              </w:rPr>
            </w:pPr>
            <w:r w:rsidRPr="00137856">
              <w:lastRenderedPageBreak/>
              <w:t>2)</w:t>
            </w:r>
            <w:r w:rsidRPr="00137856">
              <w:tab/>
              <w:t>Senest 60 arbejdsdage efter en udpegelse som omhandlet i artikel 24, stk. 3, ansøger administratoren af det pågældend</w:t>
            </w:r>
            <w:r w:rsidRPr="00137856">
              <w:t>e benchmark, medmindre administratoren allerede er godkendt eller registreret</w:t>
            </w:r>
            <w:r w:rsidRPr="00137856">
              <w:rPr>
                <w:b/>
                <w:i/>
              </w:rPr>
              <w:t xml:space="preserve"> hos en national kompetent myndighed</w:t>
            </w:r>
            <w:r w:rsidRPr="00137856">
              <w:t xml:space="preserve">, om godkendelse eller </w:t>
            </w:r>
            <w:r w:rsidRPr="00137856">
              <w:lastRenderedPageBreak/>
              <w:t>registrering hos den udpegende kompetente myndighed i overensstemmelse med artikel 34.</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119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12</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w:t>
      </w:r>
      <w:r w:rsidRPr="00137856">
        <w:rPr>
          <w:rStyle w:val="HideTWBExt"/>
          <w:noProof w:val="0"/>
        </w:rPr>
        <w:t>2&gt;</w:t>
      </w:r>
    </w:p>
    <w:p w:rsidR="001762D4" w:rsidRPr="00137856" w:rsidRDefault="00137856" w:rsidP="001762D4">
      <w:r w:rsidRPr="00137856">
        <w:rPr>
          <w:rStyle w:val="HideTWBExt"/>
          <w:noProof w:val="0"/>
        </w:rPr>
        <w:t>&lt;Article2&gt;</w:t>
      </w:r>
      <w:r w:rsidRPr="00137856">
        <w:t>Artikel 24a – stk. 3 – litra b</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w:t>
            </w:r>
            <w:r w:rsidRPr="00137856">
              <w:tab/>
              <w:t>validering i henhold til proceduren i artikel 33.</w:t>
            </w:r>
          </w:p>
        </w:tc>
        <w:tc>
          <w:tcPr>
            <w:tcW w:w="4876" w:type="dxa"/>
            <w:hideMark/>
          </w:tcPr>
          <w:p w:rsidR="001762D4" w:rsidRPr="00137856" w:rsidRDefault="00137856">
            <w:pPr>
              <w:pStyle w:val="Normal6"/>
              <w:rPr>
                <w:szCs w:val="24"/>
              </w:rPr>
            </w:pPr>
            <w:r w:rsidRPr="00137856">
              <w:t>b)</w:t>
            </w:r>
            <w:r w:rsidRPr="00137856">
              <w:tab/>
              <w:t>validering i henhold til proceduren i artikel 33.</w:t>
            </w:r>
            <w:r w:rsidRPr="00137856">
              <w:rPr>
                <w:b/>
                <w:i/>
              </w:rPr>
              <w:t xml:space="preserve"> Tredjelandsadministratoren vælger den validerende enhed i Unionen.</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120</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Marco Zanni, Valentino Grant, Antonio Maria Rinaldi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a</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overskrift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"Brug af væsentlige benchmarks, EU-benchmarks for klimaovergangen og Paristilpassede EU-benchmarks"</w:t>
            </w:r>
          </w:p>
        </w:tc>
        <w:tc>
          <w:tcPr>
            <w:tcW w:w="4876" w:type="dxa"/>
            <w:hideMark/>
          </w:tcPr>
          <w:p w:rsidR="001762D4" w:rsidRPr="00137856" w:rsidRDefault="00137856">
            <w:pPr>
              <w:pStyle w:val="Normal6"/>
              <w:rPr>
                <w:szCs w:val="24"/>
              </w:rPr>
            </w:pPr>
            <w:r w:rsidRPr="00137856">
              <w:t xml:space="preserve">"Brug af </w:t>
            </w:r>
            <w:r w:rsidRPr="00137856">
              <w:rPr>
                <w:b/>
                <w:i/>
              </w:rPr>
              <w:t xml:space="preserve">kritiske benchmarks, </w:t>
            </w:r>
            <w:r w:rsidRPr="00137856">
              <w:t>væsentlige benchmarks, EU-benchmarks for klimaovergangen og Paristilpassede EU-benchmarks"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w:t>
      </w:r>
      <w:r w:rsidRPr="00137856">
        <w:rPr>
          <w:rStyle w:val="HideTWBExt"/>
          <w:noProof w:val="0"/>
        </w:rPr>
        <w: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121</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Marco Zanni, Valentino Grant, Antonio Maria Rinaldi</w:t>
      </w:r>
      <w:r w:rsidRPr="00137856">
        <w:rPr>
          <w:rStyle w:val="HideTWBExt"/>
          <w:b w:val="0"/>
          <w:noProof w:val="0"/>
        </w:rPr>
        <w:t>&lt;/Members&gt;</w:t>
      </w:r>
    </w:p>
    <w:p w:rsidR="001762D4" w:rsidRPr="00137856" w:rsidRDefault="00137856" w:rsidP="001762D4">
      <w:r w:rsidRPr="00137856">
        <w:rPr>
          <w:rStyle w:val="HideTWBExt"/>
          <w:noProof w:val="0"/>
        </w:rPr>
        <w:lastRenderedPageBreak/>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b</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stk. 1 – afsnit 1</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1.</w:t>
            </w:r>
            <w:r w:rsidRPr="00137856">
              <w:tab/>
              <w:t>En tilsynsbelagt enhed må ikke tilføje nye referencer til et væsentligt benchmark eller en kombination af sådan</w:t>
            </w:r>
            <w:r w:rsidRPr="00137856">
              <w:t>ne benchmarks i Unionen, hvis det pågældende benchmark eller den pågældende kombination af benchmarks er genstand for en offentlig meddelelse udsendt af ESMA eller en kompetent myndighed i overensstemmelse med artikel 24a, stk. 5. En tilsynsbelagt enhed må</w:t>
            </w:r>
            <w:r w:rsidRPr="00137856">
              <w:t xml:space="preserve"> ikke tilføje nye referencer til et EU-benchmark for klimaovergangen eller et Paristilpasset EU-benchmark eller en kombination af sådanne benchmarks i Unionen, hvis administratoren af disse benchmarks ikke er opført i det register, der er omhandlet i artik</w:t>
            </w:r>
            <w:r w:rsidRPr="00137856">
              <w:t>el 36.</w:t>
            </w:r>
          </w:p>
        </w:tc>
        <w:tc>
          <w:tcPr>
            <w:tcW w:w="4876" w:type="dxa"/>
            <w:hideMark/>
          </w:tcPr>
          <w:p w:rsidR="001762D4" w:rsidRPr="00137856" w:rsidRDefault="00137856" w:rsidP="00137856">
            <w:pPr>
              <w:pStyle w:val="Normal6"/>
              <w:rPr>
                <w:szCs w:val="24"/>
              </w:rPr>
            </w:pPr>
            <w:r w:rsidRPr="00137856">
              <w:t>1.</w:t>
            </w:r>
            <w:r w:rsidRPr="00137856">
              <w:tab/>
              <w:t>En tilsynsbelagt enhed må ikke tilføje nye referencer til et væsentligt benchmark eller en kombination af sådanne benchmarks i Unionen, hvis det pågældende benchmark eller den pågældende kombination af benchmarks er genstand for en offentlig medd</w:t>
            </w:r>
            <w:r w:rsidRPr="00137856">
              <w:t xml:space="preserve">elelse udsendt af ESMA eller en kompetent myndighed i overensstemmelse med artikel 24a, stk. 5. En tilsynsbelagt enhed må ikke tilføje nye referencer til et </w:t>
            </w:r>
            <w:r w:rsidRPr="00137856">
              <w:rPr>
                <w:b/>
                <w:i/>
              </w:rPr>
              <w:t xml:space="preserve">kritisk benchmark, et </w:t>
            </w:r>
            <w:r w:rsidRPr="00137856">
              <w:t xml:space="preserve">EU-benchmark for klimaovergangen eller et Paristilpasset EU-benchmark eller </w:t>
            </w:r>
            <w:r w:rsidRPr="00137856">
              <w:t>en kombination af sådanne benchmarks i Unionen, hvis administratoren af disse benchmarks ikke er opført i det register, der er omhandlet i artikel 36.</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Irene Tinagli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E25682" w:rsidRPr="00137856" w:rsidRDefault="00137856" w:rsidP="00E25682">
      <w:pPr>
        <w:pStyle w:val="NormalBold"/>
      </w:pPr>
      <w:r w:rsidRPr="00137856">
        <w:rPr>
          <w:rStyle w:val="HideTWBExt"/>
          <w:b w:val="0"/>
          <w:noProof w:val="0"/>
        </w:rPr>
        <w:t>&lt;Article&gt;</w:t>
      </w:r>
      <w:r w:rsidRPr="00137856">
        <w:t>Artikel 1 – stk. 1 – nr. 14 – litra c – indledning</w:t>
      </w:r>
      <w:r w:rsidRPr="00137856">
        <w:rPr>
          <w:rStyle w:val="HideTWBExt"/>
          <w:b w:val="0"/>
          <w:noProof w:val="0"/>
        </w:rPr>
        <w:t>&lt;/Article&gt;</w:t>
      </w:r>
    </w:p>
    <w:p w:rsidR="00E25682" w:rsidRPr="00137856" w:rsidRDefault="00137856" w:rsidP="00E25682">
      <w:pPr>
        <w:keepNext/>
      </w:pPr>
      <w:r w:rsidRPr="00137856">
        <w:rPr>
          <w:rStyle w:val="HideTWBExt"/>
          <w:noProof w:val="0"/>
        </w:rPr>
        <w:t>&lt;DocAmend2&gt;</w:t>
      </w:r>
      <w:r w:rsidRPr="00137856">
        <w:t>Forordning (EU) 2016/1011</w:t>
      </w:r>
      <w:r w:rsidRPr="00137856">
        <w:rPr>
          <w:rStyle w:val="HideTWBExt"/>
          <w:noProof w:val="0"/>
        </w:rPr>
        <w:t>&lt;/DocAmend2&gt;</w:t>
      </w:r>
    </w:p>
    <w:p w:rsidR="006E4023" w:rsidRPr="00137856" w:rsidRDefault="00137856" w:rsidP="006E4023">
      <w:r w:rsidRPr="00137856">
        <w:rPr>
          <w:rStyle w:val="HideTWBExt"/>
          <w:noProof w:val="0"/>
        </w:rPr>
        <w:t>&lt;Article2&gt;</w:t>
      </w:r>
      <w:r w:rsidRPr="00137856">
        <w:t xml:space="preserve">Artikel 29 – </w:t>
      </w:r>
      <w:r w:rsidRPr="00137856">
        <w:t>stk. 1a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c)</w:t>
            </w:r>
            <w:r w:rsidRPr="00137856">
              <w:tab/>
              <w:t xml:space="preserve">Som </w:t>
            </w:r>
            <w:r w:rsidRPr="00137856">
              <w:rPr>
                <w:b/>
                <w:bCs/>
                <w:i/>
                <w:iCs/>
              </w:rPr>
              <w:t>stk. 1a</w:t>
            </w:r>
            <w:r w:rsidRPr="00137856">
              <w:t xml:space="preserve"> indsættes:</w:t>
            </w:r>
          </w:p>
        </w:tc>
        <w:tc>
          <w:tcPr>
            <w:tcW w:w="4876" w:type="dxa"/>
            <w:hideMark/>
          </w:tcPr>
          <w:p w:rsidR="001762D4" w:rsidRPr="00137856" w:rsidRDefault="00137856">
            <w:pPr>
              <w:pStyle w:val="Normal6"/>
              <w:rPr>
                <w:szCs w:val="24"/>
              </w:rPr>
            </w:pPr>
            <w:r w:rsidRPr="00137856">
              <w:t>c)</w:t>
            </w:r>
            <w:r w:rsidRPr="00137856">
              <w:tab/>
              <w:t xml:space="preserve">Som </w:t>
            </w:r>
            <w:r w:rsidRPr="00137856">
              <w:rPr>
                <w:b/>
                <w:bCs/>
                <w:i/>
                <w:iCs/>
              </w:rPr>
              <w:t>stk. 1b</w:t>
            </w:r>
            <w:r w:rsidRPr="00137856">
              <w:t xml:space="preserve"> indsættes: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5C48C1" w:rsidRPr="00137856" w:rsidRDefault="00137856" w:rsidP="005C48C1">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123</w:t>
      </w:r>
      <w:r w:rsidRPr="00137856">
        <w:rPr>
          <w:rStyle w:val="HideTWBExt"/>
          <w:b w:val="0"/>
          <w:noProof w:val="0"/>
        </w:rPr>
        <w:t>&lt;/NumAm&gt;</w:t>
      </w:r>
    </w:p>
    <w:p w:rsidR="005C48C1" w:rsidRPr="00137856" w:rsidRDefault="00137856" w:rsidP="005C48C1">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5C48C1" w:rsidRPr="00137856" w:rsidRDefault="00137856" w:rsidP="005C48C1">
      <w:r w:rsidRPr="00137856">
        <w:rPr>
          <w:rStyle w:val="HideTWBExt"/>
          <w:noProof w:val="0"/>
        </w:rPr>
        <w:lastRenderedPageBreak/>
        <w:t>&lt;/RepeatBlock-By&gt;</w:t>
      </w:r>
    </w:p>
    <w:p w:rsidR="005C48C1" w:rsidRPr="00137856" w:rsidRDefault="00137856" w:rsidP="005C48C1">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5C48C1" w:rsidRPr="00137856" w:rsidRDefault="00137856" w:rsidP="005C48C1">
      <w:pPr>
        <w:pStyle w:val="NormalBold"/>
      </w:pPr>
      <w:r w:rsidRPr="00137856">
        <w:rPr>
          <w:rStyle w:val="HideTWBExt"/>
          <w:b w:val="0"/>
          <w:noProof w:val="0"/>
        </w:rPr>
        <w:t>&lt;Article&gt;</w:t>
      </w:r>
      <w:r w:rsidRPr="00137856">
        <w:t>Artikel 1 – stk. 1 – nr. 14 – litra c</w:t>
      </w:r>
      <w:r w:rsidRPr="00137856">
        <w:rPr>
          <w:rStyle w:val="HideTWBExt"/>
          <w:b w:val="0"/>
          <w:noProof w:val="0"/>
        </w:rPr>
        <w:t>&lt;/Article&gt;</w:t>
      </w:r>
    </w:p>
    <w:p w:rsidR="005C48C1" w:rsidRPr="00137856" w:rsidRDefault="00137856" w:rsidP="005C48C1">
      <w:pPr>
        <w:keepNext/>
      </w:pPr>
      <w:r w:rsidRPr="00137856">
        <w:rPr>
          <w:rStyle w:val="HideTWBExt"/>
          <w:noProof w:val="0"/>
        </w:rPr>
        <w:t>&lt;DocAmend2&gt;</w:t>
      </w:r>
      <w:r w:rsidRPr="00137856">
        <w:t>Forordning (EU) 2016/1011</w:t>
      </w:r>
      <w:r w:rsidRPr="00137856">
        <w:rPr>
          <w:rStyle w:val="HideTWBExt"/>
          <w:noProof w:val="0"/>
        </w:rPr>
        <w:t>&lt;/DocAmend2&gt;</w:t>
      </w:r>
    </w:p>
    <w:p w:rsidR="005C48C1" w:rsidRPr="00137856" w:rsidRDefault="00137856" w:rsidP="005C48C1">
      <w:r w:rsidRPr="00137856">
        <w:rPr>
          <w:rStyle w:val="HideTWBExt"/>
          <w:noProof w:val="0"/>
        </w:rPr>
        <w:t>&lt;Article2&gt;</w:t>
      </w:r>
      <w:r w:rsidRPr="00137856">
        <w:t>Artikel 29 – stk. 1a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EC2D82">
        <w:trPr>
          <w:jc w:val="center"/>
        </w:trPr>
        <w:tc>
          <w:tcPr>
            <w:tcW w:w="9752" w:type="dxa"/>
            <w:gridSpan w:val="2"/>
          </w:tcPr>
          <w:p w:rsidR="005C48C1" w:rsidRPr="00137856" w:rsidRDefault="005C48C1" w:rsidP="00EC2D82">
            <w:pPr>
              <w:keepNext/>
            </w:pPr>
          </w:p>
        </w:tc>
      </w:tr>
      <w:tr w:rsidR="00791339" w:rsidRPr="00137856" w:rsidTr="00EC2D82">
        <w:trPr>
          <w:jc w:val="center"/>
        </w:trPr>
        <w:tc>
          <w:tcPr>
            <w:tcW w:w="4876" w:type="dxa"/>
            <w:hideMark/>
          </w:tcPr>
          <w:p w:rsidR="005C48C1" w:rsidRPr="00137856" w:rsidRDefault="00137856" w:rsidP="00EC2D82">
            <w:pPr>
              <w:pStyle w:val="ColumnHeading"/>
              <w:keepNext/>
            </w:pPr>
            <w:r w:rsidRPr="00137856">
              <w:t>Kommissionens forslag</w:t>
            </w:r>
          </w:p>
        </w:tc>
        <w:tc>
          <w:tcPr>
            <w:tcW w:w="4876" w:type="dxa"/>
            <w:hideMark/>
          </w:tcPr>
          <w:p w:rsidR="005C48C1" w:rsidRPr="00137856" w:rsidRDefault="00137856" w:rsidP="00EC2D82">
            <w:pPr>
              <w:pStyle w:val="ColumnHeading"/>
              <w:keepNext/>
            </w:pPr>
            <w:r w:rsidRPr="00137856">
              <w:t>Ændringsforslag</w:t>
            </w:r>
          </w:p>
        </w:tc>
      </w:tr>
      <w:tr w:rsidR="00791339" w:rsidRPr="00137856" w:rsidTr="00EC2D82">
        <w:trPr>
          <w:jc w:val="center"/>
        </w:trPr>
        <w:tc>
          <w:tcPr>
            <w:tcW w:w="4876" w:type="dxa"/>
            <w:hideMark/>
          </w:tcPr>
          <w:p w:rsidR="005C48C1" w:rsidRPr="00137856" w:rsidRDefault="00137856" w:rsidP="00EC2D82">
            <w:pPr>
              <w:pStyle w:val="Normal6"/>
            </w:pPr>
            <w:r w:rsidRPr="00137856">
              <w:rPr>
                <w:b/>
                <w:i/>
              </w:rPr>
              <w:t>1a.</w:t>
            </w:r>
            <w:r w:rsidRPr="00137856">
              <w:tab/>
            </w:r>
            <w:r w:rsidRPr="00137856">
              <w:t xml:space="preserve">En tilsynsbelagt enhed, der bruger et benchmark i eksisterende finansielle kontrakter eller finansielle instrumenter, der er genstand for en offentlig meddelelse i henhold til artikel 24a, stk. 5, erstatter benchmarket med et passende alternativ senest </w:t>
            </w:r>
            <w:r w:rsidRPr="00137856">
              <w:rPr>
                <w:b/>
                <w:i/>
              </w:rPr>
              <w:t>sek</w:t>
            </w:r>
            <w:r w:rsidRPr="00137856">
              <w:rPr>
                <w:b/>
                <w:i/>
              </w:rPr>
              <w:t>s</w:t>
            </w:r>
            <w:r w:rsidRPr="00137856">
              <w:t xml:space="preserve"> måneder efter offentliggørelsen af denne meddelelse eller </w:t>
            </w:r>
            <w:r w:rsidRPr="00137856">
              <w:rPr>
                <w:b/>
                <w:i/>
              </w:rPr>
              <w:t>udsender og offentliggør</w:t>
            </w:r>
            <w:r w:rsidRPr="00137856">
              <w:t xml:space="preserve"> en </w:t>
            </w:r>
            <w:r w:rsidRPr="00137856">
              <w:rPr>
                <w:b/>
                <w:i/>
              </w:rPr>
              <w:t>erklæring på sit websted</w:t>
            </w:r>
            <w:r w:rsidRPr="00137856">
              <w:t xml:space="preserve">, </w:t>
            </w:r>
            <w:r w:rsidRPr="00137856">
              <w:rPr>
                <w:b/>
                <w:i/>
              </w:rPr>
              <w:t>hvori kunderne orienteres om, at der ikke findes et passende alternativ</w:t>
            </w:r>
            <w:r w:rsidRPr="00137856">
              <w:t>.</w:t>
            </w:r>
          </w:p>
        </w:tc>
        <w:tc>
          <w:tcPr>
            <w:tcW w:w="4876" w:type="dxa"/>
            <w:hideMark/>
          </w:tcPr>
          <w:p w:rsidR="005C48C1" w:rsidRPr="00137856" w:rsidRDefault="00137856" w:rsidP="00EC2D82">
            <w:pPr>
              <w:pStyle w:val="Normal6"/>
              <w:rPr>
                <w:szCs w:val="24"/>
              </w:rPr>
            </w:pPr>
            <w:r w:rsidRPr="00137856">
              <w:rPr>
                <w:b/>
                <w:i/>
              </w:rPr>
              <w:t>1b.</w:t>
            </w:r>
            <w:r w:rsidRPr="00137856">
              <w:tab/>
              <w:t>En tilsynsbelagt enhed, der bruger et benchmark i eksisterende fi</w:t>
            </w:r>
            <w:r w:rsidRPr="00137856">
              <w:t xml:space="preserve">nansielle kontrakter eller finansielle instrumenter, der er genstand for en offentlig meddelelse i henhold til artikel 24a, stk. 5, erstatter benchmarket med et passende alternativ senest </w:t>
            </w:r>
            <w:r w:rsidRPr="00137856">
              <w:rPr>
                <w:b/>
                <w:i/>
              </w:rPr>
              <w:t>tolv</w:t>
            </w:r>
            <w:r w:rsidRPr="00137856">
              <w:t xml:space="preserve"> måneder efter offentliggørelsen af denne meddelelse</w:t>
            </w:r>
            <w:r w:rsidRPr="00137856">
              <w:rPr>
                <w:b/>
                <w:i/>
              </w:rPr>
              <w:t>,</w:t>
            </w:r>
            <w:r w:rsidRPr="00137856">
              <w:t xml:space="preserve"> eller </w:t>
            </w:r>
            <w:r w:rsidRPr="00137856">
              <w:rPr>
                <w:b/>
                <w:i/>
              </w:rPr>
              <w:t>give</w:t>
            </w:r>
            <w:r w:rsidRPr="00137856">
              <w:rPr>
                <w:b/>
                <w:i/>
              </w:rPr>
              <w:t>r</w:t>
            </w:r>
            <w:r w:rsidRPr="00137856">
              <w:t xml:space="preserve"> en </w:t>
            </w:r>
            <w:r w:rsidRPr="00137856">
              <w:rPr>
                <w:b/>
                <w:i/>
              </w:rPr>
              <w:t>begrundet forklaring på</w:t>
            </w:r>
            <w:r w:rsidRPr="00137856">
              <w:t xml:space="preserve">, </w:t>
            </w:r>
            <w:r w:rsidRPr="00137856">
              <w:rPr>
                <w:b/>
                <w:i/>
              </w:rPr>
              <w:t>hvorfor den ikke er i stand til at gøre dette</w:t>
            </w:r>
            <w:r w:rsidRPr="00137856">
              <w:t>.</w:t>
            </w:r>
          </w:p>
        </w:tc>
      </w:tr>
    </w:tbl>
    <w:p w:rsidR="005C48C1" w:rsidRPr="00137856" w:rsidRDefault="00137856" w:rsidP="005C48C1">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5C48C1" w:rsidRPr="00137856" w:rsidRDefault="00137856" w:rsidP="005C48C1">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Marco Zanni, Valentino Grant, Antonio Maria Rinaldi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c</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stk. 1a</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1a.</w:t>
            </w:r>
            <w:r w:rsidRPr="00137856">
              <w:tab/>
              <w:t>E</w:t>
            </w:r>
            <w:r w:rsidRPr="00137856">
              <w:t>n tilsynsbelagt enhed, der bruger et benchmark i eksisterende finansielle kontrakter eller finansielle instrumenter, der er genstand for en offentlig meddelelse i henhold til artikel 24a, stk. 5, erstatter benchmarket med et passende alternativ senest seks</w:t>
            </w:r>
            <w:r w:rsidRPr="00137856">
              <w:t xml:space="preserve"> måneder efter offentliggørelsen af denne meddelelse eller udsender og offentliggør en erklæring på sit websted, hvori kunderne orienteres om, at der ikke findes et passende alternativ.</w:t>
            </w:r>
          </w:p>
        </w:tc>
        <w:tc>
          <w:tcPr>
            <w:tcW w:w="4876" w:type="dxa"/>
            <w:hideMark/>
          </w:tcPr>
          <w:p w:rsidR="001762D4" w:rsidRPr="00137856" w:rsidRDefault="00137856">
            <w:pPr>
              <w:pStyle w:val="Normal6"/>
              <w:rPr>
                <w:szCs w:val="24"/>
              </w:rPr>
            </w:pPr>
            <w:r w:rsidRPr="00137856">
              <w:rPr>
                <w:b/>
                <w:i/>
              </w:rPr>
              <w:t>1b.</w:t>
            </w:r>
            <w:r w:rsidRPr="00137856">
              <w:tab/>
              <w:t>En tilsynsbelagt enhed, der bruger et benchmark i eksisterende fin</w:t>
            </w:r>
            <w:r w:rsidRPr="00137856">
              <w:t>ansielle kontrakter</w:t>
            </w:r>
            <w:r w:rsidRPr="00137856">
              <w:rPr>
                <w:b/>
                <w:i/>
              </w:rPr>
              <w:t xml:space="preserve"> eller for at måle investeringsfondes resultater</w:t>
            </w:r>
            <w:r w:rsidRPr="00137856">
              <w:t xml:space="preserve"> eller finansielle instrumenter, der er genstand for en offentlig meddelelse i henhold til artikel 24a, stk. 5, erstatter benchmarket med et passende alternativ senest seks måneder efter of</w:t>
            </w:r>
            <w:r w:rsidRPr="00137856">
              <w:t>fentliggørelsen af denne meddelelse eller udsender og offentliggør en erklæring på sit websted, hvori kunderne orienteres om, at der ikke findes et passende alternativ.</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125</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Irene Tinagli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c</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 xml:space="preserve"> 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stk. 1a</w:t>
      </w:r>
      <w:r w:rsidRPr="00137856">
        <w:rPr>
          <w:rStyle w:val="HideTWBExt"/>
          <w:noProof w:val="0"/>
        </w:rPr>
        <w:t>&lt;/Articl</w:t>
      </w:r>
      <w:r w:rsidRPr="00137856">
        <w:rPr>
          <w:rStyle w:val="HideTWBExt"/>
          <w:noProof w:val="0"/>
        </w:rPr>
        <w:t>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rPr>
                <w:b/>
                <w:i/>
              </w:rPr>
              <w:t>1a.</w:t>
            </w:r>
            <w:r w:rsidRPr="00137856">
              <w:tab/>
              <w:t xml:space="preserve">En tilsynsbelagt enhed, der bruger et benchmark i eksisterende finansielle kontrakter eller finansielle instrumenter, der er genstand for en offentlig meddelelse i henhold til artikel 24a, stk. 5, erstatter </w:t>
            </w:r>
            <w:r w:rsidRPr="00137856">
              <w:t>benchmarket med et passende alternativ senest seks måneder efter offentliggørelsen af denne meddelelse eller udsender og offentliggør en erklæring på sit websted, hvori kunderne orienteres om, at der ikke findes et passende alternativ.</w:t>
            </w:r>
          </w:p>
        </w:tc>
        <w:tc>
          <w:tcPr>
            <w:tcW w:w="4876" w:type="dxa"/>
            <w:hideMark/>
          </w:tcPr>
          <w:p w:rsidR="001762D4" w:rsidRPr="00137856" w:rsidRDefault="00137856">
            <w:pPr>
              <w:pStyle w:val="Normal6"/>
              <w:rPr>
                <w:szCs w:val="24"/>
              </w:rPr>
            </w:pPr>
            <w:r w:rsidRPr="00137856">
              <w:rPr>
                <w:b/>
                <w:i/>
              </w:rPr>
              <w:t>1b.</w:t>
            </w:r>
            <w:r w:rsidRPr="00137856">
              <w:rPr>
                <w:b/>
                <w:i/>
              </w:rPr>
              <w:tab/>
            </w:r>
            <w:r w:rsidRPr="00137856">
              <w:t>En tilsynsbelagt</w:t>
            </w:r>
            <w:r w:rsidRPr="00137856">
              <w:t xml:space="preserve"> enhed, der bruger et benchmark i eksisterende finansielle kontrakter eller finansielle instrumenter</w:t>
            </w:r>
            <w:r w:rsidRPr="00137856">
              <w:rPr>
                <w:b/>
                <w:i/>
              </w:rPr>
              <w:t xml:space="preserve"> eller for at måle investeringsfondes resultater</w:t>
            </w:r>
            <w:r w:rsidRPr="00137856">
              <w:t>, der er genstand for en offentlig meddelelse i henhold til artikel 24a, stk. 5, erstatter benchmarket med e</w:t>
            </w:r>
            <w:r w:rsidRPr="00137856">
              <w:t>t passende alternativ senest seks måneder efter offentliggørelsen af denne meddelelse eller udsender og offentliggør en erklæring på sit websted, hvori kunderne orienteres om, at der ikke findes et passende alternativ.</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w:t>
      </w:r>
      <w:r w:rsidRPr="00137856">
        <w:rPr>
          <w:rStyle w:val="HideTWBExt"/>
          <w:noProof w:val="0"/>
        </w:rPr>
        <w:t>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126</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c a (nyt)</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 xml:space="preserve">Forordning (EU) </w:t>
      </w:r>
      <w:r w:rsidRPr="00137856">
        <w:t>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stk. 1 b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877C23" w:rsidRPr="00137856" w:rsidRDefault="00137856">
            <w:pPr>
              <w:pStyle w:val="Normal6"/>
              <w:rPr>
                <w:b/>
                <w:i/>
              </w:rPr>
            </w:pPr>
            <w:r w:rsidRPr="00137856">
              <w:rPr>
                <w:b/>
                <w:i/>
              </w:rPr>
              <w:t>1ba.</w:t>
            </w:r>
            <w:r w:rsidRPr="00137856">
              <w:rPr>
                <w:b/>
                <w:i/>
              </w:rPr>
              <w:tab/>
              <w:t>Forbuddet i stk. 1 i denne artikel finder ikke anvendelse på følgende:</w:t>
            </w:r>
          </w:p>
          <w:p w:rsidR="001762D4" w:rsidRPr="00137856" w:rsidRDefault="00137856" w:rsidP="00877C23">
            <w:pPr>
              <w:pStyle w:val="Normal6"/>
              <w:rPr>
                <w:szCs w:val="24"/>
              </w:rPr>
            </w:pPr>
            <w:r w:rsidRPr="00137856">
              <w:rPr>
                <w:b/>
                <w:i/>
              </w:rPr>
              <w:t xml:space="preserve">a) market making til støtte for kundeaktiviteter i forbindelse </w:t>
            </w:r>
            <w:r w:rsidRPr="00137856">
              <w:rPr>
                <w:b/>
                <w:i/>
              </w:rPr>
              <w:t>med transaktioner, der er gennemført før forbuddets ikrafttrædelsesdato</w:t>
            </w:r>
            <w:r w:rsidRPr="00137856">
              <w:rPr>
                <w:b/>
                <w:i/>
              </w:rPr>
              <w:br/>
              <w:t xml:space="preserve">b) transaktioner eller andre aktiviteter, </w:t>
            </w:r>
            <w:r w:rsidRPr="00137856">
              <w:rPr>
                <w:b/>
                <w:i/>
              </w:rPr>
              <w:lastRenderedPageBreak/>
              <w:t>der reducerer eller sikrer den tilsynsbelagte enheds eller enhver kunde i den tilsynsbelagte enheds eksponering mod det forbudte benchmark</w:t>
            </w:r>
            <w:r w:rsidRPr="00137856">
              <w:rPr>
                <w:b/>
                <w:i/>
              </w:rPr>
              <w:br/>
              <w:t xml:space="preserve">c) </w:t>
            </w:r>
            <w:r w:rsidRPr="00137856">
              <w:rPr>
                <w:b/>
                <w:i/>
              </w:rPr>
              <w:t>transaktioners nyordninger</w:t>
            </w:r>
            <w:r w:rsidRPr="00137856">
              <w:rPr>
                <w:b/>
                <w:i/>
              </w:rPr>
              <w:br/>
              <w:t>d) transaktioner, der gennemføres med henblik på deltagelse i en auktionsprocedure for en central modpart i tilfælde af et medlems misligholdelse, herunder transaktioner til afdækning af den deraf følgende eksponering</w:t>
            </w:r>
            <w:r w:rsidRPr="00137856">
              <w:rPr>
                <w:b/>
                <w:i/>
              </w:rPr>
              <w:br/>
              <w:t>e) interpol</w:t>
            </w:r>
            <w:r w:rsidRPr="00137856">
              <w:rPr>
                <w:b/>
                <w:i/>
              </w:rPr>
              <w:t>ation eller anden anvendelse i henhold til kontraktlige fallback-ordninger i forbindelse med det forbudte benchmark.</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 xml:space="preserve">6 måneder er ikke tilstrækkelig tid til, at en enhed under tilsyn kan </w:t>
      </w:r>
      <w:r w:rsidRPr="00137856">
        <w:rPr>
          <w:noProof w:val="0"/>
        </w:rPr>
        <w:t>tilrettelægge og gennemføre en alternativ sats korrekt. Overgangen kan være en kompleks proces</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127</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Marco Zanni, Valentino Grant, Antonio Maria Rinaldi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w:t>
      </w:r>
      <w:r w:rsidRPr="00137856">
        <w:rPr>
          <w:rStyle w:val="HideTWBExt"/>
          <w:b w:val="0"/>
          <w:noProof w:val="0"/>
        </w:rPr>
        <w:t>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14 – litra c a (nyt)</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29 – stk. 2</w:t>
      </w:r>
      <w:r w:rsidRPr="0013785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B85361">
        <w:trPr>
          <w:jc w:val="center"/>
        </w:trPr>
        <w:tc>
          <w:tcPr>
            <w:tcW w:w="9752" w:type="dxa"/>
            <w:gridSpan w:val="2"/>
          </w:tcPr>
          <w:p w:rsidR="001762D4" w:rsidRPr="00137856" w:rsidRDefault="001762D4">
            <w:pPr>
              <w:keepNext/>
            </w:pPr>
          </w:p>
        </w:tc>
      </w:tr>
      <w:tr w:rsidR="00791339" w:rsidRPr="00137856" w:rsidTr="00B85361">
        <w:trPr>
          <w:jc w:val="center"/>
        </w:trPr>
        <w:tc>
          <w:tcPr>
            <w:tcW w:w="4876" w:type="dxa"/>
            <w:hideMark/>
          </w:tcPr>
          <w:p w:rsidR="001762D4" w:rsidRPr="00137856" w:rsidRDefault="00137856">
            <w:pPr>
              <w:pStyle w:val="ColumnHeading"/>
              <w:keepNext/>
            </w:pPr>
            <w:r w:rsidRPr="00137856">
              <w:t>Gældende ordlyd</w:t>
            </w:r>
          </w:p>
        </w:tc>
        <w:tc>
          <w:tcPr>
            <w:tcW w:w="4876" w:type="dxa"/>
            <w:hideMark/>
          </w:tcPr>
          <w:p w:rsidR="001762D4" w:rsidRPr="00137856" w:rsidRDefault="00137856">
            <w:pPr>
              <w:pStyle w:val="ColumnHeading"/>
              <w:keepNext/>
            </w:pPr>
            <w:r w:rsidRPr="00137856">
              <w:t>Ændringsforslag</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rsidP="002959F4">
            <w:pPr>
              <w:pStyle w:val="Normal6"/>
              <w:rPr>
                <w:szCs w:val="24"/>
              </w:rPr>
            </w:pPr>
            <w:r w:rsidRPr="00137856">
              <w:rPr>
                <w:b/>
                <w:i/>
              </w:rPr>
              <w:t>ca)</w:t>
            </w:r>
            <w:r w:rsidRPr="00137856">
              <w:rPr>
                <w:b/>
                <w:i/>
              </w:rPr>
              <w:tab/>
              <w:t xml:space="preserve">I stk. 2 foretages </w:t>
            </w:r>
            <w:r w:rsidRPr="00137856">
              <w:rPr>
                <w:b/>
                <w:i/>
              </w:rPr>
              <w:t>følgende ændringer:</w:t>
            </w:r>
          </w:p>
        </w:tc>
      </w:tr>
      <w:tr w:rsidR="00791339" w:rsidRPr="00137856" w:rsidTr="00B85361">
        <w:trPr>
          <w:jc w:val="center"/>
        </w:trPr>
        <w:tc>
          <w:tcPr>
            <w:tcW w:w="4876" w:type="dxa"/>
          </w:tcPr>
          <w:p w:rsidR="002959F4" w:rsidRPr="00137856" w:rsidRDefault="00137856" w:rsidP="002959F4">
            <w:pPr>
              <w:rPr>
                <w:color w:val="333333"/>
              </w:rPr>
            </w:pPr>
            <w:r w:rsidRPr="00137856">
              <w:rPr>
                <w:rStyle w:val="no-parag"/>
                <w:shd w:val="clear" w:color="auto" w:fill="FFFFFF"/>
              </w:rPr>
              <w:t>2.</w:t>
            </w:r>
            <w:r w:rsidRPr="00137856">
              <w:rPr>
                <w:b/>
                <w:i/>
              </w:rPr>
              <w:tab/>
            </w:r>
            <w:r w:rsidRPr="00137856">
              <w:t>Når genstanden for et prospekt, der skal offentliggøres i henhold til direktiv 2003/71/EF eller direktiv 2009/65/EF, er værdipapirer eller andre investeringsprodukter, der benytter et benchmark som reference, skal udstederen, udbyde</w:t>
            </w:r>
            <w:r w:rsidRPr="00137856">
              <w:t xml:space="preserve">ren eller den person, der anmoder om optagelse til handel på et reguleret marked, sikre, </w:t>
            </w:r>
            <w:r w:rsidRPr="00137856">
              <w:rPr>
                <w:b/>
                <w:i/>
              </w:rPr>
              <w:t xml:space="preserve">at prospektet også indeholder præcise og tydelige </w:t>
            </w:r>
            <w:r w:rsidRPr="00137856">
              <w:rPr>
                <w:b/>
                <w:i/>
              </w:rPr>
              <w:lastRenderedPageBreak/>
              <w:t>oplysninger om</w:t>
            </w:r>
            <w:r w:rsidRPr="00137856">
              <w:t xml:space="preserve">, </w:t>
            </w:r>
            <w:r w:rsidRPr="00137856">
              <w:rPr>
                <w:b/>
                <w:i/>
              </w:rPr>
              <w:t>hvorvidt benchmarket leveres af en administrator</w:t>
            </w:r>
            <w:r w:rsidRPr="00137856">
              <w:t xml:space="preserve">, </w:t>
            </w:r>
            <w:r w:rsidRPr="00137856">
              <w:rPr>
                <w:b/>
                <w:i/>
              </w:rPr>
              <w:t>der er opført i det register</w:t>
            </w:r>
            <w:r w:rsidRPr="00137856">
              <w:t xml:space="preserve">, </w:t>
            </w:r>
            <w:r w:rsidRPr="00137856">
              <w:rPr>
                <w:b/>
                <w:i/>
              </w:rPr>
              <w:t xml:space="preserve">som er omhandlet i </w:t>
            </w:r>
            <w:r w:rsidRPr="00137856">
              <w:rPr>
                <w:b/>
                <w:i/>
              </w:rPr>
              <w:t>artikel 36 i denne forordning</w:t>
            </w:r>
            <w:r w:rsidRPr="00137856">
              <w:t>.</w:t>
            </w:r>
          </w:p>
          <w:p w:rsidR="001762D4" w:rsidRPr="00137856" w:rsidRDefault="001762D4">
            <w:pPr>
              <w:pStyle w:val="Normal6"/>
            </w:pPr>
          </w:p>
        </w:tc>
        <w:tc>
          <w:tcPr>
            <w:tcW w:w="4876" w:type="dxa"/>
            <w:hideMark/>
          </w:tcPr>
          <w:p w:rsidR="001762D4" w:rsidRPr="00137856" w:rsidRDefault="00137856">
            <w:pPr>
              <w:pStyle w:val="Normal6"/>
              <w:rPr>
                <w:szCs w:val="24"/>
              </w:rPr>
            </w:pPr>
            <w:r w:rsidRPr="00137856">
              <w:lastRenderedPageBreak/>
              <w:t>2.</w:t>
            </w:r>
            <w:r w:rsidRPr="00137856">
              <w:rPr>
                <w:b/>
                <w:i/>
              </w:rPr>
              <w:tab/>
            </w:r>
            <w:r w:rsidRPr="00137856">
              <w:t>Når genstanden for et prospekt, der skal offentliggøres i henhold til direktiv 2003/71/EF eller direktiv 2009/65/EF, er værdipapirer eller andre investeringsprodukter, der benytter et benchmark som reference, skal udstede</w:t>
            </w:r>
            <w:r w:rsidRPr="00137856">
              <w:t xml:space="preserve">ren, udbyderen eller den person, der anmoder om optagelse til handel på et reguleret marked, sikre, </w:t>
            </w:r>
            <w:r w:rsidRPr="00137856">
              <w:rPr>
                <w:b/>
                <w:i/>
              </w:rPr>
              <w:t xml:space="preserve">når en offentlig meddelelse om det anvendte benchmark optages i det </w:t>
            </w:r>
            <w:r w:rsidRPr="00137856">
              <w:rPr>
                <w:b/>
                <w:i/>
              </w:rPr>
              <w:lastRenderedPageBreak/>
              <w:t>register</w:t>
            </w:r>
            <w:r w:rsidRPr="00137856">
              <w:t xml:space="preserve">, </w:t>
            </w:r>
            <w:r w:rsidRPr="00137856">
              <w:rPr>
                <w:b/>
                <w:i/>
              </w:rPr>
              <w:t>der er omhandlet i denne forordnings artikel 36</w:t>
            </w:r>
            <w:r w:rsidRPr="00137856">
              <w:t xml:space="preserve">, </w:t>
            </w:r>
            <w:r w:rsidRPr="00137856">
              <w:rPr>
                <w:b/>
                <w:i/>
              </w:rPr>
              <w:t>senest 6 måneder efter offent</w:t>
            </w:r>
            <w:r w:rsidRPr="00137856">
              <w:rPr>
                <w:b/>
                <w:i/>
              </w:rPr>
              <w:t>liggørelsen af den offentlige meddelelse</w:t>
            </w:r>
            <w:r w:rsidRPr="00137856">
              <w:t xml:space="preserve">, </w:t>
            </w:r>
            <w:r w:rsidRPr="00137856">
              <w:rPr>
                <w:b/>
                <w:i/>
              </w:rPr>
              <w:t>at prospektet også præcist og tydeligt indeholder disse oplysninger</w:t>
            </w:r>
            <w:r w:rsidRPr="00137856">
              <w:t>.</w:t>
            </w:r>
          </w:p>
        </w:tc>
      </w:tr>
    </w:tbl>
    <w:p w:rsidR="00B85361" w:rsidRPr="00137856" w:rsidRDefault="00137856" w:rsidP="00B85361">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B85361" w:rsidRPr="00137856" w:rsidRDefault="00137856" w:rsidP="00B85361">
      <w:pPr>
        <w:pStyle w:val="CrossRef"/>
      </w:pPr>
      <w:r w:rsidRPr="00137856">
        <w:t>(https://eur-lex.europa.eu/legal-content/DA/TXT/?uri=CELEX%3A02016R1011-20240109)</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w:t>
      </w:r>
      <w:r w:rsidRPr="00137856">
        <w:t>g</w:t>
      </w:r>
      <w:r w:rsidRPr="00137856">
        <w:tab/>
      </w:r>
      <w:r w:rsidRPr="00137856">
        <w:tab/>
      </w:r>
      <w:r w:rsidRPr="00137856">
        <w:rPr>
          <w:rStyle w:val="HideTWBExt"/>
          <w:b w:val="0"/>
          <w:noProof w:val="0"/>
        </w:rPr>
        <w:t>&lt;NumAm&gt;</w:t>
      </w:r>
      <w:r w:rsidRPr="00137856">
        <w:t>128</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877C23" w:rsidRPr="00137856" w:rsidRDefault="00137856" w:rsidP="00877C23">
      <w:pPr>
        <w:pStyle w:val="NormalBold"/>
      </w:pPr>
      <w:r w:rsidRPr="00137856">
        <w:rPr>
          <w:rStyle w:val="HideTWBExt"/>
          <w:b w:val="0"/>
          <w:noProof w:val="0"/>
        </w:rPr>
        <w:t>&lt;Article&gt;</w:t>
      </w:r>
      <w:r w:rsidRPr="00137856">
        <w:t>Artikel 1 – stk. 1 – nr. 14 – litra c a (nyt)</w:t>
      </w:r>
      <w:r w:rsidRPr="00137856">
        <w:rPr>
          <w:rStyle w:val="HideTWBExt"/>
          <w:b w:val="0"/>
          <w:noProof w:val="0"/>
        </w:rPr>
        <w:t>&lt;/Article&gt;</w:t>
      </w:r>
    </w:p>
    <w:p w:rsidR="00877C23" w:rsidRPr="00137856" w:rsidRDefault="00137856" w:rsidP="00877C23">
      <w:pPr>
        <w:keepNext/>
      </w:pPr>
      <w:r w:rsidRPr="00137856">
        <w:rPr>
          <w:rStyle w:val="HideTWBExt"/>
          <w:noProof w:val="0"/>
        </w:rPr>
        <w:t>&lt;DocAmend2&gt;</w:t>
      </w:r>
      <w:r w:rsidRPr="00137856">
        <w:t>Forordning (EU) 2016/1011</w:t>
      </w:r>
      <w:r w:rsidRPr="00137856">
        <w:rPr>
          <w:rStyle w:val="HideTWBExt"/>
          <w:noProof w:val="0"/>
        </w:rPr>
        <w:t>&lt;/DocAmend2&gt;</w:t>
      </w:r>
    </w:p>
    <w:p w:rsidR="00877C23" w:rsidRPr="00137856" w:rsidRDefault="00137856" w:rsidP="00877C23">
      <w:r w:rsidRPr="00137856">
        <w:rPr>
          <w:rStyle w:val="HideTWBExt"/>
          <w:noProof w:val="0"/>
        </w:rPr>
        <w:t>&lt;Article2&gt;</w:t>
      </w:r>
      <w:r w:rsidRPr="00137856">
        <w:t>Artikel 29 – stk. 1 b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ca)</w:t>
            </w:r>
            <w:r w:rsidRPr="00137856">
              <w:rPr>
                <w:b/>
                <w:i/>
              </w:rPr>
              <w:tab/>
              <w:t>Følgende stykke indsættes:</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1ba.</w:t>
            </w:r>
            <w:r w:rsidRPr="00137856">
              <w:rPr>
                <w:b/>
                <w:i/>
              </w:rPr>
              <w:tab/>
              <w:t xml:space="preserve">En tilsynsbelagt enhed kan kun anvende et benchmark, der i sin juridiske dokumentation </w:t>
            </w:r>
            <w:r w:rsidRPr="00137856">
              <w:rPr>
                <w:b/>
                <w:i/>
              </w:rPr>
              <w:t>eller markedsføringsdokumentation eller betegnelse hævder at tage hensyn til ESG-faktorer i sin metodologi, hvis dens administrator offentliggør de oplysninger, der er omhandlet i artikel 13, stk. 1, litra d), og artikel 27, stk. 2a. Alle metodeoplysningsk</w:t>
            </w:r>
            <w:r w:rsidRPr="00137856">
              <w:rPr>
                <w:b/>
                <w:i/>
              </w:rPr>
              <w:t>rav skal være i overensstemmelse med forordning (EU) 2019/2088, direktiv 2011/61/EU og direktiv 2009/65/EF. Dette stykke finder anvendelse på både EU-benchmarks og ikke-EU-benchmarks.</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Tilp</w:t>
      </w:r>
      <w:r w:rsidRPr="00137856">
        <w:rPr>
          <w:noProof w:val="0"/>
        </w:rPr>
        <w:t>asning vedrørende obligatoriske ESG-oplysninger om ESG-benchmarks til EU's lovgivningsmæssige oplysninger om finansielle produkter (SFDR) og mellem krav til benchmarknavne og krav om fondsnavne, navnlig for ETF'er (hvis navne svarer til deres underliggende</w:t>
      </w:r>
      <w:r w:rsidRPr="00137856">
        <w:rPr>
          <w:noProof w:val="0"/>
        </w:rPr>
        <w:t xml:space="preserve"> indeks), er af afgørende betydning (UCITS-direktivet og FAIF-direktivet).</w:t>
      </w:r>
    </w:p>
    <w:p w:rsidR="001762D4" w:rsidRPr="00137856" w:rsidRDefault="00137856" w:rsidP="001762D4">
      <w:r w:rsidRPr="00137856">
        <w:rPr>
          <w:rStyle w:val="HideTWBExt"/>
          <w:noProof w:val="0"/>
        </w:rPr>
        <w:lastRenderedPageBreak/>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129</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Irene Tinagli</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877C23" w:rsidRPr="00137856" w:rsidRDefault="00137856" w:rsidP="00877C23">
      <w:pPr>
        <w:pStyle w:val="NormalBold"/>
      </w:pPr>
      <w:r w:rsidRPr="00137856">
        <w:rPr>
          <w:rStyle w:val="HideTWBExt"/>
          <w:b w:val="0"/>
          <w:noProof w:val="0"/>
        </w:rPr>
        <w:t>&lt;Article&gt;</w:t>
      </w:r>
      <w:r w:rsidRPr="00137856">
        <w:t>Artikel 1</w:t>
      </w:r>
      <w:r w:rsidRPr="00137856">
        <w:t xml:space="preserve"> – stk. 1 – nr. 14 – litra c a (nyt)</w:t>
      </w:r>
      <w:r w:rsidRPr="00137856">
        <w:rPr>
          <w:rStyle w:val="HideTWBExt"/>
          <w:b w:val="0"/>
          <w:noProof w:val="0"/>
        </w:rPr>
        <w:t>&lt;/Article&gt;</w:t>
      </w:r>
    </w:p>
    <w:p w:rsidR="00F70312" w:rsidRPr="00137856" w:rsidRDefault="00137856" w:rsidP="00F70312">
      <w:pPr>
        <w:keepNext/>
      </w:pPr>
      <w:r w:rsidRPr="00137856">
        <w:rPr>
          <w:rStyle w:val="HideTWBExt"/>
          <w:noProof w:val="0"/>
        </w:rPr>
        <w:t>&lt;DocAmend2&gt;</w:t>
      </w:r>
      <w:r w:rsidRPr="00137856">
        <w:t>Forordning (EU) 2016/1011</w:t>
      </w:r>
      <w:r w:rsidRPr="00137856">
        <w:rPr>
          <w:rStyle w:val="HideTWBExt"/>
          <w:noProof w:val="0"/>
        </w:rPr>
        <w:t>&lt;/DocAmend2&gt;</w:t>
      </w:r>
    </w:p>
    <w:p w:rsidR="00F70312" w:rsidRPr="00137856" w:rsidRDefault="00137856" w:rsidP="00F70312">
      <w:r w:rsidRPr="00137856">
        <w:rPr>
          <w:rStyle w:val="HideTWBExt"/>
          <w:noProof w:val="0"/>
        </w:rPr>
        <w:t>&lt;Article2&gt;</w:t>
      </w:r>
      <w:r w:rsidRPr="00137856">
        <w:t>Artikel 29 – stk. 2</w:t>
      </w:r>
      <w:r w:rsidRPr="0013785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F70312">
        <w:trPr>
          <w:jc w:val="center"/>
        </w:trPr>
        <w:tc>
          <w:tcPr>
            <w:tcW w:w="9752" w:type="dxa"/>
            <w:gridSpan w:val="2"/>
          </w:tcPr>
          <w:p w:rsidR="001762D4" w:rsidRPr="00137856" w:rsidRDefault="001762D4">
            <w:pPr>
              <w:keepNext/>
            </w:pPr>
          </w:p>
        </w:tc>
      </w:tr>
      <w:tr w:rsidR="00791339" w:rsidRPr="00137856" w:rsidTr="00F70312">
        <w:trPr>
          <w:jc w:val="center"/>
        </w:trPr>
        <w:tc>
          <w:tcPr>
            <w:tcW w:w="4876" w:type="dxa"/>
            <w:hideMark/>
          </w:tcPr>
          <w:p w:rsidR="001762D4" w:rsidRPr="00137856" w:rsidRDefault="00137856">
            <w:pPr>
              <w:pStyle w:val="ColumnHeading"/>
              <w:keepNext/>
            </w:pPr>
            <w:r w:rsidRPr="00137856">
              <w:t>Gældende ordlyd</w:t>
            </w:r>
          </w:p>
        </w:tc>
        <w:tc>
          <w:tcPr>
            <w:tcW w:w="4876" w:type="dxa"/>
            <w:hideMark/>
          </w:tcPr>
          <w:p w:rsidR="001762D4" w:rsidRPr="00137856" w:rsidRDefault="00137856">
            <w:pPr>
              <w:pStyle w:val="ColumnHeading"/>
              <w:keepNext/>
            </w:pPr>
            <w:r w:rsidRPr="00137856">
              <w:t>Ændringsforslag</w:t>
            </w:r>
          </w:p>
        </w:tc>
      </w:tr>
      <w:tr w:rsidR="00791339" w:rsidRPr="00137856" w:rsidTr="00F70312">
        <w:trPr>
          <w:jc w:val="center"/>
        </w:trPr>
        <w:tc>
          <w:tcPr>
            <w:tcW w:w="4876" w:type="dxa"/>
          </w:tcPr>
          <w:p w:rsidR="001762D4" w:rsidRPr="00137856" w:rsidRDefault="001762D4">
            <w:pPr>
              <w:pStyle w:val="Normal6"/>
            </w:pPr>
          </w:p>
        </w:tc>
        <w:tc>
          <w:tcPr>
            <w:tcW w:w="4876" w:type="dxa"/>
            <w:hideMark/>
          </w:tcPr>
          <w:p w:rsidR="001762D4" w:rsidRPr="00137856" w:rsidRDefault="00137856" w:rsidP="00F70312">
            <w:pPr>
              <w:pStyle w:val="Normal6"/>
              <w:rPr>
                <w:szCs w:val="24"/>
              </w:rPr>
            </w:pPr>
            <w:r w:rsidRPr="00137856">
              <w:rPr>
                <w:b/>
                <w:i/>
              </w:rPr>
              <w:t>ca)</w:t>
            </w:r>
            <w:r w:rsidRPr="00137856">
              <w:rPr>
                <w:b/>
                <w:i/>
              </w:rPr>
              <w:tab/>
              <w:t>I stk. 2 foretages følgende ændringer:</w:t>
            </w:r>
          </w:p>
        </w:tc>
      </w:tr>
      <w:tr w:rsidR="00791339" w:rsidRPr="00137856" w:rsidTr="00F70312">
        <w:trPr>
          <w:jc w:val="center"/>
        </w:trPr>
        <w:tc>
          <w:tcPr>
            <w:tcW w:w="4876" w:type="dxa"/>
          </w:tcPr>
          <w:p w:rsidR="00F70312" w:rsidRPr="00137856" w:rsidRDefault="00137856" w:rsidP="00F70312">
            <w:pPr>
              <w:rPr>
                <w:color w:val="333333"/>
              </w:rPr>
            </w:pPr>
            <w:r w:rsidRPr="00137856">
              <w:rPr>
                <w:rStyle w:val="no-parag"/>
                <w:shd w:val="clear" w:color="auto" w:fill="FFFFFF"/>
              </w:rPr>
              <w:t>2.</w:t>
            </w:r>
            <w:r w:rsidRPr="00137856">
              <w:rPr>
                <w:b/>
                <w:i/>
              </w:rPr>
              <w:tab/>
            </w:r>
            <w:r w:rsidRPr="00137856">
              <w:t>Når genstanden for et prospekt, der skal offentliggøres i henhold til direktiv 2003/71/EF eller direktiv 2009/65/EF, er værdipapirer eller andre investeringsprodukter, der benytter et benchmark som reference, skal udstederen, udbyderen eller den person, de</w:t>
            </w:r>
            <w:r w:rsidRPr="00137856">
              <w:t xml:space="preserve">r anmoder om optagelse til handel på et reguleret marked, sikre, at prospektet også indeholder præcise og tydelige oplysninger om, hvorvidt </w:t>
            </w:r>
            <w:r w:rsidRPr="00137856">
              <w:rPr>
                <w:b/>
                <w:i/>
              </w:rPr>
              <w:t>benchmarket leveres af en administrator, der</w:t>
            </w:r>
            <w:r w:rsidRPr="00137856">
              <w:t xml:space="preserve"> er opført i det register, som er omhandlet i artikel 36 i denne forordn</w:t>
            </w:r>
            <w:r w:rsidRPr="00137856">
              <w:t>ing.</w:t>
            </w:r>
          </w:p>
          <w:p w:rsidR="001762D4" w:rsidRPr="00137856" w:rsidRDefault="001762D4">
            <w:pPr>
              <w:pStyle w:val="Normal6"/>
            </w:pPr>
          </w:p>
        </w:tc>
        <w:tc>
          <w:tcPr>
            <w:tcW w:w="4876" w:type="dxa"/>
            <w:hideMark/>
          </w:tcPr>
          <w:p w:rsidR="001762D4" w:rsidRPr="00137856" w:rsidRDefault="00137856">
            <w:pPr>
              <w:pStyle w:val="Normal6"/>
              <w:rPr>
                <w:szCs w:val="24"/>
              </w:rPr>
            </w:pPr>
            <w:r w:rsidRPr="00137856">
              <w:t>2.</w:t>
            </w:r>
            <w:r w:rsidRPr="00137856">
              <w:rPr>
                <w:b/>
                <w:i/>
              </w:rPr>
              <w:tab/>
            </w:r>
            <w:r w:rsidRPr="00137856">
              <w:t>Når genstanden for et prospekt, der skal offentliggøres i henhold til direktiv 2003/71/EF eller direktiv 2009/65/EF, er værdipapirer eller andre investeringsprodukter, der benytter et benchmark som reference, skal udstederen, udbyderen eller den p</w:t>
            </w:r>
            <w:r w:rsidRPr="00137856">
              <w:t xml:space="preserve">erson, der anmoder om optagelse til handel på et reguleret marked, sikre, </w:t>
            </w:r>
            <w:r w:rsidRPr="00137856">
              <w:rPr>
                <w:b/>
                <w:i/>
              </w:rPr>
              <w:t xml:space="preserve">senest seks måneder efter offentliggørelsen af den offentlige meddelelse, </w:t>
            </w:r>
            <w:r w:rsidRPr="00137856">
              <w:t xml:space="preserve">at prospektet også indeholder præcise og tydelige oplysninger om, hvorvidt </w:t>
            </w:r>
            <w:r w:rsidRPr="00137856">
              <w:rPr>
                <w:b/>
                <w:i/>
              </w:rPr>
              <w:t>en offentlig meddelelse om det an</w:t>
            </w:r>
            <w:r w:rsidRPr="00137856">
              <w:rPr>
                <w:b/>
                <w:i/>
              </w:rPr>
              <w:t>vendte benchmark</w:t>
            </w:r>
            <w:r w:rsidRPr="00137856">
              <w:t xml:space="preserve"> er opført i det register, som er omhandlet i artikel 36 i denne forordning.</w:t>
            </w:r>
          </w:p>
        </w:tc>
      </w:tr>
    </w:tbl>
    <w:p w:rsidR="00B85361" w:rsidRPr="00137856" w:rsidRDefault="00137856" w:rsidP="00B85361">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B85361" w:rsidRPr="00137856" w:rsidRDefault="00137856" w:rsidP="00B85361">
      <w:pPr>
        <w:pStyle w:val="CrossRef"/>
      </w:pPr>
      <w:r w:rsidRPr="00137856">
        <w:t>(https://eur-lex.europa.eu/legal-content/DA/TXT/?uri=CELEX%3A02016R1011-20240109)</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130</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17 a (nyt)</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w:t>
      </w:r>
      <w:r w:rsidRPr="00137856">
        <w:rPr>
          <w:rStyle w:val="HideTWBExt"/>
          <w:noProof w:val="0"/>
        </w:rPr>
        <w:t>mend2&gt;</w:t>
      </w:r>
    </w:p>
    <w:p w:rsidR="001762D4" w:rsidRPr="00137856" w:rsidRDefault="00137856" w:rsidP="001762D4">
      <w:r w:rsidRPr="00137856">
        <w:rPr>
          <w:rStyle w:val="HideTWBExt"/>
          <w:noProof w:val="0"/>
        </w:rPr>
        <w:t>&lt;Article2&gt;</w:t>
      </w:r>
      <w:r w:rsidRPr="00137856">
        <w:t>Artikel 40 – stk. 1 – afsnit 1</w:t>
      </w:r>
      <w:r w:rsidRPr="00137856">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B85361">
        <w:trPr>
          <w:jc w:val="center"/>
        </w:trPr>
        <w:tc>
          <w:tcPr>
            <w:tcW w:w="9752" w:type="dxa"/>
            <w:gridSpan w:val="2"/>
          </w:tcPr>
          <w:p w:rsidR="001762D4" w:rsidRPr="00137856" w:rsidRDefault="001762D4">
            <w:pPr>
              <w:keepNext/>
            </w:pPr>
          </w:p>
        </w:tc>
      </w:tr>
      <w:tr w:rsidR="00791339" w:rsidRPr="00137856" w:rsidTr="00B85361">
        <w:trPr>
          <w:jc w:val="center"/>
        </w:trPr>
        <w:tc>
          <w:tcPr>
            <w:tcW w:w="4876" w:type="dxa"/>
            <w:hideMark/>
          </w:tcPr>
          <w:p w:rsidR="001762D4" w:rsidRPr="00137856" w:rsidRDefault="00137856">
            <w:pPr>
              <w:pStyle w:val="ColumnHeading"/>
              <w:keepNext/>
            </w:pPr>
            <w:r w:rsidRPr="00137856">
              <w:t>Gældende ordlyd</w:t>
            </w:r>
          </w:p>
        </w:tc>
        <w:tc>
          <w:tcPr>
            <w:tcW w:w="4876" w:type="dxa"/>
            <w:hideMark/>
          </w:tcPr>
          <w:p w:rsidR="001762D4" w:rsidRPr="00137856" w:rsidRDefault="00137856">
            <w:pPr>
              <w:pStyle w:val="ColumnHeading"/>
              <w:keepNext/>
            </w:pPr>
            <w:r w:rsidRPr="00137856">
              <w:t>Ændringsforslag</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17a)</w:t>
            </w:r>
            <w:r w:rsidRPr="00137856">
              <w:rPr>
                <w:b/>
                <w:i/>
              </w:rPr>
              <w:tab/>
              <w:t xml:space="preserve">I artikel 40, stk. 1, første afsnit, </w:t>
            </w:r>
            <w:r w:rsidRPr="00137856">
              <w:rPr>
                <w:b/>
                <w:i/>
              </w:rPr>
              <w:lastRenderedPageBreak/>
              <w:t>foretages følgende ændringer:</w:t>
            </w:r>
          </w:p>
        </w:tc>
      </w:tr>
      <w:tr w:rsidR="00791339" w:rsidRPr="00137856" w:rsidTr="00B85361">
        <w:trPr>
          <w:jc w:val="center"/>
        </w:trPr>
        <w:tc>
          <w:tcPr>
            <w:tcW w:w="4876" w:type="dxa"/>
            <w:hideMark/>
          </w:tcPr>
          <w:p w:rsidR="001762D4" w:rsidRPr="00137856" w:rsidRDefault="00137856">
            <w:pPr>
              <w:pStyle w:val="Normal6"/>
            </w:pPr>
            <w:r w:rsidRPr="00137856">
              <w:lastRenderedPageBreak/>
              <w:t xml:space="preserve">1. Med henblik på anvendelsen af denne forordning skal ESMA være den kompetente </w:t>
            </w:r>
            <w:r w:rsidRPr="00137856">
              <w:t>myndighed for:</w:t>
            </w:r>
          </w:p>
        </w:tc>
        <w:tc>
          <w:tcPr>
            <w:tcW w:w="4876" w:type="dxa"/>
            <w:hideMark/>
          </w:tcPr>
          <w:p w:rsidR="001762D4" w:rsidRPr="00137856" w:rsidRDefault="00137856">
            <w:pPr>
              <w:pStyle w:val="Normal6"/>
              <w:rPr>
                <w:szCs w:val="24"/>
              </w:rPr>
            </w:pPr>
            <w:r w:rsidRPr="00137856">
              <w:t>"1. Med henblik på anvendelsen af denne forordning skal ESMA være den kompetente myndighed for:</w:t>
            </w:r>
          </w:p>
        </w:tc>
      </w:tr>
      <w:tr w:rsidR="00791339" w:rsidRPr="00137856" w:rsidTr="00B85361">
        <w:trPr>
          <w:jc w:val="center"/>
        </w:trPr>
        <w:tc>
          <w:tcPr>
            <w:tcW w:w="4876" w:type="dxa"/>
            <w:hideMark/>
          </w:tcPr>
          <w:p w:rsidR="001762D4" w:rsidRPr="00137856" w:rsidRDefault="00137856">
            <w:pPr>
              <w:pStyle w:val="Normal6"/>
            </w:pPr>
            <w:r w:rsidRPr="00137856">
              <w:t>a) administratorer af kritiske benchmarks som omhandlet i artikel 20, stk. 1, litra a) og c)</w:t>
            </w:r>
          </w:p>
        </w:tc>
        <w:tc>
          <w:tcPr>
            <w:tcW w:w="4876" w:type="dxa"/>
            <w:hideMark/>
          </w:tcPr>
          <w:p w:rsidR="001762D4" w:rsidRPr="00137856" w:rsidRDefault="00137856">
            <w:pPr>
              <w:pStyle w:val="Normal6"/>
              <w:rPr>
                <w:szCs w:val="24"/>
              </w:rPr>
            </w:pPr>
            <w:r w:rsidRPr="00137856">
              <w:t>a)</w:t>
            </w:r>
            <w:r w:rsidRPr="00137856">
              <w:rPr>
                <w:b/>
                <w:i/>
              </w:rPr>
              <w:tab/>
            </w:r>
            <w:r w:rsidRPr="00137856">
              <w:t xml:space="preserve"> administratorer af kritiske benchmarks som </w:t>
            </w:r>
            <w:r w:rsidRPr="00137856">
              <w:t>omhandlet i artikel 20, stk. 1, litra a) og c)</w:t>
            </w:r>
          </w:p>
        </w:tc>
      </w:tr>
      <w:tr w:rsidR="00791339" w:rsidRPr="00137856" w:rsidTr="00B85361">
        <w:trPr>
          <w:jc w:val="center"/>
        </w:trPr>
        <w:tc>
          <w:tcPr>
            <w:tcW w:w="4876" w:type="dxa"/>
            <w:hideMark/>
          </w:tcPr>
          <w:p w:rsidR="001762D4" w:rsidRPr="00137856" w:rsidRDefault="00137856">
            <w:pPr>
              <w:pStyle w:val="Normal6"/>
            </w:pPr>
            <w:r w:rsidRPr="00137856">
              <w:t>b) administratorer af benchmarks, der er omhandlet i artikel</w:t>
            </w:r>
            <w:r w:rsidRPr="00137856">
              <w:rPr>
                <w:b/>
                <w:i/>
              </w:rPr>
              <w:t xml:space="preserve"> </w:t>
            </w:r>
            <w:r w:rsidRPr="00137856">
              <w:t>32</w:t>
            </w:r>
            <w:r w:rsidRPr="00137856">
              <w:rPr>
                <w:b/>
                <w:i/>
              </w:rPr>
              <w:t>.</w:t>
            </w:r>
          </w:p>
        </w:tc>
        <w:tc>
          <w:tcPr>
            <w:tcW w:w="4876" w:type="dxa"/>
            <w:hideMark/>
          </w:tcPr>
          <w:p w:rsidR="001762D4" w:rsidRPr="00137856" w:rsidRDefault="00137856">
            <w:pPr>
              <w:pStyle w:val="Normal6"/>
              <w:rPr>
                <w:szCs w:val="24"/>
              </w:rPr>
            </w:pPr>
            <w:r w:rsidRPr="00137856">
              <w:t xml:space="preserve">b) </w:t>
            </w:r>
            <w:r w:rsidRPr="00137856">
              <w:rPr>
                <w:b/>
                <w:i/>
              </w:rPr>
              <w:tab/>
            </w:r>
            <w:r w:rsidRPr="00137856">
              <w:t>administratorer af benchmarks, der er omhandlet i artikel</w:t>
            </w:r>
            <w:r w:rsidRPr="00137856">
              <w:rPr>
                <w:b/>
                <w:i/>
              </w:rPr>
              <w:t> </w:t>
            </w:r>
            <w:r w:rsidRPr="00137856">
              <w:t>32</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c) </w:t>
            </w:r>
            <w:r w:rsidRPr="00137856">
              <w:rPr>
                <w:b/>
                <w:i/>
              </w:rPr>
              <w:tab/>
              <w:t xml:space="preserve">administratorer af benchmarks, der er væsentlige i Unionen, jf. </w:t>
            </w:r>
            <w:r w:rsidRPr="00137856">
              <w:rPr>
                <w:b/>
                <w:i/>
              </w:rPr>
              <w:t>artikel 24, stk. 1, 2, 5 og 6</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d) </w:t>
            </w:r>
            <w:r w:rsidRPr="00137856">
              <w:rPr>
                <w:b/>
                <w:i/>
              </w:rPr>
              <w:tab/>
              <w:t>administratorer, der godkender benchmarks leveret i et tredjeland i henhold til artikel 33</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e) </w:t>
            </w:r>
            <w:r w:rsidRPr="00137856">
              <w:rPr>
                <w:b/>
                <w:i/>
              </w:rPr>
              <w:tab/>
              <w:t>administratorer af EU-benchmarks for klimaovergangen og Paris-tilpassede EU-benchmarks, jf. artikel 3(23a) og (23b)</w:t>
            </w:r>
          </w:p>
        </w:tc>
      </w:tr>
      <w:tr w:rsidR="00791339" w:rsidRPr="00137856" w:rsidTr="00B85361">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w:t>
            </w:r>
          </w:p>
        </w:tc>
      </w:tr>
    </w:tbl>
    <w:p w:rsidR="00B85361" w:rsidRPr="00137856" w:rsidRDefault="00137856" w:rsidP="00B85361">
      <w:pPr>
        <w:pStyle w:val="Olang"/>
        <w:rPr>
          <w:noProof w:val="0"/>
        </w:rPr>
      </w:pPr>
      <w:r w:rsidRPr="00137856">
        <w:rPr>
          <w:noProof w:val="0"/>
        </w:rPr>
        <w:t>Or</w:t>
      </w:r>
      <w:r w:rsidRPr="00137856">
        <w:rPr>
          <w:noProof w:val="0"/>
        </w:rPr>
        <w:t xml:space="preserve">.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B85361" w:rsidRPr="00137856" w:rsidRDefault="00137856" w:rsidP="00B85361">
      <w:pPr>
        <w:pStyle w:val="CrossRef"/>
      </w:pPr>
      <w:r w:rsidRPr="00137856">
        <w:t>(https://eur-lex.europa.eu/legal-content/DA/TXT/?uri=CELEX%3A02016R1011-20240109)</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&lt;/TitreJust&gt;</w:t>
      </w:r>
    </w:p>
    <w:p w:rsidR="001762D4" w:rsidRPr="00137856" w:rsidRDefault="00137856" w:rsidP="001762D4">
      <w:pPr>
        <w:pStyle w:val="Normal12Italic"/>
        <w:rPr>
          <w:noProof w:val="0"/>
        </w:rPr>
      </w:pPr>
      <w:r w:rsidRPr="00137856">
        <w:rPr>
          <w:noProof w:val="0"/>
        </w:rPr>
        <w:t xml:space="preserve">ESMA bør også være ansvarlig for tilsynet med alle væsentlige benchmarkadministratorer og </w:t>
      </w:r>
      <w:r w:rsidRPr="00137856">
        <w:rPr>
          <w:noProof w:val="0"/>
        </w:rPr>
        <w:t>EU-PAB-CTB-administratorer.</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131</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Gilles Boyer, Stéphanie Yon-Courtin, Olivier Chastel</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877C23" w:rsidRPr="00137856" w:rsidRDefault="00137856" w:rsidP="00877C23">
      <w:pPr>
        <w:pStyle w:val="NormalBold"/>
      </w:pPr>
      <w:r w:rsidRPr="00137856">
        <w:rPr>
          <w:rStyle w:val="HideTWBExt"/>
          <w:b w:val="0"/>
          <w:noProof w:val="0"/>
        </w:rPr>
        <w:t>&lt;Article&gt;</w:t>
      </w:r>
      <w:r w:rsidRPr="00137856">
        <w:t xml:space="preserve">Artikel 1 – stk. </w:t>
      </w:r>
      <w:r w:rsidRPr="00137856">
        <w:t>1 – nr. 17 b (nyt)</w:t>
      </w:r>
      <w:r w:rsidRPr="00137856">
        <w:rPr>
          <w:rStyle w:val="HideTWBExt"/>
          <w:b w:val="0"/>
          <w:noProof w:val="0"/>
        </w:rPr>
        <w:t>&lt;/Article&gt;</w:t>
      </w:r>
    </w:p>
    <w:p w:rsidR="00F70312" w:rsidRPr="00137856" w:rsidRDefault="00137856" w:rsidP="00F70312">
      <w:pPr>
        <w:keepNext/>
      </w:pPr>
      <w:r w:rsidRPr="00137856">
        <w:rPr>
          <w:rStyle w:val="HideTWBExt"/>
          <w:noProof w:val="0"/>
        </w:rPr>
        <w:t>&lt;DocAmend2&gt;</w:t>
      </w:r>
      <w:r w:rsidRPr="00137856">
        <w:t>Forordning (EU) 2016/1011</w:t>
      </w:r>
      <w:r w:rsidRPr="00137856">
        <w:rPr>
          <w:rStyle w:val="HideTWBExt"/>
          <w:noProof w:val="0"/>
        </w:rPr>
        <w:t>&lt;/DocAmend2&gt;</w:t>
      </w:r>
    </w:p>
    <w:p w:rsidR="00F70312" w:rsidRPr="00137856" w:rsidRDefault="00137856" w:rsidP="00F70312">
      <w:r w:rsidRPr="00137856">
        <w:rPr>
          <w:rStyle w:val="HideTWBExt"/>
          <w:noProof w:val="0"/>
        </w:rPr>
        <w:t>&lt;Article2&gt;</w:t>
      </w:r>
      <w:r w:rsidRPr="00137856">
        <w:t>Artikel 40 – stk. 1 – afsnit 1 a (nyt)</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17b)</w:t>
            </w:r>
            <w:r w:rsidRPr="00137856">
              <w:rPr>
                <w:b/>
                <w:i/>
              </w:rPr>
              <w:tab/>
              <w:t>I artikel 40, stk. 1, tilføjes følgende afsnit:</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Administratorer, der </w:t>
            </w:r>
            <w:r w:rsidRPr="00137856">
              <w:rPr>
                <w:b/>
                <w:i/>
              </w:rPr>
              <w:t>ikke er omfattet af stk. 1, kan dog vælge ESMA som den kompetente myndighed, der er ansvarlig for tilsynet med dem.</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132</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Markus Ferber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21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51 – stk. 4c</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4c.</w:t>
            </w:r>
            <w:r w:rsidRPr="00137856">
              <w:tab/>
              <w:t xml:space="preserve">De </w:t>
            </w:r>
            <w:r w:rsidRPr="00137856">
              <w:t>kompetente myndigheder</w:t>
            </w:r>
            <w:r w:rsidRPr="00137856">
              <w:rPr>
                <w:b/>
                <w:i/>
              </w:rPr>
              <w:t xml:space="preserve"> og ESMA sikrer,</w:t>
            </w:r>
            <w:r w:rsidRPr="00137856">
              <w:t xml:space="preserve"> at </w:t>
            </w:r>
            <w:r w:rsidRPr="00137856">
              <w:rPr>
                <w:b/>
                <w:i/>
              </w:rPr>
              <w:t>benchmarkadministratorer, der blev godkendt, registreret</w:t>
            </w:r>
            <w:r w:rsidRPr="00137856">
              <w:t xml:space="preserve">, </w:t>
            </w:r>
            <w:r w:rsidRPr="00137856">
              <w:rPr>
                <w:b/>
                <w:i/>
              </w:rPr>
              <w:t>valideret eller anerkendt den [Publikationskontoret: Indsæt venligst datoen = datoen for anvendelsen af denne ændringsforordning]</w:t>
            </w:r>
            <w:r w:rsidRPr="00137856">
              <w:t xml:space="preserve">, </w:t>
            </w:r>
            <w:r w:rsidRPr="00137856">
              <w:rPr>
                <w:b/>
                <w:i/>
              </w:rPr>
              <w:t>kan drage fordel af en fo</w:t>
            </w:r>
            <w:r w:rsidRPr="00137856">
              <w:rPr>
                <w:b/>
                <w:i/>
              </w:rPr>
              <w:t>renklet procedure</w:t>
            </w:r>
            <w:r w:rsidRPr="00137856">
              <w:t xml:space="preserve">, </w:t>
            </w:r>
            <w:r w:rsidRPr="00137856">
              <w:rPr>
                <w:b/>
                <w:i/>
              </w:rPr>
              <w:t>hvis de ansøger om registrering</w:t>
            </w:r>
            <w:r w:rsidRPr="00137856">
              <w:t xml:space="preserve">, </w:t>
            </w:r>
            <w:r w:rsidRPr="00137856">
              <w:rPr>
                <w:b/>
                <w:i/>
              </w:rPr>
              <w:t>anerkendelse eller validering</w:t>
            </w:r>
            <w:r w:rsidRPr="00137856">
              <w:t xml:space="preserve"> i </w:t>
            </w:r>
            <w:r w:rsidRPr="00137856">
              <w:rPr>
                <w:b/>
                <w:i/>
              </w:rPr>
              <w:t>henhold til artikel 24a, stk</w:t>
            </w:r>
            <w:r w:rsidRPr="00137856">
              <w:t>.</w:t>
            </w:r>
            <w:r w:rsidRPr="00137856">
              <w:rPr>
                <w:b/>
                <w:i/>
              </w:rPr>
              <w:t> 1, 2 eller 3, alt efter hvad der er relevant</w:t>
            </w:r>
            <w:r w:rsidRPr="00137856">
              <w:t xml:space="preserve">, senest den... </w:t>
            </w:r>
            <w:r w:rsidRPr="00137856">
              <w:rPr>
                <w:b/>
                <w:i/>
              </w:rPr>
              <w:t>[Publikationskontoret: Indsæt venligst datoen = datoen for anvendelsen af</w:t>
            </w:r>
            <w:r w:rsidRPr="00137856">
              <w:t xml:space="preserve"> denne </w:t>
            </w:r>
            <w:r w:rsidRPr="00137856">
              <w:rPr>
                <w:b/>
                <w:i/>
              </w:rPr>
              <w:t>æn</w:t>
            </w:r>
            <w:r w:rsidRPr="00137856">
              <w:rPr>
                <w:b/>
                <w:i/>
              </w:rPr>
              <w:t>dringsforordning + to år]</w:t>
            </w:r>
            <w:r w:rsidRPr="00137856">
              <w:t>.</w:t>
            </w:r>
          </w:p>
        </w:tc>
        <w:tc>
          <w:tcPr>
            <w:tcW w:w="4876" w:type="dxa"/>
            <w:hideMark/>
          </w:tcPr>
          <w:p w:rsidR="001762D4" w:rsidRPr="00137856" w:rsidRDefault="00137856">
            <w:pPr>
              <w:pStyle w:val="Normal6"/>
              <w:rPr>
                <w:szCs w:val="24"/>
              </w:rPr>
            </w:pPr>
            <w:r w:rsidRPr="00137856">
              <w:t>4c.</w:t>
            </w:r>
            <w:r w:rsidRPr="00137856">
              <w:tab/>
              <w:t xml:space="preserve">De kompetente </w:t>
            </w:r>
            <w:r w:rsidRPr="00137856">
              <w:rPr>
                <w:b/>
                <w:i/>
              </w:rPr>
              <w:t xml:space="preserve">nationale </w:t>
            </w:r>
            <w:r w:rsidRPr="00137856">
              <w:t>myndigheder</w:t>
            </w:r>
            <w:r w:rsidRPr="00137856">
              <w:rPr>
                <w:b/>
                <w:i/>
              </w:rPr>
              <w:t>, der har til hensigt</w:t>
            </w:r>
            <w:r w:rsidRPr="00137856">
              <w:t xml:space="preserve"> at </w:t>
            </w:r>
            <w:r w:rsidRPr="00137856">
              <w:rPr>
                <w:b/>
                <w:i/>
              </w:rPr>
              <w:t>udpege et benchmark leveret af en administrator</w:t>
            </w:r>
            <w:r w:rsidRPr="00137856">
              <w:t xml:space="preserve">, </w:t>
            </w:r>
            <w:r w:rsidRPr="00137856">
              <w:rPr>
                <w:b/>
                <w:i/>
              </w:rPr>
              <w:t>som var opført i ESMA's register den... [denne ændringsforordnings anvendelsesdato — 1 dag], eller ESMA</w:t>
            </w:r>
            <w:r w:rsidRPr="00137856">
              <w:t xml:space="preserve">, </w:t>
            </w:r>
            <w:r w:rsidRPr="00137856">
              <w:rPr>
                <w:b/>
                <w:i/>
              </w:rPr>
              <w:t>der har til</w:t>
            </w:r>
            <w:r w:rsidRPr="00137856">
              <w:rPr>
                <w:b/>
                <w:i/>
              </w:rPr>
              <w:t xml:space="preserve"> hensigt at udpege et benchmark</w:t>
            </w:r>
            <w:r w:rsidRPr="00137856">
              <w:t xml:space="preserve">, </w:t>
            </w:r>
            <w:r w:rsidRPr="00137856">
              <w:rPr>
                <w:b/>
                <w:i/>
              </w:rPr>
              <w:t>der var opført i ESMA's register</w:t>
            </w:r>
            <w:r w:rsidRPr="00137856">
              <w:t xml:space="preserve">, </w:t>
            </w:r>
            <w:r w:rsidRPr="00137856">
              <w:rPr>
                <w:b/>
                <w:i/>
              </w:rPr>
              <w:t>eller hvis administrator var opført</w:t>
            </w:r>
            <w:r w:rsidRPr="00137856">
              <w:t xml:space="preserve"> i </w:t>
            </w:r>
            <w:r w:rsidRPr="00137856">
              <w:rPr>
                <w:b/>
                <w:i/>
              </w:rPr>
              <w:t>ESMA's register den..</w:t>
            </w:r>
            <w:r w:rsidRPr="00137856">
              <w:t>.</w:t>
            </w:r>
            <w:r w:rsidRPr="00137856">
              <w:rPr>
                <w:b/>
                <w:i/>
              </w:rPr>
              <w:t xml:space="preserve"> [datoen for anvendelsen af denne ændringsforordning — 1 dag]</w:t>
            </w:r>
            <w:r w:rsidRPr="00137856">
              <w:t xml:space="preserve">, </w:t>
            </w:r>
            <w:r w:rsidRPr="00137856">
              <w:rPr>
                <w:b/>
                <w:i/>
              </w:rPr>
              <w:t xml:space="preserve">skal gøre dette </w:t>
            </w:r>
            <w:r w:rsidRPr="00137856">
              <w:t>senest den...</w:t>
            </w:r>
            <w:r w:rsidRPr="00137856">
              <w:rPr>
                <w:b/>
                <w:i/>
              </w:rPr>
              <w:t xml:space="preserve"> [12 måneder fra denne </w:t>
            </w:r>
            <w:r w:rsidRPr="00137856">
              <w:rPr>
                <w:b/>
                <w:i/>
              </w:rPr>
              <w:t>ændringsforordnings ikrafttræden].</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Benchmarkadministratorer, der blev godkendt, registreret, valideret eller anerkendt den... [denne ændringsforordnings anvendelsesdato], bevarer denne status i tolv måneder efter ikrafttrædelsen af denne ændringsforordni</w:t>
            </w:r>
            <w:r w:rsidRPr="00137856">
              <w:rPr>
                <w:b/>
                <w:i/>
              </w:rPr>
              <w:t>ng.</w:t>
            </w:r>
            <w:r w:rsidRPr="00137856">
              <w:t xml:space="preserve"> </w:t>
            </w:r>
            <w:r w:rsidRPr="00137856">
              <w:rPr>
                <w:b/>
                <w:i/>
              </w:rPr>
              <w:t xml:space="preserve">Hvis et eller flere af deres benchmarks er udpeget ... [senest tolv måneder efter denne ændringsforordnings anvendelsesdato] er de udpegede administratorer ikke forpligtet til på ny at ansøge om registrering, anerkendelse eller validering </w:t>
            </w:r>
            <w:r w:rsidRPr="00137856">
              <w:rPr>
                <w:b/>
                <w:i/>
              </w:rPr>
              <w:lastRenderedPageBreak/>
              <w:t>i henhold til</w:t>
            </w:r>
            <w:r w:rsidRPr="00137856">
              <w:rPr>
                <w:b/>
                <w:i/>
              </w:rPr>
              <w:t xml:space="preserve"> artikel 24a, stk. 1, (2) eller (3), alt efter hvad der er relevant.</w:t>
            </w:r>
          </w:p>
        </w:tc>
      </w:tr>
      <w:tr w:rsidR="00791339" w:rsidRPr="00137856" w:rsidTr="001762D4">
        <w:trPr>
          <w:jc w:val="center"/>
        </w:trPr>
        <w:tc>
          <w:tcPr>
            <w:tcW w:w="4876" w:type="dxa"/>
          </w:tcPr>
          <w:p w:rsidR="001762D4" w:rsidRPr="00137856" w:rsidRDefault="001762D4">
            <w:pPr>
              <w:pStyle w:val="Normal6"/>
            </w:pPr>
          </w:p>
        </w:tc>
        <w:tc>
          <w:tcPr>
            <w:tcW w:w="4876" w:type="dxa"/>
            <w:hideMark/>
          </w:tcPr>
          <w:p w:rsidR="001762D4" w:rsidRPr="00137856" w:rsidRDefault="00137856">
            <w:pPr>
              <w:pStyle w:val="Normal6"/>
              <w:rPr>
                <w:szCs w:val="24"/>
              </w:rPr>
            </w:pPr>
            <w:r w:rsidRPr="00137856">
              <w:rPr>
                <w:b/>
                <w:i/>
              </w:rPr>
              <w:t xml:space="preserve">Administratorer af væsentlige benchmarks, der blev godkendt, registreret, valideret eller anerkendt den... [denne ændringsforordnings anvendelsesdato], er ikke forpligtet til på ny at </w:t>
            </w:r>
            <w:r w:rsidRPr="00137856">
              <w:rPr>
                <w:b/>
                <w:i/>
              </w:rPr>
              <w:t>ansøge om godkendelse, registrering, anerkendelse eller validering i henhold til artikel 24a, stk. 1, hvis et eller flere af deres benchmarks er væsentlige i henhold til artikel 24 (1), litra a).</w:t>
            </w:r>
          </w:p>
        </w:tc>
      </w:tr>
    </w:tbl>
    <w:p w:rsidR="001762D4" w:rsidRPr="00137856" w:rsidRDefault="00137856" w:rsidP="001762D4">
      <w:pPr>
        <w:pStyle w:val="Olang"/>
        <w:rPr>
          <w:noProof w:val="0"/>
        </w:rPr>
      </w:pPr>
      <w:r w:rsidRPr="00137856">
        <w:rPr>
          <w:noProof w:val="0"/>
        </w:rPr>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pPr>
        <w:pStyle w:val="JustificationTitle"/>
        <w:rPr>
          <w:noProof w:val="0"/>
        </w:rPr>
      </w:pPr>
      <w:r w:rsidRPr="00137856">
        <w:rPr>
          <w:rStyle w:val="HideTWBExt"/>
          <w:i w:val="0"/>
          <w:noProof w:val="0"/>
        </w:rPr>
        <w:t>&lt;TitreJust&gt;</w:t>
      </w:r>
      <w:r w:rsidRPr="00137856">
        <w:rPr>
          <w:noProof w:val="0"/>
        </w:rPr>
        <w:t>Begrundelse</w:t>
      </w:r>
      <w:r w:rsidRPr="00137856">
        <w:rPr>
          <w:rStyle w:val="HideTWBExt"/>
          <w:i w:val="0"/>
          <w:noProof w:val="0"/>
        </w:rPr>
        <w:t>&lt;/Tit</w:t>
      </w:r>
      <w:r w:rsidRPr="00137856">
        <w:rPr>
          <w:rStyle w:val="HideTWBExt"/>
          <w:i w:val="0"/>
          <w:noProof w:val="0"/>
        </w:rPr>
        <w:t>reJust&gt;</w:t>
      </w:r>
    </w:p>
    <w:p w:rsidR="001762D4" w:rsidRPr="00137856" w:rsidRDefault="00137856" w:rsidP="001762D4">
      <w:pPr>
        <w:pStyle w:val="Normal12Italic"/>
        <w:rPr>
          <w:noProof w:val="0"/>
        </w:rPr>
      </w:pPr>
      <w:r w:rsidRPr="00137856">
        <w:rPr>
          <w:noProof w:val="0"/>
        </w:rPr>
        <w:t>Et krav om, at eksisterende administratorer skal ansøge igen, kan medføre unødvendige administrative byrder og omkostninger. Ved at give dem mulighed for at fortsætte driften i henhold til den ændrede benchmarkforordning kan en sådan ineffektivitet</w:t>
      </w:r>
      <w:r w:rsidRPr="00137856">
        <w:rPr>
          <w:noProof w:val="0"/>
        </w:rPr>
        <w:t xml:space="preserve"> undgås.</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133</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Dorien Rookmaker</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21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 xml:space="preserve">Forordning (EU) </w:t>
      </w:r>
      <w:r w:rsidRPr="00137856">
        <w:t>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51 – stk. 4c</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4c.</w:t>
            </w:r>
            <w:r w:rsidRPr="00137856">
              <w:tab/>
              <w:t xml:space="preserve">De kompetente myndigheder og ESMA sikrer, at </w:t>
            </w:r>
            <w:r w:rsidRPr="00137856">
              <w:rPr>
                <w:b/>
                <w:i/>
              </w:rPr>
              <w:t>benchmarkadministratorer</w:t>
            </w:r>
            <w:r w:rsidRPr="00137856">
              <w:t xml:space="preserve">, der blev godkendt, registreret, valideret eller anerkendt den [Publikationskontoret: Indsæt venligst datoen </w:t>
            </w:r>
            <w:r w:rsidRPr="00137856">
              <w:rPr>
                <w:b/>
                <w:i/>
              </w:rPr>
              <w:t>=</w:t>
            </w:r>
            <w:r w:rsidRPr="00137856">
              <w:t xml:space="preserve"> datoen for anvendelsen af denne ændringsforordning], kan </w:t>
            </w:r>
            <w:r w:rsidRPr="00137856">
              <w:rPr>
                <w:b/>
                <w:i/>
              </w:rPr>
              <w:t>drage fordel</w:t>
            </w:r>
            <w:r w:rsidRPr="00137856">
              <w:t xml:space="preserve"> af en forenklet procedure, hvis de ansøger om registrering, anerkendelse e</w:t>
            </w:r>
            <w:r w:rsidRPr="00137856">
              <w:t>ller validering i henhold til artikel 24a, stk. 1, 2 eller 3</w:t>
            </w:r>
            <w:r w:rsidRPr="00137856">
              <w:rPr>
                <w:b/>
                <w:i/>
              </w:rPr>
              <w:t>, alt efter hvad der er relevant</w:t>
            </w:r>
            <w:r w:rsidRPr="00137856">
              <w:t xml:space="preserve">, senest den... [Publikationskontoret: Indsæt venligst datoen = datoen for anvendelsen af denne </w:t>
            </w:r>
            <w:r w:rsidRPr="00137856">
              <w:lastRenderedPageBreak/>
              <w:t>ændringsforordning + to år].</w:t>
            </w:r>
          </w:p>
        </w:tc>
        <w:tc>
          <w:tcPr>
            <w:tcW w:w="4876" w:type="dxa"/>
            <w:hideMark/>
          </w:tcPr>
          <w:p w:rsidR="001762D4" w:rsidRPr="00137856" w:rsidRDefault="00137856" w:rsidP="00F70312">
            <w:pPr>
              <w:pStyle w:val="Normal6"/>
              <w:rPr>
                <w:szCs w:val="24"/>
              </w:rPr>
            </w:pPr>
            <w:r w:rsidRPr="00137856">
              <w:lastRenderedPageBreak/>
              <w:t>4c.</w:t>
            </w:r>
            <w:r w:rsidRPr="00137856">
              <w:tab/>
              <w:t>De kompetente myndigheder og ESMA s</w:t>
            </w:r>
            <w:r w:rsidRPr="00137856">
              <w:t xml:space="preserve">ikrer, at </w:t>
            </w:r>
            <w:r w:rsidRPr="00137856">
              <w:rPr>
                <w:b/>
                <w:i/>
              </w:rPr>
              <w:t>en benchmarkadministrator</w:t>
            </w:r>
            <w:r w:rsidRPr="00137856">
              <w:t xml:space="preserve">, der blev godkendt, registreret, valideret eller anerkendt </w:t>
            </w:r>
            <w:r w:rsidRPr="00137856">
              <w:rPr>
                <w:b/>
                <w:i/>
              </w:rPr>
              <w:t xml:space="preserve">af en kompetent myndighed i henhold til denne forordning inden </w:t>
            </w:r>
            <w:r w:rsidRPr="00137856">
              <w:t xml:space="preserve">den [Publikationskontoret: Indsæt venligst datoen </w:t>
            </w:r>
            <w:r w:rsidRPr="00137856">
              <w:rPr>
                <w:b/>
                <w:i/>
              </w:rPr>
              <w:t>for denne ændringsforordnings anvendelse], bevar</w:t>
            </w:r>
            <w:r w:rsidRPr="00137856">
              <w:rPr>
                <w:b/>
                <w:i/>
              </w:rPr>
              <w:t xml:space="preserve">er denne status i henhold til denne forordning, hvis et eller flere af administratorens benchmarks overstiger tærsklen for væsentlige benchmarks, jf. artikel 24, eller hvis en sådan administrator frivilligt vælger at </w:t>
            </w:r>
            <w:r w:rsidRPr="00137856">
              <w:rPr>
                <w:b/>
                <w:i/>
              </w:rPr>
              <w:lastRenderedPageBreak/>
              <w:t>bevare en sådan godkendelse, registreri</w:t>
            </w:r>
            <w:r w:rsidRPr="00137856">
              <w:rPr>
                <w:b/>
                <w:i/>
              </w:rPr>
              <w:t>ng, validering eller anerkendelse i henhold til denne forordning. Benchmarkadministratorer med en eksisterende godkendelse, registrering, validering eller anerkendelse før den [Publikationskontoret: Indsæt venligst</w:t>
            </w:r>
            <w:r w:rsidRPr="00137856">
              <w:t xml:space="preserve"> datoen for anvendelsen af denne ændringsf</w:t>
            </w:r>
            <w:r w:rsidRPr="00137856">
              <w:t xml:space="preserve">orordning], </w:t>
            </w:r>
            <w:r w:rsidRPr="00137856">
              <w:rPr>
                <w:b/>
                <w:i/>
              </w:rPr>
              <w:t xml:space="preserve">som forvalter et eller flere benchmarks, der overstiger tærsklen for væsentlige benchmarks, jf. artikel 24, eller som vælger at bevare en sådan godkendelse, registrering, validering eller anerkendelse på frivillig basis, er ikke forpligtet til </w:t>
            </w:r>
            <w:r w:rsidRPr="00137856">
              <w:rPr>
                <w:b/>
                <w:i/>
              </w:rPr>
              <w:t xml:space="preserve">igen at ansøge om godkendelse, registrering, validering eller anerkendelse i henhold til denne forordning på grundlag af dens reviderede anvendelsesområde, </w:t>
            </w:r>
            <w:r w:rsidRPr="00137856">
              <w:t xml:space="preserve">kan </w:t>
            </w:r>
            <w:r w:rsidRPr="00137856">
              <w:rPr>
                <w:b/>
                <w:i/>
              </w:rPr>
              <w:t>være omfattet</w:t>
            </w:r>
            <w:r w:rsidRPr="00137856">
              <w:t xml:space="preserve"> af en forenklet procedure, hvis de ansøger om registrering, anerkendelse eller val</w:t>
            </w:r>
            <w:r w:rsidRPr="00137856">
              <w:t xml:space="preserve">idering i henhold til artikel 24a, stk. 1, </w:t>
            </w:r>
            <w:r w:rsidRPr="00137856">
              <w:rPr>
                <w:b/>
                <w:i/>
              </w:rPr>
              <w:t>(</w:t>
            </w:r>
            <w:r w:rsidRPr="00137856">
              <w:t>2</w:t>
            </w:r>
            <w:r w:rsidRPr="00137856">
              <w:rPr>
                <w:b/>
                <w:i/>
              </w:rPr>
              <w:t>)</w:t>
            </w:r>
            <w:r w:rsidRPr="00137856">
              <w:t xml:space="preserve"> eller </w:t>
            </w:r>
            <w:r w:rsidRPr="00137856">
              <w:rPr>
                <w:b/>
                <w:i/>
              </w:rPr>
              <w:t>(</w:t>
            </w:r>
            <w:r w:rsidRPr="00137856">
              <w:t>3</w:t>
            </w:r>
            <w:r w:rsidRPr="00137856">
              <w:rPr>
                <w:b/>
                <w:i/>
              </w:rPr>
              <w:t>)</w:t>
            </w:r>
            <w:r w:rsidRPr="00137856">
              <w:t>, senest den... [Publikationskontoret: Indsæt venligst datoen = datoen for anvendelsen af denne ændringsforordning + to år].</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1762D4" w:rsidRPr="00137856" w:rsidRDefault="00137856" w:rsidP="001762D4">
      <w:r w:rsidRPr="00137856">
        <w:rPr>
          <w:rStyle w:val="HideTWBExt"/>
          <w:noProof w:val="0"/>
        </w:rPr>
        <w:t>&lt;/Amend&gt;</w:t>
      </w:r>
    </w:p>
    <w:p w:rsidR="001762D4" w:rsidRPr="00137856" w:rsidRDefault="00137856" w:rsidP="001762D4">
      <w:pPr>
        <w:pStyle w:val="AMNumberTabs0"/>
        <w:keepNext/>
      </w:pPr>
      <w:r w:rsidRPr="00137856">
        <w:rPr>
          <w:rStyle w:val="HideTWBExt"/>
          <w:b w:val="0"/>
          <w:noProof w:val="0"/>
        </w:rPr>
        <w:t>&lt;Amend&gt;</w:t>
      </w:r>
      <w:r w:rsidRPr="00137856">
        <w:t>Ændringsforslag</w:t>
      </w:r>
      <w:r w:rsidRPr="00137856">
        <w:tab/>
      </w:r>
      <w:r w:rsidRPr="00137856">
        <w:tab/>
      </w:r>
      <w:r w:rsidRPr="00137856">
        <w:rPr>
          <w:rStyle w:val="HideTWBExt"/>
          <w:b w:val="0"/>
          <w:noProof w:val="0"/>
        </w:rPr>
        <w:t>&lt;NumAm&gt;</w:t>
      </w:r>
      <w:r w:rsidRPr="00137856">
        <w:t>134</w:t>
      </w:r>
      <w:r w:rsidRPr="00137856">
        <w:rPr>
          <w:rStyle w:val="HideTWBExt"/>
          <w:b w:val="0"/>
          <w:noProof w:val="0"/>
        </w:rPr>
        <w:t>&lt;/NumAm&gt;</w:t>
      </w:r>
    </w:p>
    <w:p w:rsidR="001762D4" w:rsidRPr="00137856" w:rsidRDefault="00137856" w:rsidP="001762D4">
      <w:pPr>
        <w:pStyle w:val="NormalBold"/>
      </w:pPr>
      <w:r w:rsidRPr="00137856">
        <w:rPr>
          <w:rStyle w:val="HideTWBExt"/>
          <w:b w:val="0"/>
          <w:noProof w:val="0"/>
        </w:rPr>
        <w:t>&lt;RepeatBlock-By&gt;&lt;Members&gt;</w:t>
      </w:r>
      <w:r w:rsidRPr="00137856">
        <w:t>Inese Vaidere</w:t>
      </w:r>
      <w:r w:rsidRPr="00137856">
        <w:rPr>
          <w:rStyle w:val="HideTWBExt"/>
          <w:b w:val="0"/>
          <w:noProof w:val="0"/>
        </w:rPr>
        <w:t>&lt;/Members&gt;</w:t>
      </w:r>
    </w:p>
    <w:p w:rsidR="001762D4" w:rsidRPr="00137856" w:rsidRDefault="00137856" w:rsidP="001762D4">
      <w:r w:rsidRPr="00137856">
        <w:rPr>
          <w:rStyle w:val="HideTWBExt"/>
          <w:noProof w:val="0"/>
        </w:rPr>
        <w:t>&lt;/RepeatBlock-By&gt;</w:t>
      </w:r>
    </w:p>
    <w:p w:rsidR="001762D4" w:rsidRPr="00137856" w:rsidRDefault="00137856" w:rsidP="001762D4">
      <w:pPr>
        <w:pStyle w:val="NormalBold"/>
        <w:keepNext/>
      </w:pPr>
      <w:r w:rsidRPr="00137856">
        <w:rPr>
          <w:rStyle w:val="HideTWBExt"/>
          <w:b w:val="0"/>
          <w:noProof w:val="0"/>
        </w:rPr>
        <w:t>&lt;DocAmend&gt;</w:t>
      </w:r>
      <w:r w:rsidRPr="00137856">
        <w:t>Forslag til forordning</w:t>
      </w:r>
      <w:r w:rsidRPr="00137856">
        <w:rPr>
          <w:rStyle w:val="HideTWBExt"/>
          <w:b w:val="0"/>
          <w:noProof w:val="0"/>
        </w:rPr>
        <w:t>&lt;/DocAmend&gt;</w:t>
      </w:r>
    </w:p>
    <w:p w:rsidR="001762D4" w:rsidRPr="00137856" w:rsidRDefault="00137856" w:rsidP="001762D4">
      <w:pPr>
        <w:pStyle w:val="NormalBold"/>
      </w:pPr>
      <w:r w:rsidRPr="00137856">
        <w:rPr>
          <w:rStyle w:val="HideTWBExt"/>
          <w:b w:val="0"/>
          <w:noProof w:val="0"/>
        </w:rPr>
        <w:t>&lt;Article&gt;</w:t>
      </w:r>
      <w:r w:rsidRPr="00137856">
        <w:t>Artikel 1 – stk. 1 – nr. 21</w:t>
      </w:r>
      <w:r w:rsidRPr="00137856">
        <w:rPr>
          <w:rStyle w:val="HideTWBExt"/>
          <w:b w:val="0"/>
          <w:noProof w:val="0"/>
        </w:rPr>
        <w:t>&lt;/Article&gt;</w:t>
      </w:r>
    </w:p>
    <w:p w:rsidR="001762D4" w:rsidRPr="00137856" w:rsidRDefault="00137856" w:rsidP="001762D4">
      <w:pPr>
        <w:keepNext/>
      </w:pPr>
      <w:r w:rsidRPr="00137856">
        <w:rPr>
          <w:rStyle w:val="HideTWBExt"/>
          <w:noProof w:val="0"/>
        </w:rPr>
        <w:t>&lt;DocAmend2&gt;</w:t>
      </w:r>
      <w:r w:rsidRPr="00137856">
        <w:t>Forordning (EU) 2016/1011</w:t>
      </w:r>
      <w:r w:rsidRPr="00137856">
        <w:rPr>
          <w:rStyle w:val="HideTWBExt"/>
          <w:noProof w:val="0"/>
        </w:rPr>
        <w:t>&lt;/DocAmend2&gt;</w:t>
      </w:r>
    </w:p>
    <w:p w:rsidR="001762D4" w:rsidRPr="00137856" w:rsidRDefault="00137856" w:rsidP="001762D4">
      <w:r w:rsidRPr="00137856">
        <w:rPr>
          <w:rStyle w:val="HideTWBExt"/>
          <w:noProof w:val="0"/>
        </w:rPr>
        <w:t>&lt;Article2&gt;</w:t>
      </w:r>
      <w:r w:rsidRPr="00137856">
        <w:t>Artikel 51 – stk. 4c</w:t>
      </w:r>
      <w:r w:rsidRPr="00137856">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1339" w:rsidRPr="00137856" w:rsidTr="001762D4">
        <w:trPr>
          <w:jc w:val="center"/>
        </w:trPr>
        <w:tc>
          <w:tcPr>
            <w:tcW w:w="9752" w:type="dxa"/>
            <w:gridSpan w:val="2"/>
          </w:tcPr>
          <w:p w:rsidR="001762D4" w:rsidRPr="00137856" w:rsidRDefault="001762D4">
            <w:pPr>
              <w:keepNext/>
            </w:pPr>
          </w:p>
        </w:tc>
      </w:tr>
      <w:tr w:rsidR="00791339" w:rsidRPr="00137856" w:rsidTr="001762D4">
        <w:trPr>
          <w:jc w:val="center"/>
        </w:trPr>
        <w:tc>
          <w:tcPr>
            <w:tcW w:w="4876" w:type="dxa"/>
            <w:hideMark/>
          </w:tcPr>
          <w:p w:rsidR="001762D4" w:rsidRPr="00137856" w:rsidRDefault="00137856">
            <w:pPr>
              <w:pStyle w:val="ColumnHeading"/>
              <w:keepNext/>
            </w:pPr>
            <w:r w:rsidRPr="00137856">
              <w:t>Kommissionens forslag</w:t>
            </w:r>
          </w:p>
        </w:tc>
        <w:tc>
          <w:tcPr>
            <w:tcW w:w="4876" w:type="dxa"/>
            <w:hideMark/>
          </w:tcPr>
          <w:p w:rsidR="001762D4" w:rsidRPr="00137856" w:rsidRDefault="00137856">
            <w:pPr>
              <w:pStyle w:val="ColumnHeading"/>
              <w:keepNext/>
            </w:pPr>
            <w:r w:rsidRPr="00137856">
              <w:t>Ændringsforslag</w:t>
            </w:r>
          </w:p>
        </w:tc>
      </w:tr>
      <w:tr w:rsidR="00791339" w:rsidRPr="00137856" w:rsidTr="001762D4">
        <w:trPr>
          <w:jc w:val="center"/>
        </w:trPr>
        <w:tc>
          <w:tcPr>
            <w:tcW w:w="4876" w:type="dxa"/>
            <w:hideMark/>
          </w:tcPr>
          <w:p w:rsidR="001762D4" w:rsidRPr="00137856" w:rsidRDefault="00137856">
            <w:pPr>
              <w:pStyle w:val="Normal6"/>
            </w:pPr>
            <w:r w:rsidRPr="00137856">
              <w:t>4c.</w:t>
            </w:r>
            <w:r w:rsidRPr="00137856">
              <w:tab/>
              <w:t xml:space="preserve">De kompetente myndigheder og ESMA sikrer, at benchmarkadministratorer, der </w:t>
            </w:r>
            <w:r w:rsidRPr="00137856">
              <w:rPr>
                <w:b/>
                <w:i/>
              </w:rPr>
              <w:t>blev</w:t>
            </w:r>
            <w:r w:rsidRPr="00137856">
              <w:t xml:space="preserve"> godkendt, registreret, valideret eller anerkendt den [Publikationskontoret: Indsæt venligst datoen = datoen for anvende</w:t>
            </w:r>
            <w:r w:rsidRPr="00137856">
              <w:t xml:space="preserve">lsen af denne ændringsforordning], </w:t>
            </w:r>
            <w:r w:rsidRPr="00137856">
              <w:lastRenderedPageBreak/>
              <w:t>kan drage fordel af en forenklet procedure, hvis de ansøger om registrering, anerkendelse eller validering i henhold til artikel 24a, stk. 1, 2 eller 3, alt efter hvad der er relevant, senest den... [Publikationskontoret:</w:t>
            </w:r>
            <w:r w:rsidRPr="00137856">
              <w:t xml:space="preserve"> Indsæt venligst datoen = datoen for anvendelsen af denne ændringsforordning + to år].</w:t>
            </w:r>
          </w:p>
        </w:tc>
        <w:tc>
          <w:tcPr>
            <w:tcW w:w="4876" w:type="dxa"/>
            <w:hideMark/>
          </w:tcPr>
          <w:p w:rsidR="001762D4" w:rsidRPr="00137856" w:rsidRDefault="00137856">
            <w:pPr>
              <w:pStyle w:val="Normal6"/>
              <w:rPr>
                <w:szCs w:val="24"/>
              </w:rPr>
            </w:pPr>
            <w:r w:rsidRPr="00137856">
              <w:lastRenderedPageBreak/>
              <w:t>4c.</w:t>
            </w:r>
            <w:r w:rsidRPr="00137856">
              <w:tab/>
              <w:t xml:space="preserve">De kompetente myndigheder og ESMA sikrer, at benchmarkadministratorer, der </w:t>
            </w:r>
            <w:r w:rsidRPr="00137856">
              <w:rPr>
                <w:b/>
                <w:i/>
              </w:rPr>
              <w:t>ikke længere ville være</w:t>
            </w:r>
            <w:r w:rsidRPr="00137856">
              <w:t xml:space="preserve"> godkendt, registreret, valideret eller anerkendt</w:t>
            </w:r>
            <w:r w:rsidRPr="00137856">
              <w:rPr>
                <w:b/>
                <w:i/>
              </w:rPr>
              <w:t xml:space="preserve"> som følge af denn</w:t>
            </w:r>
            <w:r w:rsidRPr="00137856">
              <w:rPr>
                <w:b/>
                <w:i/>
              </w:rPr>
              <w:t>e ændringsforordnings ikrafttræden</w:t>
            </w:r>
            <w:r w:rsidRPr="00137856">
              <w:t xml:space="preserve"> den [Publikationskontoret: Indsæt venligst </w:t>
            </w:r>
            <w:r w:rsidRPr="00137856">
              <w:lastRenderedPageBreak/>
              <w:t>datoen = datoen for anvendelsen af denne ændringsforordning], kan drage fordel af en forenklet procedure, hvis de ansøger om registrering, anerkendelse eller validering i henhold</w:t>
            </w:r>
            <w:r w:rsidRPr="00137856">
              <w:t xml:space="preserve"> til artikel 24a, stk. 1, 2 eller 3, alt efter hvad der er relevant, senest den... [Publikationskontoret: Indsæt venligst datoen = datoen for anvendelsen af denne ændringsforordning + to år].</w:t>
            </w:r>
          </w:p>
        </w:tc>
      </w:tr>
    </w:tbl>
    <w:p w:rsidR="001762D4" w:rsidRPr="00137856" w:rsidRDefault="00137856" w:rsidP="001762D4">
      <w:pPr>
        <w:pStyle w:val="Olang"/>
        <w:rPr>
          <w:noProof w:val="0"/>
        </w:rPr>
      </w:pPr>
      <w:r w:rsidRPr="00137856">
        <w:rPr>
          <w:noProof w:val="0"/>
        </w:rPr>
        <w:lastRenderedPageBreak/>
        <w:t xml:space="preserve">Or. </w:t>
      </w:r>
      <w:r w:rsidRPr="00137856">
        <w:rPr>
          <w:rStyle w:val="HideTWBExt"/>
          <w:noProof w:val="0"/>
        </w:rPr>
        <w:t>&lt;Original&gt;</w:t>
      </w:r>
      <w:r w:rsidRPr="00137856">
        <w:rPr>
          <w:rStyle w:val="HideTWBInt"/>
          <w:noProof w:val="0"/>
        </w:rPr>
        <w:t>{EN}</w:t>
      </w:r>
      <w:r w:rsidRPr="00137856">
        <w:rPr>
          <w:noProof w:val="0"/>
        </w:rPr>
        <w:t>en</w:t>
      </w:r>
      <w:r w:rsidRPr="00137856">
        <w:rPr>
          <w:rStyle w:val="HideTWBExt"/>
          <w:noProof w:val="0"/>
        </w:rPr>
        <w:t>&lt;/Original&gt;</w:t>
      </w:r>
    </w:p>
    <w:p w:rsidR="00FA192C" w:rsidRPr="00137856" w:rsidRDefault="00137856" w:rsidP="001762D4">
      <w:pPr>
        <w:pStyle w:val="AmNumberTabs"/>
        <w:keepNext/>
      </w:pPr>
      <w:r w:rsidRPr="00137856">
        <w:rPr>
          <w:rStyle w:val="HideTWBExt"/>
          <w:noProof w:val="0"/>
        </w:rPr>
        <w:t>&lt;/Amend&gt;&lt;/RepeatBlock-Amend&gt;</w:t>
      </w:r>
    </w:p>
    <w:p w:rsidR="008363E4" w:rsidRPr="00137856" w:rsidRDefault="008363E4" w:rsidP="00FA192C">
      <w:bookmarkStart w:id="2" w:name="_GoBack"/>
      <w:bookmarkEnd w:id="2"/>
    </w:p>
    <w:sectPr w:rsidR="008363E4" w:rsidRPr="00137856" w:rsidSect="00022C7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22C7B" w:rsidRDefault="00137856">
      <w:r w:rsidRPr="00022C7B">
        <w:separator/>
      </w:r>
    </w:p>
  </w:endnote>
  <w:endnote w:type="continuationSeparator" w:id="0">
    <w:p w:rsidR="00000000" w:rsidRPr="00022C7B" w:rsidRDefault="00137856">
      <w:r w:rsidRPr="00022C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C7B" w:rsidRPr="00022C7B" w:rsidRDefault="00022C7B" w:rsidP="00022C7B">
    <w:pPr>
      <w:pStyle w:val="EPFooter"/>
    </w:pPr>
    <w:r w:rsidRPr="00022C7B">
      <w:t>PE</w:t>
    </w:r>
    <w:r w:rsidRPr="00022C7B">
      <w:rPr>
        <w:rStyle w:val="HideTWBExt"/>
      </w:rPr>
      <w:t>&lt;NoPE&gt;</w:t>
    </w:r>
    <w:r w:rsidRPr="00022C7B">
      <w:t>758.780</w:t>
    </w:r>
    <w:r w:rsidRPr="00022C7B">
      <w:rPr>
        <w:rStyle w:val="HideTWBExt"/>
      </w:rPr>
      <w:t>&lt;/NoPE&gt;&lt;Version&gt;</w:t>
    </w:r>
    <w:r w:rsidRPr="00022C7B">
      <w:t>v01-00</w:t>
    </w:r>
    <w:r w:rsidRPr="00022C7B">
      <w:rPr>
        <w:rStyle w:val="HideTWBExt"/>
      </w:rPr>
      <w:t>&lt;/Version&gt;</w:t>
    </w:r>
    <w:r w:rsidRPr="00022C7B">
      <w:tab/>
    </w:r>
    <w:r w:rsidRPr="00022C7B">
      <w:fldChar w:fldCharType="begin"/>
    </w:r>
    <w:r w:rsidRPr="00022C7B">
      <w:instrText xml:space="preserve"> PAGE  \* MERGEFORMAT </w:instrText>
    </w:r>
    <w:r w:rsidRPr="00022C7B">
      <w:fldChar w:fldCharType="separate"/>
    </w:r>
    <w:r w:rsidR="00137856">
      <w:rPr>
        <w:noProof/>
      </w:rPr>
      <w:t>44</w:t>
    </w:r>
    <w:r w:rsidRPr="00022C7B">
      <w:fldChar w:fldCharType="end"/>
    </w:r>
    <w:r w:rsidRPr="00022C7B">
      <w:t>/</w:t>
    </w:r>
    <w:fldSimple w:instr=" NUMPAGES  \* MERGEFORMAT ">
      <w:r w:rsidR="00137856">
        <w:rPr>
          <w:noProof/>
        </w:rPr>
        <w:t>44</w:t>
      </w:r>
    </w:fldSimple>
    <w:r w:rsidRPr="00022C7B">
      <w:tab/>
    </w:r>
    <w:r w:rsidRPr="00022C7B">
      <w:rPr>
        <w:rStyle w:val="HideTWBExt"/>
      </w:rPr>
      <w:t>&lt;PathFdR&gt;</w:t>
    </w:r>
    <w:r w:rsidRPr="00022C7B">
      <w:t>AM\1295538DA.docx</w:t>
    </w:r>
    <w:r w:rsidRPr="00022C7B">
      <w:rPr>
        <w:rStyle w:val="HideTWBExt"/>
      </w:rPr>
      <w:t>&lt;/PathFdR&gt;</w:t>
    </w:r>
  </w:p>
  <w:p w:rsidR="00EC2D82" w:rsidRPr="00022C7B" w:rsidRDefault="00022C7B" w:rsidP="00022C7B">
    <w:pPr>
      <w:pStyle w:val="EPFooter2"/>
    </w:pPr>
    <w:r w:rsidRPr="00022C7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C7B" w:rsidRPr="00022C7B" w:rsidRDefault="00022C7B" w:rsidP="00022C7B">
    <w:pPr>
      <w:pStyle w:val="EPFooter"/>
    </w:pPr>
    <w:r w:rsidRPr="00022C7B">
      <w:rPr>
        <w:rStyle w:val="HideTWBExt"/>
      </w:rPr>
      <w:t>&lt;PathFdR&gt;</w:t>
    </w:r>
    <w:r w:rsidRPr="00022C7B">
      <w:t>AM\1295538DA.docx</w:t>
    </w:r>
    <w:r w:rsidRPr="00022C7B">
      <w:rPr>
        <w:rStyle w:val="HideTWBExt"/>
      </w:rPr>
      <w:t>&lt;/PathFdR&gt;</w:t>
    </w:r>
    <w:r w:rsidRPr="00022C7B">
      <w:tab/>
    </w:r>
    <w:r w:rsidRPr="00022C7B">
      <w:fldChar w:fldCharType="begin"/>
    </w:r>
    <w:r w:rsidRPr="00022C7B">
      <w:instrText xml:space="preserve"> PAGE  \* MERGEFORMAT </w:instrText>
    </w:r>
    <w:r w:rsidRPr="00022C7B">
      <w:fldChar w:fldCharType="separate"/>
    </w:r>
    <w:r w:rsidR="00137856">
      <w:rPr>
        <w:noProof/>
      </w:rPr>
      <w:t>43</w:t>
    </w:r>
    <w:r w:rsidRPr="00022C7B">
      <w:fldChar w:fldCharType="end"/>
    </w:r>
    <w:r w:rsidRPr="00022C7B">
      <w:t>/</w:t>
    </w:r>
    <w:fldSimple w:instr=" NUMPAGES  \* MERGEFORMAT ">
      <w:r w:rsidR="00137856">
        <w:rPr>
          <w:noProof/>
        </w:rPr>
        <w:t>44</w:t>
      </w:r>
    </w:fldSimple>
    <w:r w:rsidRPr="00022C7B">
      <w:tab/>
      <w:t>PE</w:t>
    </w:r>
    <w:r w:rsidRPr="00022C7B">
      <w:rPr>
        <w:rStyle w:val="HideTWBExt"/>
      </w:rPr>
      <w:t>&lt;NoPE&gt;</w:t>
    </w:r>
    <w:r w:rsidRPr="00022C7B">
      <w:t>758.780</w:t>
    </w:r>
    <w:r w:rsidRPr="00022C7B">
      <w:rPr>
        <w:rStyle w:val="HideTWBExt"/>
      </w:rPr>
      <w:t>&lt;/NoPE&gt;&lt;Version&gt;</w:t>
    </w:r>
    <w:r w:rsidRPr="00022C7B">
      <w:t>v01-00</w:t>
    </w:r>
    <w:r w:rsidRPr="00022C7B">
      <w:rPr>
        <w:rStyle w:val="HideTWBExt"/>
      </w:rPr>
      <w:t>&lt;/Version&gt;</w:t>
    </w:r>
  </w:p>
  <w:p w:rsidR="00EC2D82" w:rsidRPr="00022C7B" w:rsidRDefault="00022C7B" w:rsidP="00022C7B">
    <w:pPr>
      <w:pStyle w:val="EPFooter2"/>
    </w:pPr>
    <w:r w:rsidRPr="00022C7B">
      <w:tab/>
    </w:r>
    <w:r w:rsidRPr="00022C7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C7B" w:rsidRPr="00022C7B" w:rsidRDefault="00022C7B" w:rsidP="00022C7B">
    <w:pPr>
      <w:pStyle w:val="EPFooter"/>
    </w:pPr>
    <w:r w:rsidRPr="00022C7B">
      <w:rPr>
        <w:rStyle w:val="HideTWBExt"/>
      </w:rPr>
      <w:t>&lt;PathFdR&gt;</w:t>
    </w:r>
    <w:r w:rsidRPr="00022C7B">
      <w:t>AM\1295538DA.docx</w:t>
    </w:r>
    <w:r w:rsidRPr="00022C7B">
      <w:rPr>
        <w:rStyle w:val="HideTWBExt"/>
      </w:rPr>
      <w:t>&lt;/PathFdR&gt;</w:t>
    </w:r>
    <w:r w:rsidRPr="00022C7B">
      <w:tab/>
    </w:r>
    <w:r w:rsidRPr="00022C7B">
      <w:tab/>
      <w:t>PE</w:t>
    </w:r>
    <w:r w:rsidRPr="00022C7B">
      <w:rPr>
        <w:rStyle w:val="HideTWBExt"/>
      </w:rPr>
      <w:t>&lt;NoPE&gt;</w:t>
    </w:r>
    <w:r w:rsidRPr="00022C7B">
      <w:t>758.780</w:t>
    </w:r>
    <w:r w:rsidRPr="00022C7B">
      <w:rPr>
        <w:rStyle w:val="HideTWBExt"/>
      </w:rPr>
      <w:t>&lt;/NoPE&gt;&lt;Version&gt;</w:t>
    </w:r>
    <w:r w:rsidRPr="00022C7B">
      <w:t>v01-00</w:t>
    </w:r>
    <w:r w:rsidRPr="00022C7B">
      <w:rPr>
        <w:rStyle w:val="HideTWBExt"/>
      </w:rPr>
      <w:t>&lt;/Version&gt;</w:t>
    </w:r>
  </w:p>
  <w:p w:rsidR="00EC2D82" w:rsidRPr="00022C7B" w:rsidRDefault="00022C7B" w:rsidP="00022C7B">
    <w:pPr>
      <w:pStyle w:val="EPFooter2"/>
    </w:pPr>
    <w:r w:rsidRPr="00022C7B">
      <w:t>DA</w:t>
    </w:r>
    <w:r w:rsidRPr="00022C7B">
      <w:tab/>
    </w:r>
    <w:r w:rsidRPr="00022C7B">
      <w:rPr>
        <w:b w:val="0"/>
        <w:i/>
        <w:color w:val="C0C0C0"/>
        <w:sz w:val="22"/>
      </w:rPr>
      <w:t>Forenet i mangfoldighed</w:t>
    </w:r>
    <w:r w:rsidRPr="00022C7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22C7B" w:rsidRDefault="00137856">
      <w:r w:rsidRPr="00022C7B">
        <w:separator/>
      </w:r>
    </w:p>
  </w:footnote>
  <w:footnote w:type="continuationSeparator" w:id="0">
    <w:p w:rsidR="00000000" w:rsidRPr="00022C7B" w:rsidRDefault="00137856">
      <w:r w:rsidRPr="00022C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8CC" w:rsidRDefault="00B00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8CC" w:rsidRDefault="00B00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8CC" w:rsidRDefault="00B00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DA"/>
    <w:docVar w:name="TXTLANGUEMIN" w:val="da"/>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DA.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22C7B"/>
    <w:rsid w:val="00073830"/>
    <w:rsid w:val="00075DBE"/>
    <w:rsid w:val="000B0781"/>
    <w:rsid w:val="000B3BE8"/>
    <w:rsid w:val="000D446F"/>
    <w:rsid w:val="000E4F88"/>
    <w:rsid w:val="000E7234"/>
    <w:rsid w:val="000F2A80"/>
    <w:rsid w:val="000F7815"/>
    <w:rsid w:val="00126BC4"/>
    <w:rsid w:val="00137856"/>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91339"/>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08CC"/>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FF970"/>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da-DK"/>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44</Pages>
  <Words>9077</Words>
  <Characters>55983</Characters>
  <Application>Microsoft Office Word</Application>
  <DocSecurity>0</DocSecurity>
  <Lines>2225</Lines>
  <Paragraphs>772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SUCIU Monica-Elena</dc:creator>
  <cp:lastModifiedBy>HEINSOEE Katja</cp:lastModifiedBy>
  <cp:revision>2</cp:revision>
  <cp:lastPrinted>2007-06-22T14:02:00Z</cp:lastPrinted>
  <dcterms:created xsi:type="dcterms:W3CDTF">2024-02-15T10:37:00Z</dcterms:created>
  <dcterms:modified xsi:type="dcterms:W3CDTF">2024-02-15T10:37:00Z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AM\1295538DA.docx</vt:lpwstr>
  </property>
  <property fmtid="{D5CDD505-2E9C-101B-9397-08002B2CF9AE}" pid="11" name="LastEdited with">
    <vt:lpwstr>9.17.1 Build [20240110]</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- 2024/02/15 11:37</vt:lpwstr>
  </property>
</Properties>
</file>