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87166" w:rsidRPr="00F9761E" w:rsidTr="001762D4">
        <w:trPr>
          <w:trHeight w:hRule="exact" w:val="1418"/>
        </w:trPr>
        <w:tc>
          <w:tcPr>
            <w:tcW w:w="6804" w:type="dxa"/>
            <w:shd w:val="clear" w:color="auto" w:fill="auto"/>
            <w:vAlign w:val="center"/>
          </w:tcPr>
          <w:p w:rsidR="00BE5062" w:rsidRPr="00F9761E" w:rsidRDefault="00BE5062" w:rsidP="00200D0B">
            <w:pPr>
              <w:pStyle w:val="EPTerm"/>
            </w:pPr>
          </w:p>
        </w:tc>
        <w:tc>
          <w:tcPr>
            <w:tcW w:w="2268" w:type="dxa"/>
            <w:shd w:val="clear" w:color="auto" w:fill="auto"/>
          </w:tcPr>
          <w:p w:rsidR="00BE5062" w:rsidRPr="00F9761E" w:rsidRDefault="00CC2358" w:rsidP="001762D4">
            <w:pPr>
              <w:pStyle w:val="EPLogo"/>
            </w:pPr>
            <w:r w:rsidRPr="00F9761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9761E" w:rsidRDefault="000E7234" w:rsidP="000E7234">
      <w:pPr>
        <w:pStyle w:val="LineTop"/>
      </w:pPr>
    </w:p>
    <w:p w:rsidR="000E7234" w:rsidRPr="00F9761E" w:rsidRDefault="00CC2358" w:rsidP="000E7234">
      <w:pPr>
        <w:pStyle w:val="EPBody"/>
      </w:pPr>
      <w:r w:rsidRPr="00F9761E">
        <w:rPr>
          <w:rStyle w:val="HideTWBExt"/>
        </w:rPr>
        <w:t>&lt;</w:t>
      </w:r>
      <w:r w:rsidRPr="00F9761E">
        <w:rPr>
          <w:rStyle w:val="HideTWBExt"/>
          <w:i w:val="0"/>
        </w:rPr>
        <w:t>Commission</w:t>
      </w:r>
      <w:r w:rsidRPr="00F9761E">
        <w:rPr>
          <w:rStyle w:val="HideTWBExt"/>
        </w:rPr>
        <w:t>&gt;</w:t>
      </w:r>
      <w:r w:rsidRPr="00F9761E">
        <w:rPr>
          <w:rStyle w:val="HideTWBInt"/>
          <w:color w:val="auto"/>
        </w:rPr>
        <w:t>{ECON}</w:t>
      </w:r>
      <w:r w:rsidRPr="00F9761E">
        <w:t>Commissie economische en monetaire zaken</w:t>
      </w:r>
      <w:r w:rsidRPr="00F9761E">
        <w:rPr>
          <w:rStyle w:val="HideTWBExt"/>
        </w:rPr>
        <w:t>&lt;/</w:t>
      </w:r>
      <w:r w:rsidRPr="00F9761E">
        <w:rPr>
          <w:rStyle w:val="HideTWBExt"/>
          <w:i w:val="0"/>
        </w:rPr>
        <w:t>Commission</w:t>
      </w:r>
      <w:r w:rsidRPr="00F9761E">
        <w:rPr>
          <w:rStyle w:val="HideTWBExt"/>
        </w:rPr>
        <w:t>&gt;</w:t>
      </w:r>
    </w:p>
    <w:p w:rsidR="000E7234" w:rsidRPr="00F9761E" w:rsidRDefault="000E7234" w:rsidP="000E7234">
      <w:pPr>
        <w:pStyle w:val="LineBottom"/>
      </w:pPr>
    </w:p>
    <w:p w:rsidR="00B85286" w:rsidRPr="00F9761E" w:rsidRDefault="00CC2358">
      <w:pPr>
        <w:pStyle w:val="CoverReference"/>
      </w:pPr>
      <w:r w:rsidRPr="00F9761E">
        <w:rPr>
          <w:rStyle w:val="HideTWBExt"/>
          <w:b w:val="0"/>
        </w:rPr>
        <w:t>&lt;RefProc&gt;</w:t>
      </w:r>
      <w:r w:rsidRPr="00F9761E">
        <w:t>2023/0379</w:t>
      </w:r>
      <w:r w:rsidRPr="00F9761E">
        <w:rPr>
          <w:rStyle w:val="HideTWBExt"/>
          <w:b w:val="0"/>
        </w:rPr>
        <w:t>&lt;/RefProc&gt;&lt;RefTypeProc&gt;</w:t>
      </w:r>
      <w:r w:rsidRPr="00F9761E">
        <w:t>(COD)</w:t>
      </w:r>
      <w:r w:rsidRPr="00F9761E">
        <w:rPr>
          <w:rStyle w:val="HideTWBExt"/>
          <w:b w:val="0"/>
        </w:rPr>
        <w:t>&lt;/RefTypeProc&gt;</w:t>
      </w:r>
    </w:p>
    <w:p w:rsidR="00B85286" w:rsidRPr="00F9761E" w:rsidRDefault="00CC2358">
      <w:pPr>
        <w:pStyle w:val="CoverDate"/>
      </w:pPr>
      <w:r w:rsidRPr="00F9761E">
        <w:rPr>
          <w:rStyle w:val="HideTWBExt"/>
        </w:rPr>
        <w:t>&lt;Date&gt;</w:t>
      </w:r>
      <w:r w:rsidRPr="00F9761E">
        <w:rPr>
          <w:rStyle w:val="HideTWBInt"/>
          <w:color w:val="auto"/>
        </w:rPr>
        <w:t>{01/02/2024}</w:t>
      </w:r>
      <w:r w:rsidRPr="00F9761E">
        <w:t>1.2.2024</w:t>
      </w:r>
      <w:r w:rsidRPr="00F9761E">
        <w:rPr>
          <w:rStyle w:val="HideTWBExt"/>
        </w:rPr>
        <w:t>&lt;/Date&gt;</w:t>
      </w:r>
    </w:p>
    <w:p w:rsidR="009B0305" w:rsidRPr="00F9761E" w:rsidRDefault="00CC2358" w:rsidP="009B0305">
      <w:pPr>
        <w:pStyle w:val="CoverDocType"/>
      </w:pPr>
      <w:r w:rsidRPr="00F9761E">
        <w:rPr>
          <w:rStyle w:val="HideTWBExt"/>
          <w:b w:val="0"/>
        </w:rPr>
        <w:t>&lt;TypeAM&gt;</w:t>
      </w:r>
      <w:r w:rsidRPr="00F9761E">
        <w:t>AMENDEMENTEN</w:t>
      </w:r>
      <w:r w:rsidRPr="00F9761E">
        <w:rPr>
          <w:rStyle w:val="HideTWBExt"/>
          <w:b w:val="0"/>
        </w:rPr>
        <w:t>&lt;/TypeAM&gt;</w:t>
      </w:r>
    </w:p>
    <w:p w:rsidR="00B85286" w:rsidRPr="00F9761E" w:rsidRDefault="00CC2358" w:rsidP="001C2054">
      <w:pPr>
        <w:pStyle w:val="CoverDocType24a"/>
      </w:pPr>
      <w:r w:rsidRPr="00F9761E">
        <w:rPr>
          <w:rStyle w:val="HideTWBExt"/>
          <w:b w:val="0"/>
        </w:rPr>
        <w:t>&lt;RangeAM&gt;</w:t>
      </w:r>
      <w:r w:rsidRPr="00F9761E">
        <w:t>73 - 134</w:t>
      </w:r>
      <w:r w:rsidRPr="00F9761E">
        <w:rPr>
          <w:rStyle w:val="HideTWBExt"/>
          <w:b w:val="0"/>
        </w:rPr>
        <w:t>&lt;/RangeAM&gt;</w:t>
      </w:r>
    </w:p>
    <w:p w:rsidR="001C2054" w:rsidRPr="00F9761E" w:rsidRDefault="00CC2358" w:rsidP="00A93F8C">
      <w:pPr>
        <w:pStyle w:val="CoverBold"/>
      </w:pPr>
      <w:r w:rsidRPr="00F9761E">
        <w:rPr>
          <w:rStyle w:val="HideTWBExt"/>
          <w:b w:val="0"/>
        </w:rPr>
        <w:t>&lt;TitreType&gt;</w:t>
      </w:r>
      <w:r w:rsidRPr="00F9761E">
        <w:t>Ontwerpverslag</w:t>
      </w:r>
      <w:r w:rsidRPr="00F9761E">
        <w:rPr>
          <w:rStyle w:val="HideTWBExt"/>
          <w:b w:val="0"/>
        </w:rPr>
        <w:t>&lt;/TitreType&gt;</w:t>
      </w:r>
    </w:p>
    <w:p w:rsidR="00B85286" w:rsidRPr="00F9761E" w:rsidRDefault="00CC2358" w:rsidP="00A93F8C">
      <w:pPr>
        <w:pStyle w:val="CoverBold"/>
      </w:pPr>
      <w:r w:rsidRPr="00F9761E">
        <w:rPr>
          <w:rStyle w:val="HideTWBExt"/>
          <w:b w:val="0"/>
        </w:rPr>
        <w:t>&lt;Rapporteur&gt;</w:t>
      </w:r>
      <w:r w:rsidRPr="00F9761E">
        <w:t>Jonás Fernández</w:t>
      </w:r>
      <w:r w:rsidRPr="00F9761E">
        <w:rPr>
          <w:rStyle w:val="HideTWBExt"/>
          <w:b w:val="0"/>
        </w:rPr>
        <w:t>&lt;/Rapporteur&gt;</w:t>
      </w:r>
    </w:p>
    <w:p w:rsidR="00B85286" w:rsidRPr="00F9761E" w:rsidRDefault="00CC2358">
      <w:pPr>
        <w:pStyle w:val="CoverNormal24a"/>
      </w:pPr>
      <w:r w:rsidRPr="00F9761E">
        <w:rPr>
          <w:rStyle w:val="HideTWBExt"/>
        </w:rPr>
        <w:t>&lt;DocRefPE&gt;</w:t>
      </w:r>
      <w:r w:rsidRPr="00F9761E">
        <w:t>(PE757.977v01-00)</w:t>
      </w:r>
      <w:r w:rsidRPr="00F9761E">
        <w:rPr>
          <w:rStyle w:val="HideTWBExt"/>
        </w:rPr>
        <w:t>&lt;/DocRefPE&gt;</w:t>
      </w:r>
    </w:p>
    <w:p w:rsidR="00B85286" w:rsidRPr="00F9761E" w:rsidRDefault="00CC2358">
      <w:pPr>
        <w:pStyle w:val="CoverNormal24a"/>
      </w:pPr>
      <w:r w:rsidRPr="00F9761E">
        <w:rPr>
          <w:rStyle w:val="HideTWBExt"/>
        </w:rPr>
        <w:t>&lt;Titre&gt;</w:t>
      </w:r>
      <w:r w:rsidRPr="00F9761E">
        <w:t>Wijziging van Verordening (EU) 2016/1011 wat betreft het toepassingsgebied van de voorschriften voor benchmarks, het gebruik in de Unie van be</w:t>
      </w:r>
      <w:r w:rsidRPr="00F9761E">
        <w:t>nchmarks aangeboden door een in derde land gevestigde beheerder, en bepaalde verslaggevingsverplichtingen</w:t>
      </w:r>
      <w:r w:rsidRPr="00F9761E">
        <w:rPr>
          <w:rStyle w:val="HideTWBExt"/>
        </w:rPr>
        <w:t>&lt;/Titre&gt;</w:t>
      </w:r>
    </w:p>
    <w:p w:rsidR="006337D4" w:rsidRPr="00F9761E" w:rsidRDefault="00CC2358" w:rsidP="006337D4">
      <w:pPr>
        <w:pStyle w:val="CoverNormal"/>
      </w:pPr>
      <w:r w:rsidRPr="00F9761E">
        <w:rPr>
          <w:rStyle w:val="HideTWBExt"/>
        </w:rPr>
        <w:t>&lt;DocAmend&gt;</w:t>
      </w:r>
      <w:r w:rsidRPr="00F9761E">
        <w:t>Voorstel voor een verordening</w:t>
      </w:r>
      <w:r w:rsidRPr="00F9761E">
        <w:rPr>
          <w:rStyle w:val="HideTWBExt"/>
        </w:rPr>
        <w:t>&lt;/DocAmend&gt;</w:t>
      </w:r>
    </w:p>
    <w:p w:rsidR="00B85286" w:rsidRPr="00F9761E" w:rsidRDefault="00CC2358">
      <w:pPr>
        <w:pStyle w:val="CoverNormal24a"/>
      </w:pPr>
      <w:r w:rsidRPr="00F9761E">
        <w:rPr>
          <w:rStyle w:val="HideTWBExt"/>
        </w:rPr>
        <w:t>&lt;DocRef&gt;</w:t>
      </w:r>
      <w:r w:rsidRPr="00F9761E">
        <w:t>(COM(2023)0660 – C9</w:t>
      </w:r>
      <w:r w:rsidRPr="00F9761E">
        <w:noBreakHyphen/>
        <w:t>0389/2023 – 2023/0379(COD))</w:t>
      </w:r>
      <w:r w:rsidRPr="00F9761E">
        <w:rPr>
          <w:rStyle w:val="HideTWBExt"/>
        </w:rPr>
        <w:t>&lt;/DocRef&gt;</w:t>
      </w:r>
    </w:p>
    <w:p w:rsidR="00B85286" w:rsidRPr="00F9761E" w:rsidRDefault="00CC2358" w:rsidP="00E660E2">
      <w:pPr>
        <w:widowControl/>
        <w:tabs>
          <w:tab w:val="center" w:pos="4677"/>
        </w:tabs>
      </w:pPr>
      <w:r w:rsidRPr="00F9761E">
        <w:br w:type="page"/>
      </w:r>
      <w:r w:rsidRPr="00F9761E">
        <w:lastRenderedPageBreak/>
        <w:t>AM_Com_LegReport</w:t>
      </w:r>
    </w:p>
    <w:p w:rsidR="001762D4" w:rsidRPr="00F9761E" w:rsidRDefault="00CC2358" w:rsidP="001762D4">
      <w:pPr>
        <w:pStyle w:val="AMNumberTabs0"/>
        <w:keepNext/>
      </w:pPr>
      <w:r w:rsidRPr="00F9761E">
        <w:br w:type="page"/>
      </w:r>
      <w:bookmarkStart w:id="0" w:name="IntroB"/>
      <w:r w:rsidRPr="00F9761E">
        <w:rPr>
          <w:rStyle w:val="HideTWBExt"/>
          <w:b w:val="0"/>
        </w:rPr>
        <w:lastRenderedPageBreak/>
        <w:t>&lt;RepeatBlock-Amend&gt;</w:t>
      </w:r>
      <w:bookmarkStart w:id="1" w:name="restart"/>
      <w:bookmarkEnd w:id="0"/>
      <w:r w:rsidRPr="00F9761E">
        <w:rPr>
          <w:rStyle w:val="HideTWBExt"/>
          <w:b w:val="0"/>
        </w:rPr>
        <w:t>&lt;Amend&gt;</w:t>
      </w:r>
      <w:bookmarkEnd w:id="1"/>
      <w:r w:rsidRPr="00F9761E">
        <w:t>Amendement</w:t>
      </w:r>
      <w:r w:rsidRPr="00F9761E">
        <w:tab/>
      </w:r>
      <w:r w:rsidRPr="00F9761E">
        <w:tab/>
      </w:r>
      <w:r w:rsidRPr="00F9761E">
        <w:rPr>
          <w:rStyle w:val="HideTWBExt"/>
          <w:b w:val="0"/>
        </w:rPr>
        <w:t>&lt;NumAm&gt;</w:t>
      </w:r>
      <w:r w:rsidRPr="00F9761E">
        <w:t>73</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Overweging 4</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(4)</w:t>
            </w:r>
            <w:r w:rsidRPr="00F9761E">
              <w:tab/>
              <w:t xml:space="preserve">Overeenkomstig artikel 19 quinquies van Verordening (EU) 2016/1011 moeten beheerders van significante benchmarks ernaar streven </w:t>
            </w:r>
            <w:r w:rsidRPr="00F9761E">
              <w:rPr>
                <w:b/>
                <w:i/>
              </w:rPr>
              <w:t>uiterlijk 1 januari 2022</w:t>
            </w:r>
            <w:r w:rsidRPr="00F9761E">
              <w:t xml:space="preserve"> een EU-klimaattransitiebenchmark of een op de Overeenkomst van Parijs afgestemde EU-benchmark aan </w:t>
            </w:r>
            <w:r w:rsidRPr="00F9761E">
              <w:t>te bieden.</w:t>
            </w:r>
            <w:r w:rsidRPr="00F9761E">
              <w:rPr>
                <w:b/>
                <w:i/>
              </w:rPr>
              <w:t xml:space="preserve"> Aangezien deze datum is verstreken, dient deze bepaling te worden geschrapt.</w:t>
            </w:r>
          </w:p>
        </w:tc>
        <w:tc>
          <w:tcPr>
            <w:tcW w:w="4876" w:type="dxa"/>
            <w:hideMark/>
          </w:tcPr>
          <w:p w:rsidR="001762D4" w:rsidRPr="00F9761E" w:rsidRDefault="00CC2358">
            <w:pPr>
              <w:pStyle w:val="Normal6"/>
              <w:rPr>
                <w:szCs w:val="24"/>
              </w:rPr>
            </w:pPr>
            <w:r w:rsidRPr="00F9761E">
              <w:t>(4)</w:t>
            </w:r>
            <w:r w:rsidRPr="00F9761E">
              <w:tab/>
              <w:t>Overeenkomstig artikel 19 quinquies van Verordening (EU) 2016/1011 moeten beheerders van significante benchmarks ernaar streven een EU-klimaattrans</w:t>
            </w:r>
            <w:bookmarkStart w:id="2" w:name="_GoBack"/>
            <w:bookmarkEnd w:id="2"/>
            <w:r w:rsidRPr="00F9761E">
              <w:t xml:space="preserve">itiebenchmark of </w:t>
            </w:r>
            <w:r w:rsidRPr="00F9761E">
              <w:t xml:space="preserve">een op de Overeenkomst van Parijs afgestemde EU-benchmark aan te bieden </w:t>
            </w:r>
            <w:r w:rsidRPr="00F9761E">
              <w:rPr>
                <w:b/>
                <w:i/>
              </w:rPr>
              <w:t>teneinde minimumnormen voor klimaatbenchmarks vast te stellen</w:t>
            </w:r>
            <w:r w:rsidRPr="00F9761E">
              <w: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74</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w:t>
      </w:r>
      <w:r w:rsidRPr="00F9761E">
        <w:t>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Overweging 5 bis (nieuw)</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(5 bis)</w:t>
            </w:r>
            <w:r w:rsidRPr="00F9761E">
              <w:rPr>
                <w:b/>
                <w:i/>
              </w:rPr>
              <w:tab/>
              <w:t xml:space="preserve">Indien één beheerder een combinatie </w:t>
            </w:r>
            <w:r w:rsidRPr="00F9761E">
              <w:rPr>
                <w:b/>
                <w:i/>
              </w:rPr>
              <w:t>van benchmarks aanbiedt, die geen van alle afzonderlijk de drempel van 50 miljard EUR overschrijden maar dat bij elkaar genomen wel doen, gelden voor de beheerder van deze niet-significante benchmarks dezelfde verplichtingen als bij significante benchmarks</w:t>
            </w:r>
            <w:r w:rsidRPr="00F9761E">
              <w:rPr>
                <w:b/>
                <w:i/>
              </w:rPr>
              <w: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75</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lastRenderedPageBreak/>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Overweging 6</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 xml:space="preserve">Door de Commissie </w:t>
            </w:r>
            <w:r w:rsidRPr="00F9761E">
              <w:t>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(6)</w:t>
            </w:r>
            <w:r w:rsidRPr="00F9761E">
              <w:tab/>
              <w:t xml:space="preserve">Benchmarkbeheerders </w:t>
            </w:r>
            <w:r w:rsidRPr="00F9761E">
              <w:rPr>
                <w:b/>
                <w:i/>
              </w:rPr>
              <w:t>zijn het beste in staat om</w:t>
            </w:r>
            <w:r w:rsidRPr="00F9761E">
              <w:t xml:space="preserve"> het gebruik in de Unie van de benchmarks die zij aanbieden, </w:t>
            </w:r>
            <w:r w:rsidRPr="00F9761E">
              <w:rPr>
                <w:b/>
                <w:i/>
              </w:rPr>
              <w:t xml:space="preserve">te </w:t>
            </w:r>
            <w:r w:rsidRPr="00F9761E">
              <w:t>monitoren</w:t>
            </w:r>
            <w:r w:rsidRPr="00F9761E">
              <w:rPr>
                <w:b/>
                <w:bCs/>
                <w:i/>
                <w:iCs/>
              </w:rPr>
              <w:t>.</w:t>
            </w:r>
            <w:r w:rsidRPr="00F9761E">
              <w:rPr>
                <w:b/>
                <w:i/>
              </w:rPr>
              <w:t xml:space="preserve"> Daarom moeten zij</w:t>
            </w:r>
            <w:r w:rsidRPr="00F9761E">
              <w:t xml:space="preserve"> de betrokken bevoegde autoriteit of de Europese Autoriteit voor effecten en markte</w:t>
            </w:r>
            <w:r w:rsidRPr="00F9761E">
              <w:t xml:space="preserve">n (“ESMA”), afhankelijk van waar de beheerder is gevestigd, kennisgeven van het feit dat het geaggregeerde gebruik van een van hun benchmarks de drempel van artikel 24, lid 1, punt a), van Verordening (EU) 2016/1011 heeft overschreden. Om </w:t>
            </w:r>
            <w:r w:rsidRPr="00F9761E">
              <w:rPr>
                <w:b/>
                <w:i/>
              </w:rPr>
              <w:t>benchmarkbeheerde</w:t>
            </w:r>
            <w:r w:rsidRPr="00F9761E">
              <w:rPr>
                <w:b/>
                <w:i/>
              </w:rPr>
              <w:t>rs voldoende tijd</w:t>
            </w:r>
            <w:r w:rsidRPr="00F9761E">
              <w:t xml:space="preserve"> te </w:t>
            </w:r>
            <w:r w:rsidRPr="00F9761E">
              <w:rPr>
                <w:b/>
                <w:i/>
              </w:rPr>
              <w:t xml:space="preserve">geven </w:t>
            </w:r>
            <w:r w:rsidRPr="00F9761E">
              <w:t xml:space="preserve">om </w:t>
            </w:r>
            <w:r w:rsidRPr="00F9761E">
              <w:rPr>
                <w:b/>
                <w:i/>
              </w:rPr>
              <w:t xml:space="preserve">zich aan </w:t>
            </w:r>
            <w:r w:rsidRPr="00F9761E">
              <w:t xml:space="preserve">te </w:t>
            </w:r>
            <w:r w:rsidRPr="00F9761E">
              <w:rPr>
                <w:b/>
                <w:i/>
              </w:rPr>
              <w:t>passen aan de verplichtingen die voor significante benchmarks gelden, moeten die verplichtingen voor hen pas zestig werkdagen na het indienen van die kennisgeving gelden</w:t>
            </w:r>
            <w:r w:rsidRPr="00F9761E">
              <w:t>.</w:t>
            </w:r>
            <w:r w:rsidRPr="00F9761E">
              <w:rPr>
                <w:b/>
                <w:i/>
              </w:rPr>
              <w:t xml:space="preserve"> Daarnaast moeten benchmarkbeheerders de </w:t>
            </w:r>
            <w:r w:rsidRPr="00F9761E">
              <w:rPr>
                <w:b/>
                <w:i/>
              </w:rPr>
              <w:t>betrokken bevoegde autoriteiten of ESMA, op hun verzoek, alle informatie verschaffen die noodzakelijk is om het geaggregeerde gebruik van die benchmarks in de Unie te beoordelen.</w:t>
            </w:r>
            <w:r w:rsidRPr="00F9761E">
              <w:t xml:space="preserve"> </w:t>
            </w:r>
            <w:r w:rsidRPr="00F9761E">
              <w:rPr>
                <w:b/>
                <w:i/>
              </w:rPr>
              <w:t>Wanneer een benchmarkbeheerder nalaat of weigert kennis te geven van het feit</w:t>
            </w:r>
            <w:r w:rsidRPr="00F9761E">
              <w:rPr>
                <w:b/>
                <w:i/>
              </w:rPr>
              <w:t xml:space="preserve"> dat het gebruik van een van zijn benchmarks de drempel van artikel 24, lid 1, punt a), van Verordening (EU) 2016/1011 heeft overschreden, en wanneer bevoegde autoriteiten over duidelijke en aantoonbare gronden beschikken om te oordelen dat de drempel is o</w:t>
            </w:r>
            <w:r w:rsidRPr="00F9761E">
              <w:rPr>
                <w:b/>
                <w:i/>
              </w:rPr>
              <w:t>verschreden, moeten de betrokken bevoegde autoriteiten of ESMA, naargelang het geval, de mogelijkheid hebben te verklaren dat de drempel is overschreden, nadat zij de beheerder eerst in de gelegenheid hebben gesteld te worden gehoord. Die verklaring moet v</w:t>
            </w:r>
            <w:r w:rsidRPr="00F9761E">
              <w:rPr>
                <w:b/>
                <w:i/>
              </w:rPr>
              <w:t xml:space="preserve">oor de benchmarkbeheerder dezelfde verplichtingen met zich brengen als een </w:t>
            </w:r>
            <w:r w:rsidRPr="00F9761E">
              <w:rPr>
                <w:b/>
                <w:i/>
              </w:rPr>
              <w:lastRenderedPageBreak/>
              <w:t>kennisgeving door de benchmarkbeheerder. Een en ander laat voor ESMA of bevoegde autoriteiten de mogelijkheid onverlet om bestuurlijke sancties op te leggen aan de beheerders die ge</w:t>
            </w:r>
            <w:r w:rsidRPr="00F9761E">
              <w:rPr>
                <w:b/>
                <w:i/>
              </w:rPr>
              <w:t>en kennis geven van het feit dat een van hun benchmarks de toepasselijke drempel heeft overschreden.</w:t>
            </w:r>
          </w:p>
        </w:tc>
        <w:tc>
          <w:tcPr>
            <w:tcW w:w="4876" w:type="dxa"/>
            <w:hideMark/>
          </w:tcPr>
          <w:p w:rsidR="001762D4" w:rsidRPr="00F9761E" w:rsidRDefault="00CC2358" w:rsidP="00481004">
            <w:pPr>
              <w:pStyle w:val="Normal6"/>
              <w:rPr>
                <w:szCs w:val="24"/>
              </w:rPr>
            </w:pPr>
            <w:r w:rsidRPr="00F9761E">
              <w:lastRenderedPageBreak/>
              <w:t>(6)</w:t>
            </w:r>
            <w:r w:rsidRPr="00F9761E">
              <w:tab/>
              <w:t xml:space="preserve">Benchmarkbeheerders </w:t>
            </w:r>
            <w:r w:rsidRPr="00F9761E">
              <w:rPr>
                <w:b/>
                <w:i/>
              </w:rPr>
              <w:t xml:space="preserve">moeten </w:t>
            </w:r>
            <w:r w:rsidRPr="00F9761E">
              <w:t xml:space="preserve">het gebruik in de Unie van de benchmarks die zij aanbieden, monitoren </w:t>
            </w:r>
            <w:r w:rsidRPr="00F9761E">
              <w:rPr>
                <w:b/>
                <w:i/>
              </w:rPr>
              <w:t xml:space="preserve">en </w:t>
            </w:r>
            <w:r w:rsidRPr="00F9761E">
              <w:t>de betrokken bevoegde autoriteit of de Europese Aut</w:t>
            </w:r>
            <w:r w:rsidRPr="00F9761E">
              <w:t>oriteit voor effecten en markten (“ESMA”), afhankelijk van waar de beheerder is gevestigd, kennisgeven van het feit dat het geaggregeerde gebruik van een van hun benchmarks de drempel van artikel 24, lid 1, punt a), van Verordening (EU) 2016/1011 heeft ove</w:t>
            </w:r>
            <w:r w:rsidRPr="00F9761E">
              <w:t xml:space="preserve">rschreden. Om te </w:t>
            </w:r>
            <w:r w:rsidRPr="00F9761E">
              <w:rPr>
                <w:b/>
                <w:i/>
              </w:rPr>
              <w:t xml:space="preserve">zorgen voor een consistente toepassing van die drempels moet de ESMA ontwerpen van technische reguleringsnormen ontwikkelen </w:t>
            </w:r>
            <w:r w:rsidRPr="00F9761E">
              <w:t xml:space="preserve">om </w:t>
            </w:r>
            <w:r w:rsidRPr="00F9761E">
              <w:rPr>
                <w:b/>
                <w:i/>
              </w:rPr>
              <w:t xml:space="preserve">de berekeningsmethode nader </w:t>
            </w:r>
            <w:r w:rsidRPr="00F9761E">
              <w:t xml:space="preserve">te </w:t>
            </w:r>
            <w:r w:rsidRPr="00F9761E">
              <w:rPr>
                <w:b/>
                <w:i/>
              </w:rPr>
              <w:t>bepalen</w:t>
            </w:r>
            <w:r w:rsidRPr="00F9761E">
              <w: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76</w:t>
      </w:r>
      <w:r w:rsidRPr="00F9761E">
        <w:rPr>
          <w:rStyle w:val="HideTWBExt"/>
          <w:b w:val="0"/>
        </w:rPr>
        <w:t>&lt;/</w:t>
      </w:r>
      <w:r w:rsidRPr="00F9761E">
        <w:rPr>
          <w:rStyle w:val="HideTWBExt"/>
          <w:b w:val="0"/>
        </w:rPr>
        <w:t>NumAm&gt;</w:t>
      </w:r>
    </w:p>
    <w:p w:rsidR="001762D4" w:rsidRPr="00F9761E" w:rsidRDefault="00CC2358" w:rsidP="001762D4">
      <w:pPr>
        <w:pStyle w:val="NormalBold"/>
      </w:pPr>
      <w:r w:rsidRPr="00F9761E">
        <w:rPr>
          <w:rStyle w:val="HideTWBExt"/>
          <w:b w:val="0"/>
        </w:rPr>
        <w:t>&lt;RepeatBlock-By&gt;&lt;Members&gt;</w:t>
      </w:r>
      <w:r w:rsidRPr="00F9761E">
        <w:t>Markus Ferber, 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Overweging 8</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(8)</w:t>
            </w:r>
            <w:r w:rsidRPr="00F9761E">
              <w:rPr>
                <w:b/>
                <w:i/>
              </w:rPr>
              <w:tab/>
              <w:t xml:space="preserve">In uitzonderlijke </w:t>
            </w:r>
            <w:r w:rsidRPr="00F9761E">
              <w:rPr>
                <w:b/>
                <w:i/>
              </w:rPr>
              <w:t xml:space="preserve">omstandigheden echter kunnen er benchmarks zijn met een geaggregeerd gebruik dat de drempel van artikel 24, lid 1, punt a), van Verordening (EU) 2016/1011 onderschrijdt, maar die door de specifieke situatie op de markt van een lidstaat, niettemin voor die </w:t>
            </w:r>
            <w:r w:rsidRPr="00F9761E">
              <w:rPr>
                <w:b/>
                <w:i/>
              </w:rPr>
              <w:t>lidstaat van zodanig belang zijn dat een gebrek aan betrouwbaarheid een impact zou hebben die vergelijkbaar is met die van een benchmark waarvan het gebruik die drempel overschrijdt. Om die reden moet de bevoegde autoriteit van die lidstaat de mogelijkheid</w:t>
            </w:r>
            <w:r w:rsidRPr="00F9761E">
              <w:rPr>
                <w:b/>
                <w:i/>
              </w:rPr>
              <w:t xml:space="preserve"> hebben om dit soort benchmark, wanneer deze wordt aangeboden door een EU-beheerder, op basis van een reeks kwalitatieve criteria als significant aan te merken. Voor benchmarks die door een niet-EU-beheerder worden aangeboden, moet het ESMA zijn die, op ve</w:t>
            </w:r>
            <w:r w:rsidRPr="00F9761E">
              <w:rPr>
                <w:b/>
                <w:i/>
              </w:rPr>
              <w:t>rzoek van een of meer bevoegde autoriteiten, dit soort benchmark aanmerkt als een significante benchmark.</w:t>
            </w:r>
          </w:p>
        </w:tc>
        <w:tc>
          <w:tcPr>
            <w:tcW w:w="4876" w:type="dxa"/>
            <w:hideMark/>
          </w:tcPr>
          <w:p w:rsidR="001762D4" w:rsidRPr="00F9761E" w:rsidRDefault="00CC2358">
            <w:pPr>
              <w:pStyle w:val="Normal6"/>
              <w:rPr>
                <w:szCs w:val="24"/>
              </w:rPr>
            </w:pPr>
            <w:r w:rsidRPr="00F9761E">
              <w:rPr>
                <w:b/>
                <w:i/>
              </w:rPr>
              <w:t>Schrappen</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lastRenderedPageBreak/>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77</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 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Overweging 9</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(9)</w:t>
            </w:r>
            <w:r w:rsidRPr="00F9761E">
              <w:rPr>
                <w:b/>
                <w:i/>
              </w:rPr>
              <w:tab/>
              <w:t>Om de consistentie en coördinatie van nationale aanmerkingen van benchmarks als significa</w:t>
            </w:r>
            <w:r w:rsidRPr="00F9761E">
              <w:rPr>
                <w:b/>
                <w:i/>
              </w:rPr>
              <w:t>nte benchmarks te borgen, moeten bevoegde autoriteiten die voornemens zijn een benchmark als significant aan te merken, ESMA te raadplegen. Om dezelfde reden moet een bevoegde autoriteit van een lidstaat die voornemens is om een door een in een andere lids</w:t>
            </w:r>
            <w:r w:rsidRPr="00F9761E">
              <w:rPr>
                <w:b/>
                <w:i/>
              </w:rPr>
              <w:t>taat gevestigde beheerder aangeboden benchmark als significant aan te merken, ook met de bevoegde autoriteit van die andere lidstaat overleggen. Wanneer bevoegde autoriteiten het niet eens geraken over de vraag wie van hen een benchmark moet aanmerken en d</w:t>
            </w:r>
            <w:r w:rsidRPr="00F9761E">
              <w:rPr>
                <w:b/>
                <w:i/>
              </w:rPr>
              <w:t>aarop toezicht moet houden, moet ESMA dat meningsverschil beslechten overeenkomstig artikel 19 van Verordening (EU) nr. 1095/2010 van het Europees Parlement en de Raad</w:t>
            </w:r>
            <w:r w:rsidRPr="00F9761E">
              <w:rPr>
                <w:b/>
                <w:i/>
                <w:vertAlign w:val="superscript"/>
              </w:rPr>
              <w:t>5</w:t>
            </w:r>
            <w:r w:rsidRPr="00F9761E">
              <w:rPr>
                <w:b/>
                <w:i/>
              </w:rPr>
              <w:t>.</w:t>
            </w:r>
          </w:p>
        </w:tc>
        <w:tc>
          <w:tcPr>
            <w:tcW w:w="4876" w:type="dxa"/>
            <w:hideMark/>
          </w:tcPr>
          <w:p w:rsidR="001762D4" w:rsidRPr="00F9761E" w:rsidRDefault="00CC2358">
            <w:pPr>
              <w:pStyle w:val="Normal6"/>
              <w:rPr>
                <w:szCs w:val="24"/>
              </w:rPr>
            </w:pPr>
            <w:r w:rsidRPr="00F9761E">
              <w:rPr>
                <w:b/>
                <w:i/>
              </w:rPr>
              <w:t>Schrappen</w:t>
            </w:r>
          </w:p>
        </w:tc>
      </w:tr>
      <w:tr w:rsidR="00087166" w:rsidRPr="00F9761E" w:rsidTr="001762D4">
        <w:trPr>
          <w:jc w:val="center"/>
        </w:trPr>
        <w:tc>
          <w:tcPr>
            <w:tcW w:w="4876" w:type="dxa"/>
            <w:hideMark/>
          </w:tcPr>
          <w:p w:rsidR="001762D4" w:rsidRPr="00F9761E" w:rsidRDefault="00CC2358">
            <w:pPr>
              <w:pStyle w:val="Normal6"/>
            </w:pPr>
            <w:r w:rsidRPr="00F9761E">
              <w:rPr>
                <w:b/>
                <w:i/>
              </w:rPr>
              <w:t>__________________</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bCs/>
                <w:i/>
                <w:iCs/>
                <w:vertAlign w:val="superscript"/>
              </w:rPr>
              <w:t>5</w:t>
            </w:r>
            <w:r w:rsidRPr="00F9761E">
              <w:rPr>
                <w:b/>
                <w:bCs/>
              </w:rPr>
              <w:t xml:space="preserve"> </w:t>
            </w:r>
            <w:r w:rsidRPr="00F9761E">
              <w:rPr>
                <w:b/>
                <w:i/>
              </w:rPr>
              <w:t xml:space="preserve">Verordening (EU) nr. 1095/2010 van het Europees </w:t>
            </w:r>
            <w:r w:rsidRPr="00F9761E">
              <w:rPr>
                <w:b/>
                <w:i/>
              </w:rPr>
              <w:t>Parlement en de Raad van 24 november 2010 tot oprichting van een Europese toezichthoudende autoriteit (Europese Autoriteit voor effecten en markten), tot wijziging van Besluit nr. 716/2009/EG en tot intrekking van Besluit 2009/77/EG van de Commissie (PB L </w:t>
            </w:r>
            <w:r w:rsidRPr="00F9761E">
              <w:rPr>
                <w:b/>
                <w:i/>
              </w:rPr>
              <w:t>331 van 15.12.2010, blz. 84).</w:t>
            </w:r>
          </w:p>
        </w:tc>
        <w:tc>
          <w:tcPr>
            <w:tcW w:w="4876" w:type="dxa"/>
          </w:tcPr>
          <w:p w:rsidR="001762D4" w:rsidRPr="00F9761E" w:rsidRDefault="001762D4">
            <w:pPr>
              <w:pStyle w:val="Normal6"/>
              <w:rPr>
                <w:szCs w:val="24"/>
              </w:rPr>
            </w:pP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EC2D82" w:rsidRPr="00F9761E" w:rsidRDefault="00CC2358" w:rsidP="00EC2D82">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78</w:t>
      </w:r>
      <w:r w:rsidRPr="00F9761E">
        <w:rPr>
          <w:rStyle w:val="HideTWBExt"/>
          <w:b w:val="0"/>
        </w:rPr>
        <w:t>&lt;/NumAm&gt;</w:t>
      </w:r>
    </w:p>
    <w:p w:rsidR="00EC2D82" w:rsidRPr="00F9761E" w:rsidRDefault="00CC2358" w:rsidP="00EC2D82">
      <w:pPr>
        <w:pStyle w:val="NormalBold"/>
      </w:pPr>
      <w:r w:rsidRPr="00F9761E">
        <w:rPr>
          <w:rStyle w:val="HideTWBExt"/>
          <w:b w:val="0"/>
        </w:rPr>
        <w:t>&lt;RepeatBlock-By&gt;&lt;Members&gt;</w:t>
      </w:r>
      <w:r w:rsidRPr="00F9761E">
        <w:t xml:space="preserve">Gilles Boyer, Stéphanie Yon-Courtin, Olivier </w:t>
      </w:r>
      <w:r w:rsidRPr="00F9761E">
        <w:lastRenderedPageBreak/>
        <w:t>Chastel</w:t>
      </w:r>
      <w:r w:rsidRPr="00F9761E">
        <w:rPr>
          <w:rStyle w:val="HideTWBExt"/>
          <w:b w:val="0"/>
        </w:rPr>
        <w:t>&lt;/Members&gt;</w:t>
      </w:r>
    </w:p>
    <w:p w:rsidR="00EC2D82" w:rsidRPr="00F9761E" w:rsidRDefault="00CC2358" w:rsidP="00EC2D82">
      <w:r w:rsidRPr="00F9761E">
        <w:rPr>
          <w:rStyle w:val="HideTWBExt"/>
        </w:rPr>
        <w:t>&lt;/RepeatBlock-By&gt;</w:t>
      </w:r>
    </w:p>
    <w:p w:rsidR="00EC2D82" w:rsidRPr="00F9761E" w:rsidRDefault="00CC2358" w:rsidP="00EC2D82">
      <w:pPr>
        <w:pStyle w:val="NormalBold"/>
        <w:keepNext/>
      </w:pPr>
      <w:r w:rsidRPr="00F9761E">
        <w:rPr>
          <w:rStyle w:val="HideTWBExt"/>
          <w:b w:val="0"/>
        </w:rPr>
        <w:t>&lt;DocAmend&gt;</w:t>
      </w:r>
      <w:r w:rsidRPr="00F9761E">
        <w:t>Voorstel voor een verordening</w:t>
      </w:r>
      <w:r w:rsidRPr="00F9761E">
        <w:rPr>
          <w:rStyle w:val="HideTWBExt"/>
          <w:b w:val="0"/>
        </w:rPr>
        <w:t>&lt;/DocAmend&gt;</w:t>
      </w:r>
    </w:p>
    <w:p w:rsidR="00EC2D82" w:rsidRPr="00F9761E" w:rsidRDefault="00CC2358" w:rsidP="00EC2D82">
      <w:pPr>
        <w:pStyle w:val="NormalBold"/>
      </w:pPr>
      <w:r w:rsidRPr="00F9761E">
        <w:rPr>
          <w:rStyle w:val="HideTWBExt"/>
          <w:b w:val="0"/>
        </w:rPr>
        <w:t>&lt;Article&gt;</w:t>
      </w:r>
      <w:r w:rsidRPr="00F9761E">
        <w:t>Overweging 12</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EC2D82">
        <w:trPr>
          <w:jc w:val="center"/>
        </w:trPr>
        <w:tc>
          <w:tcPr>
            <w:tcW w:w="9752" w:type="dxa"/>
            <w:gridSpan w:val="2"/>
          </w:tcPr>
          <w:p w:rsidR="00EC2D82" w:rsidRPr="00F9761E" w:rsidRDefault="00EC2D82" w:rsidP="00EC2D82">
            <w:pPr>
              <w:keepNext/>
            </w:pPr>
          </w:p>
        </w:tc>
      </w:tr>
      <w:tr w:rsidR="00087166" w:rsidRPr="00F9761E" w:rsidTr="00EC2D82">
        <w:trPr>
          <w:jc w:val="center"/>
        </w:trPr>
        <w:tc>
          <w:tcPr>
            <w:tcW w:w="4876" w:type="dxa"/>
            <w:hideMark/>
          </w:tcPr>
          <w:p w:rsidR="00EC2D82" w:rsidRPr="00F9761E" w:rsidRDefault="00CC2358" w:rsidP="00EC2D82">
            <w:pPr>
              <w:pStyle w:val="ColumnHeading"/>
              <w:keepNext/>
            </w:pPr>
            <w:r w:rsidRPr="00F9761E">
              <w:t>Door de Commissie voorgestelde tekst</w:t>
            </w:r>
          </w:p>
        </w:tc>
        <w:tc>
          <w:tcPr>
            <w:tcW w:w="4876" w:type="dxa"/>
            <w:hideMark/>
          </w:tcPr>
          <w:p w:rsidR="00EC2D82" w:rsidRPr="00F9761E" w:rsidRDefault="00CC2358" w:rsidP="00EC2D82">
            <w:pPr>
              <w:pStyle w:val="ColumnHeading"/>
              <w:keepNext/>
            </w:pPr>
            <w:r w:rsidRPr="00F9761E">
              <w:t>Amendement</w:t>
            </w:r>
          </w:p>
        </w:tc>
      </w:tr>
      <w:tr w:rsidR="00087166" w:rsidRPr="00F9761E" w:rsidTr="00EC2D82">
        <w:trPr>
          <w:jc w:val="center"/>
        </w:trPr>
        <w:tc>
          <w:tcPr>
            <w:tcW w:w="4876" w:type="dxa"/>
            <w:hideMark/>
          </w:tcPr>
          <w:p w:rsidR="00EC2D82" w:rsidRPr="00F9761E" w:rsidRDefault="00CC2358" w:rsidP="00EC2D82">
            <w:pPr>
              <w:pStyle w:val="Normal6"/>
            </w:pPr>
            <w:r w:rsidRPr="00F9761E">
              <w:t>(12)</w:t>
            </w:r>
            <w:r w:rsidRPr="00F9761E">
              <w:tab/>
              <w:t xml:space="preserve">EU-klimaattransitiebenchmarks en op de Overeenkomst van Parijs afgestemde EU-benchmarks zijn specifieke categorieën benchmarks die worden gekenmerkt door </w:t>
            </w:r>
            <w:r w:rsidRPr="00F9761E">
              <w:t>hun inachtneming van voorschriften inzake hun methodologie en de openbaarmakingen die de beheerder ervan moet doen. Om die reden, en om beweringen te voorkomen die gebruikers kunnen laten denken dat die benchmarks voldoen aan de normen die aan die labels v</w:t>
            </w:r>
            <w:r w:rsidRPr="00F9761E">
              <w:t xml:space="preserve">erbonden zijn, moeten die benchmarks onderworpen worden aan verplichte registratie </w:t>
            </w:r>
            <w:r w:rsidRPr="00F9761E">
              <w:rPr>
                <w:b/>
                <w:i/>
              </w:rPr>
              <w:t xml:space="preserve">of </w:t>
            </w:r>
            <w:r w:rsidRPr="00F9761E">
              <w:t>vergunningverlening, naargelang het geval, en aan toezicht.</w:t>
            </w:r>
          </w:p>
        </w:tc>
        <w:tc>
          <w:tcPr>
            <w:tcW w:w="4876" w:type="dxa"/>
            <w:hideMark/>
          </w:tcPr>
          <w:p w:rsidR="00EC2D82" w:rsidRPr="00F9761E" w:rsidRDefault="00CC2358" w:rsidP="00EC2D82">
            <w:pPr>
              <w:pStyle w:val="Normal6"/>
              <w:rPr>
                <w:szCs w:val="24"/>
              </w:rPr>
            </w:pPr>
            <w:r w:rsidRPr="00F9761E">
              <w:t>(12)</w:t>
            </w:r>
            <w:r w:rsidRPr="00F9761E">
              <w:tab/>
              <w:t>EU-klimaattransitiebenchmarks en op de Overeenkomst van Parijs afgestemde EU-benchmarks zijn specifieke c</w:t>
            </w:r>
            <w:r w:rsidRPr="00F9761E">
              <w:t xml:space="preserve">ategorieën benchmarks die worden gekenmerkt door hun inachtneming van voorschriften inzake hun methodologie en </w:t>
            </w:r>
            <w:r w:rsidRPr="00F9761E">
              <w:rPr>
                <w:b/>
                <w:i/>
              </w:rPr>
              <w:t xml:space="preserve">inzake </w:t>
            </w:r>
            <w:r w:rsidRPr="00F9761E">
              <w:t>de openbaarmakingen die de beheerder ervan moet doen. Om die reden, en om beweringen te voorkomen die gebruikers kunnen laten denken dat d</w:t>
            </w:r>
            <w:r w:rsidRPr="00F9761E">
              <w:t>ie benchmarks voldoen aan de normen die aan die labels verbonden zijn, moeten die benchmarks onderworpen worden aan verplichte registratie</w:t>
            </w:r>
            <w:r w:rsidRPr="00F9761E">
              <w:rPr>
                <w:b/>
                <w:i/>
              </w:rPr>
              <w:t>,</w:t>
            </w:r>
            <w:r w:rsidRPr="00F9761E">
              <w:t xml:space="preserve"> vergunningverlening </w:t>
            </w:r>
            <w:r w:rsidRPr="00F9761E">
              <w:rPr>
                <w:b/>
                <w:i/>
              </w:rPr>
              <w:t>of erkenning</w:t>
            </w:r>
            <w:r w:rsidRPr="00F9761E">
              <w:t>, naargelang het geval, en aan toezicht.</w:t>
            </w:r>
          </w:p>
        </w:tc>
      </w:tr>
    </w:tbl>
    <w:p w:rsidR="00EC2D82" w:rsidRPr="00F9761E" w:rsidRDefault="00CC2358" w:rsidP="00EC2D82">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E73CE2" w:rsidRPr="00F9761E" w:rsidRDefault="00CC2358" w:rsidP="00E73CE2">
      <w:r w:rsidRPr="00F9761E">
        <w:rPr>
          <w:rStyle w:val="HideTWBExt"/>
        </w:rPr>
        <w:t>&lt;/Amend&gt;</w:t>
      </w:r>
    </w:p>
    <w:p w:rsidR="001762D4" w:rsidRPr="00F9761E" w:rsidRDefault="00CC2358" w:rsidP="001762D4">
      <w:pPr>
        <w:pStyle w:val="AMNumberTabs0"/>
        <w:keepNext/>
      </w:pPr>
      <w:r w:rsidRPr="00F9761E">
        <w:rPr>
          <w:rStyle w:val="HideTWBExt"/>
          <w:b w:val="0"/>
        </w:rPr>
        <w:t>&lt;</w:t>
      </w:r>
      <w:r w:rsidRPr="00F9761E">
        <w:rPr>
          <w:rStyle w:val="HideTWBExt"/>
          <w:b w:val="0"/>
        </w:rPr>
        <w:t>Amend&gt;</w:t>
      </w:r>
      <w:r w:rsidRPr="00F9761E">
        <w:t>Amendement</w:t>
      </w:r>
      <w:r w:rsidRPr="00F9761E">
        <w:tab/>
      </w:r>
      <w:r w:rsidRPr="00F9761E">
        <w:tab/>
      </w:r>
      <w:r w:rsidRPr="00F9761E">
        <w:rPr>
          <w:rStyle w:val="HideTWBExt"/>
          <w:b w:val="0"/>
        </w:rPr>
        <w:t>&lt;NumAm&gt;</w:t>
      </w:r>
      <w:r w:rsidRPr="00F9761E">
        <w:t>79</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Overweging 12</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(12)</w:t>
            </w:r>
            <w:r w:rsidRPr="00F9761E">
              <w:tab/>
            </w:r>
            <w:r w:rsidRPr="00F9761E">
              <w:t xml:space="preserve">EU-klimaattransitiebenchmarks en op de Overeenkomst van Parijs afgestemde EU-benchmarks zijn specifieke categorieën benchmarks die worden gekenmerkt door hun inachtneming van voorschriften inzake hun methodologie en de </w:t>
            </w:r>
            <w:r w:rsidRPr="00F9761E">
              <w:rPr>
                <w:b/>
                <w:i/>
              </w:rPr>
              <w:t xml:space="preserve">openbaarmakingen die </w:t>
            </w:r>
            <w:r w:rsidRPr="00F9761E">
              <w:t xml:space="preserve">de </w:t>
            </w:r>
            <w:r w:rsidRPr="00F9761E">
              <w:rPr>
                <w:b/>
                <w:i/>
              </w:rPr>
              <w:t>beheerder erv</w:t>
            </w:r>
            <w:r w:rsidRPr="00F9761E">
              <w:rPr>
                <w:b/>
                <w:i/>
              </w:rPr>
              <w:t>an moet doen</w:t>
            </w:r>
            <w:r w:rsidRPr="00F9761E">
              <w:t xml:space="preserve">. Om die reden, en om beweringen te voorkomen die gebruikers kunnen laten denken dat die benchmarks voldoen aan de normen die aan die labels verbonden zijn, moeten die benchmarks </w:t>
            </w:r>
            <w:r w:rsidRPr="00F9761E">
              <w:lastRenderedPageBreak/>
              <w:t xml:space="preserve">onderworpen worden aan verplichte registratie </w:t>
            </w:r>
            <w:r w:rsidRPr="00F9761E">
              <w:rPr>
                <w:b/>
                <w:i/>
              </w:rPr>
              <w:t xml:space="preserve">of </w:t>
            </w:r>
            <w:r w:rsidRPr="00F9761E">
              <w:t>vergunningverlen</w:t>
            </w:r>
            <w:r w:rsidRPr="00F9761E">
              <w:t>ing, naargelang het geval, en aan toezicht.</w:t>
            </w:r>
          </w:p>
        </w:tc>
        <w:tc>
          <w:tcPr>
            <w:tcW w:w="4876" w:type="dxa"/>
            <w:hideMark/>
          </w:tcPr>
          <w:p w:rsidR="001762D4" w:rsidRPr="00F9761E" w:rsidRDefault="00CC2358">
            <w:pPr>
              <w:pStyle w:val="Normal6"/>
              <w:rPr>
                <w:szCs w:val="24"/>
              </w:rPr>
            </w:pPr>
            <w:r w:rsidRPr="00F9761E">
              <w:lastRenderedPageBreak/>
              <w:t>(12)</w:t>
            </w:r>
            <w:r w:rsidRPr="00F9761E">
              <w:tab/>
              <w:t>EU-klimaattransitiebenchmarks en op de Overeenkomst van Parijs afgestemde EU-benchmarks zijn specifieke categorieën benchmarks die worden gekenmerkt door hun inachtneming van voorschriften inzake hun methodo</w:t>
            </w:r>
            <w:r w:rsidRPr="00F9761E">
              <w:t xml:space="preserve">logie en de </w:t>
            </w:r>
            <w:r w:rsidRPr="00F9761E">
              <w:rPr>
                <w:b/>
                <w:i/>
              </w:rPr>
              <w:t xml:space="preserve">openbaarmakingsvoorschriften van </w:t>
            </w:r>
            <w:r w:rsidRPr="00F9761E">
              <w:t xml:space="preserve">de </w:t>
            </w:r>
            <w:r w:rsidRPr="00F9761E">
              <w:rPr>
                <w:b/>
                <w:i/>
              </w:rPr>
              <w:t xml:space="preserve">beheerders </w:t>
            </w:r>
            <w:r w:rsidRPr="00F9761E">
              <w:t xml:space="preserve">ervan. Om die reden, en om beweringen te voorkomen die gebruikers kunnen laten denken dat die benchmarks voldoen aan de normen die aan die labels verbonden zijn, moeten die benchmarks </w:t>
            </w:r>
            <w:r w:rsidRPr="00F9761E">
              <w:lastRenderedPageBreak/>
              <w:t>onderworpen w</w:t>
            </w:r>
            <w:r w:rsidRPr="00F9761E">
              <w:t>orden aan verplichte registratie</w:t>
            </w:r>
            <w:r w:rsidRPr="00F9761E">
              <w:rPr>
                <w:b/>
                <w:i/>
              </w:rPr>
              <w:t>,</w:t>
            </w:r>
            <w:r w:rsidRPr="00F9761E">
              <w:t xml:space="preserve"> vergunningverlening</w:t>
            </w:r>
            <w:r w:rsidRPr="00F9761E">
              <w:rPr>
                <w:b/>
                <w:i/>
              </w:rPr>
              <w:t>, erkenning of bekrachtiging</w:t>
            </w:r>
            <w:r w:rsidRPr="00F9761E">
              <w:t>, naargelang het geval, en aan toezicht.</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 xml:space="preserve">De meeste klimaatbenchmarks worden aangeboden door </w:t>
      </w:r>
      <w:r w:rsidRPr="00F9761E">
        <w:t>niet-EU-beheerders. De ESG-labels van de EU moeten ook toegankelijk zijn voor in derde landen gevestigde beheerders die over een erkenning of bekrachtiging beschikken, op voorwaarde dat zij aan alle BMR-vereisten inzake het ESG-label voldoen.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w:t>
      </w:r>
      <w:r w:rsidRPr="00F9761E">
        <w:rPr>
          <w:rStyle w:val="HideTWBExt"/>
          <w:b w:val="0"/>
        </w:rPr>
        <w:t>nd&gt;</w:t>
      </w:r>
      <w:r w:rsidRPr="00F9761E">
        <w:t>Amendement</w:t>
      </w:r>
      <w:r w:rsidRPr="00F9761E">
        <w:tab/>
      </w:r>
      <w:r w:rsidRPr="00F9761E">
        <w:tab/>
      </w:r>
      <w:r w:rsidRPr="00F9761E">
        <w:rPr>
          <w:rStyle w:val="HideTWBExt"/>
          <w:b w:val="0"/>
        </w:rPr>
        <w:t>&lt;NumAm&gt;</w:t>
      </w:r>
      <w:r w:rsidRPr="00F9761E">
        <w:t>80</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Overweging 12 bis (nieuw)</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 xml:space="preserve">Door de Commissie </w:t>
            </w:r>
            <w:r w:rsidRPr="00F9761E">
              <w:t>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(12 bis)</w:t>
            </w:r>
            <w:r w:rsidRPr="00F9761E">
              <w:rPr>
                <w:b/>
                <w:i/>
              </w:rPr>
              <w:tab/>
              <w:t xml:space="preserve">De regelgeving ten aanzien van grondstoffenbenchmarks moet worden afgestemd op de specifieke kenmerken ervan. Grondstoffenbenchmarks waarop de algemene voorschriften voor financiële benchmarks van toepassing zijn, </w:t>
            </w:r>
            <w:r w:rsidRPr="00F9761E">
              <w:rPr>
                <w:b/>
                <w:i/>
              </w:rPr>
              <w:t>moeten een identieke behandeling krijgen als andere financiële benchmarks en mogen alleen onder Verordening (EU) 2016/1011 vallen als zij significante of cruciale benchmarks zijn en niet van het toepassingsgebied van deze verordening zijn vrijgesteld. Gron</w:t>
            </w:r>
            <w:r w:rsidRPr="00F9761E">
              <w:rPr>
                <w:b/>
                <w:i/>
              </w:rPr>
              <w:t xml:space="preserve">dstoffenbenchmarks die onder de specifieke regeling van bijlage II bij Verordening (EU) 2016/1011 vallen, moeten altijd onder de verordening vallen aangezien er minder waarborgen zijn om de robuustheid van de methoden voor het verzamelen van gegevens voor </w:t>
            </w:r>
            <w:r w:rsidRPr="00F9761E">
              <w:rPr>
                <w:b/>
                <w:i/>
              </w:rPr>
              <w:t>en voor de productie van de benchmark te waarborgen.</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81</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 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w:t>
      </w:r>
      <w:r w:rsidRPr="00F9761E">
        <w:rPr>
          <w:rStyle w:val="HideTWBExt"/>
          <w:b w:val="0"/>
        </w:rPr>
        <w:t>ocAmend&gt;</w:t>
      </w:r>
    </w:p>
    <w:p w:rsidR="001762D4" w:rsidRPr="00F9761E" w:rsidRDefault="00CC2358" w:rsidP="001762D4">
      <w:pPr>
        <w:pStyle w:val="NormalBold"/>
      </w:pPr>
      <w:r w:rsidRPr="00F9761E">
        <w:rPr>
          <w:rStyle w:val="HideTWBExt"/>
          <w:b w:val="0"/>
        </w:rPr>
        <w:t>&lt;Article&gt;</w:t>
      </w:r>
      <w:r w:rsidRPr="00F9761E">
        <w:t>Overweging 13</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(13)</w:t>
            </w:r>
            <w:r w:rsidRPr="00F9761E">
              <w:tab/>
            </w:r>
            <w:r w:rsidRPr="00F9761E">
              <w:t xml:space="preserve">Om de tijdige aanvang van het toezicht op significante benchmarks te verzekeren, moeten beheerders van benchmarks die significant zijn geworden omdat zij de toepasselijke kwantitatieve drempel hebben bereikt </w:t>
            </w:r>
            <w:r w:rsidRPr="00F9761E">
              <w:rPr>
                <w:b/>
                <w:i/>
              </w:rPr>
              <w:t>of als dusdanig zijn aangemerkt</w:t>
            </w:r>
            <w:r w:rsidRPr="00F9761E">
              <w:t>, binnen zestig w</w:t>
            </w:r>
            <w:r w:rsidRPr="00F9761E">
              <w:t>erkdagen een vergunning of registratie aanvragen of, in het geval van benchmarks aangeboden door een in een derde land gevestigde beheerder, bekrachtiging of erkenning.</w:t>
            </w:r>
          </w:p>
        </w:tc>
        <w:tc>
          <w:tcPr>
            <w:tcW w:w="4876" w:type="dxa"/>
            <w:hideMark/>
          </w:tcPr>
          <w:p w:rsidR="001762D4" w:rsidRPr="00F9761E" w:rsidRDefault="00CC2358">
            <w:pPr>
              <w:pStyle w:val="Normal6"/>
              <w:rPr>
                <w:szCs w:val="24"/>
              </w:rPr>
            </w:pPr>
            <w:r w:rsidRPr="00F9761E">
              <w:t>(13)</w:t>
            </w:r>
            <w:r w:rsidRPr="00F9761E">
              <w:tab/>
              <w:t>Om de tijdige aanvang van het toezicht op significante benchmarks te verzekeren, m</w:t>
            </w:r>
            <w:r w:rsidRPr="00F9761E">
              <w:t xml:space="preserve">oeten beheerders van benchmarks die significant zijn geworden omdat zij de toepasselijke kwantitatieve drempel hebben bereikt, binnen zestig werkdagen een vergunning of registratie aanvragen of, in het geval van benchmarks aangeboden door een in een derde </w:t>
            </w:r>
            <w:r w:rsidRPr="00F9761E">
              <w:t>land gevestigde beheerder, bekrachtiging of erkenning.</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82</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w:t>
      </w:r>
      <w:r w:rsidRPr="00F9761E">
        <w: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Overweging 20 bis (nieuw)</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(20 bis)</w:t>
            </w:r>
            <w:r w:rsidRPr="00F9761E">
              <w:rPr>
                <w:b/>
                <w:i/>
              </w:rPr>
              <w:tab/>
              <w:t>Bij Verordening (EU) 2019/2089 zijn voorschriften ingevoerd met betrekking tot de transparantie van beweringen over</w:t>
            </w:r>
            <w:r w:rsidRPr="00F9761E">
              <w:rPr>
                <w:b/>
                <w:i/>
              </w:rPr>
              <w:t xml:space="preserve"> benchmarks, in de bijbehorende marketing- of juridische documentatie, dat ecologische, sociale en governancefactoren (ESG) bij de opzet ervan in aanmerking zijn genomen. Om een hoog niveau van transparantie met betrekking tot ESG-gerelateerde beweringen e</w:t>
            </w:r>
            <w:r w:rsidRPr="00F9761E">
              <w:rPr>
                <w:b/>
                <w:i/>
              </w:rPr>
              <w:t xml:space="preserve">n een passend </w:t>
            </w:r>
            <w:r w:rsidRPr="00F9761E">
              <w:rPr>
                <w:b/>
                <w:i/>
              </w:rPr>
              <w:lastRenderedPageBreak/>
              <w:t>beschermingsniveau voor gebruikers te handhaven, is het noodzakelijk om te verlangen dat gebruikers van benchmarks die ESG-gerelateerde beweringen doen, dergelijke benchmarks niet gebruiken wanneer zij de in artikel 13, lid 1, punt d), en art</w:t>
            </w:r>
            <w:r w:rsidRPr="00F9761E">
              <w:rPr>
                <w:b/>
                <w:i/>
              </w:rPr>
              <w:t>ikel 27, lid 2 bis, van Verordening (EU) 2016/1011 bedoelde informatie niet ontvangen, en dat deze bekendmaking van informatie niet in overeenstemming is met de vereisten van Verordening (EU) 2019/2088. Dit moet gelden voor het gebruik van benchmarks die b</w:t>
            </w:r>
            <w:r w:rsidRPr="00F9761E">
              <w:rPr>
                <w:b/>
                <w:i/>
              </w:rPr>
              <w:t>eweren rekening te houden met ESG-factoren bij de opzet ervan, ongeacht of die benchmark in de Unie of in een derde land wordt beheerd.</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83</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Dorien Rookmaker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Overweging 21</w:t>
      </w:r>
      <w:r w:rsidRPr="00F976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(21)</w:t>
            </w:r>
            <w:r w:rsidRPr="00F9761E">
              <w:tab/>
              <w:t>Om voor een naadloze overgang te zorgen naar de voorschriften die op grond van deze ver</w:t>
            </w:r>
            <w:r w:rsidRPr="00F9761E">
              <w:t xml:space="preserve">ordening worden ingevoerd </w:t>
            </w:r>
            <w:r w:rsidRPr="00F9761E">
              <w:rPr>
                <w:b/>
                <w:i/>
              </w:rPr>
              <w:t xml:space="preserve">en om te vermijden dat beheerders meer dan eenmaal een registratie- of vergunningverleningsprocedure moeten doorlopen, moeten bevoegde autoriteiten en ESMA voorzien in minder omslachtige aanvraagprocedures voor </w:t>
            </w:r>
            <w:r w:rsidRPr="00F9761E">
              <w:t xml:space="preserve">beheerders die </w:t>
            </w:r>
            <w:r w:rsidRPr="00F9761E">
              <w:rPr>
                <w:b/>
                <w:i/>
              </w:rPr>
              <w:t xml:space="preserve">al </w:t>
            </w:r>
            <w:r w:rsidRPr="00F9761E">
              <w:t>o</w:t>
            </w:r>
            <w:r w:rsidRPr="00F9761E">
              <w:t xml:space="preserve">ver een vergunning, registratie, bekrachtiging of </w:t>
            </w:r>
            <w:r w:rsidRPr="00F9761E">
              <w:rPr>
                <w:b/>
                <w:i/>
              </w:rPr>
              <w:t xml:space="preserve">erkenning beschikken en die </w:t>
            </w:r>
            <w:r w:rsidRPr="00F9761E">
              <w:t xml:space="preserve">een aanvraag </w:t>
            </w:r>
            <w:r w:rsidRPr="00F9761E">
              <w:rPr>
                <w:b/>
                <w:i/>
              </w:rPr>
              <w:t xml:space="preserve">indienen </w:t>
            </w:r>
            <w:r w:rsidRPr="00F9761E">
              <w:t xml:space="preserve">voor </w:t>
            </w:r>
            <w:r w:rsidRPr="00F9761E">
              <w:rPr>
                <w:b/>
                <w:i/>
              </w:rPr>
              <w:t xml:space="preserve">een nieuwe vergunning, registratie, bekrachtiging </w:t>
            </w:r>
            <w:r w:rsidRPr="00F9761E">
              <w:t xml:space="preserve">of </w:t>
            </w:r>
            <w:r w:rsidRPr="00F9761E">
              <w:rPr>
                <w:b/>
                <w:i/>
              </w:rPr>
              <w:t xml:space="preserve">erkenning binnen twee jaar vanaf </w:t>
            </w:r>
            <w:r w:rsidRPr="00F9761E">
              <w:t xml:space="preserve">de </w:t>
            </w:r>
            <w:r w:rsidRPr="00F9761E">
              <w:rPr>
                <w:b/>
                <w:i/>
              </w:rPr>
              <w:t>datum van toepassing van deze wijzigingsverordening</w:t>
            </w:r>
            <w:r w:rsidRPr="00F9761E">
              <w:t>.</w:t>
            </w:r>
          </w:p>
        </w:tc>
        <w:tc>
          <w:tcPr>
            <w:tcW w:w="4876" w:type="dxa"/>
            <w:hideMark/>
          </w:tcPr>
          <w:p w:rsidR="001762D4" w:rsidRPr="00F9761E" w:rsidRDefault="00CC2358">
            <w:pPr>
              <w:pStyle w:val="Normal6"/>
              <w:rPr>
                <w:szCs w:val="24"/>
              </w:rPr>
            </w:pPr>
            <w:r w:rsidRPr="00F9761E">
              <w:t>(21)</w:t>
            </w:r>
            <w:r w:rsidRPr="00F9761E">
              <w:tab/>
              <w:t>Om v</w:t>
            </w:r>
            <w:r w:rsidRPr="00F9761E">
              <w:t>oor een naadloze overgang te zorgen naar de voorschriften die op grond van deze verordening worden ingevoerd</w:t>
            </w:r>
            <w:r w:rsidRPr="00F9761E">
              <w:rPr>
                <w:b/>
                <w:i/>
              </w:rPr>
              <w:t>, moeten</w:t>
            </w:r>
            <w:r w:rsidRPr="00F9761E">
              <w:t xml:space="preserve"> beheerders die </w:t>
            </w:r>
            <w:r w:rsidRPr="00F9761E">
              <w:rPr>
                <w:b/>
                <w:i/>
              </w:rPr>
              <w:t xml:space="preserve">voorheen </w:t>
            </w:r>
            <w:r w:rsidRPr="00F9761E">
              <w:t xml:space="preserve">over een vergunning, registratie, </w:t>
            </w:r>
            <w:r w:rsidRPr="00F9761E">
              <w:rPr>
                <w:b/>
                <w:i/>
              </w:rPr>
              <w:t xml:space="preserve">erkenning </w:t>
            </w:r>
            <w:r w:rsidRPr="00F9761E">
              <w:rPr>
                <w:b/>
                <w:bCs/>
                <w:i/>
                <w:iCs/>
              </w:rPr>
              <w:t>of</w:t>
            </w:r>
            <w:r w:rsidRPr="00F9761E">
              <w:rPr>
                <w:b/>
                <w:i/>
              </w:rPr>
              <w:t xml:space="preserve"> </w:t>
            </w:r>
            <w:r w:rsidRPr="00F9761E">
              <w:t xml:space="preserve">bekrachtiging of </w:t>
            </w:r>
            <w:r w:rsidRPr="00F9761E">
              <w:rPr>
                <w:b/>
                <w:i/>
              </w:rPr>
              <w:t>een op grond van Verordening (EU) 2016/1011 gelijkw</w:t>
            </w:r>
            <w:r w:rsidRPr="00F9761E">
              <w:rPr>
                <w:b/>
                <w:i/>
              </w:rPr>
              <w:t xml:space="preserve">aardige bevestiging beschikten deze behouden zonder dat zij opnieuw </w:t>
            </w:r>
            <w:r w:rsidRPr="00F9761E">
              <w:t>een aanvraag</w:t>
            </w:r>
            <w:r w:rsidRPr="00F9761E">
              <w:rPr>
                <w:b/>
                <w:i/>
              </w:rPr>
              <w:t xml:space="preserve"> hoeven in te dienen, </w:t>
            </w:r>
            <w:r w:rsidRPr="00F9761E">
              <w:t xml:space="preserve">voor </w:t>
            </w:r>
            <w:r w:rsidRPr="00F9761E">
              <w:rPr>
                <w:b/>
                <w:i/>
              </w:rPr>
              <w:t xml:space="preserve">zover zij benchmarks beheren die onder de verordening vallen </w:t>
            </w:r>
            <w:r w:rsidRPr="00F9761E">
              <w:t xml:space="preserve">of </w:t>
            </w:r>
            <w:r w:rsidRPr="00F9761E">
              <w:rPr>
                <w:b/>
                <w:i/>
              </w:rPr>
              <w:t xml:space="preserve">vrijwillig voor </w:t>
            </w:r>
            <w:r w:rsidRPr="00F9761E">
              <w:t xml:space="preserve">de </w:t>
            </w:r>
            <w:r w:rsidRPr="00F9761E">
              <w:rPr>
                <w:b/>
                <w:i/>
              </w:rPr>
              <w:t>verordening kiezen</w:t>
            </w:r>
            <w:r w:rsidRPr="00F9761E">
              <w: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lastRenderedPageBreak/>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84</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Dorien Rookmaker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 – a</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w:t>
      </w:r>
      <w:r w:rsidRPr="00F9761E">
        <w:rPr>
          <w:rStyle w:val="HideTWBExt"/>
        </w:rPr>
        <w:t>nd2&gt;</w:t>
      </w:r>
    </w:p>
    <w:p w:rsidR="001762D4" w:rsidRPr="00F9761E" w:rsidRDefault="00CC2358" w:rsidP="001762D4">
      <w:r w:rsidRPr="00F9761E">
        <w:rPr>
          <w:rStyle w:val="HideTWBExt"/>
        </w:rPr>
        <w:t>&lt;Article2&gt;</w:t>
      </w:r>
      <w:r w:rsidRPr="00F9761E">
        <w:t>Artikel 2 – lid 1 bis</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1 bis.</w:t>
            </w:r>
            <w:r w:rsidRPr="00F9761E">
              <w:tab/>
            </w:r>
            <w:r w:rsidRPr="00F9761E">
              <w:t xml:space="preserve">De titels II, III, IV en VI zijn uitsluitend van toepassing ten aanzien van cruciale benchmarks, significante benchmarks, EU-klimaattransitiebenchmarks </w:t>
            </w:r>
            <w:r w:rsidRPr="00F9761E">
              <w:rPr>
                <w:b/>
                <w:i/>
              </w:rPr>
              <w:t>en</w:t>
            </w:r>
            <w:r w:rsidRPr="00F9761E">
              <w:t xml:space="preserve"> op de Overeenkomst van Parijs afgestemde EU-benchmarks.</w:t>
            </w:r>
          </w:p>
        </w:tc>
        <w:tc>
          <w:tcPr>
            <w:tcW w:w="4876" w:type="dxa"/>
            <w:hideMark/>
          </w:tcPr>
          <w:p w:rsidR="001762D4" w:rsidRPr="00F9761E" w:rsidRDefault="00CC2358">
            <w:pPr>
              <w:pStyle w:val="Normal6"/>
              <w:rPr>
                <w:szCs w:val="24"/>
              </w:rPr>
            </w:pPr>
            <w:r w:rsidRPr="00F9761E">
              <w:t>1 bis.</w:t>
            </w:r>
            <w:r w:rsidRPr="00F9761E">
              <w:tab/>
              <w:t>De titels II, III</w:t>
            </w:r>
            <w:r w:rsidRPr="00F9761E">
              <w:rPr>
                <w:b/>
                <w:i/>
              </w:rPr>
              <w:t>, behoudens de artike</w:t>
            </w:r>
            <w:r w:rsidRPr="00F9761E">
              <w:rPr>
                <w:b/>
                <w:i/>
              </w:rPr>
              <w:t>len 23 bis tot en met 23 quinquies</w:t>
            </w:r>
            <w:r w:rsidRPr="00F9761E">
              <w:t>, IV en VI zijn uitsluitend van toepassing ten aanzien van significante benchmarks, EU-klimaattransitiebenchmarks</w:t>
            </w:r>
            <w:r w:rsidRPr="00F9761E">
              <w:rPr>
                <w:b/>
                <w:i/>
              </w:rPr>
              <w:t>,</w:t>
            </w:r>
            <w:r w:rsidRPr="00F9761E">
              <w:t xml:space="preserve"> op de Overeenkomst van Parijs afgestemde EU-benchmarks</w:t>
            </w:r>
            <w:r w:rsidRPr="00F9761E">
              <w:rPr>
                <w:b/>
                <w:i/>
              </w:rPr>
              <w:t xml:space="preserve"> en ESG-benchmarks</w:t>
            </w:r>
            <w:r w:rsidRPr="00F9761E">
              <w:t>.</w:t>
            </w:r>
            <w:r w:rsidRPr="00F9761E">
              <w:rPr>
                <w:b/>
                <w:i/>
              </w:rPr>
              <w:t xml:space="preserve"> Titel III, behoudens de artikelen</w:t>
            </w:r>
            <w:r w:rsidRPr="00F9761E">
              <w:rPr>
                <w:b/>
                <w:i/>
              </w:rPr>
              <w:t> 23 bis tot en met 23 quinquies, en de titels IV en VI zijn van toepassing op grondstoffenbenchmarks die onder bijlage II vallen.</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85</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 xml:space="preserve">Gilles Boyer, </w:t>
      </w:r>
      <w:r w:rsidRPr="00F9761E">
        <w:t>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 – a</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 – lid 1 bis</w:t>
      </w:r>
      <w:r w:rsidRPr="00F9761E">
        <w:rPr>
          <w:rStyle w:val="HideTWBExt"/>
        </w:rPr>
        <w:t>&lt;/Ar</w:t>
      </w:r>
      <w:r w:rsidRPr="00F9761E">
        <w:rPr>
          <w:rStyle w:val="HideTWBExt"/>
        </w:rPr>
        <w:t>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1 bis.</w:t>
            </w:r>
            <w:r w:rsidRPr="00F9761E">
              <w:tab/>
              <w:t xml:space="preserve">De titels II, III, IV en VI zijn uitsluitend van toepassing ten aanzien van cruciale benchmarks, significante benchmarks, EU-klimaattransitiebenchmarks en op de Overeenkomst van Parijs </w:t>
            </w:r>
            <w:r w:rsidRPr="00F9761E">
              <w:t>afgestemde EU-benchmarks.</w:t>
            </w:r>
          </w:p>
        </w:tc>
        <w:tc>
          <w:tcPr>
            <w:tcW w:w="4876" w:type="dxa"/>
            <w:hideMark/>
          </w:tcPr>
          <w:p w:rsidR="001762D4" w:rsidRPr="00F9761E" w:rsidRDefault="00CC2358">
            <w:pPr>
              <w:pStyle w:val="Normal6"/>
              <w:rPr>
                <w:szCs w:val="24"/>
              </w:rPr>
            </w:pPr>
            <w:r w:rsidRPr="00F9761E">
              <w:t>1 bis.</w:t>
            </w:r>
            <w:r w:rsidRPr="00F9761E">
              <w:tab/>
              <w:t xml:space="preserve">De titels II, III, </w:t>
            </w:r>
            <w:r w:rsidRPr="00F9761E">
              <w:rPr>
                <w:b/>
                <w:i/>
              </w:rPr>
              <w:t>behoudens de artikelen 23 bis tot en met 23 quater,</w:t>
            </w:r>
            <w:r w:rsidRPr="00F9761E">
              <w:t xml:space="preserve"> IV en VI zijn uitsluitend van toepassing ten aanzien van cruciale benchmarks, significante benchmarks, </w:t>
            </w:r>
            <w:r w:rsidRPr="00F9761E">
              <w:rPr>
                <w:b/>
                <w:i/>
              </w:rPr>
              <w:t>grondstoffenbenchmarks die onder bijlage II valle</w:t>
            </w:r>
            <w:r w:rsidRPr="00F9761E">
              <w:rPr>
                <w:b/>
                <w:i/>
              </w:rPr>
              <w:t xml:space="preserve">n, </w:t>
            </w:r>
            <w:r w:rsidRPr="00F9761E">
              <w:t>EU-klimaattransitiebenchmarks en op de Overeenkomst van Parijs afgestemde EU-</w:t>
            </w:r>
            <w:r w:rsidRPr="00F9761E">
              <w:lastRenderedPageBreak/>
              <w:t>benchmarks.</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86</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w:t>
      </w:r>
      <w:r w:rsidRPr="00F9761E">
        <w:t xml:space="preserve">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 – b</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 – lid 2 – punten g en e</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b)</w:t>
            </w:r>
            <w:r w:rsidRPr="00F9761E">
              <w:rPr>
                <w:b/>
                <w:i/>
              </w:rPr>
              <w:tab/>
              <w:t xml:space="preserve">in lid 2 </w:t>
            </w:r>
            <w:r w:rsidRPr="00F9761E">
              <w:rPr>
                <w:b/>
                <w:i/>
              </w:rPr>
              <w:t>worden de punten g) en e) geschrapt.</w:t>
            </w:r>
          </w:p>
        </w:tc>
        <w:tc>
          <w:tcPr>
            <w:tcW w:w="4876" w:type="dxa"/>
            <w:hideMark/>
          </w:tcPr>
          <w:p w:rsidR="001762D4" w:rsidRPr="00F9761E" w:rsidRDefault="00CC2358">
            <w:pPr>
              <w:pStyle w:val="Normal6"/>
              <w:rPr>
                <w:szCs w:val="24"/>
              </w:rPr>
            </w:pPr>
            <w:r w:rsidRPr="00F9761E">
              <w:rPr>
                <w:b/>
                <w:i/>
              </w:rPr>
              <w:t>Schrappen</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De vrijstelling voor kleine grondstoffenbenchmarks moet behouden blijven.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87</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EC2D82" w:rsidRPr="00F9761E" w:rsidRDefault="00CC2358" w:rsidP="00EC2D82">
      <w:pPr>
        <w:pStyle w:val="NormalBold"/>
        <w:keepNext/>
      </w:pPr>
      <w:r w:rsidRPr="00F9761E">
        <w:rPr>
          <w:rStyle w:val="HideTWBExt"/>
          <w:b w:val="0"/>
        </w:rPr>
        <w:t>&lt;DocAmend&gt;</w:t>
      </w:r>
      <w:r w:rsidRPr="00F9761E">
        <w:t>Voorstel voor een verordening</w:t>
      </w:r>
      <w:r w:rsidRPr="00F9761E">
        <w:rPr>
          <w:rStyle w:val="HideTWBExt"/>
          <w:b w:val="0"/>
        </w:rPr>
        <w:t>&lt;/DocAmend&gt;</w:t>
      </w:r>
    </w:p>
    <w:p w:rsidR="00EC2D82" w:rsidRPr="00F9761E" w:rsidRDefault="00CC2358" w:rsidP="00EC2D82">
      <w:pPr>
        <w:pStyle w:val="NormalBold"/>
      </w:pPr>
      <w:r w:rsidRPr="00F9761E">
        <w:rPr>
          <w:rStyle w:val="HideTWBExt"/>
          <w:b w:val="0"/>
        </w:rPr>
        <w:t>&lt;Article&gt;</w:t>
      </w:r>
      <w:r w:rsidRPr="00F9761E">
        <w:t>Artikel 1 – alinea 1 – punt 2 – a bis (nieuw)</w:t>
      </w:r>
      <w:r w:rsidRPr="00F9761E">
        <w:rPr>
          <w:rStyle w:val="HideTWBExt"/>
          <w:b w:val="0"/>
        </w:rPr>
        <w:t>&lt;/Article&gt;</w:t>
      </w:r>
    </w:p>
    <w:p w:rsidR="00EC2D82" w:rsidRPr="00F9761E" w:rsidRDefault="00CC2358" w:rsidP="00EC2D82">
      <w:pPr>
        <w:keepNext/>
      </w:pPr>
      <w:r w:rsidRPr="00F9761E">
        <w:rPr>
          <w:rStyle w:val="HideTWBExt"/>
        </w:rPr>
        <w:t>&lt;DocAmend2&gt;</w:t>
      </w:r>
      <w:r w:rsidRPr="00F9761E">
        <w:t>Verordening (EU) 2016/1</w:t>
      </w:r>
      <w:r w:rsidRPr="00F9761E">
        <w:t>011</w:t>
      </w:r>
      <w:r w:rsidRPr="00F9761E">
        <w:rPr>
          <w:rStyle w:val="HideTWBExt"/>
        </w:rPr>
        <w:t>&lt;/DocAmend2&gt;</w:t>
      </w:r>
    </w:p>
    <w:p w:rsidR="00EC2D82" w:rsidRPr="00F9761E" w:rsidRDefault="00CC2358" w:rsidP="00EC2D82">
      <w:r w:rsidRPr="00F9761E">
        <w:rPr>
          <w:rStyle w:val="HideTWBExt"/>
        </w:rPr>
        <w:t>&lt;Article2&gt;</w:t>
      </w:r>
      <w:r w:rsidRPr="00F9761E">
        <w:t>Artikel 3 – lid 1 – punt 23 quater bis (nieuw)</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EC2D82" w:rsidRPr="00F9761E" w:rsidRDefault="00EC2D82">
            <w:pPr>
              <w:pStyle w:val="Normal6"/>
            </w:pPr>
          </w:p>
        </w:tc>
        <w:tc>
          <w:tcPr>
            <w:tcW w:w="4876" w:type="dxa"/>
          </w:tcPr>
          <w:p w:rsidR="00EC2D82" w:rsidRPr="00F9761E" w:rsidRDefault="00CC2358">
            <w:pPr>
              <w:pStyle w:val="Normal6"/>
              <w:rPr>
                <w:b/>
                <w:i/>
              </w:rPr>
            </w:pPr>
            <w:r w:rsidRPr="00F9761E">
              <w:rPr>
                <w:b/>
                <w:i/>
              </w:rPr>
              <w:t>a bis)</w:t>
            </w:r>
            <w:r w:rsidRPr="00F9761E">
              <w:rPr>
                <w:b/>
                <w:i/>
              </w:rPr>
              <w:tab/>
              <w:t>punt 23 quater bis), wordt toegevoegd:</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“23 quater bis)</w:t>
            </w:r>
            <w:r w:rsidRPr="00F9761E">
              <w:rPr>
                <w:b/>
                <w:i/>
              </w:rPr>
              <w:tab/>
              <w:t xml:space="preserve">“ESG-benchmark”: een benchmark die ESG-doelstellingen </w:t>
            </w:r>
            <w:r w:rsidRPr="00F9761E">
              <w:rPr>
                <w:b/>
                <w:i/>
              </w:rPr>
              <w:t>nastreeft die in overeenstemming zijn met Verordening (EU) 2019/2088;”;</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lastRenderedPageBreak/>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 xml:space="preserve">Openbaarmakingen van ESG-benchmarks moeten in overeenstemming zijn met de EU-regelgeving inzake </w:t>
      </w:r>
      <w:r w:rsidRPr="00F9761E">
        <w:t>informatieverschaffing over financiële producten (SFDR).</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88</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5F6EEE" w:rsidRPr="00F9761E" w:rsidRDefault="00CC2358" w:rsidP="005F6EEE">
      <w:pPr>
        <w:pStyle w:val="NormalBold"/>
      </w:pPr>
      <w:r w:rsidRPr="00F9761E">
        <w:rPr>
          <w:rStyle w:val="HideTWBExt"/>
          <w:b w:val="0"/>
        </w:rPr>
        <w:t>&lt;Article&gt;</w:t>
      </w:r>
      <w:r w:rsidRPr="00F9761E">
        <w:t>Artikel 1 – alinea 1 – punt 5 – b</w:t>
      </w:r>
      <w:r w:rsidRPr="00F9761E">
        <w:rPr>
          <w:rStyle w:val="HideTWBExt"/>
          <w:b w:val="0"/>
        </w:rPr>
        <w:t>&lt;/Article&gt;</w:t>
      </w:r>
    </w:p>
    <w:p w:rsidR="005F6EEE" w:rsidRPr="00F9761E" w:rsidRDefault="00CC2358" w:rsidP="005F6EEE">
      <w:pPr>
        <w:keepNext/>
      </w:pPr>
      <w:r w:rsidRPr="00F9761E">
        <w:rPr>
          <w:rStyle w:val="HideTWBExt"/>
        </w:rPr>
        <w:t>&lt;DocAmend2&gt;</w:t>
      </w:r>
      <w:r w:rsidRPr="00F9761E">
        <w:t>Verordening (EU) 2016/1011</w:t>
      </w:r>
      <w:r w:rsidRPr="00F9761E">
        <w:rPr>
          <w:rStyle w:val="HideTWBExt"/>
        </w:rPr>
        <w:t>&lt;/DocAmend2&gt;</w:t>
      </w:r>
    </w:p>
    <w:p w:rsidR="0043190D" w:rsidRPr="00F9761E" w:rsidRDefault="00CC2358" w:rsidP="0043190D">
      <w:r w:rsidRPr="00F9761E">
        <w:rPr>
          <w:rStyle w:val="HideTWBExt"/>
        </w:rPr>
        <w:t>&lt;Article2&gt;</w:t>
      </w:r>
      <w:r w:rsidRPr="00F9761E">
        <w:t>Artikel 13 – lid 4</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b)</w:t>
            </w:r>
            <w:r w:rsidRPr="00F9761E">
              <w:tab/>
              <w:t xml:space="preserve">lid 4 wordt </w:t>
            </w:r>
            <w:r w:rsidRPr="00F9761E">
              <w:rPr>
                <w:b/>
                <w:i/>
              </w:rPr>
              <w:t>geschrapt.</w:t>
            </w:r>
          </w:p>
        </w:tc>
        <w:tc>
          <w:tcPr>
            <w:tcW w:w="4876" w:type="dxa"/>
            <w:hideMark/>
          </w:tcPr>
          <w:p w:rsidR="001762D4" w:rsidRPr="00F9761E" w:rsidRDefault="00CC2358">
            <w:pPr>
              <w:pStyle w:val="Normal6"/>
              <w:rPr>
                <w:szCs w:val="24"/>
              </w:rPr>
            </w:pPr>
            <w:r w:rsidRPr="00F9761E">
              <w:t>b)</w:t>
            </w:r>
            <w:r w:rsidRPr="00F9761E">
              <w:tab/>
              <w:t xml:space="preserve">lid 4 wordt </w:t>
            </w:r>
            <w:r w:rsidRPr="00F9761E">
              <w:rPr>
                <w:b/>
                <w:i/>
              </w:rPr>
              <w:t>vervangen</w:t>
            </w:r>
            <w:r w:rsidRPr="00F9761E">
              <w:rPr>
                <w:b/>
                <w:i/>
              </w:rPr>
              <w:t xml:space="preserve"> door:</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“4.</w:t>
            </w:r>
            <w:r w:rsidRPr="00F9761E">
              <w:tab/>
            </w:r>
            <w:r w:rsidRPr="00F9761E">
              <w:rPr>
                <w:b/>
                <w:i/>
              </w:rPr>
              <w:t>ESMA ontwikkelt: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a)</w:t>
            </w:r>
            <w:r w:rsidRPr="00F9761E">
              <w:tab/>
            </w:r>
            <w:r w:rsidRPr="00F9761E">
              <w:rPr>
                <w:b/>
                <w:i/>
              </w:rPr>
              <w:t>technische reguleringsnormen om de verstrekking van ESG-informatie ten aanzien van benchmarks, die moeten worden gepubliceerd door de benchmarkbeheerder, in overeenstemming te brengen met de regelgevingsvereisten voor ope</w:t>
            </w:r>
            <w:r w:rsidRPr="00F9761E">
              <w:rPr>
                <w:b/>
                <w:i/>
              </w:rPr>
              <w:t>nbaarmakingen van Verordening (EU) 2019/2088 en bijbehorende gedelegeerde verordeningen.</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ESMA legt die ontwerpen van technische reguleringsnormen uiterlijk op 1 april 2025 voor aan de Commissie.</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Aan de Commissie wordt de bevoegdheid overgedragen de in </w:t>
            </w:r>
            <w:r w:rsidRPr="00F9761E">
              <w:rPr>
                <w:b/>
                <w:i/>
              </w:rPr>
              <w:t>de eerste alinea bedoelde technische reguleringsnormen vast te stellen volgens de procedure van de artikelen 10 tot en met 14 van Verordening (EU) nr. 1095/2010;</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b)</w:t>
            </w:r>
            <w:r w:rsidRPr="00F9761E">
              <w:tab/>
            </w:r>
            <w:r w:rsidRPr="00F9761E">
              <w:rPr>
                <w:b/>
                <w:i/>
              </w:rPr>
              <w:t>richtsnoeren inzake de namen van de benchmarks die overeenstemmen met die voor de namen v</w:t>
            </w:r>
            <w:r w:rsidRPr="00F9761E">
              <w:rPr>
                <w:b/>
                <w:i/>
              </w:rPr>
              <w:t xml:space="preserve">an fondsen, waarbij prioriteit wordt gegeven aan benchmarks die ten grondslag liggen aan op de beurs verhandelde fondsen en indexfondsen, uiterlijk [12 months after the date of entry </w:t>
            </w:r>
            <w:r w:rsidRPr="00F9761E">
              <w:rPr>
                <w:b/>
                <w:i/>
              </w:rPr>
              <w:lastRenderedPageBreak/>
              <w:t>into force of this amending Regulation].”.</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Afstemming met betrekking tot verplichte verstrekking van ESG-informatie op de EU-regelgeving inzake informatieverschaffing over financiële producten (SFDR) en tussen vereisten voor namen van benchmarks en vere</w:t>
      </w:r>
      <w:r w:rsidRPr="00F9761E">
        <w:t>isten voor namen van fondsen, met name voor op de beurs verhandelde fondsen (waarvan de namen een kopie zijn van de namen van de eraan ten grondslag liggende indexen) is essentieel (abi-beheerdersrichtlijn en icbe-richtlijn).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w:t>
      </w:r>
      <w:r w:rsidRPr="00F9761E">
        <w:rPr>
          <w:rStyle w:val="HideTWBExt"/>
          <w:b w:val="0"/>
        </w:rPr>
        <w:t>umAm&gt;</w:t>
      </w:r>
      <w:r w:rsidRPr="00F9761E">
        <w:t>89</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Erik Poulsen, Gilles Boyer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7 bis (nieuw)</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18 – alinea 2</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Bestaande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7 bis)</w:t>
            </w:r>
            <w:r w:rsidRPr="00F9761E">
              <w:rPr>
                <w:b/>
                <w:i/>
              </w:rPr>
              <w:tab/>
              <w:t>In artikel 18 wordt de tweede alinea als volgt gewijzigd:</w:t>
            </w:r>
          </w:p>
        </w:tc>
      </w:tr>
      <w:tr w:rsidR="00087166" w:rsidRPr="00F9761E" w:rsidTr="001762D4">
        <w:trPr>
          <w:jc w:val="center"/>
        </w:trPr>
        <w:tc>
          <w:tcPr>
            <w:tcW w:w="4876" w:type="dxa"/>
            <w:hideMark/>
          </w:tcPr>
          <w:p w:rsidR="001762D4" w:rsidRPr="00F9761E" w:rsidRDefault="00CC2358">
            <w:pPr>
              <w:pStyle w:val="Normal6"/>
            </w:pPr>
            <w:r w:rsidRPr="00F9761E">
              <w:rPr>
                <w:b/>
                <w:i/>
              </w:rPr>
              <w:t xml:space="preserve">De artikelen 24, </w:t>
            </w:r>
            <w:r w:rsidRPr="00F9761E">
              <w:t xml:space="preserve">25 </w:t>
            </w:r>
            <w:r w:rsidRPr="00F9761E">
              <w:rPr>
                <w:b/>
                <w:i/>
              </w:rPr>
              <w:t xml:space="preserve">en 26 zijn </w:t>
            </w:r>
            <w:r w:rsidRPr="00F9761E">
              <w:t xml:space="preserve">niet van toepassing op het aanbieden van en het aanleveren van gegevens </w:t>
            </w:r>
            <w:r w:rsidRPr="00F9761E">
              <w:t>voor rentevoetbenchmarks.</w:t>
            </w:r>
          </w:p>
        </w:tc>
        <w:tc>
          <w:tcPr>
            <w:tcW w:w="4876" w:type="dxa"/>
            <w:hideMark/>
          </w:tcPr>
          <w:p w:rsidR="001762D4" w:rsidRPr="00F9761E" w:rsidRDefault="00CC2358">
            <w:pPr>
              <w:pStyle w:val="Normal6"/>
              <w:rPr>
                <w:szCs w:val="24"/>
              </w:rPr>
            </w:pPr>
            <w:r w:rsidRPr="00F9761E">
              <w:rPr>
                <w:b/>
                <w:i/>
              </w:rPr>
              <w:t>“Artikel </w:t>
            </w:r>
            <w:r w:rsidRPr="00F9761E">
              <w:t xml:space="preserve">25 </w:t>
            </w:r>
            <w:r w:rsidRPr="00F9761E">
              <w:rPr>
                <w:b/>
                <w:i/>
              </w:rPr>
              <w:t xml:space="preserve">is </w:t>
            </w:r>
            <w:r w:rsidRPr="00F9761E">
              <w:t>niet van toepassing op het aanbieden van en het aanleveren van gegevens voor rentevoetbenchmarks.</w:t>
            </w:r>
            <w:r w:rsidRPr="00F9761E">
              <w:rPr>
                <w:b/>
                <w:bCs/>
                <w:i/>
                <w:iCs/>
              </w:rPr>
              <w: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 </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CrossRef"/>
      </w:pPr>
      <w:r w:rsidRPr="00F9761E">
        <w:t>(https://eur-lex.europa.eu/legal-content/NL/TXT/?uri=CELEX%3A02016R1011-20240109)</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This amendment introduces a change to article 18 in the current BMR. The aim of the amendment is to allow interest rate benchmarks to be def</w:t>
      </w:r>
      <w:r w:rsidRPr="00F9761E">
        <w:t xml:space="preserve">ined as “significant”, thus fall within the revised BMR scope through the general 50 bn euro threshold and qualitative designation criteria laid down in article 24 for significant benchmarks. Otherwise, interest rate benchmarks would need to exceed a much </w:t>
      </w:r>
      <w:r w:rsidRPr="00F9761E">
        <w:t>higher threshold before being included in the scope and being super-vised than all other types of benchmarks. Specifically, they would need to fulfil the criteria for being “critical”, which very few benchmarks are, and which entails greater burdens, a mor</w:t>
      </w:r>
      <w:r w:rsidRPr="00F9761E">
        <w:t xml:space="preserve">e cumbersome designation and could pose issues as regards ensuring a level-playing field towards third countries. Such a situation would be illogical and undesirable given interest rate benchmarks play a key role in pricing financial assets, are </w:t>
      </w:r>
      <w:r w:rsidRPr="00F9761E">
        <w:lastRenderedPageBreak/>
        <w:t>used exten</w:t>
      </w:r>
      <w:r w:rsidRPr="00F9761E">
        <w:t>sively by households and are often more vulnerable to manipulation than other benchmarks (e.g. LIBOR-scandal).</w:t>
      </w:r>
    </w:p>
    <w:p w:rsidR="001762D4" w:rsidRPr="00F9761E" w:rsidRDefault="00CC2358" w:rsidP="001762D4">
      <w:r w:rsidRPr="00F9761E">
        <w:rPr>
          <w:rStyle w:val="HideTWBExt"/>
        </w:rPr>
        <w:t>&lt;/Amend&gt;</w:t>
      </w:r>
    </w:p>
    <w:p w:rsidR="005C48C1" w:rsidRPr="00F9761E" w:rsidRDefault="00CC2358" w:rsidP="005C48C1">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90</w:t>
      </w:r>
      <w:r w:rsidRPr="00F9761E">
        <w:rPr>
          <w:rStyle w:val="HideTWBExt"/>
          <w:b w:val="0"/>
        </w:rPr>
        <w:t>&lt;/NumAm&gt;</w:t>
      </w:r>
    </w:p>
    <w:p w:rsidR="005C48C1" w:rsidRPr="00F9761E" w:rsidRDefault="00CC2358" w:rsidP="005C48C1">
      <w:pPr>
        <w:pStyle w:val="NormalBold"/>
      </w:pPr>
      <w:r w:rsidRPr="00F9761E">
        <w:rPr>
          <w:rStyle w:val="HideTWBExt"/>
          <w:b w:val="0"/>
        </w:rPr>
        <w:t>&lt;RepeatBlock-By&gt;&lt;Members&gt;</w:t>
      </w:r>
      <w:r w:rsidRPr="00F9761E">
        <w:t>Dorien Rookmaker</w:t>
      </w:r>
      <w:r w:rsidRPr="00F9761E">
        <w:rPr>
          <w:rStyle w:val="HideTWBExt"/>
          <w:b w:val="0"/>
        </w:rPr>
        <w:t>&lt;/Members&gt;</w:t>
      </w:r>
    </w:p>
    <w:p w:rsidR="005C48C1" w:rsidRPr="00F9761E" w:rsidRDefault="00CC2358" w:rsidP="005C48C1">
      <w:r w:rsidRPr="00F9761E">
        <w:rPr>
          <w:rStyle w:val="HideTWBExt"/>
        </w:rPr>
        <w:t>&lt;/RepeatBlock-By&gt;</w:t>
      </w:r>
    </w:p>
    <w:p w:rsidR="005C48C1" w:rsidRPr="00F9761E" w:rsidRDefault="00CC2358" w:rsidP="005C48C1">
      <w:pPr>
        <w:pStyle w:val="NormalBold"/>
        <w:keepNext/>
      </w:pPr>
      <w:r w:rsidRPr="00F9761E">
        <w:rPr>
          <w:rStyle w:val="HideTWBExt"/>
          <w:b w:val="0"/>
        </w:rPr>
        <w:t>&lt;DocAmend&gt;</w:t>
      </w:r>
      <w:r w:rsidRPr="00F9761E">
        <w:t xml:space="preserve">Voorstel voor een </w:t>
      </w:r>
      <w:r w:rsidRPr="00F9761E">
        <w:t>verordening</w:t>
      </w:r>
      <w:r w:rsidRPr="00F9761E">
        <w:rPr>
          <w:rStyle w:val="HideTWBExt"/>
          <w:b w:val="0"/>
        </w:rPr>
        <w:t>&lt;/DocAmend&gt;</w:t>
      </w:r>
    </w:p>
    <w:p w:rsidR="005C48C1" w:rsidRPr="00F9761E" w:rsidRDefault="00CC2358" w:rsidP="005C48C1">
      <w:pPr>
        <w:pStyle w:val="NormalBold"/>
      </w:pPr>
      <w:r w:rsidRPr="00F9761E">
        <w:rPr>
          <w:rStyle w:val="HideTWBExt"/>
          <w:b w:val="0"/>
        </w:rPr>
        <w:t>&lt;Article&gt;</w:t>
      </w:r>
      <w:r w:rsidRPr="00F9761E">
        <w:t>Artikel 1 – alinea 1 – punt 8 bis (nieuw)</w:t>
      </w:r>
      <w:r w:rsidRPr="00F9761E">
        <w:rPr>
          <w:rStyle w:val="HideTWBExt"/>
          <w:b w:val="0"/>
        </w:rPr>
        <w:t>&lt;/Article&gt;</w:t>
      </w:r>
    </w:p>
    <w:p w:rsidR="005C48C1" w:rsidRPr="00F9761E" w:rsidRDefault="00CC2358" w:rsidP="005C48C1">
      <w:pPr>
        <w:keepNext/>
      </w:pPr>
      <w:r w:rsidRPr="00F9761E">
        <w:rPr>
          <w:rStyle w:val="HideTWBExt"/>
        </w:rPr>
        <w:t>&lt;DocAmend2&gt;</w:t>
      </w:r>
      <w:r w:rsidRPr="00F9761E">
        <w:t>Verordening (EU) 2016/1011</w:t>
      </w:r>
      <w:r w:rsidRPr="00F9761E">
        <w:rPr>
          <w:rStyle w:val="HideTWBExt"/>
        </w:rPr>
        <w:t>&lt;/DocAmend2&gt;</w:t>
      </w:r>
    </w:p>
    <w:p w:rsidR="005C48C1" w:rsidRPr="00F9761E" w:rsidRDefault="00CC2358" w:rsidP="005C48C1">
      <w:r w:rsidRPr="00F9761E">
        <w:rPr>
          <w:rStyle w:val="HideTWBExt"/>
        </w:rPr>
        <w:t>&lt;Article2&gt;</w:t>
      </w:r>
      <w:r w:rsidRPr="00F9761E">
        <w:t>Artikel 19 – lid 1 – alinea 2</w:t>
      </w:r>
      <w:r w:rsidRPr="00F97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5F6EEE">
        <w:trPr>
          <w:jc w:val="center"/>
        </w:trPr>
        <w:tc>
          <w:tcPr>
            <w:tcW w:w="9752" w:type="dxa"/>
            <w:gridSpan w:val="2"/>
          </w:tcPr>
          <w:p w:rsidR="005C48C1" w:rsidRPr="00F9761E" w:rsidRDefault="005C48C1" w:rsidP="00EC2D82">
            <w:pPr>
              <w:keepNext/>
            </w:pPr>
          </w:p>
        </w:tc>
      </w:tr>
      <w:tr w:rsidR="00087166" w:rsidRPr="00F9761E" w:rsidTr="005F6EEE">
        <w:trPr>
          <w:jc w:val="center"/>
        </w:trPr>
        <w:tc>
          <w:tcPr>
            <w:tcW w:w="4876" w:type="dxa"/>
            <w:hideMark/>
          </w:tcPr>
          <w:p w:rsidR="005C48C1" w:rsidRPr="00F9761E" w:rsidRDefault="00CC2358" w:rsidP="00EC2D82">
            <w:pPr>
              <w:pStyle w:val="ColumnHeading"/>
              <w:keepNext/>
            </w:pPr>
            <w:r w:rsidRPr="00F9761E">
              <w:t>Bestaande tekst</w:t>
            </w:r>
          </w:p>
        </w:tc>
        <w:tc>
          <w:tcPr>
            <w:tcW w:w="4876" w:type="dxa"/>
            <w:hideMark/>
          </w:tcPr>
          <w:p w:rsidR="005C48C1" w:rsidRPr="00F9761E" w:rsidRDefault="00CC2358" w:rsidP="00EC2D82">
            <w:pPr>
              <w:pStyle w:val="ColumnHeading"/>
              <w:keepNext/>
            </w:pPr>
            <w:r w:rsidRPr="00F9761E">
              <w:t>Amendement</w:t>
            </w:r>
          </w:p>
        </w:tc>
      </w:tr>
      <w:tr w:rsidR="00087166" w:rsidRPr="00F9761E" w:rsidTr="005F6EEE">
        <w:trPr>
          <w:jc w:val="center"/>
        </w:trPr>
        <w:tc>
          <w:tcPr>
            <w:tcW w:w="4876" w:type="dxa"/>
          </w:tcPr>
          <w:p w:rsidR="005C48C1" w:rsidRPr="00F9761E" w:rsidRDefault="005C48C1" w:rsidP="00EC2D82">
            <w:pPr>
              <w:pStyle w:val="Normal6"/>
            </w:pPr>
          </w:p>
        </w:tc>
        <w:tc>
          <w:tcPr>
            <w:tcW w:w="4876" w:type="dxa"/>
            <w:hideMark/>
          </w:tcPr>
          <w:p w:rsidR="005C48C1" w:rsidRPr="00F9761E" w:rsidRDefault="00CC2358" w:rsidP="00EC2D82">
            <w:pPr>
              <w:pStyle w:val="Normal6"/>
              <w:rPr>
                <w:szCs w:val="24"/>
              </w:rPr>
            </w:pPr>
            <w:r w:rsidRPr="00F9761E">
              <w:rPr>
                <w:b/>
                <w:i/>
              </w:rPr>
              <w:t>8 bis)</w:t>
            </w:r>
            <w:r w:rsidRPr="00F9761E">
              <w:rPr>
                <w:b/>
                <w:i/>
              </w:rPr>
              <w:tab/>
              <w:t xml:space="preserve">In artikel 19, lid 1, wordt de </w:t>
            </w:r>
            <w:r w:rsidRPr="00F9761E">
              <w:rPr>
                <w:b/>
                <w:i/>
              </w:rPr>
              <w:t xml:space="preserve">tweede alinea als volgt gewijzigd: </w:t>
            </w:r>
          </w:p>
        </w:tc>
      </w:tr>
      <w:tr w:rsidR="00087166" w:rsidRPr="00F9761E" w:rsidTr="005F6EEE">
        <w:trPr>
          <w:jc w:val="center"/>
        </w:trPr>
        <w:tc>
          <w:tcPr>
            <w:tcW w:w="4876" w:type="dxa"/>
          </w:tcPr>
          <w:p w:rsidR="005C48C1" w:rsidRPr="00F9761E" w:rsidRDefault="00CC2358" w:rsidP="00EC2D82">
            <w:pPr>
              <w:pStyle w:val="Normal6"/>
            </w:pPr>
            <w:r w:rsidRPr="00F9761E">
              <w:rPr>
                <w:shd w:val="clear" w:color="auto" w:fill="FFFFFF"/>
              </w:rPr>
              <w:t>De artikelen 24</w:t>
            </w:r>
            <w:r w:rsidRPr="00F9761E">
              <w:rPr>
                <w:b/>
                <w:i/>
                <w:shd w:val="clear" w:color="auto" w:fill="FFFFFF"/>
              </w:rPr>
              <w:t xml:space="preserve">, </w:t>
            </w:r>
            <w:r w:rsidRPr="00F9761E">
              <w:rPr>
                <w:shd w:val="clear" w:color="auto" w:fill="FFFFFF"/>
              </w:rPr>
              <w:t xml:space="preserve">25 </w:t>
            </w:r>
            <w:r w:rsidRPr="00F9761E">
              <w:rPr>
                <w:b/>
                <w:i/>
                <w:shd w:val="clear" w:color="auto" w:fill="FFFFFF"/>
              </w:rPr>
              <w:t>en 26</w:t>
            </w:r>
            <w:r w:rsidRPr="00F9761E">
              <w:rPr>
                <w:shd w:val="clear" w:color="auto" w:fill="FFFFFF"/>
              </w:rPr>
              <w:t xml:space="preserve"> zijn niet van toepassing op het aanbieden van en het aanleveren van gegevens voor grondstoffenbenchmarks.</w:t>
            </w:r>
          </w:p>
        </w:tc>
        <w:tc>
          <w:tcPr>
            <w:tcW w:w="4876" w:type="dxa"/>
          </w:tcPr>
          <w:p w:rsidR="005C48C1" w:rsidRPr="00F9761E" w:rsidRDefault="00CC2358" w:rsidP="00EC2D82">
            <w:pPr>
              <w:pStyle w:val="Normal6"/>
            </w:pPr>
            <w:r w:rsidRPr="00F9761E">
              <w:rPr>
                <w:b/>
                <w:i/>
              </w:rPr>
              <w:t>“</w:t>
            </w:r>
            <w:r w:rsidRPr="00F9761E">
              <w:t>De artikelen 24</w:t>
            </w:r>
            <w:r w:rsidRPr="00F9761E">
              <w:rPr>
                <w:b/>
                <w:i/>
              </w:rPr>
              <w:t xml:space="preserve"> en </w:t>
            </w:r>
            <w:r w:rsidRPr="00F9761E">
              <w:t xml:space="preserve">25 zijn niet van toepassing op het aanbieden van en het aanleveren </w:t>
            </w:r>
            <w:r w:rsidRPr="00F9761E">
              <w:t>van gegevens voor grondstoffenbenchmarks.</w:t>
            </w:r>
            <w:r w:rsidRPr="00F9761E">
              <w:rPr>
                <w:b/>
                <w:i/>
              </w:rPr>
              <w:t>”.</w:t>
            </w:r>
          </w:p>
        </w:tc>
      </w:tr>
    </w:tbl>
    <w:p w:rsidR="008F1F42" w:rsidRPr="00F9761E" w:rsidRDefault="00CC2358" w:rsidP="008F1F42">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8F1F42" w:rsidRPr="00F9761E" w:rsidRDefault="00CC2358" w:rsidP="008F1F42">
      <w:pPr>
        <w:pStyle w:val="CrossRef"/>
      </w:pPr>
      <w:r w:rsidRPr="00F9761E">
        <w:t>(https://eur-lex.europa.eu/legal-content/NL/TXT/?uri=CELEX%3A02016R1011-20240109)</w:t>
      </w:r>
    </w:p>
    <w:p w:rsidR="005C48C1" w:rsidRPr="00F9761E" w:rsidRDefault="00CC2358" w:rsidP="005C48C1">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91</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Dorien Rookmaker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9</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19 bis – lid 4</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9)</w:t>
            </w:r>
            <w:r w:rsidRPr="00F9761E">
              <w:rPr>
                <w:b/>
                <w:i/>
              </w:rPr>
              <w:tab/>
              <w:t>Aan artikel 19 bis wordt het volgende lid 4 toegevoegd:</w:t>
            </w:r>
          </w:p>
        </w:tc>
        <w:tc>
          <w:tcPr>
            <w:tcW w:w="4876" w:type="dxa"/>
            <w:hideMark/>
          </w:tcPr>
          <w:p w:rsidR="001762D4" w:rsidRPr="00F9761E" w:rsidRDefault="00CC2358">
            <w:pPr>
              <w:pStyle w:val="Normal6"/>
              <w:rPr>
                <w:szCs w:val="24"/>
              </w:rPr>
            </w:pPr>
            <w:r w:rsidRPr="00F9761E">
              <w:rPr>
                <w:b/>
                <w:i/>
              </w:rPr>
              <w:t>Schrappen</w:t>
            </w:r>
          </w:p>
        </w:tc>
      </w:tr>
      <w:tr w:rsidR="00087166" w:rsidRPr="00F9761E" w:rsidTr="001762D4">
        <w:trPr>
          <w:jc w:val="center"/>
        </w:trPr>
        <w:tc>
          <w:tcPr>
            <w:tcW w:w="4876" w:type="dxa"/>
            <w:hideMark/>
          </w:tcPr>
          <w:p w:rsidR="001762D4" w:rsidRPr="00F9761E" w:rsidRDefault="00CC2358">
            <w:pPr>
              <w:pStyle w:val="Normal6"/>
            </w:pPr>
            <w:r w:rsidRPr="00F9761E">
              <w:rPr>
                <w:b/>
                <w:i/>
              </w:rPr>
              <w:t xml:space="preserve"> </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bCs/>
                <w:i/>
                <w:iCs/>
              </w:rPr>
              <w:t>“</w:t>
            </w:r>
            <w:r w:rsidRPr="00F9761E">
              <w:rPr>
                <w:b/>
                <w:i/>
              </w:rPr>
              <w:t>4.</w:t>
            </w:r>
            <w:r w:rsidRPr="00F9761E">
              <w:rPr>
                <w:b/>
                <w:i/>
              </w:rPr>
              <w:tab/>
              <w:t>Beheerders zonder vergunning of registratie krachtens artikel 34 mogen:</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a)</w:t>
            </w:r>
            <w:r w:rsidRPr="00F9761E">
              <w:rPr>
                <w:b/>
                <w:i/>
              </w:rPr>
              <w:tab/>
              <w:t xml:space="preserve">geen EU-klimaattransitiebenchmarks of op de Overeenkomst van Parijs afgestemde </w:t>
            </w:r>
            <w:r w:rsidRPr="00F9761E">
              <w:rPr>
                <w:b/>
                <w:i/>
              </w:rPr>
              <w:t>EU-benchmarks aanbieden;</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lastRenderedPageBreak/>
              <w:t>b)</w:t>
            </w:r>
            <w:r w:rsidRPr="00F9761E">
              <w:rPr>
                <w:b/>
                <w:i/>
              </w:rPr>
              <w:tab/>
              <w:t>in de naam van de benchmarks die zij voor gebruik in de Unie beschikbaar stellen of in de juridische of marketingdocumentatie voor die benchmarks, niet aangeven of suggereren dat de benchmarks die zij beschikbaar stellen, de v</w:t>
            </w:r>
            <w:r w:rsidRPr="00F9761E">
              <w:rPr>
                <w:b/>
                <w:i/>
              </w:rPr>
              <w:t>oorwaarden in acht nemen die van toepassing zijn op het aanbieden van EU-klimaattransitiebenchmarks of op de Overeenkomst van Parijs afgestemde EU-benchmarks.”.</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 xml:space="preserve"> </w:t>
            </w:r>
          </w:p>
        </w:tc>
        <w:tc>
          <w:tcPr>
            <w:tcW w:w="4876" w:type="dxa"/>
          </w:tcPr>
          <w:p w:rsidR="001762D4" w:rsidRPr="00F9761E" w:rsidRDefault="001762D4">
            <w:pPr>
              <w:pStyle w:val="Normal6"/>
              <w:rPr>
                <w:szCs w:val="24"/>
              </w:rPr>
            </w:pP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 xml:space="preserve">Investeerders in de EU </w:t>
      </w:r>
      <w:r w:rsidRPr="00F9761E">
        <w:t>moeten gebruik kunnen maken van EU-indexen met ESG-label die worden aangeboden door beheerders van buiten de EU, op voorwaarde dat zij voldoen aan alle vereisten van de regeling voor derde landen van de benchmarkverordening. Wanneer beheerders van EU-index</w:t>
      </w:r>
      <w:r w:rsidRPr="00F9761E">
        <w:t>en met ESG-label worden verplicht om naar de EU te verhuizen, bestaat het risico dat investeerders in de EU minder toegang hebben tot bestaande indexen die van vitaal belang zijn voor hun bedrijfsprocessen en potentiële nieuwe, innovatieve producten.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92</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9</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19 bis – lid 4 – inleidende formule</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4.</w:t>
            </w:r>
            <w:r w:rsidRPr="00F9761E">
              <w:tab/>
              <w:t xml:space="preserve">Beheerders zonder vergunning </w:t>
            </w:r>
            <w:r w:rsidRPr="00F9761E">
              <w:rPr>
                <w:b/>
                <w:i/>
              </w:rPr>
              <w:t>of registratie</w:t>
            </w:r>
            <w:r w:rsidRPr="00F9761E">
              <w:t xml:space="preserve"> krachtens artikel 34 mogen:</w:t>
            </w:r>
          </w:p>
        </w:tc>
        <w:tc>
          <w:tcPr>
            <w:tcW w:w="4876" w:type="dxa"/>
            <w:hideMark/>
          </w:tcPr>
          <w:p w:rsidR="001762D4" w:rsidRPr="00F9761E" w:rsidRDefault="00CC2358">
            <w:pPr>
              <w:pStyle w:val="Normal6"/>
              <w:rPr>
                <w:szCs w:val="24"/>
              </w:rPr>
            </w:pPr>
            <w:r w:rsidRPr="00F9761E">
              <w:t>4.</w:t>
            </w:r>
            <w:r w:rsidRPr="00F9761E">
              <w:tab/>
              <w:t>Beheerders z</w:t>
            </w:r>
            <w:r w:rsidRPr="00F9761E">
              <w:t xml:space="preserve">onder vergunning krachtens artikel 34 </w:t>
            </w:r>
            <w:r w:rsidRPr="00F9761E">
              <w:rPr>
                <w:b/>
                <w:i/>
              </w:rPr>
              <w:t>of erkenning krachtens artikel 32</w:t>
            </w:r>
            <w:r w:rsidRPr="00F9761E">
              <w:t xml:space="preserve"> mogen:</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 xml:space="preserve">Alleen in derde landen gevestigde beheerders met een erkenning moeten EU-PAB’s en EU-CTB’s kunnen aanbieden, </w:t>
      </w:r>
      <w:r w:rsidRPr="00F9761E">
        <w:t xml:space="preserve">naast EU-beheerders. Op die manier wordt ervoor gezorgd dat alle </w:t>
      </w:r>
      <w:r w:rsidRPr="00F9761E">
        <w:lastRenderedPageBreak/>
        <w:t>beheerders die deze EU-labels mogen aanbieden, onderworpen zijn aan direct toezicht door ESMA.</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93</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w:t>
      </w:r>
      <w:r w:rsidRPr="00F9761E">
        <w:rPr>
          <w:rStyle w:val="HideTWBExt"/>
        </w:rPr>
        <w: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9</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19 bis – lid 4 – inleidende formule</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w:t>
            </w:r>
            <w:r w:rsidRPr="00F9761E">
              <w:t>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4.</w:t>
            </w:r>
            <w:r w:rsidRPr="00F9761E">
              <w:tab/>
              <w:t xml:space="preserve">Beheerders </w:t>
            </w:r>
            <w:r w:rsidRPr="00F9761E">
              <w:rPr>
                <w:b/>
                <w:i/>
              </w:rPr>
              <w:t>zonder vergunning of registratie</w:t>
            </w:r>
            <w:r w:rsidRPr="00F9761E">
              <w:t xml:space="preserve"> krachtens artikel </w:t>
            </w:r>
            <w:r w:rsidRPr="00F9761E">
              <w:rPr>
                <w:b/>
                <w:i/>
              </w:rPr>
              <w:t>34</w:t>
            </w:r>
            <w:r w:rsidRPr="00F9761E">
              <w:t xml:space="preserve"> mogen:</w:t>
            </w:r>
          </w:p>
        </w:tc>
        <w:tc>
          <w:tcPr>
            <w:tcW w:w="4876" w:type="dxa"/>
            <w:hideMark/>
          </w:tcPr>
          <w:p w:rsidR="001762D4" w:rsidRPr="00F9761E" w:rsidRDefault="00CC2358">
            <w:pPr>
              <w:pStyle w:val="Normal6"/>
              <w:rPr>
                <w:szCs w:val="24"/>
              </w:rPr>
            </w:pPr>
            <w:r w:rsidRPr="00F9761E">
              <w:t>4.</w:t>
            </w:r>
            <w:r w:rsidRPr="00F9761E">
              <w:tab/>
              <w:t xml:space="preserve">Beheerders </w:t>
            </w:r>
            <w:r w:rsidRPr="00F9761E">
              <w:rPr>
                <w:b/>
                <w:i/>
              </w:rPr>
              <w:t>die niet in het ESMA-register zijn opgenomen</w:t>
            </w:r>
            <w:r w:rsidRPr="00F9761E">
              <w:t xml:space="preserve"> krachtens artikel </w:t>
            </w:r>
            <w:r w:rsidRPr="00F9761E">
              <w:rPr>
                <w:b/>
                <w:i/>
              </w:rPr>
              <w:t>36</w:t>
            </w:r>
            <w:r w:rsidRPr="00F9761E">
              <w:t xml:space="preserve"> mogen:</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94</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Marco Zanni, Valentino Grant, Antonio Maria Rinaldi</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9</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w:t>
      </w:r>
      <w:r w:rsidRPr="00F9761E">
        <w:t>1011</w:t>
      </w:r>
      <w:r w:rsidRPr="00F9761E">
        <w:rPr>
          <w:rStyle w:val="HideTWBExt"/>
        </w:rPr>
        <w:t>&lt;/DocAmend2&gt;</w:t>
      </w:r>
    </w:p>
    <w:p w:rsidR="001762D4" w:rsidRPr="00F9761E" w:rsidRDefault="00CC2358" w:rsidP="001762D4">
      <w:r w:rsidRPr="00F9761E">
        <w:rPr>
          <w:rStyle w:val="HideTWBExt"/>
        </w:rPr>
        <w:t>&lt;Article2&gt;</w:t>
      </w:r>
      <w:r w:rsidRPr="00F9761E">
        <w:t>Artikel 19 bis – lid 4 – inleidende formule</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4.</w:t>
            </w:r>
            <w:r w:rsidRPr="00F9761E">
              <w:tab/>
              <w:t xml:space="preserve">Beheerders </w:t>
            </w:r>
            <w:r w:rsidRPr="00F9761E">
              <w:rPr>
                <w:b/>
                <w:i/>
              </w:rPr>
              <w:t xml:space="preserve">zonder vergunning of registratie krachtens </w:t>
            </w:r>
            <w:r w:rsidRPr="00F9761E">
              <w:t xml:space="preserve">artikel </w:t>
            </w:r>
            <w:r w:rsidRPr="00F9761E">
              <w:rPr>
                <w:b/>
                <w:i/>
              </w:rPr>
              <w:t>34</w:t>
            </w:r>
            <w:r w:rsidRPr="00F9761E">
              <w:t xml:space="preserve"> mogen:</w:t>
            </w:r>
          </w:p>
        </w:tc>
        <w:tc>
          <w:tcPr>
            <w:tcW w:w="4876" w:type="dxa"/>
            <w:hideMark/>
          </w:tcPr>
          <w:p w:rsidR="001762D4" w:rsidRPr="00F9761E" w:rsidRDefault="00CC2358">
            <w:pPr>
              <w:pStyle w:val="Normal6"/>
              <w:rPr>
                <w:szCs w:val="24"/>
              </w:rPr>
            </w:pPr>
            <w:r w:rsidRPr="00F9761E">
              <w:t>4.</w:t>
            </w:r>
            <w:r w:rsidRPr="00F9761E">
              <w:tab/>
              <w:t xml:space="preserve">Beheerders </w:t>
            </w:r>
            <w:r w:rsidRPr="00F9761E">
              <w:rPr>
                <w:b/>
                <w:i/>
              </w:rPr>
              <w:t xml:space="preserve">die niet in het ESMA-register als bedoeld in </w:t>
            </w:r>
            <w:r w:rsidRPr="00F9761E">
              <w:t>artikel</w:t>
            </w:r>
            <w:r w:rsidRPr="00F9761E">
              <w:rPr>
                <w:b/>
                <w:i/>
              </w:rPr>
              <w:t> 36 zijn opgenomen,</w:t>
            </w:r>
            <w:r w:rsidRPr="00F9761E">
              <w:t xml:space="preserve"> mogen:</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95</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 xml:space="preserve">Voorstel voor een </w:t>
      </w:r>
      <w:r w:rsidRPr="00F9761E">
        <w:t>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9</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19 bis – lid 4 – inleidende formule</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4.</w:t>
            </w:r>
            <w:r w:rsidRPr="00F9761E">
              <w:tab/>
              <w:t xml:space="preserve">Beheerders </w:t>
            </w:r>
            <w:r w:rsidRPr="00F9761E">
              <w:rPr>
                <w:b/>
                <w:i/>
              </w:rPr>
              <w:t xml:space="preserve">zonder vergunning of registratie krachtens </w:t>
            </w:r>
            <w:r w:rsidRPr="00F9761E">
              <w:t xml:space="preserve">artikel </w:t>
            </w:r>
            <w:r w:rsidRPr="00F9761E">
              <w:rPr>
                <w:b/>
                <w:i/>
              </w:rPr>
              <w:t>34</w:t>
            </w:r>
            <w:r w:rsidRPr="00F9761E">
              <w:t xml:space="preserve"> mogen:</w:t>
            </w:r>
          </w:p>
        </w:tc>
        <w:tc>
          <w:tcPr>
            <w:tcW w:w="4876" w:type="dxa"/>
            <w:hideMark/>
          </w:tcPr>
          <w:p w:rsidR="001762D4" w:rsidRPr="00F9761E" w:rsidRDefault="00CC2358">
            <w:pPr>
              <w:pStyle w:val="Normal6"/>
              <w:rPr>
                <w:szCs w:val="24"/>
              </w:rPr>
            </w:pPr>
            <w:r w:rsidRPr="00F9761E">
              <w:t>4.</w:t>
            </w:r>
            <w:r w:rsidRPr="00F9761E">
              <w:tab/>
              <w:t xml:space="preserve">Beheerders </w:t>
            </w:r>
            <w:r w:rsidRPr="00F9761E">
              <w:rPr>
                <w:b/>
                <w:i/>
              </w:rPr>
              <w:t xml:space="preserve">die niet in het ESMA-register als bedoeld in </w:t>
            </w:r>
            <w:r w:rsidRPr="00F9761E">
              <w:t>artikel</w:t>
            </w:r>
            <w:r w:rsidRPr="00F9761E">
              <w:rPr>
                <w:b/>
                <w:i/>
              </w:rPr>
              <w:t> 36 zijn opgenomen,</w:t>
            </w:r>
            <w:r w:rsidRPr="00F9761E">
              <w:t xml:space="preserve"> mogen:</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96</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9</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 xml:space="preserve">Artikel 19 bis – lid 4 – </w:t>
      </w:r>
      <w:r w:rsidRPr="00F9761E">
        <w:t>punt a</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a)</w:t>
            </w:r>
            <w:r w:rsidRPr="00F9761E">
              <w:tab/>
              <w:t>geen EU-klimaattransitiebenchmarks of op de Overeenkomst van Parijs afgestemde EU-benchmarks aanbieden;</w:t>
            </w:r>
          </w:p>
        </w:tc>
        <w:tc>
          <w:tcPr>
            <w:tcW w:w="4876" w:type="dxa"/>
            <w:hideMark/>
          </w:tcPr>
          <w:p w:rsidR="001762D4" w:rsidRPr="00F9761E" w:rsidRDefault="00CC2358">
            <w:pPr>
              <w:pStyle w:val="Normal6"/>
              <w:rPr>
                <w:szCs w:val="24"/>
              </w:rPr>
            </w:pPr>
            <w:r w:rsidRPr="00F9761E">
              <w:t>a)</w:t>
            </w:r>
            <w:r w:rsidRPr="00F9761E">
              <w:tab/>
              <w:t>geen EU-klimaattransitiebenchmarks of op de Overeenkomst van Parijs afgestemd</w:t>
            </w:r>
            <w:r w:rsidRPr="00F9761E">
              <w:t xml:space="preserve">e EU-benchmarks aanbieden </w:t>
            </w:r>
            <w:r w:rsidRPr="00F9761E">
              <w:rPr>
                <w:b/>
                <w:i/>
              </w:rPr>
              <w:t>of bekrachtigen</w:t>
            </w:r>
            <w:r w:rsidRPr="00F9761E">
              <w: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97</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 xml:space="preserve">Voorstel voor een </w:t>
      </w:r>
      <w:r w:rsidRPr="00F9761E">
        <w:t>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9</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19 bis – lid 4 – punt a</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a)</w:t>
            </w:r>
            <w:r w:rsidRPr="00F9761E">
              <w:tab/>
              <w:t xml:space="preserve">geen </w:t>
            </w:r>
            <w:r w:rsidRPr="00F9761E">
              <w:t>EU-klimaattransitiebenchmarks of op de Overeenkomst van Parijs afgestemde EU-benchmarks aanbieden;</w:t>
            </w:r>
          </w:p>
        </w:tc>
        <w:tc>
          <w:tcPr>
            <w:tcW w:w="4876" w:type="dxa"/>
            <w:hideMark/>
          </w:tcPr>
          <w:p w:rsidR="001762D4" w:rsidRPr="00F9761E" w:rsidRDefault="00CC2358">
            <w:pPr>
              <w:pStyle w:val="Normal6"/>
              <w:rPr>
                <w:szCs w:val="24"/>
              </w:rPr>
            </w:pPr>
            <w:r w:rsidRPr="00F9761E">
              <w:rPr>
                <w:i/>
                <w:iCs/>
              </w:rPr>
              <w:t>(Niet van toepassing op de Nederlandse versie)</w:t>
            </w:r>
            <w:r w:rsidRPr="00F9761E">
              <w:tab/>
              <w:t xml:space="preserve"> </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lastRenderedPageBreak/>
        <w:t>&lt;Amend&gt;</w:t>
      </w:r>
      <w:r w:rsidRPr="00F9761E">
        <w:t>Amendement</w:t>
      </w:r>
      <w:r w:rsidRPr="00F9761E">
        <w:tab/>
      </w:r>
      <w:r w:rsidRPr="00F9761E">
        <w:tab/>
      </w:r>
      <w:r w:rsidRPr="00F9761E">
        <w:rPr>
          <w:rStyle w:val="HideTWBExt"/>
          <w:b w:val="0"/>
        </w:rPr>
        <w:t>&lt;NumAm&gt;</w:t>
      </w:r>
      <w:r w:rsidRPr="00F9761E">
        <w:t>98</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Marc</w:t>
      </w:r>
      <w:r w:rsidRPr="00F9761E">
        <w:t>o Zanni, Valentino Grant, Antonio Maria Rinaldi</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9</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 xml:space="preserve">Artikel 19 bis – </w:t>
      </w:r>
      <w:r w:rsidRPr="00F9761E">
        <w:t>lid 4 – punt a</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a)</w:t>
            </w:r>
            <w:r w:rsidRPr="00F9761E">
              <w:tab/>
              <w:t>geen EU-klimaattransitiebenchmarks of op de Overeenkomst van Parijs afgestemde EU-benchmarks aanbieden;</w:t>
            </w:r>
          </w:p>
        </w:tc>
        <w:tc>
          <w:tcPr>
            <w:tcW w:w="4876" w:type="dxa"/>
            <w:hideMark/>
          </w:tcPr>
          <w:p w:rsidR="001762D4" w:rsidRPr="00F9761E" w:rsidRDefault="00CC2358">
            <w:pPr>
              <w:pStyle w:val="Normal6"/>
              <w:rPr>
                <w:szCs w:val="24"/>
              </w:rPr>
            </w:pPr>
            <w:r w:rsidRPr="00F9761E">
              <w:rPr>
                <w:i/>
                <w:iCs/>
              </w:rPr>
              <w:t>(Niet van toepassing op de Nederlandse versie)</w:t>
            </w:r>
            <w:r w:rsidRPr="00F9761E">
              <w:tab/>
              <w:t xml:space="preserve"> </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99</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10 b</w:t>
      </w:r>
      <w:r w:rsidRPr="00F9761E">
        <w:t>is (nieuw)</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19 quinquies</w:t>
      </w:r>
      <w:r w:rsidRPr="00F97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8F1F42">
        <w:trPr>
          <w:jc w:val="center"/>
        </w:trPr>
        <w:tc>
          <w:tcPr>
            <w:tcW w:w="9752" w:type="dxa"/>
            <w:gridSpan w:val="2"/>
          </w:tcPr>
          <w:p w:rsidR="001762D4" w:rsidRPr="00F9761E" w:rsidRDefault="001762D4">
            <w:pPr>
              <w:keepNext/>
            </w:pPr>
          </w:p>
        </w:tc>
      </w:tr>
      <w:tr w:rsidR="00087166" w:rsidRPr="00F9761E" w:rsidTr="008F1F42">
        <w:trPr>
          <w:jc w:val="center"/>
        </w:trPr>
        <w:tc>
          <w:tcPr>
            <w:tcW w:w="4876" w:type="dxa"/>
            <w:hideMark/>
          </w:tcPr>
          <w:p w:rsidR="001762D4" w:rsidRPr="00F9761E" w:rsidRDefault="00CC2358">
            <w:pPr>
              <w:pStyle w:val="ColumnHeading"/>
              <w:keepNext/>
            </w:pPr>
            <w:r w:rsidRPr="00F9761E">
              <w:t>Bestaande tekst</w:t>
            </w:r>
          </w:p>
        </w:tc>
        <w:tc>
          <w:tcPr>
            <w:tcW w:w="4876" w:type="dxa"/>
            <w:hideMark/>
          </w:tcPr>
          <w:p w:rsidR="001762D4" w:rsidRPr="00F9761E" w:rsidRDefault="00CC2358">
            <w:pPr>
              <w:pStyle w:val="ColumnHeading"/>
              <w:keepNext/>
            </w:pPr>
            <w:r w:rsidRPr="00F9761E">
              <w:t>Amendement</w:t>
            </w:r>
          </w:p>
        </w:tc>
      </w:tr>
      <w:tr w:rsidR="00087166" w:rsidRPr="00F9761E" w:rsidTr="008F1F42">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10 bis)</w:t>
            </w:r>
            <w:r w:rsidRPr="00F9761E">
              <w:rPr>
                <w:b/>
                <w:i/>
              </w:rPr>
              <w:tab/>
              <w:t>Artikel 19 quinquies wordt als volgt gewijzigd:</w:t>
            </w:r>
          </w:p>
        </w:tc>
      </w:tr>
      <w:tr w:rsidR="00087166" w:rsidRPr="00F9761E" w:rsidTr="008F1F42">
        <w:trPr>
          <w:jc w:val="center"/>
        </w:trPr>
        <w:tc>
          <w:tcPr>
            <w:tcW w:w="4876" w:type="dxa"/>
            <w:hideMark/>
          </w:tcPr>
          <w:p w:rsidR="001762D4" w:rsidRPr="00F9761E" w:rsidRDefault="00CC2358">
            <w:pPr>
              <w:pStyle w:val="Normal6"/>
            </w:pPr>
            <w:r w:rsidRPr="00F9761E">
              <w:t>Artikel 19 quinquies</w:t>
            </w:r>
          </w:p>
        </w:tc>
        <w:tc>
          <w:tcPr>
            <w:tcW w:w="4876" w:type="dxa"/>
            <w:hideMark/>
          </w:tcPr>
          <w:p w:rsidR="001762D4" w:rsidRPr="00F9761E" w:rsidRDefault="00CC2358">
            <w:pPr>
              <w:pStyle w:val="Normal6"/>
              <w:rPr>
                <w:szCs w:val="24"/>
              </w:rPr>
            </w:pPr>
            <w:r w:rsidRPr="00F9761E">
              <w:rPr>
                <w:b/>
                <w:bCs/>
                <w:i/>
                <w:iCs/>
              </w:rPr>
              <w:t>“</w:t>
            </w:r>
            <w:r w:rsidRPr="00F9761E">
              <w:t>Artikel 19 quinquies</w:t>
            </w:r>
          </w:p>
        </w:tc>
      </w:tr>
      <w:tr w:rsidR="00087166" w:rsidRPr="00F9761E" w:rsidTr="008F1F42">
        <w:trPr>
          <w:jc w:val="center"/>
        </w:trPr>
        <w:tc>
          <w:tcPr>
            <w:tcW w:w="4876" w:type="dxa"/>
            <w:hideMark/>
          </w:tcPr>
          <w:p w:rsidR="001762D4" w:rsidRPr="00F9761E" w:rsidRDefault="00CC2358">
            <w:pPr>
              <w:pStyle w:val="Normal6"/>
            </w:pPr>
            <w:r w:rsidRPr="00F9761E">
              <w:t xml:space="preserve">Streven om </w:t>
            </w:r>
            <w:r w:rsidRPr="00F9761E">
              <w:t>EU-klimaattransitiebenchmarks aan te bieden</w:t>
            </w:r>
          </w:p>
        </w:tc>
        <w:tc>
          <w:tcPr>
            <w:tcW w:w="4876" w:type="dxa"/>
            <w:hideMark/>
          </w:tcPr>
          <w:p w:rsidR="001762D4" w:rsidRPr="00F9761E" w:rsidRDefault="00CC2358">
            <w:pPr>
              <w:pStyle w:val="Normal6"/>
              <w:rPr>
                <w:szCs w:val="24"/>
              </w:rPr>
            </w:pPr>
            <w:r w:rsidRPr="00F9761E">
              <w:t xml:space="preserve">Streven om EU-klimaattransitiebenchmarks </w:t>
            </w:r>
            <w:r w:rsidRPr="00F9761E">
              <w:rPr>
                <w:b/>
                <w:i/>
              </w:rPr>
              <w:t>en op de Overeenkomst van Parijs afgestemde EU-benchmarks</w:t>
            </w:r>
            <w:r w:rsidRPr="00F9761E">
              <w:t xml:space="preserve"> aan te bieden</w:t>
            </w:r>
          </w:p>
        </w:tc>
      </w:tr>
      <w:tr w:rsidR="00087166" w:rsidRPr="00F9761E" w:rsidTr="008F1F42">
        <w:trPr>
          <w:jc w:val="center"/>
        </w:trPr>
        <w:tc>
          <w:tcPr>
            <w:tcW w:w="4876" w:type="dxa"/>
            <w:hideMark/>
          </w:tcPr>
          <w:p w:rsidR="001762D4" w:rsidRPr="00F9761E" w:rsidRDefault="00CC2358">
            <w:pPr>
              <w:pStyle w:val="Normal6"/>
            </w:pPr>
            <w:r w:rsidRPr="00F9761E">
              <w:t>In de Unie gevestigde beheerders die significante benchmarks aanbieden, vastgesteld op basis van d</w:t>
            </w:r>
            <w:r w:rsidRPr="00F9761E">
              <w:t xml:space="preserve">e waarde van een of meer onderliggende activa of prijzen, streven ernaar </w:t>
            </w:r>
            <w:r w:rsidRPr="00F9761E">
              <w:rPr>
                <w:b/>
                <w:i/>
              </w:rPr>
              <w:t xml:space="preserve">uiterlijk op 1 januari 2022 </w:t>
            </w:r>
            <w:r w:rsidRPr="00F9761E">
              <w:t>een of meer EU-klimaattransitiebenchmarks aan te bieden.</w:t>
            </w:r>
          </w:p>
        </w:tc>
        <w:tc>
          <w:tcPr>
            <w:tcW w:w="4876" w:type="dxa"/>
            <w:hideMark/>
          </w:tcPr>
          <w:p w:rsidR="001762D4" w:rsidRPr="00F9761E" w:rsidRDefault="00CC2358">
            <w:pPr>
              <w:pStyle w:val="Normal6"/>
              <w:rPr>
                <w:szCs w:val="24"/>
              </w:rPr>
            </w:pPr>
            <w:r w:rsidRPr="00F9761E">
              <w:t>In de Unie gevestigde beheerders die significante benchmarks aanbieden, vastgesteld op basis van d</w:t>
            </w:r>
            <w:r w:rsidRPr="00F9761E">
              <w:t xml:space="preserve">e waarde van een of meer onderliggende activa of prijzen, streven ernaar een of meer EU-klimaattransitiebenchmarks </w:t>
            </w:r>
            <w:r w:rsidRPr="00F9761E">
              <w:rPr>
                <w:b/>
                <w:i/>
              </w:rPr>
              <w:t>en op de Overeenkomst van Parijs afgestemde EU-benchmarks</w:t>
            </w:r>
            <w:r w:rsidRPr="00F9761E">
              <w:t xml:space="preserve"> aan te bieden.</w:t>
            </w:r>
            <w:r w:rsidRPr="00F9761E">
              <w:rPr>
                <w:b/>
                <w:bCs/>
                <w:i/>
                <w:iCs/>
              </w:rPr>
              <w:t>”.</w:t>
            </w:r>
          </w:p>
        </w:tc>
      </w:tr>
      <w:tr w:rsidR="00087166" w:rsidRPr="00F9761E" w:rsidTr="008F1F42">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 </w:t>
            </w:r>
          </w:p>
        </w:tc>
      </w:tr>
    </w:tbl>
    <w:p w:rsidR="008F1F42" w:rsidRPr="00F9761E" w:rsidRDefault="00CC2358" w:rsidP="008F1F42">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8F1F42" w:rsidRPr="00F9761E" w:rsidRDefault="00CC2358" w:rsidP="008F1F42">
      <w:pPr>
        <w:pStyle w:val="CrossRef"/>
      </w:pPr>
      <w:r w:rsidRPr="00F9761E">
        <w:t>(https://eur-lex.europa.eu/le</w:t>
      </w:r>
      <w:r w:rsidRPr="00F9761E">
        <w:t>gal-content/NL/TXT/?uri=CELEX%3A02016R1011-20240109)</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100</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E25682" w:rsidRPr="00F9761E" w:rsidRDefault="00CC2358" w:rsidP="00E25682">
      <w:pPr>
        <w:pStyle w:val="NormalBold"/>
      </w:pPr>
      <w:r w:rsidRPr="00F9761E">
        <w:rPr>
          <w:rStyle w:val="HideTWBExt"/>
          <w:b w:val="0"/>
        </w:rPr>
        <w:t>&lt;Article&gt;</w:t>
      </w:r>
      <w:r w:rsidRPr="00F9761E">
        <w:t>Artikel 1 – alinea 1 – punt 10 ter (nieuw)</w:t>
      </w:r>
      <w:r w:rsidRPr="00F9761E">
        <w:rPr>
          <w:rStyle w:val="HideTWBExt"/>
          <w:b w:val="0"/>
        </w:rPr>
        <w:t>&lt;/Article&gt;</w:t>
      </w:r>
    </w:p>
    <w:p w:rsidR="00842138" w:rsidRPr="00F9761E" w:rsidRDefault="00CC2358" w:rsidP="00842138">
      <w:pPr>
        <w:keepNext/>
      </w:pPr>
      <w:r w:rsidRPr="00F9761E">
        <w:rPr>
          <w:rStyle w:val="HideTWBExt"/>
        </w:rPr>
        <w:t>&lt;DocAmend2&gt;</w:t>
      </w:r>
      <w:r w:rsidRPr="00F9761E">
        <w:t>Verordening (EU) 2016/1011</w:t>
      </w:r>
      <w:r w:rsidRPr="00F9761E">
        <w:rPr>
          <w:rStyle w:val="HideTWBExt"/>
        </w:rPr>
        <w:t>&lt;/DocAmend2&gt;</w:t>
      </w:r>
    </w:p>
    <w:p w:rsidR="00842138" w:rsidRPr="00F9761E" w:rsidRDefault="00CC2358" w:rsidP="00842138">
      <w:r w:rsidRPr="00F9761E">
        <w:rPr>
          <w:rStyle w:val="HideTWBExt"/>
        </w:rPr>
        <w:t>&lt;Article2&gt;</w:t>
      </w:r>
      <w:r w:rsidRPr="00F9761E">
        <w:t>Artikel 19 quinquies bis (nieuw)</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9B782B" w:rsidRPr="00F9761E" w:rsidRDefault="009B782B">
            <w:pPr>
              <w:pStyle w:val="Normal6"/>
            </w:pPr>
          </w:p>
        </w:tc>
        <w:tc>
          <w:tcPr>
            <w:tcW w:w="4876" w:type="dxa"/>
          </w:tcPr>
          <w:p w:rsidR="009B782B" w:rsidRPr="00F9761E" w:rsidRDefault="00CC2358">
            <w:pPr>
              <w:pStyle w:val="Normal6"/>
              <w:rPr>
                <w:b/>
                <w:i/>
              </w:rPr>
            </w:pPr>
            <w:r w:rsidRPr="00F9761E">
              <w:rPr>
                <w:b/>
                <w:i/>
              </w:rPr>
              <w:t>10 ter)</w:t>
            </w:r>
            <w:r w:rsidRPr="00F9761E">
              <w:rPr>
                <w:b/>
                <w:i/>
              </w:rPr>
              <w:tab/>
              <w:t xml:space="preserve">Het volgende artikel wordt </w:t>
            </w:r>
            <w:r w:rsidRPr="00F9761E">
              <w:rPr>
                <w:b/>
                <w:i/>
              </w:rPr>
              <w:t>ingevoegd:</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b/>
                <w:i/>
              </w:rPr>
            </w:pPr>
            <w:r w:rsidRPr="00F9761E">
              <w:rPr>
                <w:b/>
                <w:i/>
              </w:rPr>
              <w:t>“Artikel 19 quinquies bis</w:t>
            </w:r>
          </w:p>
          <w:p w:rsidR="009B782B" w:rsidRPr="00F9761E" w:rsidRDefault="00CC2358">
            <w:pPr>
              <w:pStyle w:val="Normal6"/>
              <w:rPr>
                <w:szCs w:val="24"/>
              </w:rPr>
            </w:pPr>
            <w:r w:rsidRPr="00F9761E">
              <w:rPr>
                <w:b/>
                <w:i/>
              </w:rPr>
              <w:t>Titel van het artikel</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1.</w:t>
            </w:r>
            <w:r w:rsidRPr="00F9761E">
              <w:rPr>
                <w:b/>
                <w:i/>
              </w:rPr>
              <w:tab/>
              <w:t>Beheerders zonder vergunning of registratie krachtens artikel 34, of zonder erkenning krachtens artikel 32, mogen:</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a) </w:t>
            </w:r>
            <w:r w:rsidRPr="00F9761E">
              <w:rPr>
                <w:b/>
                <w:i/>
              </w:rPr>
              <w:tab/>
              <w:t>geen ESG-benchmarks aanbieden of bekrachtigen; of</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b) </w:t>
            </w:r>
            <w:r w:rsidRPr="00F9761E">
              <w:rPr>
                <w:b/>
                <w:i/>
              </w:rPr>
              <w:tab/>
              <w:t xml:space="preserve">in de naam </w:t>
            </w:r>
            <w:r w:rsidRPr="00F9761E">
              <w:rPr>
                <w:b/>
                <w:i/>
              </w:rPr>
              <w:t xml:space="preserve">van de benchmarks die zij voor gebruik in de Unie beschikbaar stellen of in de juridische of marketingdocumentatie voor die benchmarks, niet aangeven of suggereren dat de benchmarks die zij beschikbaar stellen, ESG-doelstellingen nastreven of ESG-factoren </w:t>
            </w:r>
            <w:r w:rsidRPr="00F9761E">
              <w:rPr>
                <w:b/>
                <w:i/>
              </w:rPr>
              <w:t>in aanmerking nemen.</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2. </w:t>
            </w:r>
            <w:r w:rsidRPr="00F9761E">
              <w:rPr>
                <w:b/>
                <w:i/>
              </w:rPr>
              <w:tab/>
              <w:t xml:space="preserve">ESMA ontwikkelt ontwerpen van technische reguleringsnormen ter bepaling van gemeenschappelijke normen voor de namen van ESG-benchmarks die in overeenstemming zijn met Verordening (EU) 2019/2088, Richtlijn 2011/61/EU en Richtlijn </w:t>
            </w:r>
            <w:r w:rsidRPr="00F9761E">
              <w:rPr>
                <w:b/>
                <w:i/>
              </w:rPr>
              <w:t>2009/65/EG.</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ESMA dient deze ontwerpen van technische reguleringsnormen uiterlijk op [12 months after the entry into force of </w:t>
            </w:r>
            <w:r w:rsidRPr="00F9761E">
              <w:rPr>
                <w:b/>
                <w:i/>
              </w:rPr>
              <w:lastRenderedPageBreak/>
              <w:t>this Regulation] bij de Commissie in.</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Aan de Commissie wordt de bevoegdheid overgedragen om deze verordening aan te vullen door</w:t>
            </w:r>
            <w:r w:rsidRPr="00F9761E">
              <w:rPr>
                <w:b/>
                <w:i/>
              </w:rPr>
              <w:t xml:space="preserve"> de in de eerste alinea bedoelde technische reguleringsnormen vast te stellen overeenkomstig de artikelen 10 tot en met 14 van Verordening (EU) nr. 1095/2010.”.</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Afstemming met betrekking to</w:t>
      </w:r>
      <w:r w:rsidRPr="00F9761E">
        <w:t>t verplichte verstrekking van ESG-informatie op de EU-regelgeving inzake informatieverschaffing over financiële producten (SFDR) en tussen vereisten voor namen van benchmarks en vereisten voor namen van fondsen, met name voor op de beurs verhandelde fondse</w:t>
      </w:r>
      <w:r w:rsidRPr="00F9761E">
        <w:t>n (waarvan de namen een kopie zijn van de namen van de eraan ten grondslag liggende indexen) is essentieel (abi-beheerdersrichtlijn en icbe-richtlijn).</w:t>
      </w:r>
    </w:p>
    <w:p w:rsidR="001762D4" w:rsidRPr="00F9761E" w:rsidRDefault="00CC2358" w:rsidP="001762D4">
      <w:r w:rsidRPr="00F9761E">
        <w:rPr>
          <w:rStyle w:val="HideTWBExt"/>
        </w:rPr>
        <w:t>&lt;/Amend&gt;</w:t>
      </w:r>
    </w:p>
    <w:p w:rsidR="00B56F1B" w:rsidRPr="00F9761E" w:rsidRDefault="00CC2358" w:rsidP="00B56F1B">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101</w:t>
      </w:r>
      <w:r w:rsidRPr="00F9761E">
        <w:rPr>
          <w:rStyle w:val="HideTWBExt"/>
          <w:b w:val="0"/>
        </w:rPr>
        <w:t>&lt;/NumAm&gt;</w:t>
      </w:r>
    </w:p>
    <w:p w:rsidR="00B56F1B" w:rsidRPr="00F9761E" w:rsidRDefault="00CC2358" w:rsidP="00B56F1B">
      <w:pPr>
        <w:pStyle w:val="NormalBold"/>
      </w:pPr>
      <w:r w:rsidRPr="00F9761E">
        <w:rPr>
          <w:rStyle w:val="HideTWBExt"/>
          <w:b w:val="0"/>
        </w:rPr>
        <w:t>&lt;RepeatBlock-By&gt;&lt;Members&gt;</w:t>
      </w:r>
      <w:r w:rsidRPr="00F9761E">
        <w:t>Markus Ferber</w:t>
      </w:r>
      <w:r w:rsidRPr="00F9761E">
        <w:rPr>
          <w:rStyle w:val="HideTWBExt"/>
          <w:b w:val="0"/>
        </w:rPr>
        <w:t>&lt;/Members&gt;</w:t>
      </w:r>
    </w:p>
    <w:p w:rsidR="00B56F1B" w:rsidRPr="00F9761E" w:rsidRDefault="00CC2358" w:rsidP="00B56F1B">
      <w:r w:rsidRPr="00F9761E">
        <w:rPr>
          <w:rStyle w:val="HideTWBExt"/>
        </w:rPr>
        <w:t>&lt;/Repeat</w:t>
      </w:r>
      <w:r w:rsidRPr="00F9761E">
        <w:rPr>
          <w:rStyle w:val="HideTWBExt"/>
        </w:rPr>
        <w:t>Block-By&gt;</w:t>
      </w:r>
    </w:p>
    <w:p w:rsidR="00B56F1B" w:rsidRPr="00F9761E" w:rsidRDefault="00CC2358" w:rsidP="00B56F1B">
      <w:pPr>
        <w:pStyle w:val="NormalBold"/>
        <w:keepNext/>
      </w:pPr>
      <w:r w:rsidRPr="00F9761E">
        <w:rPr>
          <w:rStyle w:val="HideTWBExt"/>
          <w:b w:val="0"/>
        </w:rPr>
        <w:t>&lt;DocAmend&gt;</w:t>
      </w:r>
      <w:r w:rsidRPr="00F9761E">
        <w:t>Voorstel voor een verordening</w:t>
      </w:r>
      <w:r w:rsidRPr="00F9761E">
        <w:rPr>
          <w:rStyle w:val="HideTWBExt"/>
          <w:b w:val="0"/>
        </w:rPr>
        <w:t>&lt;/DocAmend&gt;</w:t>
      </w:r>
    </w:p>
    <w:p w:rsidR="00B56F1B" w:rsidRPr="00F9761E" w:rsidRDefault="00CC2358" w:rsidP="00B56F1B">
      <w:pPr>
        <w:pStyle w:val="NormalBold"/>
      </w:pPr>
      <w:r w:rsidRPr="00F9761E">
        <w:rPr>
          <w:rStyle w:val="HideTWBExt"/>
          <w:b w:val="0"/>
        </w:rPr>
        <w:t>&lt;Article&gt;</w:t>
      </w:r>
      <w:r w:rsidRPr="00F9761E">
        <w:t>Artikel 1 – alinea 1 – punt 11</w:t>
      </w:r>
      <w:r w:rsidRPr="00F9761E">
        <w:rPr>
          <w:rStyle w:val="HideTWBExt"/>
          <w:b w:val="0"/>
        </w:rPr>
        <w:t>&lt;/Article&gt;</w:t>
      </w:r>
    </w:p>
    <w:p w:rsidR="00B56F1B" w:rsidRPr="00F9761E" w:rsidRDefault="00CC2358" w:rsidP="00B56F1B">
      <w:pPr>
        <w:keepNext/>
      </w:pPr>
      <w:r w:rsidRPr="00F9761E">
        <w:rPr>
          <w:rStyle w:val="HideTWBExt"/>
        </w:rPr>
        <w:t>&lt;DocAmend2&gt;</w:t>
      </w:r>
      <w:r w:rsidRPr="00F9761E">
        <w:t>Verordening (EU) 2016/1011</w:t>
      </w:r>
      <w:r w:rsidRPr="00F9761E">
        <w:rPr>
          <w:rStyle w:val="HideTWBExt"/>
        </w:rPr>
        <w:t>&lt;/DocAmend2&gt;</w:t>
      </w:r>
    </w:p>
    <w:p w:rsidR="00B56F1B" w:rsidRPr="00F9761E" w:rsidRDefault="00CC2358" w:rsidP="00B56F1B">
      <w:r w:rsidRPr="00F9761E">
        <w:rPr>
          <w:rStyle w:val="HideTWBExt"/>
        </w:rPr>
        <w:t>&lt;Article2&gt;</w:t>
      </w:r>
      <w:r w:rsidRPr="00F9761E">
        <w:t>Artikel 24 – lid 1 – punt a</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EC2D82">
        <w:trPr>
          <w:jc w:val="center"/>
        </w:trPr>
        <w:tc>
          <w:tcPr>
            <w:tcW w:w="9752" w:type="dxa"/>
            <w:gridSpan w:val="2"/>
          </w:tcPr>
          <w:p w:rsidR="00B56F1B" w:rsidRPr="00F9761E" w:rsidRDefault="00B56F1B" w:rsidP="00EC2D82">
            <w:pPr>
              <w:keepNext/>
            </w:pPr>
          </w:p>
        </w:tc>
      </w:tr>
      <w:tr w:rsidR="00087166" w:rsidRPr="00F9761E" w:rsidTr="00EC2D82">
        <w:trPr>
          <w:jc w:val="center"/>
        </w:trPr>
        <w:tc>
          <w:tcPr>
            <w:tcW w:w="4876" w:type="dxa"/>
            <w:hideMark/>
          </w:tcPr>
          <w:p w:rsidR="00B56F1B" w:rsidRPr="00F9761E" w:rsidRDefault="00CC2358" w:rsidP="00EC2D82">
            <w:pPr>
              <w:pStyle w:val="ColumnHeading"/>
              <w:keepNext/>
            </w:pPr>
            <w:r w:rsidRPr="00F9761E">
              <w:t>Door de Commissie voorgestelde tekst</w:t>
            </w:r>
          </w:p>
        </w:tc>
        <w:tc>
          <w:tcPr>
            <w:tcW w:w="4876" w:type="dxa"/>
            <w:hideMark/>
          </w:tcPr>
          <w:p w:rsidR="00B56F1B" w:rsidRPr="00F9761E" w:rsidRDefault="00CC2358" w:rsidP="00EC2D82">
            <w:pPr>
              <w:pStyle w:val="ColumnHeading"/>
              <w:keepNext/>
            </w:pPr>
            <w:r w:rsidRPr="00F9761E">
              <w:t>Amendement</w:t>
            </w:r>
          </w:p>
        </w:tc>
      </w:tr>
      <w:tr w:rsidR="00087166" w:rsidRPr="00F9761E" w:rsidTr="00EC2D82">
        <w:trPr>
          <w:jc w:val="center"/>
        </w:trPr>
        <w:tc>
          <w:tcPr>
            <w:tcW w:w="4876" w:type="dxa"/>
            <w:hideMark/>
          </w:tcPr>
          <w:p w:rsidR="00B56F1B" w:rsidRPr="00F9761E" w:rsidRDefault="00CC2358" w:rsidP="00EC2D82">
            <w:pPr>
              <w:pStyle w:val="Normal6"/>
            </w:pPr>
            <w:r w:rsidRPr="00F9761E">
              <w:t>a)</w:t>
            </w:r>
            <w:r w:rsidRPr="00F9761E">
              <w:tab/>
              <w:t>de benchmark wordt in de Unie binnen een combinatie van benchmarks direct of indirect als referentie gebruikt voor financiële instrumenten of financiële overeenkomsten of voor het meten van de prestatie van beleggingsfondsen met een totale g</w:t>
            </w:r>
            <w:r w:rsidRPr="00F9761E">
              <w:t xml:space="preserve">emiddelde waarde van ten minste </w:t>
            </w:r>
            <w:r w:rsidRPr="00F9761E">
              <w:rPr>
                <w:b/>
                <w:i/>
              </w:rPr>
              <w:t>50</w:t>
            </w:r>
            <w:r w:rsidRPr="00F9761E">
              <w:t> miljard EUR op basis van alle looptijden van de benchmark, indien van toepassing, over een periode van zes maanden, of</w:t>
            </w:r>
          </w:p>
        </w:tc>
        <w:tc>
          <w:tcPr>
            <w:tcW w:w="4876" w:type="dxa"/>
            <w:hideMark/>
          </w:tcPr>
          <w:p w:rsidR="00B56F1B" w:rsidRPr="00F9761E" w:rsidRDefault="00CC2358" w:rsidP="00EC2D82">
            <w:pPr>
              <w:pStyle w:val="Normal6"/>
              <w:rPr>
                <w:szCs w:val="24"/>
              </w:rPr>
            </w:pPr>
            <w:r w:rsidRPr="00F9761E">
              <w:t>a)</w:t>
            </w:r>
            <w:r w:rsidRPr="00F9761E">
              <w:tab/>
              <w:t>de benchmark wordt in de Unie binnen een combinatie van benchmarks direct of indirect als referenti</w:t>
            </w:r>
            <w:r w:rsidRPr="00F9761E">
              <w:t xml:space="preserve">e gebruikt voor financiële instrumenten of financiële overeenkomsten of voor het meten van de prestatie van beleggingsfondsen met een totale gemiddelde waarde van ten minste </w:t>
            </w:r>
            <w:r w:rsidRPr="00F9761E">
              <w:rPr>
                <w:b/>
                <w:i/>
              </w:rPr>
              <w:t>75</w:t>
            </w:r>
            <w:r w:rsidRPr="00F9761E">
              <w:t> miljard EUR op basis van alle looptijden van de benchmark, indien van toepassin</w:t>
            </w:r>
            <w:r w:rsidRPr="00F9761E">
              <w:t>g, over een periode van zes maanden, of</w:t>
            </w:r>
          </w:p>
        </w:tc>
      </w:tr>
    </w:tbl>
    <w:p w:rsidR="00B56F1B" w:rsidRPr="00F9761E" w:rsidRDefault="00CC2358" w:rsidP="00B56F1B">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B56F1B" w:rsidRPr="00F9761E" w:rsidRDefault="00CC2358" w:rsidP="00B56F1B">
      <w:r w:rsidRPr="00F9761E">
        <w:rPr>
          <w:rStyle w:val="HideTWBExt"/>
        </w:rPr>
        <w:t>&lt;/Amend&gt;</w:t>
      </w:r>
    </w:p>
    <w:p w:rsidR="001762D4" w:rsidRPr="00F9761E" w:rsidRDefault="00CC2358" w:rsidP="001762D4">
      <w:pPr>
        <w:pStyle w:val="AMNumberTabs0"/>
        <w:keepNext/>
      </w:pPr>
      <w:r w:rsidRPr="00F9761E">
        <w:rPr>
          <w:rStyle w:val="HideTWBExt"/>
          <w:b w:val="0"/>
        </w:rPr>
        <w:lastRenderedPageBreak/>
        <w:t>&lt;Amend&gt;</w:t>
      </w:r>
      <w:r w:rsidRPr="00F9761E">
        <w:t>Amendement</w:t>
      </w:r>
      <w:r w:rsidRPr="00F9761E">
        <w:tab/>
      </w:r>
      <w:r w:rsidRPr="00F9761E">
        <w:tab/>
      </w:r>
      <w:r w:rsidRPr="00F9761E">
        <w:rPr>
          <w:rStyle w:val="HideTWBExt"/>
          <w:b w:val="0"/>
        </w:rPr>
        <w:t>&lt;NumAm&gt;</w:t>
      </w:r>
      <w:r w:rsidRPr="00F9761E">
        <w:t>102</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w:t>
      </w:r>
      <w:r w:rsidRPr="00F9761E">
        <w:t xml:space="preserve">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1 – punt a</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a)</w:t>
            </w:r>
            <w:r w:rsidRPr="00F9761E">
              <w:tab/>
              <w:t>de benchmark wordt in de Unie binnen een combinatie van benchmarks dire</w:t>
            </w:r>
            <w:r w:rsidRPr="00F9761E">
              <w:t xml:space="preserve">ct of indirect als referentie gebruikt voor financiële instrumenten of financiële overeenkomsten of voor het meten van de prestatie van beleggingsfondsen met een totale gemiddelde waarde van ten minste </w:t>
            </w:r>
            <w:r w:rsidRPr="00F9761E">
              <w:rPr>
                <w:b/>
                <w:i/>
              </w:rPr>
              <w:t>50</w:t>
            </w:r>
            <w:r w:rsidRPr="00F9761E">
              <w:t> miljard EUR op basis van alle looptijden van de ben</w:t>
            </w:r>
            <w:r w:rsidRPr="00F9761E">
              <w:t>chmark, indien van toepassing, over een periode van zes maanden, of</w:t>
            </w:r>
          </w:p>
        </w:tc>
        <w:tc>
          <w:tcPr>
            <w:tcW w:w="4876" w:type="dxa"/>
            <w:hideMark/>
          </w:tcPr>
          <w:p w:rsidR="001762D4" w:rsidRPr="00F9761E" w:rsidRDefault="00CC2358">
            <w:pPr>
              <w:pStyle w:val="Normal6"/>
              <w:rPr>
                <w:szCs w:val="24"/>
              </w:rPr>
            </w:pPr>
            <w:r w:rsidRPr="00F9761E">
              <w:t>a)</w:t>
            </w:r>
            <w:r w:rsidRPr="00F9761E">
              <w:tab/>
              <w:t>de benchmark wordt in de Unie binnen een combinatie van benchmarks direct of indirect als referentie gebruikt voor financiële instrumenten of financiële overeenkomsten of voor het meten</w:t>
            </w:r>
            <w:r w:rsidRPr="00F9761E">
              <w:t xml:space="preserve"> van de prestatie van beleggingsfondsen met een totale gemiddelde waarde van ten minste </w:t>
            </w:r>
            <w:r w:rsidRPr="00F9761E">
              <w:rPr>
                <w:b/>
                <w:i/>
              </w:rPr>
              <w:t>60</w:t>
            </w:r>
            <w:r w:rsidRPr="00F9761E">
              <w:t> miljard EUR op basis van alle looptijden van de benchmark, indien van toepassing, over een periode van zes maanden, of</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103</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 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 xml:space="preserve">Verordening </w:t>
      </w:r>
      <w:r w:rsidRPr="00F9761E">
        <w:t>(EU) 2016/1011</w:t>
      </w:r>
      <w:r w:rsidRPr="00F9761E">
        <w:rPr>
          <w:rStyle w:val="HideTWBExt"/>
        </w:rPr>
        <w:t>&lt;/DocAmend2&gt;</w:t>
      </w:r>
    </w:p>
    <w:p w:rsidR="001762D4" w:rsidRPr="00F9761E" w:rsidRDefault="00CC2358" w:rsidP="001762D4">
      <w:r w:rsidRPr="00F9761E">
        <w:rPr>
          <w:rStyle w:val="HideTWBExt"/>
        </w:rPr>
        <w:t>&lt;Article2&gt;</w:t>
      </w:r>
      <w:r w:rsidRPr="00F9761E">
        <w:t>Artikel 24 – lid 1 – punt b</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b)</w:t>
            </w:r>
            <w:r w:rsidRPr="00F9761E">
              <w:rPr>
                <w:b/>
                <w:i/>
              </w:rPr>
              <w:tab/>
              <w:t xml:space="preserve">de benchmark is als significant aangemerkt overeenkomstig de in de leden 3, 4 en 5 vastgestelde procedure of de in lid 6 </w:t>
            </w:r>
            <w:r w:rsidRPr="00F9761E">
              <w:rPr>
                <w:b/>
                <w:i/>
              </w:rPr>
              <w:t>vastgestelde procedure.</w:t>
            </w:r>
          </w:p>
        </w:tc>
        <w:tc>
          <w:tcPr>
            <w:tcW w:w="4876" w:type="dxa"/>
            <w:hideMark/>
          </w:tcPr>
          <w:p w:rsidR="001762D4" w:rsidRPr="00F9761E" w:rsidRDefault="00CC2358">
            <w:pPr>
              <w:pStyle w:val="Normal6"/>
              <w:rPr>
                <w:szCs w:val="24"/>
              </w:rPr>
            </w:pPr>
            <w:r w:rsidRPr="00F9761E">
              <w:rPr>
                <w:b/>
                <w:i/>
              </w:rPr>
              <w:t>Schrappen</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De vaststelling of een benchmark significant is, moet uitsluitend gebaseerd zijn op kwantitatieve criteria om een consistente toepassing van deze verordeni</w:t>
      </w:r>
      <w:r w:rsidRPr="00F9761E">
        <w:t>ng te waarborgen.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lastRenderedPageBreak/>
        <w:t>&lt;Amend&gt;</w:t>
      </w:r>
      <w:r w:rsidRPr="00F9761E">
        <w:t>Amendement</w:t>
      </w:r>
      <w:r w:rsidRPr="00F9761E">
        <w:tab/>
      </w:r>
      <w:r w:rsidRPr="00F9761E">
        <w:tab/>
      </w:r>
      <w:r w:rsidRPr="00F9761E">
        <w:rPr>
          <w:rStyle w:val="HideTWBExt"/>
          <w:b w:val="0"/>
        </w:rPr>
        <w:t>&lt;NumAm&gt;</w:t>
      </w:r>
      <w:r w:rsidRPr="00F9761E">
        <w:t>104</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 xml:space="preserve">Artikel 1 – alinea 1 – </w:t>
      </w:r>
      <w:r w:rsidRPr="00F9761E">
        <w:t>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1 bis (nieuw)</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1 bis.</w:t>
            </w:r>
            <w:r w:rsidRPr="00F9761E">
              <w:rPr>
                <w:b/>
                <w:i/>
              </w:rPr>
              <w:tab/>
              <w:t xml:space="preserve">Voor het totale aantal niet-significante benchmarks die door één beheerder </w:t>
            </w:r>
            <w:r w:rsidRPr="00F9761E">
              <w:rPr>
                <w:b/>
                <w:i/>
              </w:rPr>
              <w:t>worden aangeboden, die direct of indirect worden gebruikt binnen een combinatie van benchmarks als referentie voor financiële instrumenten of financiële overeenkomsten of voor de meting van de prestatie van beleggingsfondsen met een totale gemiddelde waard</w:t>
            </w:r>
            <w:r w:rsidRPr="00F9761E">
              <w:rPr>
                <w:b/>
                <w:i/>
              </w:rPr>
              <w:t>e van ten minste 50 miljard EUR op basis van alle looptijden van de benchmark, indien van toepassing, over een periode van zes maanden, gelden dezelfde verplichtingen als voor significante benchmarks.</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105</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 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3</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3.</w:t>
            </w:r>
            <w:r w:rsidRPr="00F9761E">
              <w:rPr>
                <w:b/>
                <w:i/>
              </w:rPr>
              <w:tab/>
              <w:t>Een bevoegde autoriteit kan, na raadpleging van ESMA overeenkomstig lid 4 en rekening houdende met het advies van ESMA, een benchmark die door een in</w:t>
            </w:r>
            <w:r w:rsidRPr="00F9761E">
              <w:rPr>
                <w:b/>
                <w:i/>
              </w:rPr>
              <w:t xml:space="preserve"> de Unie gevestigde beheerder wordt aangeboden en die niet aan de voorwaarde uit lid 1, punt a), voldoet, als significant aanmerken wanneer die </w:t>
            </w:r>
            <w:r w:rsidRPr="00F9761E">
              <w:rPr>
                <w:b/>
                <w:i/>
              </w:rPr>
              <w:lastRenderedPageBreak/>
              <w:t>benchmark aan alle volgende voorwaarden voldoet:</w:t>
            </w:r>
          </w:p>
        </w:tc>
        <w:tc>
          <w:tcPr>
            <w:tcW w:w="4876" w:type="dxa"/>
            <w:hideMark/>
          </w:tcPr>
          <w:p w:rsidR="001762D4" w:rsidRPr="00F9761E" w:rsidRDefault="00CC2358">
            <w:pPr>
              <w:pStyle w:val="Normal6"/>
              <w:rPr>
                <w:szCs w:val="24"/>
              </w:rPr>
            </w:pPr>
            <w:r w:rsidRPr="00F9761E">
              <w:rPr>
                <w:b/>
                <w:i/>
              </w:rPr>
              <w:lastRenderedPageBreak/>
              <w:t>Schrappen</w:t>
            </w:r>
          </w:p>
        </w:tc>
      </w:tr>
      <w:tr w:rsidR="00087166" w:rsidRPr="00F9761E" w:rsidTr="001762D4">
        <w:trPr>
          <w:jc w:val="center"/>
        </w:trPr>
        <w:tc>
          <w:tcPr>
            <w:tcW w:w="4876" w:type="dxa"/>
            <w:hideMark/>
          </w:tcPr>
          <w:p w:rsidR="001762D4" w:rsidRPr="00F9761E" w:rsidRDefault="00CC2358">
            <w:pPr>
              <w:pStyle w:val="Normal6"/>
            </w:pPr>
            <w:r w:rsidRPr="00F9761E">
              <w:rPr>
                <w:b/>
                <w:i/>
              </w:rPr>
              <w:t>a)</w:t>
            </w:r>
            <w:r w:rsidRPr="00F9761E">
              <w:rPr>
                <w:b/>
                <w:i/>
              </w:rPr>
              <w:tab/>
              <w:t>voor de benchmark zijn er weinig of geen passende</w:t>
            </w:r>
            <w:r w:rsidRPr="00F9761E">
              <w:rPr>
                <w:b/>
                <w:i/>
              </w:rPr>
              <w:t xml:space="preserve"> marktgestuurde substituten;</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b)</w:t>
            </w:r>
            <w:r w:rsidRPr="00F9761E">
              <w:rPr>
                <w:b/>
                <w:i/>
              </w:rPr>
              <w:tab/>
              <w:t xml:space="preserve">indien de benchmark niet langer wordt aangeboden of indien deze wordt aangeboden op basis van inputgegevens die niet langer volledig representatief zijn voor de onderliggende markt of economische realiteit of op basis van </w:t>
            </w:r>
            <w:r w:rsidRPr="00F9761E">
              <w:rPr>
                <w:b/>
                <w:i/>
              </w:rPr>
              <w:t>onbetrouwbare inputgegevens, zou dit significante en negatieve gevolgen hebben voor de marktintegriteit, de financiële stabiliteit, de consumenten, de reële economie of de financiering van huishoudens en ondernemingen in de lidstaat van die autoriteit;</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c</w:t>
            </w:r>
            <w:r w:rsidRPr="00F9761E">
              <w:rPr>
                <w:b/>
                <w:i/>
              </w:rPr>
              <w:t>)</w:t>
            </w:r>
            <w:r w:rsidRPr="00F9761E">
              <w:rPr>
                <w:b/>
                <w:i/>
              </w:rPr>
              <w:tab/>
              <w:t>de benchmark is niet door een bevoegde autoriteit van een andere lidstaat aangewezen.</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Wanneer een bevoegde autoriteit tot de conclusie komt dat een benchmark aan de in de eerste alinea bepaalde criteria voldoet, stelt de bevoegde autoriteit een ontwerp</w:t>
            </w:r>
            <w:r w:rsidRPr="00F9761E">
              <w:rPr>
                <w:b/>
                <w:i/>
              </w:rPr>
              <w:t>besluit op om de benchmark als significant aan te merken en geeft zij de betrokken beheerder en, in voorkomend geval, de bevoegde autoriteit van de lidstaat van herkomst van de beheerder kennis van het ontwerpbesluit. De betrokken bevoegde autoriteit raadp</w:t>
            </w:r>
            <w:r w:rsidRPr="00F9761E">
              <w:rPr>
                <w:b/>
                <w:i/>
              </w:rPr>
              <w:t>leegt ook ESMA over het ontwerpbesluit.</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De betrokken beheerders en de bevoegde autoriteit van de lidstaat van herkomst van de beheerder hebben vanaf de datum van de kennisgeving van het ontwerpbesluit van de aanmerkende bevoegde autoriteit vijftien werkd</w:t>
            </w:r>
            <w:r w:rsidRPr="00F9761E">
              <w:rPr>
                <w:b/>
                <w:i/>
              </w:rPr>
              <w:t>agen de tijd om schriftelijk opmerkingen te maken. De betrokken aanmerkende bevoegde autoriteit stelt ESMA in kennis van de ontvangen opmerkingen en houdt terdege rekening met die opmerkingen voordat zij een eindbesluit vaststelt.</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lastRenderedPageBreak/>
              <w:t>De aanmerkende bevoegde</w:t>
            </w:r>
            <w:r w:rsidRPr="00F9761E">
              <w:rPr>
                <w:b/>
                <w:i/>
              </w:rPr>
              <w:t xml:space="preserve"> autoriteit geeft ESMA kennis van haar besluit en maakt het besluit, samen met de redenen waarom dat besluit is genomen en de gevolgen van deze aanmerking, onverwijld op haar website bekend.</w:t>
            </w:r>
          </w:p>
        </w:tc>
        <w:tc>
          <w:tcPr>
            <w:tcW w:w="4876" w:type="dxa"/>
          </w:tcPr>
          <w:p w:rsidR="001762D4" w:rsidRPr="00F9761E" w:rsidRDefault="001762D4">
            <w:pPr>
              <w:pStyle w:val="Normal6"/>
              <w:rPr>
                <w:szCs w:val="24"/>
              </w:rPr>
            </w:pP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w:t>
      </w:r>
      <w:r w:rsidRPr="00F9761E">
        <w:rPr>
          <w:rStyle w:val="HideTWBExt"/>
          <w:i w:val="0"/>
        </w:rPr>
        <w:t>t&gt;</w:t>
      </w:r>
    </w:p>
    <w:p w:rsidR="001762D4" w:rsidRPr="00F9761E" w:rsidRDefault="00CC2358" w:rsidP="001762D4">
      <w:pPr>
        <w:pStyle w:val="Normal12Italic"/>
        <w:rPr>
          <w:noProof w:val="0"/>
        </w:rPr>
      </w:pPr>
      <w:r w:rsidRPr="00F9761E">
        <w:t>De vaststelling of een benchmark significant is, moet uitsluitend gebaseerd zijn op kwantitatieve criteria om een consistente toepassing van deze verordening te waarborgen.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106</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 xml:space="preserve">Inese </w:t>
      </w:r>
      <w:r w:rsidRPr="00F9761E">
        <w:t>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3 – alinea 1 – punt b</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w:t>
            </w:r>
            <w:r w:rsidRPr="00F9761E">
              <w:t xml:space="preserv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b)</w:t>
            </w:r>
            <w:r w:rsidRPr="00F9761E">
              <w:tab/>
              <w:t>indien de benchmark niet langer wordt aangeboden of indien deze wordt aangeboden op basis van inputgegevens die niet langer volledig representatief zijn voor de onderliggende markt of economische realiteit of op</w:t>
            </w:r>
            <w:r w:rsidRPr="00F9761E">
              <w:t xml:space="preserve"> basis van onbetrouwbare inputgegevens, zou dit significante en negatieve gevolgen hebben voor de </w:t>
            </w:r>
            <w:r w:rsidRPr="00F9761E">
              <w:rPr>
                <w:b/>
                <w:i/>
              </w:rPr>
              <w:t>marktintegriteit, de</w:t>
            </w:r>
            <w:r w:rsidRPr="00F9761E">
              <w:t xml:space="preserve"> financiële stabiliteit, de consumenten, de reële economie of de financiering van huishoudens en ondernemingen in de </w:t>
            </w:r>
            <w:r w:rsidRPr="00F9761E">
              <w:rPr>
                <w:b/>
                <w:i/>
              </w:rPr>
              <w:t>lidstaat van die auto</w:t>
            </w:r>
            <w:r w:rsidRPr="00F9761E">
              <w:rPr>
                <w:b/>
                <w:i/>
              </w:rPr>
              <w:t>riteit</w:t>
            </w:r>
            <w:r w:rsidRPr="00F9761E">
              <w:t>;</w:t>
            </w:r>
          </w:p>
        </w:tc>
        <w:tc>
          <w:tcPr>
            <w:tcW w:w="4876" w:type="dxa"/>
            <w:hideMark/>
          </w:tcPr>
          <w:p w:rsidR="001762D4" w:rsidRPr="00F9761E" w:rsidRDefault="00CC2358">
            <w:pPr>
              <w:pStyle w:val="Normal6"/>
              <w:rPr>
                <w:szCs w:val="24"/>
              </w:rPr>
            </w:pPr>
            <w:r w:rsidRPr="00F9761E">
              <w:t>b)</w:t>
            </w:r>
            <w:r w:rsidRPr="00F9761E">
              <w:tab/>
              <w:t>indien de benchmark niet langer wordt aangeboden of indien deze wordt aangeboden op basis van inputgegevens die niet langer volledig representatief zijn voor de onderliggende markt of economische realiteit of op basis van onbetrouwbare inputgege</w:t>
            </w:r>
            <w:r w:rsidRPr="00F9761E">
              <w:t xml:space="preserve">vens, zou dit significante en negatieve gevolgen hebben voor de financiële stabiliteit </w:t>
            </w:r>
            <w:r w:rsidRPr="00F9761E">
              <w:rPr>
                <w:b/>
                <w:i/>
              </w:rPr>
              <w:t>in de Unie</w:t>
            </w:r>
            <w:r w:rsidRPr="00F9761E">
              <w:t xml:space="preserve">, de consumenten, de reële economie of de financiering van huishoudens en ondernemingen in de </w:t>
            </w:r>
            <w:r w:rsidRPr="00F9761E">
              <w:rPr>
                <w:b/>
                <w:i/>
              </w:rPr>
              <w:t>Unie</w:t>
            </w:r>
            <w:r w:rsidRPr="00F9761E">
              <w: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107</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lastRenderedPageBreak/>
        <w:t>&lt;DocAmend2&gt;</w:t>
      </w:r>
      <w:r w:rsidRPr="00F9761E">
        <w:t>Verordening (EU) 2016/1011</w:t>
      </w:r>
      <w:r w:rsidRPr="00F9761E">
        <w:rPr>
          <w:rStyle w:val="HideTWBExt"/>
        </w:rPr>
        <w:t>&lt;/DocAmend2&gt;</w:t>
      </w:r>
    </w:p>
    <w:p w:rsidR="001762D4" w:rsidRPr="00F9761E" w:rsidRDefault="00CC2358" w:rsidP="00B56F1B">
      <w:pPr>
        <w:widowControl/>
      </w:pPr>
      <w:r w:rsidRPr="00F9761E">
        <w:rPr>
          <w:rStyle w:val="HideTWBExt"/>
        </w:rPr>
        <w:t>&lt;Article2&gt;</w:t>
      </w:r>
      <w:r w:rsidRPr="00F9761E">
        <w:t>Artikel 24 – lid 3 – alinea 3</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De betrokken beheerders en de bevoegde autoriteit van de lidstaat van herkomst van de beheerder hebben vanaf de datum van de kennisgeving van het ontwerpbesluit van</w:t>
            </w:r>
            <w:r w:rsidRPr="00F9761E">
              <w:t xml:space="preserve"> de aanmerkende bevoegde autoriteit </w:t>
            </w:r>
            <w:r w:rsidRPr="00F9761E">
              <w:rPr>
                <w:b/>
                <w:i/>
              </w:rPr>
              <w:t xml:space="preserve">vijftien </w:t>
            </w:r>
            <w:r w:rsidRPr="00F9761E">
              <w:t>werkdagen de tijd om schriftelijk opmerkingen te maken. De betrokken aanmerkende bevoegde autoriteit stelt ESMA in kennis van de ontvangen opmerkingen en houdt terdege rekening met die opmerkingen voordat zij ee</w:t>
            </w:r>
            <w:r w:rsidRPr="00F9761E">
              <w:t>n eindbesluit vaststelt.</w:t>
            </w:r>
          </w:p>
        </w:tc>
        <w:tc>
          <w:tcPr>
            <w:tcW w:w="4876" w:type="dxa"/>
            <w:hideMark/>
          </w:tcPr>
          <w:p w:rsidR="001762D4" w:rsidRPr="00F9761E" w:rsidRDefault="00CC2358">
            <w:pPr>
              <w:pStyle w:val="Normal6"/>
              <w:rPr>
                <w:szCs w:val="24"/>
              </w:rPr>
            </w:pPr>
            <w:r w:rsidRPr="00F9761E">
              <w:t xml:space="preserve">De betrokken beheerders en de bevoegde autoriteit van de lidstaat van herkomst van de beheerder hebben vanaf de datum van de kennisgeving van het ontwerpbesluit van de aanmerkende bevoegde autoriteit </w:t>
            </w:r>
            <w:r w:rsidRPr="00F9761E">
              <w:rPr>
                <w:b/>
                <w:i/>
              </w:rPr>
              <w:t xml:space="preserve">dertig </w:t>
            </w:r>
            <w:r w:rsidRPr="00F9761E">
              <w:t>werkdagen de tijd om sch</w:t>
            </w:r>
            <w:r w:rsidRPr="00F9761E">
              <w:t>riftelijk opmerkingen te maken. De betrokken aanmerkende bevoegde autoriteit stelt ESMA in kennis van de ontvangen opmerkingen en houdt terdege rekening met die opmerkingen voordat zij een eindbesluit vaststelt.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108</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 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w:t>
      </w:r>
      <w:r w:rsidRPr="00F9761E">
        <w:t>11</w:t>
      </w:r>
      <w:r w:rsidRPr="00F9761E">
        <w:rPr>
          <w:rStyle w:val="HideTWBExt"/>
        </w:rPr>
        <w:t>&lt;/DocAmend2&gt;</w:t>
      </w:r>
    </w:p>
    <w:p w:rsidR="001762D4" w:rsidRPr="00F9761E" w:rsidRDefault="00CC2358" w:rsidP="001762D4">
      <w:r w:rsidRPr="00F9761E">
        <w:rPr>
          <w:rStyle w:val="HideTWBExt"/>
        </w:rPr>
        <w:t>&lt;Article2&gt;</w:t>
      </w:r>
      <w:r w:rsidRPr="00F9761E">
        <w:t>Artikel 24 – lid 4</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4.</w:t>
            </w:r>
            <w:r w:rsidRPr="00F9761E">
              <w:rPr>
                <w:b/>
                <w:i/>
              </w:rPr>
              <w:tab/>
              <w:t>Wanneer ESMA door een bevoegde autoriteit wordt geraadpleegd over de voorgenomen aanmerking van een benchmark als significant overeenkomstig lid 3,</w:t>
            </w:r>
            <w:r w:rsidRPr="00F9761E">
              <w:rPr>
                <w:b/>
                <w:i/>
              </w:rPr>
              <w:t xml:space="preserve"> eerste alinea, brengt zij binnen drie maanden een advies uit dat rekening houdt met de volgende factoren, in het licht van de specifieke kenmerken van de betrokken benchmark:</w:t>
            </w:r>
          </w:p>
        </w:tc>
        <w:tc>
          <w:tcPr>
            <w:tcW w:w="4876" w:type="dxa"/>
            <w:hideMark/>
          </w:tcPr>
          <w:p w:rsidR="001762D4" w:rsidRPr="00F9761E" w:rsidRDefault="00CC2358">
            <w:pPr>
              <w:pStyle w:val="Normal6"/>
              <w:rPr>
                <w:szCs w:val="24"/>
              </w:rPr>
            </w:pPr>
            <w:r w:rsidRPr="00F9761E">
              <w:rPr>
                <w:b/>
                <w:i/>
              </w:rPr>
              <w:t>Schrappen</w:t>
            </w:r>
          </w:p>
        </w:tc>
      </w:tr>
      <w:tr w:rsidR="00087166" w:rsidRPr="00F9761E" w:rsidTr="001762D4">
        <w:trPr>
          <w:jc w:val="center"/>
        </w:trPr>
        <w:tc>
          <w:tcPr>
            <w:tcW w:w="4876" w:type="dxa"/>
            <w:hideMark/>
          </w:tcPr>
          <w:p w:rsidR="001762D4" w:rsidRPr="00F9761E" w:rsidRDefault="00CC2358">
            <w:pPr>
              <w:pStyle w:val="Normal6"/>
            </w:pPr>
            <w:r w:rsidRPr="00F9761E">
              <w:rPr>
                <w:b/>
                <w:i/>
              </w:rPr>
              <w:t>a)</w:t>
            </w:r>
            <w:r w:rsidRPr="00F9761E">
              <w:rPr>
                <w:b/>
                <w:i/>
              </w:rPr>
              <w:tab/>
              <w:t>de vraag of de raadplegende bevoegde autoriteit haar beoordeling d</w:t>
            </w:r>
            <w:r w:rsidRPr="00F9761E">
              <w:rPr>
                <w:b/>
                <w:i/>
              </w:rPr>
              <w:t>at de in lid 3, eerste alinea, genoemde voorwaarden vervuld zijn, voldoende heeft onderbouwd;</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b)</w:t>
            </w:r>
            <w:r w:rsidRPr="00F9761E">
              <w:rPr>
                <w:b/>
                <w:i/>
              </w:rPr>
              <w:tab/>
              <w:t xml:space="preserve">de vraag of er, indien de </w:t>
            </w:r>
            <w:r w:rsidRPr="00F9761E">
              <w:rPr>
                <w:b/>
                <w:i/>
              </w:rPr>
              <w:lastRenderedPageBreak/>
              <w:t>benchmark niet langer wordt aangeboden of indien deze wordt aangeboden op basis van inputgegevens die niet langer volledig represen</w:t>
            </w:r>
            <w:r w:rsidRPr="00F9761E">
              <w:rPr>
                <w:b/>
                <w:i/>
              </w:rPr>
              <w:t>tatief zijn voor de onderliggende markt of economische realiteit of die onbetrouwbaar zijn, significante en negatieve gevolgen zouden zijn voor de marktintegriteit, de financiële stabiliteit, de consumenten, de reële economie of de financiering van huishou</w:t>
            </w:r>
            <w:r w:rsidRPr="00F9761E">
              <w:rPr>
                <w:b/>
                <w:i/>
              </w:rPr>
              <w:t>dens en ondernemingen in andere lidstaten dan de lidstaat van de raadplegende bevoegde autoriteit.</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Voor de toepassing van punt b) houdt ESMA, in voorkomend geval, afdoende rekening met de informatie die de raadplegende autoriteit overeenkomstig lid 3, de</w:t>
            </w:r>
            <w:r w:rsidRPr="00F9761E">
              <w:rPr>
                <w:b/>
                <w:i/>
              </w:rPr>
              <w:t>rde alinea, heeft verschaft.</w:t>
            </w:r>
          </w:p>
        </w:tc>
        <w:tc>
          <w:tcPr>
            <w:tcW w:w="4876" w:type="dxa"/>
          </w:tcPr>
          <w:p w:rsidR="001762D4" w:rsidRPr="00F9761E" w:rsidRDefault="001762D4">
            <w:pPr>
              <w:pStyle w:val="Normal6"/>
              <w:rPr>
                <w:szCs w:val="24"/>
              </w:rPr>
            </w:pP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 xml:space="preserve">De vaststelling of een benchmark significant is, moet uitsluitend gebaseerd zijn op kwantitatieve criteria om een consistente toepassing van deze verordening </w:t>
      </w:r>
      <w:r w:rsidRPr="00F9761E">
        <w:t>te waarborgen.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109</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 xml:space="preserve">Verordening </w:t>
      </w:r>
      <w:r w:rsidRPr="00F9761E">
        <w:t>(EU) 2016/1011</w:t>
      </w:r>
      <w:r w:rsidRPr="00F9761E">
        <w:rPr>
          <w:rStyle w:val="HideTWBExt"/>
        </w:rPr>
        <w:t>&lt;/DocAmend2&gt;</w:t>
      </w:r>
    </w:p>
    <w:p w:rsidR="001762D4" w:rsidRPr="00F9761E" w:rsidRDefault="00CC2358" w:rsidP="001762D4">
      <w:r w:rsidRPr="00F9761E">
        <w:rPr>
          <w:rStyle w:val="HideTWBExt"/>
        </w:rPr>
        <w:t>&lt;Article2&gt;</w:t>
      </w:r>
      <w:r w:rsidRPr="00F9761E">
        <w:t>Artikel 24 – lid 4 – alinea 1 – punt b</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b)</w:t>
            </w:r>
            <w:r w:rsidRPr="00F9761E">
              <w:tab/>
            </w:r>
            <w:r w:rsidRPr="00F9761E">
              <w:t>de vraag of er, indien de benchmark niet langer wordt aangeboden of indien deze wordt aangeboden op basis van inputgegevens die niet langer volledig representatief zijn voor de onderliggende markt of economische realiteit of die onbetrouwbaar zijn, signifi</w:t>
            </w:r>
            <w:r w:rsidRPr="00F9761E">
              <w:t xml:space="preserve">cante en negatieve gevolgen zouden zijn voor de </w:t>
            </w:r>
            <w:r w:rsidRPr="00F9761E">
              <w:rPr>
                <w:b/>
                <w:i/>
              </w:rPr>
              <w:t xml:space="preserve">marktintegriteit, de </w:t>
            </w:r>
            <w:r w:rsidRPr="00F9761E">
              <w:t xml:space="preserve">financiële stabiliteit, de consumenten, de reële economie of de </w:t>
            </w:r>
            <w:r w:rsidRPr="00F9761E">
              <w:lastRenderedPageBreak/>
              <w:t xml:space="preserve">financiering van huishoudens en ondernemingen in </w:t>
            </w:r>
            <w:r w:rsidRPr="00F9761E">
              <w:rPr>
                <w:b/>
                <w:i/>
              </w:rPr>
              <w:t>andere lidstaten</w:t>
            </w:r>
            <w:r w:rsidRPr="00F9761E">
              <w:t xml:space="preserve"> dan de lidstaat van de raadplegende bevoegde autoriteit.</w:t>
            </w:r>
          </w:p>
        </w:tc>
        <w:tc>
          <w:tcPr>
            <w:tcW w:w="4876" w:type="dxa"/>
            <w:hideMark/>
          </w:tcPr>
          <w:p w:rsidR="001762D4" w:rsidRPr="00F9761E" w:rsidRDefault="00CC2358">
            <w:pPr>
              <w:pStyle w:val="Normal6"/>
              <w:rPr>
                <w:szCs w:val="24"/>
              </w:rPr>
            </w:pPr>
            <w:r w:rsidRPr="00F9761E">
              <w:lastRenderedPageBreak/>
              <w:t>b)</w:t>
            </w:r>
            <w:r w:rsidRPr="00F9761E">
              <w:tab/>
              <w:t>de vraag of er, indien de benchmark niet langer wordt aangeboden of indien deze wordt aangeboden op basis van inputgegevens die niet langer volledig representatief zijn voor de onderliggende markt of economische realiteit of die onbetrouwbaar zijn, sign</w:t>
            </w:r>
            <w:r w:rsidRPr="00F9761E">
              <w:t xml:space="preserve">ificante en negatieve gevolgen zouden zijn voor de financiële stabiliteit, de consumenten, de reële economie of de financiering van </w:t>
            </w:r>
            <w:r w:rsidRPr="00F9761E">
              <w:lastRenderedPageBreak/>
              <w:t xml:space="preserve">huishoudens en ondernemingen </w:t>
            </w:r>
            <w:r w:rsidRPr="00F9761E">
              <w:rPr>
                <w:b/>
                <w:i/>
              </w:rPr>
              <w:t xml:space="preserve">elders </w:t>
            </w:r>
            <w:r w:rsidRPr="00F9761E">
              <w:t xml:space="preserve">in </w:t>
            </w:r>
            <w:r w:rsidRPr="00F9761E">
              <w:rPr>
                <w:b/>
                <w:i/>
              </w:rPr>
              <w:t xml:space="preserve">de Unie </w:t>
            </w:r>
            <w:r w:rsidRPr="00F9761E">
              <w:t xml:space="preserve">dan </w:t>
            </w:r>
            <w:r w:rsidRPr="00F9761E">
              <w:rPr>
                <w:b/>
                <w:i/>
              </w:rPr>
              <w:t xml:space="preserve">in </w:t>
            </w:r>
            <w:r w:rsidRPr="00F9761E">
              <w:t>de lidstaat van de raadplegende bevoegde autoriteit.</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110</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 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w:t>
      </w:r>
      <w:r w:rsidRPr="00F9761E">
        <w:rPr>
          <w:rStyle w:val="HideTWBExt"/>
        </w:rPr>
        <w:t>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5</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5.</w:t>
            </w:r>
            <w:r w:rsidRPr="00F9761E">
              <w:rPr>
                <w:b/>
                <w:i/>
              </w:rPr>
              <w:tab/>
              <w:t xml:space="preserve">Wanneer ESMA tot de bevinding komt dat een benchmark in meer dan één lidstaat aan de voorwaarden van lid 3, eerste </w:t>
            </w:r>
            <w:r w:rsidRPr="00F9761E">
              <w:rPr>
                <w:b/>
                <w:i/>
              </w:rPr>
              <w:t>alinea, punten a) tot en met c), voldoet, stelt zij de bevoegde autoriteiten van de betrokken lidstaten daarvan in kennis. Zij komen overeen wie van hen de betrokken benchmark als significante benchmark aanmerkt.</w:t>
            </w:r>
          </w:p>
        </w:tc>
        <w:tc>
          <w:tcPr>
            <w:tcW w:w="4876" w:type="dxa"/>
            <w:hideMark/>
          </w:tcPr>
          <w:p w:rsidR="001762D4" w:rsidRPr="00F9761E" w:rsidRDefault="00CC2358">
            <w:pPr>
              <w:pStyle w:val="Normal6"/>
              <w:rPr>
                <w:szCs w:val="24"/>
              </w:rPr>
            </w:pPr>
            <w:r w:rsidRPr="00F9761E">
              <w:rPr>
                <w:b/>
                <w:i/>
              </w:rPr>
              <w:t>Schrappen</w:t>
            </w:r>
          </w:p>
        </w:tc>
      </w:tr>
      <w:tr w:rsidR="00087166" w:rsidRPr="00F9761E" w:rsidTr="001762D4">
        <w:trPr>
          <w:jc w:val="center"/>
        </w:trPr>
        <w:tc>
          <w:tcPr>
            <w:tcW w:w="4876" w:type="dxa"/>
            <w:hideMark/>
          </w:tcPr>
          <w:p w:rsidR="001762D4" w:rsidRPr="00F9761E" w:rsidRDefault="00CC2358">
            <w:pPr>
              <w:pStyle w:val="Normal6"/>
            </w:pPr>
            <w:r w:rsidRPr="00F9761E">
              <w:rPr>
                <w:b/>
                <w:i/>
              </w:rPr>
              <w:t xml:space="preserve">Wanneer bevoegde autoriteiten </w:t>
            </w:r>
            <w:r w:rsidRPr="00F9761E">
              <w:rPr>
                <w:b/>
                <w:i/>
              </w:rPr>
              <w:t>het niet eens geraken over de in de eerste lid bedoelde kwestie, leggen zij de zaak aan ESMA voor, die dat meningsverschil beslecht overeenkomstig artikel 19 van Verordening (EU) nr. 1095/2010.</w:t>
            </w:r>
          </w:p>
        </w:tc>
        <w:tc>
          <w:tcPr>
            <w:tcW w:w="4876" w:type="dxa"/>
          </w:tcPr>
          <w:p w:rsidR="001762D4" w:rsidRPr="00F9761E" w:rsidRDefault="001762D4">
            <w:pPr>
              <w:pStyle w:val="Normal6"/>
              <w:rPr>
                <w:szCs w:val="24"/>
              </w:rPr>
            </w:pP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De vaststelling of een benchmark significant is, moet uitsluitend gebaseerd zijn op kwantitatieve criteria om een consistente toepassing van deze verordening te waarborgen.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111</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w:t>
      </w:r>
      <w:r w:rsidRPr="00F9761E">
        <w:rPr>
          <w:rStyle w:val="HideTWBExt"/>
          <w:b w:val="0"/>
        </w:rPr>
        <w:t>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lastRenderedPageBreak/>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F8078F">
      <w:pPr>
        <w:widowControl/>
      </w:pPr>
      <w:r w:rsidRPr="00F9761E">
        <w:rPr>
          <w:rStyle w:val="HideTWBExt"/>
        </w:rPr>
        <w:t>&lt;Article2&gt;</w:t>
      </w:r>
      <w:r w:rsidRPr="00F9761E">
        <w:t>Artikel 24 – lid 5 – alinea 1</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 xml:space="preserve">Door de </w:t>
            </w:r>
            <w:r w:rsidRPr="00F9761E">
              <w:t>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5.</w:t>
            </w:r>
            <w:r w:rsidRPr="00F9761E">
              <w:tab/>
              <w:t xml:space="preserve">Wanneer ESMA tot de bevinding komt dat een benchmark in </w:t>
            </w:r>
            <w:r w:rsidRPr="00F9761E">
              <w:rPr>
                <w:b/>
                <w:i/>
              </w:rPr>
              <w:t>meer dan één lidstaat</w:t>
            </w:r>
            <w:r w:rsidRPr="00F9761E">
              <w:t xml:space="preserve"> aan de voorwaarden van lid 3, eerste alinea, punten a) tot en met c), voldoet, stelt zij de bevoegde autoriteiten van de betrokken lidstaten daarvan in kennis. Zij komen overeen wie van hen de betrokken benchmark als significante benchmark aanmerkt.</w:t>
            </w:r>
          </w:p>
        </w:tc>
        <w:tc>
          <w:tcPr>
            <w:tcW w:w="4876" w:type="dxa"/>
            <w:hideMark/>
          </w:tcPr>
          <w:p w:rsidR="001762D4" w:rsidRPr="00F9761E" w:rsidRDefault="00CC2358">
            <w:pPr>
              <w:pStyle w:val="Normal6"/>
              <w:rPr>
                <w:szCs w:val="24"/>
              </w:rPr>
            </w:pPr>
            <w:r w:rsidRPr="00F9761E">
              <w:t>5.</w:t>
            </w:r>
            <w:r w:rsidRPr="00F9761E">
              <w:tab/>
              <w:t>Wa</w:t>
            </w:r>
            <w:r w:rsidRPr="00F9761E">
              <w:t xml:space="preserve">nneer ESMA tot de bevinding komt dat een benchmark in </w:t>
            </w:r>
            <w:r w:rsidRPr="00F9761E">
              <w:rPr>
                <w:b/>
                <w:i/>
              </w:rPr>
              <w:t xml:space="preserve">de Unie </w:t>
            </w:r>
            <w:r w:rsidRPr="00F9761E">
              <w:t>aan de voorwaarden van lid 3, eerste alinea, punten a) tot en met c), voldoet, stelt zij de bevoegde autoriteiten van de betrokken lidstaten daarvan in kennis. Zij komen overeen wie van hen de b</w:t>
            </w:r>
            <w:r w:rsidRPr="00F9761E">
              <w:t>etrokken benchmark als significante benchmark aanmerkt.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112</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w:t>
      </w:r>
      <w:r w:rsidRPr="00F9761E">
        <w:rPr>
          <w:rStyle w:val="HideTWBExt"/>
          <w:b w:val="0"/>
        </w:rPr>
        <w:t>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5 – alinea 2</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Wanneer bevoegde autoriteiten het niet eens geraken over</w:t>
            </w:r>
            <w:r w:rsidRPr="00F9761E">
              <w:t xml:space="preserve"> de in de eerste lid bedoelde kwestie, leggen zij de zaak aan ESMA voor, die dat meningsverschil beslecht overeenkomstig artikel 19 van Verordening (EU) nr. 1095/2010.</w:t>
            </w:r>
          </w:p>
        </w:tc>
        <w:tc>
          <w:tcPr>
            <w:tcW w:w="4876" w:type="dxa"/>
            <w:hideMark/>
          </w:tcPr>
          <w:p w:rsidR="001762D4" w:rsidRPr="00F9761E" w:rsidRDefault="00CC2358">
            <w:pPr>
              <w:pStyle w:val="Normal6"/>
              <w:rPr>
                <w:szCs w:val="24"/>
              </w:rPr>
            </w:pPr>
            <w:r w:rsidRPr="00F9761E">
              <w:t>Wanneer bevoegde autoriteiten het niet eens geraken over de in de eerste lid bedoelde kw</w:t>
            </w:r>
            <w:r w:rsidRPr="00F9761E">
              <w:t xml:space="preserve">estie, leggen zij de zaak aan ESMA voor, die dat meningsverschil </w:t>
            </w:r>
            <w:r w:rsidRPr="00F9761E">
              <w:rPr>
                <w:b/>
                <w:i/>
              </w:rPr>
              <w:t xml:space="preserve">tussen bevoegde autoriteiten in grensoverschrijdende gevallen </w:t>
            </w:r>
            <w:r w:rsidRPr="00F9761E">
              <w:t>beslecht overeenkomstig artikel 19 van Verordening (EU) nr. 1095/2010.</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w:t>
      </w:r>
      <w:r w:rsidRPr="00F9761E">
        <w:t>t</w:t>
      </w:r>
      <w:r w:rsidRPr="00F9761E">
        <w:tab/>
      </w:r>
      <w:r w:rsidRPr="00F9761E">
        <w:tab/>
      </w:r>
      <w:r w:rsidRPr="00F9761E">
        <w:rPr>
          <w:rStyle w:val="HideTWBExt"/>
          <w:b w:val="0"/>
        </w:rPr>
        <w:t>&lt;NumAm&gt;</w:t>
      </w:r>
      <w:r w:rsidRPr="00F9761E">
        <w:t>113</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 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lastRenderedPageBreak/>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6</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6.</w:t>
            </w:r>
            <w:r w:rsidRPr="00F9761E">
              <w:rPr>
                <w:b/>
                <w:i/>
              </w:rPr>
              <w:tab/>
              <w:t>De ESMA kan, op verzoek van een bevoegde autoriteit, een benchmark die door een in een derde land gevestigde beheerder wordt aangeboden en die niet aan de drempel</w:t>
            </w:r>
            <w:r w:rsidRPr="00F9761E">
              <w:rPr>
                <w:b/>
                <w:i/>
              </w:rPr>
              <w:t xml:space="preserve"> uit lid 1, punt a), voldoet, als significant aanmerken wanneer die benchmark aan alle volgende voorwaarden voldoet:</w:t>
            </w:r>
          </w:p>
        </w:tc>
        <w:tc>
          <w:tcPr>
            <w:tcW w:w="4876" w:type="dxa"/>
            <w:hideMark/>
          </w:tcPr>
          <w:p w:rsidR="001762D4" w:rsidRPr="00F9761E" w:rsidRDefault="00CC2358">
            <w:pPr>
              <w:pStyle w:val="Normal6"/>
              <w:rPr>
                <w:szCs w:val="24"/>
              </w:rPr>
            </w:pPr>
            <w:r w:rsidRPr="00F9761E">
              <w:rPr>
                <w:b/>
                <w:i/>
              </w:rPr>
              <w:t>Schrappen</w:t>
            </w:r>
          </w:p>
        </w:tc>
      </w:tr>
      <w:tr w:rsidR="00087166" w:rsidRPr="00F9761E" w:rsidTr="001762D4">
        <w:trPr>
          <w:jc w:val="center"/>
        </w:trPr>
        <w:tc>
          <w:tcPr>
            <w:tcW w:w="4876" w:type="dxa"/>
            <w:hideMark/>
          </w:tcPr>
          <w:p w:rsidR="001762D4" w:rsidRPr="00F9761E" w:rsidRDefault="00CC2358">
            <w:pPr>
              <w:pStyle w:val="Normal6"/>
            </w:pPr>
            <w:r w:rsidRPr="00F9761E">
              <w:rPr>
                <w:b/>
                <w:i/>
              </w:rPr>
              <w:t>a)</w:t>
            </w:r>
            <w:r w:rsidRPr="00F9761E">
              <w:rPr>
                <w:b/>
                <w:i/>
              </w:rPr>
              <w:tab/>
              <w:t>voor de benchmark zijn er weinig of geen passende marktgestuurde substituten;</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b)</w:t>
            </w:r>
            <w:r w:rsidRPr="00F9761E">
              <w:rPr>
                <w:b/>
                <w:i/>
              </w:rPr>
              <w:tab/>
              <w:t xml:space="preserve">indien de benchmark niet meer zou worden </w:t>
            </w:r>
            <w:r w:rsidRPr="00F9761E">
              <w:rPr>
                <w:b/>
                <w:i/>
              </w:rPr>
              <w:t xml:space="preserve">aangeboden of indien deze zou worden aangeboden op basis van inputgegevens die niet meer volledig representatief zijn voor de onderliggende markt of economische realiteit of die onbetrouwbaar zijn, zou dit significante en negatieve gevolgen hebben voor de </w:t>
            </w:r>
            <w:r w:rsidRPr="00F9761E">
              <w:rPr>
                <w:b/>
                <w:i/>
              </w:rPr>
              <w:t>marktintegriteit, de financiële stabiliteit, de consumenten, de reële economie of de financiering van huishoudens en ondernemingen in een of meer lidstaten.</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 xml:space="preserve">ESMA stelt, vóór het aanwijzingsbesluit en zo spoedig mogelijk, de beheerder van de benchmark in </w:t>
            </w:r>
            <w:r w:rsidRPr="00F9761E">
              <w:rPr>
                <w:b/>
                <w:i/>
              </w:rPr>
              <w:t>kennis van haar voornemen en nodigt die beheerder uit om ESMA binnen vijftien werkdagen een met redenen omklede verklaring te verschaffen met daarin alle informatie die relevant is voor de beoordeling wat betreft de aanmerking van de benchmark als signific</w:t>
            </w:r>
            <w:r w:rsidRPr="00F9761E">
              <w:rPr>
                <w:b/>
                <w:i/>
              </w:rPr>
              <w:t>ant.</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In voorkomend geval nodigt ESMA, zo spoedig mogelijk, de bevoegde autoriteit van de jurisdictie waar de beheerder is gevestigd, uit om alle informatie te verschaffen die relevant is voor de beoordeling wat betreft de aanmerking van de benchmark.</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lastRenderedPageBreak/>
              <w:t>E</w:t>
            </w:r>
            <w:r w:rsidRPr="00F9761E">
              <w:rPr>
                <w:b/>
                <w:i/>
              </w:rPr>
              <w:t>SMA onderbouwt haar aanmerkingsbesluit, rekening houdende met de vraag of er voldoende bewijs voorhanden is dat de voorwaarden uit de eerste alinea van dit lid zijn vervuld, in het licht van de specifieke kenmerken van de betrokken benchmark.</w:t>
            </w:r>
          </w:p>
        </w:tc>
        <w:tc>
          <w:tcPr>
            <w:tcW w:w="4876" w:type="dxa"/>
          </w:tcPr>
          <w:p w:rsidR="001762D4" w:rsidRPr="00F9761E" w:rsidRDefault="001762D4">
            <w:pPr>
              <w:pStyle w:val="Normal6"/>
              <w:rPr>
                <w:szCs w:val="24"/>
              </w:rPr>
            </w:pPr>
          </w:p>
        </w:tc>
      </w:tr>
      <w:tr w:rsidR="00087166" w:rsidRPr="00F9761E" w:rsidTr="001762D4">
        <w:trPr>
          <w:jc w:val="center"/>
        </w:trPr>
        <w:tc>
          <w:tcPr>
            <w:tcW w:w="4876" w:type="dxa"/>
            <w:hideMark/>
          </w:tcPr>
          <w:p w:rsidR="001762D4" w:rsidRPr="00F9761E" w:rsidRDefault="00CC2358">
            <w:pPr>
              <w:pStyle w:val="Normal6"/>
            </w:pPr>
            <w:r w:rsidRPr="00F9761E">
              <w:rPr>
                <w:b/>
                <w:i/>
              </w:rPr>
              <w:t xml:space="preserve">ESMA maakt </w:t>
            </w:r>
            <w:r w:rsidRPr="00F9761E">
              <w:rPr>
                <w:b/>
                <w:i/>
              </w:rPr>
              <w:t>haar met redenen omklede besluit bekend op haar website en stelt de verzoekende bevoegde autoriteit of autoriteiten onverwijld daarvan in kennis.</w:t>
            </w:r>
          </w:p>
        </w:tc>
        <w:tc>
          <w:tcPr>
            <w:tcW w:w="4876" w:type="dxa"/>
          </w:tcPr>
          <w:p w:rsidR="001762D4" w:rsidRPr="00F9761E" w:rsidRDefault="001762D4">
            <w:pPr>
              <w:pStyle w:val="Normal6"/>
              <w:rPr>
                <w:szCs w:val="24"/>
              </w:rPr>
            </w:pP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De vaststelling of een benchmark significa</w:t>
      </w:r>
      <w:r w:rsidRPr="00F9761E">
        <w:t>nt is, moet uitsluitend gebaseerd zijn op kwantitatieve criteria om een consistente toepassing van deze verordening te waarborgen.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114</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6 – alinea 1 – inleidende formule</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6.</w:t>
            </w:r>
            <w:r w:rsidRPr="00F9761E">
              <w:tab/>
              <w:t xml:space="preserve">De ESMA kan, op verzoek van een bevoegde autoriteit, een benchmark die door een in een derde land gevestigde beheerder wordt aangeboden en die niet aan de drempel uit lid 1, punt a), voldoet, als significant aanmerken wanneer die benchmark </w:t>
            </w:r>
            <w:r w:rsidRPr="00F9761E">
              <w:t>aan alle volgende voorwaarden voldoet:</w:t>
            </w:r>
          </w:p>
        </w:tc>
        <w:tc>
          <w:tcPr>
            <w:tcW w:w="4876" w:type="dxa"/>
            <w:hideMark/>
          </w:tcPr>
          <w:p w:rsidR="001762D4" w:rsidRPr="00F9761E" w:rsidRDefault="00CC2358">
            <w:pPr>
              <w:pStyle w:val="Normal6"/>
              <w:rPr>
                <w:szCs w:val="24"/>
              </w:rPr>
            </w:pPr>
            <w:r w:rsidRPr="00F9761E">
              <w:t>6.</w:t>
            </w:r>
            <w:r w:rsidRPr="00F9761E">
              <w:tab/>
              <w:t xml:space="preserve">De ESMA kan, </w:t>
            </w:r>
            <w:r w:rsidRPr="00F9761E">
              <w:rPr>
                <w:b/>
                <w:i/>
              </w:rPr>
              <w:t xml:space="preserve">uitsluitend </w:t>
            </w:r>
            <w:r w:rsidRPr="00F9761E">
              <w:t>op verzoek van een bevoegde autoriteit, een benchmark die door een in een derde land gevestigde beheerder wordt aangeboden en die niet aan de drempel uit lid 1, punt a), voldoet, als signif</w:t>
            </w:r>
            <w:r w:rsidRPr="00F9761E">
              <w:t>icant aanmerken wanneer die benchmark aan alle volgende voorwaarden voldoet: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115</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lastRenderedPageBreak/>
        <w:t>&lt;DocAmend&gt;</w:t>
      </w:r>
      <w:r w:rsidRPr="00F9761E">
        <w:t>Voorstel voor een vero</w:t>
      </w:r>
      <w:r w:rsidRPr="00F9761E">
        <w:t>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6 – alinea 1 – punt b</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b)</w:t>
            </w:r>
            <w:r w:rsidRPr="00F9761E">
              <w:tab/>
            </w:r>
            <w:r w:rsidRPr="00F9761E">
              <w:t>indien de benchmark niet meer zou worden aangeboden of indien deze zou worden aangeboden op basis van inputgegevens die niet meer volledig representatief zijn voor de onderliggende markt of economische realiteit of die onbetrouwbaar zijn, zou dit significa</w:t>
            </w:r>
            <w:r w:rsidRPr="00F9761E">
              <w:t xml:space="preserve">nte en negatieve gevolgen hebben voor de </w:t>
            </w:r>
            <w:r w:rsidRPr="00F9761E">
              <w:rPr>
                <w:b/>
                <w:i/>
              </w:rPr>
              <w:t>marktintegriteit, de</w:t>
            </w:r>
            <w:r w:rsidRPr="00F9761E">
              <w:t xml:space="preserve"> financiële stabiliteit, de consumenten, de reële economie of de financiering van huishoudens en ondernemingen in </w:t>
            </w:r>
            <w:r w:rsidRPr="00F9761E">
              <w:rPr>
                <w:b/>
                <w:i/>
              </w:rPr>
              <w:t>een of meer lidstaten</w:t>
            </w:r>
            <w:r w:rsidRPr="00F9761E">
              <w:t>.</w:t>
            </w:r>
          </w:p>
        </w:tc>
        <w:tc>
          <w:tcPr>
            <w:tcW w:w="4876" w:type="dxa"/>
            <w:hideMark/>
          </w:tcPr>
          <w:p w:rsidR="001762D4" w:rsidRPr="00F9761E" w:rsidRDefault="00CC2358">
            <w:pPr>
              <w:pStyle w:val="Normal6"/>
              <w:rPr>
                <w:szCs w:val="24"/>
              </w:rPr>
            </w:pPr>
            <w:r w:rsidRPr="00F9761E">
              <w:t>b)</w:t>
            </w:r>
            <w:r w:rsidRPr="00F9761E">
              <w:tab/>
              <w:t xml:space="preserve">indien de benchmark niet meer zou worden aangeboden of </w:t>
            </w:r>
            <w:r w:rsidRPr="00F9761E">
              <w:t>indien deze zou worden aangeboden op basis van inputgegevens die niet meer volledig representatief zijn voor de onderliggende markt of economische realiteit of die onbetrouwbaar zijn, zou dit significante en negatieve gevolgen hebben voor de financiële sta</w:t>
            </w:r>
            <w:r w:rsidRPr="00F9761E">
              <w:t xml:space="preserve">biliteit </w:t>
            </w:r>
            <w:r w:rsidRPr="00F9761E">
              <w:rPr>
                <w:b/>
                <w:i/>
              </w:rPr>
              <w:t>in de Unie</w:t>
            </w:r>
            <w:r w:rsidRPr="00F9761E">
              <w:t xml:space="preserve">, de consumenten, de reële economie of de financiering van huishoudens en ondernemingen in </w:t>
            </w:r>
            <w:r w:rsidRPr="00F9761E">
              <w:rPr>
                <w:b/>
                <w:i/>
              </w:rPr>
              <w:t>de Unie</w:t>
            </w:r>
            <w:r w:rsidRPr="00F9761E">
              <w: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116</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Dorien Rookmaker</w:t>
      </w:r>
      <w:r w:rsidRPr="00F9761E">
        <w:rPr>
          <w:rStyle w:val="HideTWBExt"/>
          <w:b w:val="0"/>
        </w:rPr>
        <w:t>&lt;/Members&gt;</w:t>
      </w:r>
    </w:p>
    <w:p w:rsidR="001762D4" w:rsidRPr="00F9761E" w:rsidRDefault="00CC2358" w:rsidP="001762D4">
      <w:r w:rsidRPr="00F9761E">
        <w:rPr>
          <w:rStyle w:val="HideTWBExt"/>
        </w:rPr>
        <w:t>&lt;/Rep</w:t>
      </w:r>
      <w:r w:rsidRPr="00F9761E">
        <w:rPr>
          <w:rStyle w:val="HideTWBExt"/>
        </w:rPr>
        <w:t>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6 bis (nieuw)</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6 bis.</w:t>
            </w:r>
            <w:r w:rsidRPr="00F9761E">
              <w:tab/>
            </w:r>
            <w:r w:rsidRPr="00F9761E">
              <w:rPr>
                <w:b/>
                <w:i/>
              </w:rPr>
              <w:t>Beheerders van benchmarks die niet voldoen aan de vereisten om te worden beschouwd als cruciale, significante, grondstoffenbenchmarks die onder bijlage II vallen, EU-klimaattransitiebenchmarks, op de Overeenkomst van Parijs afgestemde E</w:t>
            </w:r>
            <w:r w:rsidRPr="00F9761E">
              <w:rPr>
                <w:b/>
                <w:i/>
              </w:rPr>
              <w:t>U-benchmarks of ESG-benchmarks, kunnen vrijwillig toegang tot het in artikel 36 bedoelde register aanvragen door middel van een vergunning, registratie, erkenning of bekrachtiging. Beheerders die vrijwillig voor deze verordening kiezen, doen dat schrifteli</w:t>
            </w:r>
            <w:r w:rsidRPr="00F9761E">
              <w:rPr>
                <w:b/>
                <w:i/>
              </w:rPr>
              <w:t xml:space="preserve">jk met hun </w:t>
            </w:r>
            <w:r w:rsidRPr="00F9761E">
              <w:rPr>
                <w:b/>
                <w:i/>
              </w:rPr>
              <w:lastRenderedPageBreak/>
              <w:t>huidige toezichthoudende autoriteit, per benchmark, en elk van die benchmarks worden geacht significante benchmarks te zijn op grond van Verordening (EU) 2016/1011. Benchmarkbeheerders die op [date of application of this amending Regulation] ove</w:t>
            </w:r>
            <w:r w:rsidRPr="00F9761E">
              <w:rPr>
                <w:b/>
                <w:i/>
              </w:rPr>
              <w:t>r een vergunning, registratie, bekrachtiging of erkenning beschikten en die vrijwillig voor de verordening kiezen binnen zes maanden na de inwerkingtreding van deze wijzigingsverordening, worden niet verplicht opnieuw een aanvraag voor een vergunning, regi</w:t>
            </w:r>
            <w:r w:rsidRPr="00F9761E">
              <w:rPr>
                <w:b/>
                <w:i/>
              </w:rPr>
              <w:t>stratie, erkenning of bekrachtiging in te dienen.</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117</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 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 lid 7</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7.</w:t>
            </w:r>
            <w:r w:rsidRPr="00F9761E">
              <w:tab/>
            </w:r>
            <w:r w:rsidRPr="00F9761E">
              <w:rPr>
                <w:b/>
                <w:i/>
              </w:rPr>
              <w:t xml:space="preserve">De Commissie wordt gemachtigd om overeenkomstig artikel 49 gedelegeerde handelingen vast te stellen </w:t>
            </w:r>
            <w:r w:rsidRPr="00F9761E">
              <w:t xml:space="preserve">tot </w:t>
            </w:r>
            <w:r w:rsidRPr="00F9761E">
              <w:rPr>
                <w:b/>
                <w:i/>
              </w:rPr>
              <w:t xml:space="preserve">nadere </w:t>
            </w:r>
            <w:r w:rsidRPr="00F9761E">
              <w:t>bepaling van</w:t>
            </w:r>
            <w:r w:rsidRPr="00F9761E">
              <w:rPr>
                <w:b/>
                <w:i/>
              </w:rPr>
              <w:t xml:space="preserve"> </w:t>
            </w:r>
            <w:r w:rsidRPr="00F9761E">
              <w:t>de berekeningsmethode die moet worden gebruikt om de in lid 1, punt a), van dit artikel genoemde drempel te bepalen</w:t>
            </w:r>
            <w:r w:rsidRPr="00F9761E">
              <w:rPr>
                <w:b/>
                <w:i/>
              </w:rPr>
              <w:t xml:space="preserve"> in het licht van</w:t>
            </w:r>
            <w:r w:rsidRPr="00F9761E">
              <w:rPr>
                <w:b/>
                <w:i/>
              </w:rPr>
              <w:t xml:space="preserve"> ontwikkelingen op het gebied van markt, prijzen en regelgeving</w:t>
            </w:r>
            <w:r w:rsidRPr="00F9761E">
              <w:t>.</w:t>
            </w:r>
          </w:p>
        </w:tc>
        <w:tc>
          <w:tcPr>
            <w:tcW w:w="4876" w:type="dxa"/>
            <w:hideMark/>
          </w:tcPr>
          <w:p w:rsidR="001762D4" w:rsidRPr="00F9761E" w:rsidRDefault="00CC2358">
            <w:pPr>
              <w:pStyle w:val="Normal6"/>
              <w:rPr>
                <w:szCs w:val="24"/>
              </w:rPr>
            </w:pPr>
            <w:r w:rsidRPr="00F9761E">
              <w:t>7.</w:t>
            </w:r>
            <w:r w:rsidRPr="00F9761E">
              <w:tab/>
            </w:r>
            <w:r w:rsidRPr="00F9761E">
              <w:rPr>
                <w:b/>
                <w:i/>
              </w:rPr>
              <w:t xml:space="preserve">ESMA ontwikkelt ontwerpen van technische reguleringsnormen </w:t>
            </w:r>
            <w:r w:rsidRPr="00F9761E">
              <w:t>tot bepaling van</w:t>
            </w:r>
            <w:r w:rsidRPr="00F9761E">
              <w:rPr>
                <w:b/>
                <w:i/>
              </w:rPr>
              <w: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i)</w:t>
            </w:r>
            <w:r w:rsidRPr="00F9761E">
              <w:t xml:space="preserve"> </w:t>
            </w:r>
            <w:r w:rsidRPr="00F9761E">
              <w:tab/>
              <w:t>de berekeningsmethode</w:t>
            </w:r>
            <w:r w:rsidRPr="00F9761E">
              <w:rPr>
                <w:b/>
                <w:i/>
              </w:rPr>
              <w:t>, met inbegrip van potentiële gegevensbronnen,</w:t>
            </w:r>
            <w:r w:rsidRPr="00F9761E">
              <w:t xml:space="preserve"> die moet worden gebruikt om de in lid</w:t>
            </w:r>
            <w:r w:rsidRPr="00F9761E">
              <w:t> 1, punt a), van dit artikel genoemde drempel te bepalen</w:t>
            </w:r>
            <w:r w:rsidRPr="00F9761E">
              <w:rPr>
                <w:b/>
                <w:bCs/>
                <w:i/>
                <w:iCs/>
              </w:rPr>
              <w: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ii) </w:t>
            </w:r>
            <w:r w:rsidRPr="00F9761E">
              <w:tab/>
            </w:r>
            <w:r w:rsidRPr="00F9761E">
              <w:rPr>
                <w:b/>
                <w:i/>
              </w:rPr>
              <w:t xml:space="preserve">de criteria om te beoordelen wanneer een benchmark de in artikel 24, lid 1, punt a), bedoelde drempel </w:t>
            </w:r>
            <w:r w:rsidRPr="00F9761E">
              <w:rPr>
                <w:b/>
                <w:i/>
              </w:rPr>
              <w:lastRenderedPageBreak/>
              <w:t>overschrijdt in één lidstaat of in de hele Unie;</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ESMA dient deze ontwerpen van technisc</w:t>
            </w:r>
            <w:r w:rsidRPr="00F9761E">
              <w:rPr>
                <w:b/>
                <w:i/>
              </w:rPr>
              <w:t>he reguleringsnormen uiterlijk op [12 months after the entry into force of this Regulation] bij de Commissie in</w:t>
            </w:r>
            <w:r w:rsidRPr="00F9761E">
              <w: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Aan de Commissie wordt de bevoegdheid overgedragen om deze verordening aan te vullen door de in de eerste alinea bedoelde technische reguleri</w:t>
            </w:r>
            <w:r w:rsidRPr="00F9761E">
              <w:rPr>
                <w:b/>
                <w:i/>
              </w:rPr>
              <w:t>ngsnormen vast te stellen overeenkomstig de artikelen 10 tot en met 14 van Verordening (EU) nr. 1095/2010.</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Om ervoor te zorgen dat benchmarkbeheerders naar behoren monitoren hoe de door hen</w:t>
      </w:r>
      <w:r w:rsidRPr="00F9761E">
        <w:t xml:space="preserve"> aangeboden benchmarks worden gebruikt en of de drempel is bereikt, moet ESMA de taak krijgen om ontwerpen van reguleringsnormen op te stellen tot nadere bepaling van de berekeningsmethode.</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118</w:t>
      </w:r>
      <w:r w:rsidRPr="00F9761E">
        <w:rPr>
          <w:rStyle w:val="HideTWBExt"/>
          <w:b w:val="0"/>
        </w:rPr>
        <w:t>&lt;/NumAm&gt;</w:t>
      </w:r>
    </w:p>
    <w:p w:rsidR="001762D4" w:rsidRPr="00F9761E" w:rsidRDefault="00CC2358" w:rsidP="001762D4">
      <w:pPr>
        <w:pStyle w:val="NormalBold"/>
      </w:pPr>
      <w:r w:rsidRPr="00F9761E">
        <w:rPr>
          <w:rStyle w:val="HideTWBExt"/>
          <w:b w:val="0"/>
        </w:rPr>
        <w:t>&lt;RepeatBlock-By&gt;&lt;Me</w:t>
      </w:r>
      <w:r w:rsidRPr="00F9761E">
        <w:rPr>
          <w:rStyle w:val="HideTWBExt"/>
          <w:b w:val="0"/>
        </w:rPr>
        <w:t>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12</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bis – lid 2</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w:t>
            </w:r>
            <w:r w:rsidRPr="00F9761E">
              <w:t>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2.</w:t>
            </w:r>
            <w:r w:rsidRPr="00F9761E">
              <w:tab/>
              <w:t xml:space="preserve">Binnen zestig werkdagen na een in artikel 24, lid 3, bedoelde aanmerking doet de beheerder van de betrokken benchmark, tenzij die beheerder reeds over een vergunning of registratie beschikt, overeenkomstig artikel </w:t>
            </w:r>
            <w:r w:rsidRPr="00F9761E">
              <w:t>34 een aanvraag voor een vergunning of registratie bij de aanmerkende bevoegde autoriteit.</w:t>
            </w:r>
          </w:p>
        </w:tc>
        <w:tc>
          <w:tcPr>
            <w:tcW w:w="4876" w:type="dxa"/>
            <w:hideMark/>
          </w:tcPr>
          <w:p w:rsidR="001762D4" w:rsidRPr="00F9761E" w:rsidRDefault="00CC2358">
            <w:pPr>
              <w:pStyle w:val="Normal6"/>
              <w:rPr>
                <w:szCs w:val="24"/>
              </w:rPr>
            </w:pPr>
            <w:r w:rsidRPr="00F9761E">
              <w:t>2.</w:t>
            </w:r>
            <w:r w:rsidRPr="00F9761E">
              <w:tab/>
              <w:t>Binnen zestig werkdagen na een in artikel 24, lid 3, bedoelde aanmerking doet de beheerder van de betrokken benchmark, tenzij die beheerder reeds over een vergunn</w:t>
            </w:r>
            <w:r w:rsidRPr="00F9761E">
              <w:t xml:space="preserve">ing of registratie </w:t>
            </w:r>
            <w:r w:rsidRPr="00F9761E">
              <w:rPr>
                <w:b/>
                <w:i/>
              </w:rPr>
              <w:t>van een nationale bevoegde autoriteit</w:t>
            </w:r>
            <w:r w:rsidRPr="00F9761E">
              <w:t xml:space="preserve"> beschikt, overeenkomstig artikel 34 een aanvraag voor een vergunning of registratie bij de aanmerkende bevoegde autoriteit.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lastRenderedPageBreak/>
        <w:t>&lt;Amend&gt;</w:t>
      </w:r>
      <w:r w:rsidRPr="00F9761E">
        <w:t>Amendement</w:t>
      </w:r>
      <w:r w:rsidRPr="00F9761E">
        <w:tab/>
      </w:r>
      <w:r w:rsidRPr="00F9761E">
        <w:tab/>
      </w:r>
      <w:r w:rsidRPr="00F9761E">
        <w:rPr>
          <w:rStyle w:val="HideTWBExt"/>
          <w:b w:val="0"/>
        </w:rPr>
        <w:t>&lt;NumAm&gt;</w:t>
      </w:r>
      <w:r w:rsidRPr="00F9761E">
        <w:t>119</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12</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24 bis – li</w:t>
      </w:r>
      <w:r w:rsidRPr="00F9761E">
        <w:t>d 3 – punt b</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b)</w:t>
            </w:r>
            <w:r w:rsidRPr="00F9761E">
              <w:tab/>
              <w:t>bekrachtiging overeenkomstig de procedure van artikel 33.</w:t>
            </w:r>
          </w:p>
        </w:tc>
        <w:tc>
          <w:tcPr>
            <w:tcW w:w="4876" w:type="dxa"/>
            <w:hideMark/>
          </w:tcPr>
          <w:p w:rsidR="001762D4" w:rsidRPr="00F9761E" w:rsidRDefault="00CC2358">
            <w:pPr>
              <w:pStyle w:val="Normal6"/>
              <w:rPr>
                <w:szCs w:val="24"/>
              </w:rPr>
            </w:pPr>
            <w:r w:rsidRPr="00F9761E">
              <w:t>b)</w:t>
            </w:r>
            <w:r w:rsidRPr="00F9761E">
              <w:tab/>
              <w:t>bekrachtiging overeenkomstig de procedure van artikel 33.</w:t>
            </w:r>
            <w:r w:rsidRPr="00F9761E">
              <w:rPr>
                <w:b/>
                <w:i/>
              </w:rPr>
              <w:t xml:space="preserve">De in een derde land gevestigde benchmarkbeheerder kiest de </w:t>
            </w:r>
            <w:r w:rsidRPr="00F9761E">
              <w:rPr>
                <w:b/>
                <w:i/>
              </w:rPr>
              <w:t>bekrachtigende entiteit in de Unie uit.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120</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Marco Zanni, Valentino Grant, Antonio Maria Rinaldi</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 xml:space="preserve">Voorstel voor een </w:t>
      </w:r>
      <w:r w:rsidRPr="00F9761E">
        <w:t>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14 – a</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29 – titel</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 xml:space="preserve">Gebruik van significante benchmarks, </w:t>
            </w:r>
            <w:r w:rsidRPr="00F9761E">
              <w:t>EU-klimaattransitiebenchmarks en op de Overeenkomst van Parijs afgestemde EU-benchmarks</w:t>
            </w:r>
          </w:p>
        </w:tc>
        <w:tc>
          <w:tcPr>
            <w:tcW w:w="4876" w:type="dxa"/>
            <w:hideMark/>
          </w:tcPr>
          <w:p w:rsidR="001762D4" w:rsidRPr="00F9761E" w:rsidRDefault="00CC2358">
            <w:pPr>
              <w:pStyle w:val="Normal6"/>
              <w:rPr>
                <w:szCs w:val="24"/>
              </w:rPr>
            </w:pPr>
            <w:r w:rsidRPr="00F9761E">
              <w:t xml:space="preserve">Gebruik van </w:t>
            </w:r>
            <w:r w:rsidRPr="00F9761E">
              <w:rPr>
                <w:b/>
                <w:i/>
              </w:rPr>
              <w:t xml:space="preserve">cruciale benchmarks, </w:t>
            </w:r>
            <w:r w:rsidRPr="00F9761E">
              <w:t>significante benchmarks, EU-klimaattransitiebenchmarks en op de Overeenkomst van Parijs afgestemde EU-benchmarks</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w:t>
      </w:r>
      <w:r w:rsidRPr="00F9761E">
        <w:rPr>
          <w:rStyle w:val="HideTWBExt"/>
          <w:noProof w:val="0"/>
        </w:rPr>
        <w: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121</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Marco Zanni, Valentino Grant, Antonio Maria Rinaldi</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 xml:space="preserve">Artikel 1 – alinea 1 – punt 14 – </w:t>
      </w:r>
      <w:r w:rsidRPr="00F9761E">
        <w:t>b</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29 – lid 1 – alinea 1</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1.</w:t>
            </w:r>
            <w:r w:rsidRPr="00F9761E">
              <w:tab/>
              <w:t>Een ondertoezichtstaande entiteit voegt geen nieuwe referenties naar een significante ben</w:t>
            </w:r>
            <w:r w:rsidRPr="00F9761E">
              <w:t>chmark of een combinatie van dit soort benchmarks in de Unie toe wanneer die benchmark of combinatie van benchmarks het voorwerp uitmaakt van een openbare kennisgeving door ESMA of een bevoegde autoriteit overeenkomstig artikel 24 bis, lid 5. Een ondertoez</w:t>
            </w:r>
            <w:r w:rsidRPr="00F9761E">
              <w:t>ichtstaande entiteit voegt geen nieuwe referenties naar een EU-klimaattransitiebenchmark of een op de Overeenkomst van Parijs afgestemde EU-benchmark of een combinatie van die benchmarks in de Unie toe wanneer de beheerder van die benchmarks niet is opgeno</w:t>
            </w:r>
            <w:r w:rsidRPr="00F9761E">
              <w:t>men in het in artikel 36 bedoelde register.</w:t>
            </w:r>
          </w:p>
        </w:tc>
        <w:tc>
          <w:tcPr>
            <w:tcW w:w="4876" w:type="dxa"/>
            <w:hideMark/>
          </w:tcPr>
          <w:p w:rsidR="001762D4" w:rsidRPr="00F9761E" w:rsidRDefault="00CC2358">
            <w:pPr>
              <w:pStyle w:val="Normal6"/>
              <w:rPr>
                <w:szCs w:val="24"/>
              </w:rPr>
            </w:pPr>
            <w:r w:rsidRPr="00F9761E">
              <w:t>1.</w:t>
            </w:r>
            <w:r w:rsidRPr="00F9761E">
              <w:tab/>
              <w:t>Een onder toezicht staande entiteit voegt geen nieuwe referenties naar een significante benchmark of een combinatie van dit soort benchmarks in de Unie toe wanneer die benchmark of combinatie van benchmarks he</w:t>
            </w:r>
            <w:r w:rsidRPr="00F9761E">
              <w:t xml:space="preserve">t voorwerp uitmaakt van een openbare kennisgeving door ESMA of een bevoegde autoriteit overeenkomstig artikel 24 bis, lid 5. Een onder toezicht staande entiteit voegt geen nieuwe referenties naar </w:t>
            </w:r>
            <w:r w:rsidRPr="00F9761E">
              <w:rPr>
                <w:b/>
                <w:i/>
              </w:rPr>
              <w:t xml:space="preserve">cruciale benchmark of </w:t>
            </w:r>
            <w:r w:rsidRPr="00F9761E">
              <w:t>een EU-klimaattransitiebenchmark of ee</w:t>
            </w:r>
            <w:r w:rsidRPr="00F9761E">
              <w:t>n op de Overeenkomst van Parijs afgestemde EU-benchmark of een combinatie van die benchmarks in de Unie toe wanneer de beheerder van die benchmarks niet is opgenomen in het in artikel 36 bedoelde register.</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122</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Irene Tinagli</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E25682" w:rsidRPr="00F9761E" w:rsidRDefault="00CC2358" w:rsidP="00E25682">
      <w:pPr>
        <w:pStyle w:val="NormalBold"/>
      </w:pPr>
      <w:r w:rsidRPr="00F9761E">
        <w:rPr>
          <w:rStyle w:val="HideTWBExt"/>
          <w:b w:val="0"/>
        </w:rPr>
        <w:t>&lt;Article&gt;</w:t>
      </w:r>
      <w:r w:rsidRPr="00F9761E">
        <w:t>Artikel 1 – alinea 1 – punt 14 – c – inleidende formule</w:t>
      </w:r>
      <w:r w:rsidRPr="00F9761E">
        <w:rPr>
          <w:rStyle w:val="HideTWBExt"/>
          <w:b w:val="0"/>
        </w:rPr>
        <w:t>&lt;/Article&gt;</w:t>
      </w:r>
    </w:p>
    <w:p w:rsidR="00E25682" w:rsidRPr="00F9761E" w:rsidRDefault="00CC2358" w:rsidP="00E25682">
      <w:pPr>
        <w:keepNext/>
      </w:pPr>
      <w:r w:rsidRPr="00F9761E">
        <w:rPr>
          <w:rStyle w:val="HideTWBExt"/>
        </w:rPr>
        <w:t>&lt;DocAmend2&gt;</w:t>
      </w:r>
      <w:r w:rsidRPr="00F9761E">
        <w:t xml:space="preserve">Verordening </w:t>
      </w:r>
      <w:r w:rsidRPr="00F9761E">
        <w:t>(EU) 2016/1011</w:t>
      </w:r>
      <w:r w:rsidRPr="00F9761E">
        <w:rPr>
          <w:rStyle w:val="HideTWBExt"/>
        </w:rPr>
        <w:t>&lt;/DocAmend2&gt;</w:t>
      </w:r>
    </w:p>
    <w:p w:rsidR="006E4023" w:rsidRPr="00F9761E" w:rsidRDefault="00CC2358" w:rsidP="006E4023">
      <w:r w:rsidRPr="00F9761E">
        <w:rPr>
          <w:rStyle w:val="HideTWBExt"/>
        </w:rPr>
        <w:t>&lt;Article2&gt;</w:t>
      </w:r>
      <w:r w:rsidRPr="00F9761E">
        <w:t>Artikel 29 – lid 1 bis</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c)</w:t>
            </w:r>
            <w:r w:rsidRPr="00F9761E">
              <w:tab/>
              <w:t>een nieuw lid 1 </w:t>
            </w:r>
            <w:r w:rsidRPr="00F9761E">
              <w:rPr>
                <w:b/>
                <w:i/>
              </w:rPr>
              <w:t>bis</w:t>
            </w:r>
            <w:r w:rsidRPr="00F9761E">
              <w:t xml:space="preserve"> wordt ingevoegd:</w:t>
            </w:r>
          </w:p>
        </w:tc>
        <w:tc>
          <w:tcPr>
            <w:tcW w:w="4876" w:type="dxa"/>
            <w:hideMark/>
          </w:tcPr>
          <w:p w:rsidR="001762D4" w:rsidRPr="00F9761E" w:rsidRDefault="00CC2358">
            <w:pPr>
              <w:pStyle w:val="Normal6"/>
              <w:rPr>
                <w:szCs w:val="24"/>
              </w:rPr>
            </w:pPr>
            <w:r w:rsidRPr="00F9761E">
              <w:t>c)</w:t>
            </w:r>
            <w:r w:rsidRPr="00F9761E">
              <w:tab/>
              <w:t>een nieuw lid 1 </w:t>
            </w:r>
            <w:r w:rsidRPr="00F9761E">
              <w:rPr>
                <w:b/>
                <w:i/>
              </w:rPr>
              <w:t>ter</w:t>
            </w:r>
            <w:r w:rsidRPr="00F9761E">
              <w:t xml:space="preserve"> wordt ingevoegd:</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5C48C1" w:rsidRPr="00F9761E" w:rsidRDefault="00CC2358" w:rsidP="005C48C1">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123</w:t>
      </w:r>
      <w:r w:rsidRPr="00F9761E">
        <w:rPr>
          <w:rStyle w:val="HideTWBExt"/>
          <w:b w:val="0"/>
        </w:rPr>
        <w:t>&lt;/NumAm&gt;</w:t>
      </w:r>
    </w:p>
    <w:p w:rsidR="005C48C1" w:rsidRPr="00F9761E" w:rsidRDefault="00CC2358" w:rsidP="005C48C1">
      <w:pPr>
        <w:pStyle w:val="NormalBold"/>
      </w:pPr>
      <w:r w:rsidRPr="00F9761E">
        <w:rPr>
          <w:rStyle w:val="HideTWBExt"/>
          <w:b w:val="0"/>
        </w:rPr>
        <w:t>&lt;RepeatBlock-By&gt;&lt;Members&gt;</w:t>
      </w:r>
      <w:r w:rsidRPr="00F9761E">
        <w:t>Dorien Rookmaker</w:t>
      </w:r>
      <w:r w:rsidRPr="00F9761E">
        <w:rPr>
          <w:rStyle w:val="HideTWBExt"/>
          <w:b w:val="0"/>
        </w:rPr>
        <w:t>&lt;/Members&gt;</w:t>
      </w:r>
    </w:p>
    <w:p w:rsidR="005C48C1" w:rsidRPr="00F9761E" w:rsidRDefault="00CC2358" w:rsidP="005C48C1">
      <w:r w:rsidRPr="00F9761E">
        <w:rPr>
          <w:rStyle w:val="HideTWBExt"/>
        </w:rPr>
        <w:t>&lt;/RepeatBlock-By&gt;</w:t>
      </w:r>
    </w:p>
    <w:p w:rsidR="005C48C1" w:rsidRPr="00F9761E" w:rsidRDefault="00CC2358" w:rsidP="005C48C1">
      <w:pPr>
        <w:pStyle w:val="NormalBold"/>
        <w:keepNext/>
      </w:pPr>
      <w:r w:rsidRPr="00F9761E">
        <w:rPr>
          <w:rStyle w:val="HideTWBExt"/>
          <w:b w:val="0"/>
        </w:rPr>
        <w:t>&lt;DocAmend&gt;</w:t>
      </w:r>
      <w:r w:rsidRPr="00F9761E">
        <w:t>Voorstel voor een verordening</w:t>
      </w:r>
      <w:r w:rsidRPr="00F9761E">
        <w:rPr>
          <w:rStyle w:val="HideTWBExt"/>
          <w:b w:val="0"/>
        </w:rPr>
        <w:t>&lt;/DocAmend&gt;</w:t>
      </w:r>
    </w:p>
    <w:p w:rsidR="005C48C1" w:rsidRPr="00F9761E" w:rsidRDefault="00CC2358" w:rsidP="005C48C1">
      <w:pPr>
        <w:pStyle w:val="NormalBold"/>
      </w:pPr>
      <w:r w:rsidRPr="00F9761E">
        <w:rPr>
          <w:rStyle w:val="HideTWBExt"/>
          <w:b w:val="0"/>
        </w:rPr>
        <w:t>&lt;Article&gt;</w:t>
      </w:r>
      <w:r w:rsidRPr="00F9761E">
        <w:t>Artikel 1 – alinea 1 – punt 14 – c</w:t>
      </w:r>
      <w:r w:rsidRPr="00F9761E">
        <w:rPr>
          <w:rStyle w:val="HideTWBExt"/>
          <w:b w:val="0"/>
        </w:rPr>
        <w:t>&lt;/Article&gt;</w:t>
      </w:r>
    </w:p>
    <w:p w:rsidR="005C48C1" w:rsidRPr="00F9761E" w:rsidRDefault="00CC2358" w:rsidP="005C48C1">
      <w:pPr>
        <w:keepNext/>
      </w:pPr>
      <w:r w:rsidRPr="00F9761E">
        <w:rPr>
          <w:rStyle w:val="HideTWBExt"/>
        </w:rPr>
        <w:lastRenderedPageBreak/>
        <w:t>&lt;DocAmend2&gt;</w:t>
      </w:r>
      <w:r w:rsidRPr="00F9761E">
        <w:t>Verordening (EU) 2016/1011</w:t>
      </w:r>
      <w:r w:rsidRPr="00F9761E">
        <w:rPr>
          <w:rStyle w:val="HideTWBExt"/>
        </w:rPr>
        <w:t>&lt;/DocAmend2&gt;</w:t>
      </w:r>
    </w:p>
    <w:p w:rsidR="005C48C1" w:rsidRPr="00F9761E" w:rsidRDefault="00CC2358" w:rsidP="005C48C1">
      <w:r w:rsidRPr="00F9761E">
        <w:rPr>
          <w:rStyle w:val="HideTWBExt"/>
        </w:rPr>
        <w:t>&lt;Article2&gt;</w:t>
      </w:r>
      <w:r w:rsidRPr="00F9761E">
        <w:t>Artikel 29 – lid 1 bis</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EC2D82">
        <w:trPr>
          <w:jc w:val="center"/>
        </w:trPr>
        <w:tc>
          <w:tcPr>
            <w:tcW w:w="9752" w:type="dxa"/>
            <w:gridSpan w:val="2"/>
          </w:tcPr>
          <w:p w:rsidR="005C48C1" w:rsidRPr="00F9761E" w:rsidRDefault="005C48C1" w:rsidP="00EC2D82">
            <w:pPr>
              <w:keepNext/>
            </w:pPr>
          </w:p>
        </w:tc>
      </w:tr>
      <w:tr w:rsidR="00087166" w:rsidRPr="00F9761E" w:rsidTr="00EC2D82">
        <w:trPr>
          <w:jc w:val="center"/>
        </w:trPr>
        <w:tc>
          <w:tcPr>
            <w:tcW w:w="4876" w:type="dxa"/>
            <w:hideMark/>
          </w:tcPr>
          <w:p w:rsidR="005C48C1" w:rsidRPr="00F9761E" w:rsidRDefault="00CC2358" w:rsidP="00EC2D82">
            <w:pPr>
              <w:pStyle w:val="ColumnHeading"/>
              <w:keepNext/>
            </w:pPr>
            <w:r w:rsidRPr="00F9761E">
              <w:t>Door de Commissie voorgestelde tekst</w:t>
            </w:r>
          </w:p>
        </w:tc>
        <w:tc>
          <w:tcPr>
            <w:tcW w:w="4876" w:type="dxa"/>
            <w:hideMark/>
          </w:tcPr>
          <w:p w:rsidR="005C48C1" w:rsidRPr="00F9761E" w:rsidRDefault="00CC2358" w:rsidP="00EC2D82">
            <w:pPr>
              <w:pStyle w:val="ColumnHeading"/>
              <w:keepNext/>
            </w:pPr>
            <w:r w:rsidRPr="00F9761E">
              <w:t>Amendement</w:t>
            </w:r>
          </w:p>
        </w:tc>
      </w:tr>
      <w:tr w:rsidR="00087166" w:rsidRPr="00F9761E" w:rsidTr="00EC2D82">
        <w:trPr>
          <w:jc w:val="center"/>
        </w:trPr>
        <w:tc>
          <w:tcPr>
            <w:tcW w:w="4876" w:type="dxa"/>
            <w:hideMark/>
          </w:tcPr>
          <w:p w:rsidR="005C48C1" w:rsidRPr="00F9761E" w:rsidRDefault="00CC2358" w:rsidP="00EC2D82">
            <w:pPr>
              <w:pStyle w:val="Normal6"/>
            </w:pPr>
            <w:r w:rsidRPr="00F9761E">
              <w:rPr>
                <w:b/>
                <w:i/>
              </w:rPr>
              <w:t>1 bis.</w:t>
            </w:r>
            <w:r w:rsidRPr="00F9761E">
              <w:tab/>
            </w:r>
            <w:r w:rsidRPr="00F9761E">
              <w:t>Een ondertoezichtstaande entiteit die in bestaande financiële overeenkomsten of financiële instrumenten gebruikmaakt van een benchmark die het voorwerp uitmaakt van een openbare kennisgeving op grond van artikel 24 bis, lid 5, vervangt die benchmark door e</w:t>
            </w:r>
            <w:r w:rsidRPr="00F9761E">
              <w:t xml:space="preserve">en passend alternatief binnen </w:t>
            </w:r>
            <w:r w:rsidRPr="00F9761E">
              <w:rPr>
                <w:b/>
                <w:bCs/>
                <w:i/>
                <w:iCs/>
              </w:rPr>
              <w:t>zes</w:t>
            </w:r>
            <w:r w:rsidRPr="00F9761E">
              <w:t xml:space="preserve"> maanden na de bekendmaking van die kennisgeving, of </w:t>
            </w:r>
            <w:r w:rsidRPr="00F9761E">
              <w:rPr>
                <w:b/>
                <w:i/>
              </w:rPr>
              <w:t>doet een verklaring uitgaan en maakt deze op haar website bekend waarin zij cliënten in kennis stelt van het feit dat het aan een passend alternatief ontbreekt</w:t>
            </w:r>
            <w:r w:rsidRPr="00F9761E">
              <w:t>.</w:t>
            </w:r>
          </w:p>
        </w:tc>
        <w:tc>
          <w:tcPr>
            <w:tcW w:w="4876" w:type="dxa"/>
            <w:hideMark/>
          </w:tcPr>
          <w:p w:rsidR="005C48C1" w:rsidRPr="00F9761E" w:rsidRDefault="00CC2358" w:rsidP="00EC2D82">
            <w:pPr>
              <w:pStyle w:val="Normal6"/>
              <w:rPr>
                <w:szCs w:val="24"/>
              </w:rPr>
            </w:pPr>
            <w:r w:rsidRPr="00F9761E">
              <w:rPr>
                <w:b/>
                <w:i/>
              </w:rPr>
              <w:t>1 ter.</w:t>
            </w:r>
            <w:r w:rsidRPr="00F9761E">
              <w:tab/>
              <w:t>Ee</w:t>
            </w:r>
            <w:r w:rsidRPr="00F9761E">
              <w:t>n onder toezicht staande entiteit die in bestaande financiële overeenkomsten of financiële instrumenten gebruikmaakt van een benchmark die het voorwerp uitmaakt van een openbare kennisgeving op grond van artikel 24 bis, lid 5, vervangt die benchmark door e</w:t>
            </w:r>
            <w:r w:rsidRPr="00F9761E">
              <w:t xml:space="preserve">en passend alternatief binnen </w:t>
            </w:r>
            <w:r w:rsidRPr="00F9761E">
              <w:rPr>
                <w:b/>
                <w:i/>
              </w:rPr>
              <w:t xml:space="preserve">twaalf </w:t>
            </w:r>
            <w:r w:rsidRPr="00F9761E">
              <w:t xml:space="preserve">maanden na de bekendmaking van die kennisgeving, of </w:t>
            </w:r>
            <w:r w:rsidRPr="00F9761E">
              <w:rPr>
                <w:b/>
                <w:i/>
              </w:rPr>
              <w:t>verstrekt een toelichting van de redenen waarom hij daartoe niet in staat is</w:t>
            </w:r>
            <w:r w:rsidRPr="00F9761E">
              <w:t>.</w:t>
            </w:r>
          </w:p>
        </w:tc>
      </w:tr>
    </w:tbl>
    <w:p w:rsidR="005C48C1" w:rsidRPr="00F9761E" w:rsidRDefault="00CC2358" w:rsidP="005C48C1">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5C48C1" w:rsidRPr="00F9761E" w:rsidRDefault="00CC2358" w:rsidP="005C48C1">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124</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Marco Zanni, Valentino Grant, Antonio Maria Rinaldi</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14 – c</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29 – lid 1 bis</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1 bis.</w:t>
            </w:r>
            <w:r w:rsidRPr="00F9761E">
              <w:tab/>
              <w:t>Een ondertoezichtstaande entiteit die in bestaande financiële overeenkomsten of financiële instrumenten gebruikmaakt van een benchmark die he</w:t>
            </w:r>
            <w:r w:rsidRPr="00F9761E">
              <w:t>t voorwerp uitmaakt van een openbare kennisgeving op grond van artikel 24 bis, lid 5, vervangt die benchmark door een passend alternatief binnen zes maanden na de bekendmaking van die kennisgeving, of doet een verklaring uitgaan en maakt deze op haar websi</w:t>
            </w:r>
            <w:r w:rsidRPr="00F9761E">
              <w:t>te bekend waarin zij cliënten in kennis stelt van het feit dat het aan een passend alternatief ontbreekt.</w:t>
            </w:r>
          </w:p>
        </w:tc>
        <w:tc>
          <w:tcPr>
            <w:tcW w:w="4876" w:type="dxa"/>
            <w:hideMark/>
          </w:tcPr>
          <w:p w:rsidR="001762D4" w:rsidRPr="00F9761E" w:rsidRDefault="00CC2358">
            <w:pPr>
              <w:pStyle w:val="Normal6"/>
              <w:rPr>
                <w:szCs w:val="24"/>
              </w:rPr>
            </w:pPr>
            <w:r w:rsidRPr="00F9761E">
              <w:rPr>
                <w:b/>
                <w:i/>
              </w:rPr>
              <w:t>1 ter.</w:t>
            </w:r>
            <w:r w:rsidRPr="00F9761E">
              <w:tab/>
              <w:t xml:space="preserve">Een onder toezicht staande entiteit die in bestaande financiële overeenkomsten </w:t>
            </w:r>
            <w:r w:rsidRPr="00F9761E">
              <w:rPr>
                <w:b/>
                <w:i/>
              </w:rPr>
              <w:t>of voor het meten van de prestatie van beleggingsfondsen</w:t>
            </w:r>
            <w:r w:rsidRPr="00F9761E">
              <w:t xml:space="preserve"> of fina</w:t>
            </w:r>
            <w:r w:rsidRPr="00F9761E">
              <w:t>nciële instrumenten gebruikmaakt van een benchmark die het voorwerp uitmaakt van een openbare kennisgeving op grond van artikel 24 bis, lid 5, vervangt die benchmark door een passend alternatief binnen zes maanden na de bekendmaking van die kennisgeving, o</w:t>
            </w:r>
            <w:r w:rsidRPr="00F9761E">
              <w:t xml:space="preserve">f doet een verklaring uitgaan en maakt deze op haar website bekend waarin zij cliënten in kennis stelt van het feit dat het aan een </w:t>
            </w:r>
            <w:r w:rsidRPr="00F9761E">
              <w:lastRenderedPageBreak/>
              <w:t>passend alternatief ontbreekt.</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125</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Irene Tinagli</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14 – c</w:t>
      </w:r>
      <w:r w:rsidRPr="00F9761E">
        <w:rPr>
          <w:rStyle w:val="HideTWBExt"/>
          <w:b w:val="0"/>
        </w:rPr>
        <w:t>&lt;/Article&gt;</w:t>
      </w:r>
    </w:p>
    <w:p w:rsidR="001762D4" w:rsidRPr="00F9761E" w:rsidRDefault="00CC2358" w:rsidP="001762D4">
      <w:pPr>
        <w:keepNext/>
      </w:pPr>
      <w:r w:rsidRPr="00F9761E">
        <w:rPr>
          <w:rStyle w:val="HideTWBExt"/>
        </w:rPr>
        <w:t>&lt;DocAmend2&gt;</w:t>
      </w:r>
      <w:r w:rsidRPr="00F9761E">
        <w:t xml:space="preserve"> 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29 – lid 1 bis</w:t>
      </w:r>
      <w:r w:rsidRPr="00F9761E">
        <w:rPr>
          <w:rStyle w:val="HideTWBExt"/>
        </w:rPr>
        <w:t>&lt;</w:t>
      </w:r>
      <w:r w:rsidRPr="00F9761E">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rPr>
                <w:b/>
                <w:i/>
              </w:rPr>
              <w:t>1 bis.</w:t>
            </w:r>
            <w:r w:rsidRPr="00F9761E">
              <w:tab/>
              <w:t xml:space="preserve">Een ondertoezichtstaande entiteit die in bestaande financiële overeenkomsten of financiële instrumenten gebruikmaakt van een benchmark die het voorwerp uitmaakt van een openbare </w:t>
            </w:r>
            <w:r w:rsidRPr="00F9761E">
              <w:t>kennisgeving op grond van artikel 24 bis, lid 5, vervangt die benchmark door een passend alternatief binnen zes maanden na de bekendmaking van die kennisgeving, of doet een verklaring uitgaan en maakt deze op haar website bekend waarin zij cliënten in kenn</w:t>
            </w:r>
            <w:r w:rsidRPr="00F9761E">
              <w:t>is stelt van het feit dat het aan een passend alternatief ontbreekt.</w:t>
            </w:r>
          </w:p>
        </w:tc>
        <w:tc>
          <w:tcPr>
            <w:tcW w:w="4876" w:type="dxa"/>
            <w:hideMark/>
          </w:tcPr>
          <w:p w:rsidR="001762D4" w:rsidRPr="00F9761E" w:rsidRDefault="00CC2358">
            <w:pPr>
              <w:pStyle w:val="Normal6"/>
              <w:rPr>
                <w:szCs w:val="24"/>
              </w:rPr>
            </w:pPr>
            <w:r w:rsidRPr="00F9761E">
              <w:rPr>
                <w:b/>
                <w:i/>
              </w:rPr>
              <w:t>1 ter.</w:t>
            </w:r>
            <w:r w:rsidRPr="00F9761E">
              <w:rPr>
                <w:b/>
                <w:i/>
              </w:rPr>
              <w:tab/>
            </w:r>
            <w:r w:rsidRPr="00F9761E">
              <w:t xml:space="preserve">Een onder toezicht staande entiteit die in bestaande financiële overeenkomsten of financiële instrumenten </w:t>
            </w:r>
            <w:r w:rsidRPr="00F9761E">
              <w:rPr>
                <w:b/>
                <w:i/>
              </w:rPr>
              <w:t>of voor het meten van de prestatie van beleggingsfondsen</w:t>
            </w:r>
            <w:r w:rsidRPr="00F9761E">
              <w:t xml:space="preserve"> gebruikmaakt van </w:t>
            </w:r>
            <w:r w:rsidRPr="00F9761E">
              <w:t>een benchmark die het voorwerp uitmaakt van een openbare kennisgeving op grond van artikel 24 bis, lid 5, vervangt die benchmark door een passend alternatief binnen zes maanden na de bekendmaking van die kennisgeving, of doet een verklaring uitgaan en maak</w:t>
            </w:r>
            <w:r w:rsidRPr="00F9761E">
              <w:t>t deze op haar website bekend waarin zij cliënten in kennis stelt van het feit dat het aan een passend alternatief ontbreekt.</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126</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Dorien Rookmaker</w:t>
      </w:r>
      <w:r w:rsidRPr="00F9761E">
        <w:rPr>
          <w:rStyle w:val="HideTWBExt"/>
          <w:b w:val="0"/>
        </w:rPr>
        <w:t>&lt;/Members</w:t>
      </w:r>
      <w:r w:rsidRPr="00F9761E">
        <w:rPr>
          <w:rStyle w:val="HideTWBExt"/>
          <w:b w:val="0"/>
        </w:rPr>
        <w:t>&gt;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14 – c bis (nieuw)</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29 – lid 1 ter bis (nieuw)</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 xml:space="preserve">Door de </w:t>
            </w:r>
            <w:r w:rsidRPr="00F9761E">
              <w:t>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877C23" w:rsidRPr="00F9761E" w:rsidRDefault="00CC2358">
            <w:pPr>
              <w:pStyle w:val="Normal6"/>
              <w:rPr>
                <w:b/>
                <w:i/>
              </w:rPr>
            </w:pPr>
            <w:r w:rsidRPr="00F9761E">
              <w:rPr>
                <w:b/>
                <w:i/>
              </w:rPr>
              <w:t>1 ter bis.</w:t>
            </w:r>
            <w:r w:rsidRPr="00F9761E">
              <w:rPr>
                <w:b/>
                <w:i/>
              </w:rPr>
              <w:tab/>
              <w:t>Het verbod in lid 1 van dit artikel is niet van toepassing op:</w:t>
            </w:r>
          </w:p>
          <w:p w:rsidR="001762D4" w:rsidRPr="00F9761E" w:rsidRDefault="00CC2358" w:rsidP="00877C23">
            <w:pPr>
              <w:pStyle w:val="Normal6"/>
              <w:rPr>
                <w:szCs w:val="24"/>
              </w:rPr>
            </w:pPr>
            <w:r w:rsidRPr="00F9761E">
              <w:rPr>
                <w:b/>
                <w:i/>
              </w:rPr>
              <w:lastRenderedPageBreak/>
              <w:t>a) marketmaking ten behoeve van klantactiviteit in verband met transacties die werden uitgevoerd vóór de ingangsdatum van het verbod;b) tran</w:t>
            </w:r>
            <w:r w:rsidRPr="00F9761E">
              <w:rPr>
                <w:b/>
                <w:i/>
              </w:rPr>
              <w:t>sacties of andere activiteiten waarmee de blootstelling aan de verboden benchmark van de onder toezicht staande entiteit of een klant van de onder toezicht staande entiteit wordt verminderd of afgedekt;c) novatie van transacties;d) transacties die werden u</w:t>
            </w:r>
            <w:r w:rsidRPr="00F9761E">
              <w:rPr>
                <w:b/>
                <w:i/>
              </w:rPr>
              <w:t>itgevoerd om deel te nemen aan een veilingprocedure van een centrale tegenpartij in het geval van wanbetaling door een lid, met inbegrip van transacties om de daaruit voortvloeiende blootstelling af te dekken;e) interpolatie of ander gebruik overeenkomstig</w:t>
            </w:r>
            <w:r w:rsidRPr="00F9761E">
              <w:rPr>
                <w:b/>
                <w:i/>
              </w:rPr>
              <w:t xml:space="preserve"> contractuele terugvalovereenkomsten in verband met de verboden benchmark.</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Zes maanden is niet voldoende tijd voor een onder toezicht staande entiteit om naar behoren een alternatief tarief</w:t>
      </w:r>
      <w:r w:rsidRPr="00F9761E">
        <w:t xml:space="preserve"> af te spreken en in te voeren. De overstapprocedure kan veel voeten in de aarde hebben.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127</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Marco Zanni, Valentino Grant, Antonio Maria Rinaldi</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14 – c bis (nieuw)</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29 – lid 2</w:t>
      </w:r>
      <w:r w:rsidRPr="00F97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B85361">
        <w:trPr>
          <w:jc w:val="center"/>
        </w:trPr>
        <w:tc>
          <w:tcPr>
            <w:tcW w:w="9752" w:type="dxa"/>
            <w:gridSpan w:val="2"/>
          </w:tcPr>
          <w:p w:rsidR="001762D4" w:rsidRPr="00F9761E" w:rsidRDefault="001762D4">
            <w:pPr>
              <w:keepNext/>
            </w:pPr>
          </w:p>
        </w:tc>
      </w:tr>
      <w:tr w:rsidR="00087166" w:rsidRPr="00F9761E" w:rsidTr="00B85361">
        <w:trPr>
          <w:jc w:val="center"/>
        </w:trPr>
        <w:tc>
          <w:tcPr>
            <w:tcW w:w="4876" w:type="dxa"/>
            <w:hideMark/>
          </w:tcPr>
          <w:p w:rsidR="001762D4" w:rsidRPr="00F9761E" w:rsidRDefault="00CC2358">
            <w:pPr>
              <w:pStyle w:val="ColumnHeading"/>
              <w:keepNext/>
            </w:pPr>
            <w:r w:rsidRPr="00F9761E">
              <w:t>Bestaande tekst</w:t>
            </w:r>
          </w:p>
        </w:tc>
        <w:tc>
          <w:tcPr>
            <w:tcW w:w="4876" w:type="dxa"/>
            <w:hideMark/>
          </w:tcPr>
          <w:p w:rsidR="001762D4" w:rsidRPr="00F9761E" w:rsidRDefault="00CC2358">
            <w:pPr>
              <w:pStyle w:val="ColumnHeading"/>
              <w:keepNext/>
            </w:pPr>
            <w:r w:rsidRPr="00F9761E">
              <w:t>Amendement</w:t>
            </w:r>
          </w:p>
        </w:tc>
      </w:tr>
      <w:tr w:rsidR="00087166" w:rsidRPr="00F9761E" w:rsidTr="00B85361">
        <w:trPr>
          <w:jc w:val="center"/>
        </w:trPr>
        <w:tc>
          <w:tcPr>
            <w:tcW w:w="4876" w:type="dxa"/>
          </w:tcPr>
          <w:p w:rsidR="001762D4" w:rsidRPr="00F9761E" w:rsidRDefault="001762D4">
            <w:pPr>
              <w:pStyle w:val="Normal6"/>
            </w:pPr>
          </w:p>
        </w:tc>
        <w:tc>
          <w:tcPr>
            <w:tcW w:w="4876" w:type="dxa"/>
            <w:hideMark/>
          </w:tcPr>
          <w:p w:rsidR="001762D4" w:rsidRPr="00F9761E" w:rsidRDefault="00CC2358" w:rsidP="002959F4">
            <w:pPr>
              <w:pStyle w:val="Normal6"/>
              <w:rPr>
                <w:szCs w:val="24"/>
              </w:rPr>
            </w:pPr>
            <w:r w:rsidRPr="00F9761E">
              <w:rPr>
                <w:b/>
                <w:i/>
              </w:rPr>
              <w:t>c bis)</w:t>
            </w:r>
            <w:r w:rsidRPr="00F9761E">
              <w:rPr>
                <w:b/>
                <w:i/>
              </w:rPr>
              <w:tab/>
              <w:t>lid 2 wordt als volgt</w:t>
            </w:r>
            <w:r w:rsidRPr="00F9761E">
              <w:rPr>
                <w:b/>
                <w:i/>
              </w:rPr>
              <w:t xml:space="preserve"> gewijzigd:</w:t>
            </w:r>
          </w:p>
        </w:tc>
      </w:tr>
      <w:tr w:rsidR="00087166" w:rsidRPr="00F9761E" w:rsidTr="00B85361">
        <w:trPr>
          <w:jc w:val="center"/>
        </w:trPr>
        <w:tc>
          <w:tcPr>
            <w:tcW w:w="4876" w:type="dxa"/>
          </w:tcPr>
          <w:p w:rsidR="002959F4" w:rsidRPr="00F9761E" w:rsidRDefault="00CC2358" w:rsidP="002959F4">
            <w:pPr>
              <w:rPr>
                <w:color w:val="333333"/>
              </w:rPr>
            </w:pPr>
            <w:r w:rsidRPr="00F9761E">
              <w:rPr>
                <w:rStyle w:val="no-parag"/>
                <w:shd w:val="clear" w:color="auto" w:fill="FFFFFF"/>
              </w:rPr>
              <w:t>2.</w:t>
            </w:r>
            <w:r w:rsidRPr="00F9761E">
              <w:rPr>
                <w:b/>
                <w:i/>
              </w:rPr>
              <w:tab/>
            </w:r>
            <w:r w:rsidRPr="00F9761E">
              <w:t xml:space="preserve">Indien een prospectus dat moet worden gepubliceerd uit hoofde van Richtlijn 2003/71/EG of Richtlijn 2009/65/EG betrekking heeft op effecten of andere beleggingsproducten die verwijzen </w:t>
            </w:r>
            <w:r w:rsidRPr="00F9761E">
              <w:lastRenderedPageBreak/>
              <w:t xml:space="preserve">naar een benchmark, draagt de uitgevende instelling, de </w:t>
            </w:r>
            <w:r w:rsidRPr="00F9761E">
              <w:t xml:space="preserve">aanbieder of de aanvrager van toelating tot de handel op een gereglementeerde markt ervoor zorg dat het prospectus </w:t>
            </w:r>
            <w:r w:rsidRPr="00F9761E">
              <w:rPr>
                <w:b/>
                <w:i/>
              </w:rPr>
              <w:t xml:space="preserve">ook heldere en duidelijk aangegeven </w:t>
            </w:r>
            <w:r w:rsidRPr="00F9761E">
              <w:t xml:space="preserve">informatie </w:t>
            </w:r>
            <w:r w:rsidRPr="00F9761E">
              <w:rPr>
                <w:b/>
                <w:bCs/>
                <w:i/>
                <w:iCs/>
              </w:rPr>
              <w:t>bevat</w:t>
            </w:r>
            <w:r w:rsidRPr="00F9761E">
              <w:t xml:space="preserve"> </w:t>
            </w:r>
            <w:r w:rsidRPr="00F9761E">
              <w:rPr>
                <w:b/>
                <w:i/>
              </w:rPr>
              <w:t>waarin wordt vermeld of de benchmark wordt aangeboden door een beheerder die is opgenome</w:t>
            </w:r>
            <w:r w:rsidRPr="00F9761E">
              <w:rPr>
                <w:b/>
                <w:i/>
              </w:rPr>
              <w:t>n in het in artikel 36 van deze verordening bedoelde register</w:t>
            </w:r>
            <w:r w:rsidRPr="00F9761E">
              <w:t>.</w:t>
            </w:r>
          </w:p>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bCs/>
                <w:i/>
                <w:iCs/>
              </w:rPr>
              <w:lastRenderedPageBreak/>
              <w:t>“</w:t>
            </w:r>
            <w:r w:rsidRPr="00F9761E">
              <w:t>2.</w:t>
            </w:r>
            <w:r w:rsidRPr="00F9761E">
              <w:rPr>
                <w:b/>
                <w:i/>
              </w:rPr>
              <w:tab/>
            </w:r>
            <w:r w:rsidRPr="00F9761E">
              <w:t xml:space="preserve">Indien een prospectus dat moet worden gepubliceerd uit hoofde van Richtlijn 2003/71/EG of Richtlijn 2009/65/EG betrekking heeft op effecten of andere beleggingsproducten die verwijzen </w:t>
            </w:r>
            <w:r w:rsidRPr="00F9761E">
              <w:lastRenderedPageBreak/>
              <w:t xml:space="preserve">naar een benchmark, draagt de uitgevende instelling, de aanbieder of de </w:t>
            </w:r>
            <w:r w:rsidRPr="00F9761E">
              <w:t xml:space="preserve">aanvrager van toelating tot de handel op een gereglementeerde markt ervoor zorg dat </w:t>
            </w:r>
            <w:r w:rsidRPr="00F9761E">
              <w:rPr>
                <w:b/>
                <w:i/>
              </w:rPr>
              <w:t>wanneer een openbare kennisgeving over de gebruikte benchmark is opgenomen in het in artikel 36 van deze verordening bedoelde register, binnen zes maanden na de bekendmakin</w:t>
            </w:r>
            <w:r w:rsidRPr="00F9761E">
              <w:rPr>
                <w:b/>
                <w:i/>
              </w:rPr>
              <w:t xml:space="preserve">g van de openbare kennisgeving, </w:t>
            </w:r>
            <w:r w:rsidRPr="00F9761E">
              <w:t xml:space="preserve">het prospectus </w:t>
            </w:r>
            <w:r w:rsidRPr="00F9761E">
              <w:rPr>
                <w:b/>
                <w:i/>
              </w:rPr>
              <w:t xml:space="preserve">deze </w:t>
            </w:r>
            <w:r w:rsidRPr="00F9761E">
              <w:t xml:space="preserve">informatie </w:t>
            </w:r>
            <w:r w:rsidRPr="00F9761E">
              <w:rPr>
                <w:b/>
                <w:i/>
              </w:rPr>
              <w:t>ook op duidelijke en in het oog springende wijze vermeldt</w:t>
            </w:r>
            <w:r w:rsidRPr="00F9761E">
              <w:t>.</w:t>
            </w:r>
            <w:r w:rsidRPr="00F9761E">
              <w:rPr>
                <w:b/>
                <w:bCs/>
                <w:i/>
                <w:iCs/>
              </w:rPr>
              <w:t>”.</w:t>
            </w:r>
          </w:p>
        </w:tc>
      </w:tr>
    </w:tbl>
    <w:p w:rsidR="00B85361" w:rsidRPr="00F9761E" w:rsidRDefault="00CC2358" w:rsidP="00B85361">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B85361" w:rsidRPr="00F9761E" w:rsidRDefault="00CC2358" w:rsidP="00B85361">
      <w:pPr>
        <w:pStyle w:val="CrossRef"/>
      </w:pPr>
      <w:r w:rsidRPr="00F9761E">
        <w:t>(https://eur-lex.europa.eu/legal-content/NL/TXT/?uri=CELEX%3A02016R1011-20240109)</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w:t>
      </w:r>
      <w:r w:rsidRPr="00F9761E">
        <w:t>mendement</w:t>
      </w:r>
      <w:r w:rsidRPr="00F9761E">
        <w:tab/>
      </w:r>
      <w:r w:rsidRPr="00F9761E">
        <w:tab/>
      </w:r>
      <w:r w:rsidRPr="00F9761E">
        <w:rPr>
          <w:rStyle w:val="HideTWBExt"/>
          <w:b w:val="0"/>
        </w:rPr>
        <w:t>&lt;NumAm&gt;</w:t>
      </w:r>
      <w:r w:rsidRPr="00F9761E">
        <w:t>128</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877C23" w:rsidRPr="00F9761E" w:rsidRDefault="00CC2358" w:rsidP="00877C23">
      <w:pPr>
        <w:pStyle w:val="NormalBold"/>
      </w:pPr>
      <w:r w:rsidRPr="00F9761E">
        <w:rPr>
          <w:rStyle w:val="HideTWBExt"/>
          <w:b w:val="0"/>
        </w:rPr>
        <w:t>&lt;Article&gt;</w:t>
      </w:r>
      <w:r w:rsidRPr="00F9761E">
        <w:t>Artikel 1 – alinea 1 – punt 14 – c bis (nieuw)</w:t>
      </w:r>
      <w:r w:rsidRPr="00F9761E">
        <w:rPr>
          <w:rStyle w:val="HideTWBExt"/>
          <w:b w:val="0"/>
        </w:rPr>
        <w:t>&lt;/Article&gt;</w:t>
      </w:r>
    </w:p>
    <w:p w:rsidR="00877C23" w:rsidRPr="00F9761E" w:rsidRDefault="00CC2358" w:rsidP="00877C23">
      <w:pPr>
        <w:keepNext/>
      </w:pPr>
      <w:r w:rsidRPr="00F9761E">
        <w:rPr>
          <w:rStyle w:val="HideTWBExt"/>
        </w:rPr>
        <w:t>&lt;DocAmend2&gt;</w:t>
      </w:r>
      <w:r w:rsidRPr="00F9761E">
        <w:t>Verordening (EU) 2016/1011</w:t>
      </w:r>
      <w:r w:rsidRPr="00F9761E">
        <w:rPr>
          <w:rStyle w:val="HideTWBExt"/>
        </w:rPr>
        <w:t>&lt;/DocAmend2&gt;</w:t>
      </w:r>
    </w:p>
    <w:p w:rsidR="00877C23" w:rsidRPr="00F9761E" w:rsidRDefault="00CC2358" w:rsidP="00877C23">
      <w:r w:rsidRPr="00F9761E">
        <w:rPr>
          <w:rStyle w:val="HideTWBExt"/>
        </w:rPr>
        <w:t>&lt;Article2&gt;</w:t>
      </w:r>
      <w:r w:rsidRPr="00F9761E">
        <w:t>Artikel 29 – lid 1 ter bis (nieuw)</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c bis)</w:t>
            </w:r>
            <w:r w:rsidRPr="00F9761E">
              <w:rPr>
                <w:b/>
                <w:i/>
              </w:rPr>
              <w:tab/>
              <w:t>het volgende lid wordt ingevoegd:</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“1 ter bis.</w:t>
            </w:r>
            <w:r w:rsidRPr="00F9761E">
              <w:rPr>
                <w:b/>
                <w:i/>
              </w:rPr>
              <w:tab/>
              <w:t xml:space="preserve">Een onder toezicht staande entiteit mag </w:t>
            </w:r>
            <w:r w:rsidRPr="00F9761E">
              <w:rPr>
                <w:b/>
                <w:i/>
              </w:rPr>
              <w:t>alleen gebruikmaken van een benchmark die in haar juridische of marketingdocumentatie of benaming beweert in haar methodologie ESG-factoren in aanmerking te nemen, indien haar beheerder de in artikel 13, lid 1, punt d), en artikel 27, lid 2 bis, bedoelde i</w:t>
            </w:r>
            <w:r w:rsidRPr="00F9761E">
              <w:rPr>
                <w:b/>
                <w:i/>
              </w:rPr>
              <w:t>nformatie bekendmaakt. Alle vereisten inzake de informatieverschaffing over de methodologie moeten in overeenstemming zijn met Verordening (EU) 2019/2088, Richtlijn 2011/61/EU en Richtlijn 2009/65/EG. Dit lid is van toepassing op zowel EU- als niet-EU-benc</w:t>
            </w:r>
            <w:r w:rsidRPr="00F9761E">
              <w:rPr>
                <w:b/>
                <w:i/>
              </w:rPr>
              <w:t>hmarks.”.</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lastRenderedPageBreak/>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Afstemming met betrekking tot verplichte verstrekking van ESG-informatie op de EU-regelgeving inzake informatieverschaffing over financiële producten (SFDR) en tussen vereisten vo</w:t>
      </w:r>
      <w:r w:rsidRPr="00F9761E">
        <w:t>or namen van benchmarks en vereisten voor namen van fondsen, met name voor op de beurs verhandelde fondsen (waarvan de namen een kopie zijn van de namen van de eraan ten grondslag liggende indexen) is essentieel (abi-beheerdersrichtlijn en icbe-richtlijn).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129</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Irene Tinagli</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877C23" w:rsidRPr="00F9761E" w:rsidRDefault="00CC2358" w:rsidP="00877C23">
      <w:pPr>
        <w:pStyle w:val="NormalBold"/>
      </w:pPr>
      <w:r w:rsidRPr="00F9761E">
        <w:rPr>
          <w:rStyle w:val="HideTWBExt"/>
          <w:b w:val="0"/>
        </w:rPr>
        <w:t>&lt;Article&gt;</w:t>
      </w:r>
      <w:r w:rsidRPr="00F9761E">
        <w:t>Artikel 1 – alinea 1 – punt 14 – c bis (nieuw)</w:t>
      </w:r>
      <w:r w:rsidRPr="00F9761E">
        <w:rPr>
          <w:rStyle w:val="HideTWBExt"/>
          <w:b w:val="0"/>
        </w:rPr>
        <w:t>&lt;/Article&gt;</w:t>
      </w:r>
    </w:p>
    <w:p w:rsidR="00F70312" w:rsidRPr="00F9761E" w:rsidRDefault="00CC2358" w:rsidP="00F70312">
      <w:pPr>
        <w:keepNext/>
      </w:pPr>
      <w:r w:rsidRPr="00F9761E">
        <w:rPr>
          <w:rStyle w:val="HideTWBExt"/>
        </w:rPr>
        <w:t>&lt;DocAmend2&gt;</w:t>
      </w:r>
      <w:r w:rsidRPr="00F9761E">
        <w:t xml:space="preserve">Verordening </w:t>
      </w:r>
      <w:r w:rsidRPr="00F9761E">
        <w:t>(EU) 2016/1011</w:t>
      </w:r>
      <w:r w:rsidRPr="00F9761E">
        <w:rPr>
          <w:rStyle w:val="HideTWBExt"/>
        </w:rPr>
        <w:t>&lt;/DocAmend2&gt;</w:t>
      </w:r>
    </w:p>
    <w:p w:rsidR="00F70312" w:rsidRPr="00F9761E" w:rsidRDefault="00CC2358" w:rsidP="00F70312">
      <w:r w:rsidRPr="00F9761E">
        <w:rPr>
          <w:rStyle w:val="HideTWBExt"/>
        </w:rPr>
        <w:t>&lt;Article2&gt;</w:t>
      </w:r>
      <w:r w:rsidRPr="00F9761E">
        <w:t>Artikel 29 – lid 2</w:t>
      </w:r>
      <w:r w:rsidRPr="00F97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F70312">
        <w:trPr>
          <w:jc w:val="center"/>
        </w:trPr>
        <w:tc>
          <w:tcPr>
            <w:tcW w:w="9752" w:type="dxa"/>
            <w:gridSpan w:val="2"/>
          </w:tcPr>
          <w:p w:rsidR="001762D4" w:rsidRPr="00F9761E" w:rsidRDefault="001762D4">
            <w:pPr>
              <w:keepNext/>
            </w:pPr>
          </w:p>
        </w:tc>
      </w:tr>
      <w:tr w:rsidR="00087166" w:rsidRPr="00F9761E" w:rsidTr="00F70312">
        <w:trPr>
          <w:jc w:val="center"/>
        </w:trPr>
        <w:tc>
          <w:tcPr>
            <w:tcW w:w="4876" w:type="dxa"/>
            <w:hideMark/>
          </w:tcPr>
          <w:p w:rsidR="001762D4" w:rsidRPr="00F9761E" w:rsidRDefault="00CC2358">
            <w:pPr>
              <w:pStyle w:val="ColumnHeading"/>
              <w:keepNext/>
            </w:pPr>
            <w:r w:rsidRPr="00F9761E">
              <w:t>Bestaande tekst</w:t>
            </w:r>
          </w:p>
        </w:tc>
        <w:tc>
          <w:tcPr>
            <w:tcW w:w="4876" w:type="dxa"/>
            <w:hideMark/>
          </w:tcPr>
          <w:p w:rsidR="001762D4" w:rsidRPr="00F9761E" w:rsidRDefault="00CC2358">
            <w:pPr>
              <w:pStyle w:val="ColumnHeading"/>
              <w:keepNext/>
            </w:pPr>
            <w:r w:rsidRPr="00F9761E">
              <w:t>Amendement</w:t>
            </w:r>
          </w:p>
        </w:tc>
      </w:tr>
      <w:tr w:rsidR="00087166" w:rsidRPr="00F9761E" w:rsidTr="00F70312">
        <w:trPr>
          <w:jc w:val="center"/>
        </w:trPr>
        <w:tc>
          <w:tcPr>
            <w:tcW w:w="4876" w:type="dxa"/>
          </w:tcPr>
          <w:p w:rsidR="001762D4" w:rsidRPr="00F9761E" w:rsidRDefault="001762D4">
            <w:pPr>
              <w:pStyle w:val="Normal6"/>
            </w:pPr>
          </w:p>
        </w:tc>
        <w:tc>
          <w:tcPr>
            <w:tcW w:w="4876" w:type="dxa"/>
            <w:hideMark/>
          </w:tcPr>
          <w:p w:rsidR="001762D4" w:rsidRPr="00F9761E" w:rsidRDefault="00CC2358" w:rsidP="00F70312">
            <w:pPr>
              <w:pStyle w:val="Normal6"/>
              <w:rPr>
                <w:szCs w:val="24"/>
              </w:rPr>
            </w:pPr>
            <w:r w:rsidRPr="00F9761E">
              <w:rPr>
                <w:b/>
                <w:i/>
              </w:rPr>
              <w:t>c bis)</w:t>
            </w:r>
            <w:r w:rsidRPr="00F9761E">
              <w:rPr>
                <w:b/>
                <w:i/>
              </w:rPr>
              <w:tab/>
              <w:t>lid 2 wordt als volgt gewijzigd:</w:t>
            </w:r>
          </w:p>
        </w:tc>
      </w:tr>
      <w:tr w:rsidR="00087166" w:rsidRPr="00F9761E" w:rsidTr="00F70312">
        <w:trPr>
          <w:jc w:val="center"/>
        </w:trPr>
        <w:tc>
          <w:tcPr>
            <w:tcW w:w="4876" w:type="dxa"/>
          </w:tcPr>
          <w:p w:rsidR="00F70312" w:rsidRPr="00F9761E" w:rsidRDefault="00CC2358" w:rsidP="00F70312">
            <w:pPr>
              <w:rPr>
                <w:color w:val="333333"/>
              </w:rPr>
            </w:pPr>
            <w:r w:rsidRPr="00F9761E">
              <w:rPr>
                <w:rStyle w:val="no-parag"/>
                <w:shd w:val="clear" w:color="auto" w:fill="FFFFFF"/>
              </w:rPr>
              <w:t>2.</w:t>
            </w:r>
            <w:r w:rsidRPr="00F9761E">
              <w:rPr>
                <w:b/>
                <w:i/>
              </w:rPr>
              <w:tab/>
            </w:r>
            <w:r w:rsidRPr="00F9761E">
              <w:t xml:space="preserve">Indien een prospectus dat moet worden gepubliceerd uit hoofde van Richtlijn 2003/71/EG of Richtlijn 2009/65/EG betrekking heeft op effecten of andere beleggingsproducten die verwijzen naar een benchmark, draagt de uitgevende instelling, de aanbieder of de </w:t>
            </w:r>
            <w:r w:rsidRPr="00F9761E">
              <w:t xml:space="preserve">aanvrager van toelating tot de handel op een gereglementeerde markt ervoor zorg dat het prospectus ook heldere en duidelijk aangegeven informatie bevat waarin wordt vermeld of de benchmark </w:t>
            </w:r>
            <w:r w:rsidRPr="00F9761E">
              <w:rPr>
                <w:b/>
                <w:i/>
              </w:rPr>
              <w:t>wordt aangeboden door een beheerder die</w:t>
            </w:r>
            <w:r w:rsidRPr="00F9761E">
              <w:t xml:space="preserve"> is opgenomen in het in arti</w:t>
            </w:r>
            <w:r w:rsidRPr="00F9761E">
              <w:t>kel 36 van deze verordening bedoelde register.</w:t>
            </w:r>
          </w:p>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bCs/>
                <w:i/>
                <w:iCs/>
              </w:rPr>
              <w:t>“</w:t>
            </w:r>
            <w:r w:rsidRPr="00F9761E">
              <w:t>2.</w:t>
            </w:r>
            <w:r w:rsidRPr="00F9761E">
              <w:rPr>
                <w:b/>
                <w:i/>
              </w:rPr>
              <w:tab/>
            </w:r>
            <w:r w:rsidRPr="00F9761E">
              <w:t xml:space="preserve">Indien een prospectus dat moet worden gepubliceerd uit hoofde van Richtlijn 2003/71/EG of Richtlijn 2009/65/EG betrekking heeft op effecten of andere beleggingsproducten die verwijzen naar een benchmark, </w:t>
            </w:r>
            <w:r w:rsidRPr="00F9761E">
              <w:t xml:space="preserve">draagt de uitgevende instelling, de aanbieder of de aanvrager van toelating tot de handel op een gereglementeerde markt ervoor zorg dat het prospectus ook heldere en duidelijk aangegeven informatie bevat waarin wordt vermeld of </w:t>
            </w:r>
            <w:r w:rsidRPr="00F9761E">
              <w:rPr>
                <w:b/>
                <w:i/>
              </w:rPr>
              <w:t>een openbare kennisgeving ov</w:t>
            </w:r>
            <w:r w:rsidRPr="00F9761E">
              <w:rPr>
                <w:b/>
                <w:i/>
              </w:rPr>
              <w:t xml:space="preserve">er </w:t>
            </w:r>
            <w:r w:rsidRPr="00F9761E">
              <w:t xml:space="preserve">de </w:t>
            </w:r>
            <w:r w:rsidRPr="00F9761E">
              <w:rPr>
                <w:b/>
                <w:bCs/>
                <w:i/>
                <w:iCs/>
              </w:rPr>
              <w:t xml:space="preserve">gebruikte </w:t>
            </w:r>
            <w:r w:rsidRPr="00F9761E">
              <w:t>benchmark is opgenomen in het in artikel 36 van deze verordening bedoelde register</w:t>
            </w:r>
            <w:r w:rsidRPr="00F9761E">
              <w:rPr>
                <w:b/>
                <w:i/>
              </w:rPr>
              <w:t>, binnen zes maanden na de bekendmaking van de openbare kennisgeving</w:t>
            </w:r>
            <w:r w:rsidRPr="00F9761E">
              <w:t>.</w:t>
            </w:r>
            <w:r w:rsidRPr="00F9761E">
              <w:rPr>
                <w:b/>
                <w:bCs/>
                <w:i/>
                <w:iCs/>
              </w:rPr>
              <w:t>”.</w:t>
            </w:r>
          </w:p>
        </w:tc>
      </w:tr>
    </w:tbl>
    <w:p w:rsidR="00B85361" w:rsidRPr="00F9761E" w:rsidRDefault="00CC2358" w:rsidP="00B85361">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B85361" w:rsidRPr="00F9761E" w:rsidRDefault="00CC2358" w:rsidP="00B85361">
      <w:pPr>
        <w:pStyle w:val="CrossRef"/>
      </w:pPr>
      <w:r w:rsidRPr="00F9761E">
        <w:t>(https://eur-lex.europa.eu/legal-content/NL/TXT/?uri=CELEX%3A02016R1011-20240109)</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130</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lastRenderedPageBreak/>
        <w:t>&lt;DocAmend&gt;</w:t>
      </w:r>
      <w:r w:rsidRPr="00F9761E">
        <w:t>Voorstel vo</w:t>
      </w:r>
      <w:r w:rsidRPr="00F9761E">
        <w:t>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17 bis (nieuw)</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40 – lid 1</w:t>
      </w:r>
      <w:r w:rsidRPr="00F976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B85361">
        <w:trPr>
          <w:jc w:val="center"/>
        </w:trPr>
        <w:tc>
          <w:tcPr>
            <w:tcW w:w="9752" w:type="dxa"/>
            <w:gridSpan w:val="2"/>
          </w:tcPr>
          <w:p w:rsidR="001762D4" w:rsidRPr="00F9761E" w:rsidRDefault="001762D4">
            <w:pPr>
              <w:keepNext/>
            </w:pPr>
          </w:p>
        </w:tc>
      </w:tr>
      <w:tr w:rsidR="00087166" w:rsidRPr="00F9761E" w:rsidTr="00B85361">
        <w:trPr>
          <w:jc w:val="center"/>
        </w:trPr>
        <w:tc>
          <w:tcPr>
            <w:tcW w:w="4876" w:type="dxa"/>
            <w:hideMark/>
          </w:tcPr>
          <w:p w:rsidR="001762D4" w:rsidRPr="00F9761E" w:rsidRDefault="00CC2358">
            <w:pPr>
              <w:pStyle w:val="ColumnHeading"/>
              <w:keepNext/>
            </w:pPr>
            <w:r w:rsidRPr="00F9761E">
              <w:t>Bestaande tekst</w:t>
            </w:r>
          </w:p>
        </w:tc>
        <w:tc>
          <w:tcPr>
            <w:tcW w:w="4876" w:type="dxa"/>
            <w:hideMark/>
          </w:tcPr>
          <w:p w:rsidR="001762D4" w:rsidRPr="00F9761E" w:rsidRDefault="00CC2358">
            <w:pPr>
              <w:pStyle w:val="ColumnHeading"/>
              <w:keepNext/>
            </w:pPr>
            <w:r w:rsidRPr="00F9761E">
              <w:t>Amendement</w:t>
            </w:r>
          </w:p>
        </w:tc>
      </w:tr>
      <w:tr w:rsidR="00087166" w:rsidRPr="00F9761E" w:rsidTr="00B85361">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17 bis)</w:t>
            </w:r>
            <w:r w:rsidRPr="00F9761E">
              <w:rPr>
                <w:b/>
                <w:i/>
              </w:rPr>
              <w:tab/>
              <w:t>In artikel 40 wordt lid 1 als volgt</w:t>
            </w:r>
            <w:r w:rsidRPr="00F9761E">
              <w:rPr>
                <w:b/>
                <w:i/>
              </w:rPr>
              <w:t xml:space="preserve"> gewijzigd:</w:t>
            </w:r>
          </w:p>
        </w:tc>
      </w:tr>
      <w:tr w:rsidR="00087166" w:rsidRPr="00F9761E" w:rsidTr="00B85361">
        <w:trPr>
          <w:jc w:val="center"/>
        </w:trPr>
        <w:tc>
          <w:tcPr>
            <w:tcW w:w="4876" w:type="dxa"/>
            <w:hideMark/>
          </w:tcPr>
          <w:p w:rsidR="001762D4" w:rsidRPr="00F9761E" w:rsidRDefault="00CC2358">
            <w:pPr>
              <w:pStyle w:val="Normal6"/>
            </w:pPr>
            <w:r w:rsidRPr="00F9761E">
              <w:t>1. Voor de toepassing van deze verordening is de ESMA de bevoegde autoriteit voor:</w:t>
            </w:r>
          </w:p>
        </w:tc>
        <w:tc>
          <w:tcPr>
            <w:tcW w:w="4876" w:type="dxa"/>
            <w:hideMark/>
          </w:tcPr>
          <w:p w:rsidR="001762D4" w:rsidRPr="00F9761E" w:rsidRDefault="00CC2358">
            <w:pPr>
              <w:pStyle w:val="Normal6"/>
              <w:rPr>
                <w:szCs w:val="24"/>
              </w:rPr>
            </w:pPr>
            <w:r w:rsidRPr="00F9761E">
              <w:rPr>
                <w:b/>
                <w:bCs/>
                <w:i/>
                <w:iCs/>
              </w:rPr>
              <w:t>“</w:t>
            </w:r>
            <w:r w:rsidRPr="00F9761E">
              <w:t>1. Voor de toepassing van deze verordening is de ESMA de bevoegde autoriteit voor:</w:t>
            </w:r>
          </w:p>
        </w:tc>
      </w:tr>
      <w:tr w:rsidR="00087166" w:rsidRPr="00F9761E" w:rsidTr="00B85361">
        <w:trPr>
          <w:jc w:val="center"/>
        </w:trPr>
        <w:tc>
          <w:tcPr>
            <w:tcW w:w="4876" w:type="dxa"/>
            <w:hideMark/>
          </w:tcPr>
          <w:p w:rsidR="001762D4" w:rsidRPr="00F9761E" w:rsidRDefault="00CC2358">
            <w:pPr>
              <w:pStyle w:val="Normal6"/>
            </w:pPr>
            <w:r w:rsidRPr="00F9761E">
              <w:t>a) de beheerders van de in artikel 20, lid 1, onder a) en c), bedoelde cruc</w:t>
            </w:r>
            <w:r w:rsidRPr="00F9761E">
              <w:t>iale benchmarks;</w:t>
            </w:r>
          </w:p>
        </w:tc>
        <w:tc>
          <w:tcPr>
            <w:tcW w:w="4876" w:type="dxa"/>
            <w:hideMark/>
          </w:tcPr>
          <w:p w:rsidR="001762D4" w:rsidRPr="00F9761E" w:rsidRDefault="00CC2358">
            <w:pPr>
              <w:pStyle w:val="Normal6"/>
              <w:rPr>
                <w:szCs w:val="24"/>
              </w:rPr>
            </w:pPr>
            <w:r w:rsidRPr="00F9761E">
              <w:t>a)</w:t>
            </w:r>
            <w:r w:rsidRPr="00F9761E">
              <w:rPr>
                <w:b/>
                <w:i/>
              </w:rPr>
              <w:tab/>
            </w:r>
            <w:r w:rsidRPr="00F9761E">
              <w:t xml:space="preserve"> de beheerders van de in artikel 20, lid 1, onder a) en c), bedoelde cruciale benchmarks;</w:t>
            </w:r>
          </w:p>
        </w:tc>
      </w:tr>
      <w:tr w:rsidR="00087166" w:rsidRPr="00F9761E" w:rsidTr="00B85361">
        <w:trPr>
          <w:jc w:val="center"/>
        </w:trPr>
        <w:tc>
          <w:tcPr>
            <w:tcW w:w="4876" w:type="dxa"/>
            <w:hideMark/>
          </w:tcPr>
          <w:p w:rsidR="001762D4" w:rsidRPr="00F9761E" w:rsidRDefault="00CC2358">
            <w:pPr>
              <w:pStyle w:val="Normal6"/>
            </w:pPr>
            <w:r w:rsidRPr="00F9761E">
              <w:t>b) de beheerders van de in artikel 32 bedoelde benchmarks;</w:t>
            </w:r>
          </w:p>
        </w:tc>
        <w:tc>
          <w:tcPr>
            <w:tcW w:w="4876" w:type="dxa"/>
            <w:hideMark/>
          </w:tcPr>
          <w:p w:rsidR="001762D4" w:rsidRPr="00F9761E" w:rsidRDefault="00CC2358">
            <w:pPr>
              <w:pStyle w:val="Normal6"/>
              <w:rPr>
                <w:szCs w:val="24"/>
              </w:rPr>
            </w:pPr>
            <w:r w:rsidRPr="00F9761E">
              <w:t xml:space="preserve">b) </w:t>
            </w:r>
            <w:r w:rsidRPr="00F9761E">
              <w:rPr>
                <w:b/>
                <w:i/>
              </w:rPr>
              <w:tab/>
            </w:r>
            <w:r w:rsidRPr="00F9761E">
              <w:t>de beheerders van de in artikel 32 bedoelde benchmarks;</w:t>
            </w:r>
          </w:p>
        </w:tc>
      </w:tr>
      <w:tr w:rsidR="00087166" w:rsidRPr="00F9761E" w:rsidTr="00B85361">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c) </w:t>
            </w:r>
            <w:r w:rsidRPr="00F9761E">
              <w:rPr>
                <w:b/>
                <w:i/>
              </w:rPr>
              <w:tab/>
              <w:t>de beheerders van de</w:t>
            </w:r>
            <w:r w:rsidRPr="00F9761E">
              <w:rPr>
                <w:b/>
                <w:i/>
              </w:rPr>
              <w:t xml:space="preserve"> benchmarks die significant zijn binnen de Unie als bedoeld in artikel 24, leden 1, 2, 5 en 6;</w:t>
            </w:r>
          </w:p>
        </w:tc>
      </w:tr>
      <w:tr w:rsidR="00087166" w:rsidRPr="00F9761E" w:rsidTr="00B85361">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d) </w:t>
            </w:r>
            <w:r w:rsidRPr="00F9761E">
              <w:rPr>
                <w:b/>
                <w:i/>
              </w:rPr>
              <w:tab/>
              <w:t>de beheerders die benchmarks bekrachtigen die in een derde land worden aangeboden overeenkomstig artikel 33;</w:t>
            </w:r>
          </w:p>
        </w:tc>
      </w:tr>
      <w:tr w:rsidR="00087166" w:rsidRPr="00F9761E" w:rsidTr="00B85361">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e) </w:t>
            </w:r>
            <w:r w:rsidRPr="00F9761E">
              <w:rPr>
                <w:b/>
                <w:i/>
              </w:rPr>
              <w:tab/>
              <w:t>de beheerders van EU-klimaattransitieben</w:t>
            </w:r>
            <w:r w:rsidRPr="00F9761E">
              <w:rPr>
                <w:b/>
                <w:i/>
              </w:rPr>
              <w:t>chmarks en op de Overeenkomst van Parijs afgestemde EU-benchmarks als bedoeld in artikel 3, lid 23 bis en lid 23 ter.”.</w:t>
            </w:r>
          </w:p>
        </w:tc>
      </w:tr>
      <w:tr w:rsidR="00087166" w:rsidRPr="00F9761E" w:rsidTr="00B85361">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 </w:t>
            </w:r>
          </w:p>
        </w:tc>
      </w:tr>
    </w:tbl>
    <w:p w:rsidR="00B85361" w:rsidRPr="00F9761E" w:rsidRDefault="00CC2358" w:rsidP="00B85361">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B85361" w:rsidRPr="00F9761E" w:rsidRDefault="00CC2358" w:rsidP="00B85361">
      <w:pPr>
        <w:pStyle w:val="CrossRef"/>
      </w:pPr>
      <w:r w:rsidRPr="00F9761E">
        <w:t>(https://eur-lex.europa.eu/legal-content/NL/TXT/?uri=CELEX%3A02016R1011-20240109)</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ESMA moet ook verantwoordelijk zijn voor het toezicht op alle beheerders van significante benchmarks en beheerders van EU-PAB’s en EU-CTB’s.</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131</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Gilles Boyer, Stépha</w:t>
      </w:r>
      <w:r w:rsidRPr="00F9761E">
        <w:t>nie Yon-Courtin, Olivier Chastel</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lastRenderedPageBreak/>
        <w:t>&lt;DocAmend&gt;</w:t>
      </w:r>
      <w:r w:rsidRPr="00F9761E">
        <w:t>Voorstel voor een verordening</w:t>
      </w:r>
      <w:r w:rsidRPr="00F9761E">
        <w:rPr>
          <w:rStyle w:val="HideTWBExt"/>
          <w:b w:val="0"/>
        </w:rPr>
        <w:t>&lt;/DocAmend&gt;</w:t>
      </w:r>
    </w:p>
    <w:p w:rsidR="00877C23" w:rsidRPr="00F9761E" w:rsidRDefault="00CC2358" w:rsidP="00877C23">
      <w:pPr>
        <w:pStyle w:val="NormalBold"/>
      </w:pPr>
      <w:r w:rsidRPr="00F9761E">
        <w:rPr>
          <w:rStyle w:val="HideTWBExt"/>
          <w:b w:val="0"/>
        </w:rPr>
        <w:t>&lt;Article&gt;</w:t>
      </w:r>
      <w:r w:rsidRPr="00F9761E">
        <w:t>Artikel 1 – alinea 1 – punt 17 ter (nieuw)</w:t>
      </w:r>
      <w:r w:rsidRPr="00F9761E">
        <w:rPr>
          <w:rStyle w:val="HideTWBExt"/>
          <w:b w:val="0"/>
        </w:rPr>
        <w:t>&lt;/Article&gt;</w:t>
      </w:r>
    </w:p>
    <w:p w:rsidR="00F70312" w:rsidRPr="00F9761E" w:rsidRDefault="00CC2358" w:rsidP="00F70312">
      <w:pPr>
        <w:keepNext/>
      </w:pPr>
      <w:r w:rsidRPr="00F9761E">
        <w:rPr>
          <w:rStyle w:val="HideTWBExt"/>
        </w:rPr>
        <w:t>&lt;DocAmend2&gt;</w:t>
      </w:r>
      <w:r w:rsidRPr="00F9761E">
        <w:t>Verordening (EU) 2016/1011</w:t>
      </w:r>
      <w:r w:rsidRPr="00F9761E">
        <w:rPr>
          <w:rStyle w:val="HideTWBExt"/>
        </w:rPr>
        <w:t>&lt;/DocAmend2&gt;</w:t>
      </w:r>
    </w:p>
    <w:p w:rsidR="00F70312" w:rsidRPr="00F9761E" w:rsidRDefault="00CC2358" w:rsidP="00F70312">
      <w:r w:rsidRPr="00F9761E">
        <w:rPr>
          <w:rStyle w:val="HideTWBExt"/>
        </w:rPr>
        <w:t>&lt;Article2&gt;</w:t>
      </w:r>
      <w:r w:rsidRPr="00F9761E">
        <w:t xml:space="preserve">Artikel 40 – lid 1 – </w:t>
      </w:r>
      <w:r w:rsidRPr="00F9761E">
        <w:t>alinea 1 bis (nieuw)</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17 ter)</w:t>
            </w:r>
            <w:r w:rsidRPr="00F9761E">
              <w:rPr>
                <w:b/>
                <w:i/>
              </w:rPr>
              <w:tab/>
              <w:t>Aan artikel 40, lid 1, wordt de volgende alinea toegevoegd:</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 xml:space="preserve">“Beheerders die niet onder het toepassingsgebied van lid 1 vallen, mogen niettemin ESMA aanwijzen als </w:t>
            </w:r>
            <w:r w:rsidRPr="00F9761E">
              <w:rPr>
                <w:b/>
                <w:i/>
              </w:rPr>
              <w:t>bevoegde autoriteit die verantwoordelijk is voor het toezicht op die beheerders.”.</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132</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Markus Ferber</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 xml:space="preserve">Voorstel voor </w:t>
      </w:r>
      <w:r w:rsidRPr="00F9761E">
        <w:t>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21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51 – lid 4 quater</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4 quater.</w:t>
            </w:r>
            <w:r w:rsidRPr="00F9761E">
              <w:tab/>
            </w:r>
            <w:r w:rsidRPr="00F9761E">
              <w:t xml:space="preserve">Bevoegde autoriteiten </w:t>
            </w:r>
            <w:r w:rsidRPr="00F9761E">
              <w:rPr>
                <w:b/>
                <w:i/>
              </w:rPr>
              <w:t>en ESMA zien erop toe dat</w:t>
            </w:r>
            <w:r w:rsidRPr="00F9761E">
              <w:t xml:space="preserve"> benchmarkbeheerders die op [</w:t>
            </w:r>
            <w:r w:rsidRPr="00F9761E">
              <w:rPr>
                <w:b/>
                <w:i/>
              </w:rPr>
              <w:t xml:space="preserve">PO please insert the date </w:t>
            </w:r>
            <w:r w:rsidRPr="00F9761E">
              <w:rPr>
                <w:b/>
                <w:bCs/>
                <w:i/>
                <w:iCs/>
              </w:rPr>
              <w:t>=</w:t>
            </w:r>
            <w:r w:rsidRPr="00F9761E">
              <w:rPr>
                <w:b/>
                <w:i/>
              </w:rPr>
              <w:t xml:space="preserve"> </w:t>
            </w:r>
            <w:r w:rsidRPr="00F9761E">
              <w:t xml:space="preserve">date of application of this amending Regulation] over een vergunning, registratie, bekrachtiging of erkenning beschikten, </w:t>
            </w:r>
            <w:r w:rsidRPr="00F9761E">
              <w:rPr>
                <w:b/>
                <w:i/>
              </w:rPr>
              <w:t>uiterlijk [PO please insert th</w:t>
            </w:r>
            <w:r w:rsidRPr="00F9761E">
              <w:rPr>
                <w:b/>
                <w:i/>
              </w:rPr>
              <w:t xml:space="preserve">e date = date of application of this amending Regulation + two years] kunnen gebruikmaken van een vereenvoudigde procedure voor </w:t>
            </w:r>
            <w:r w:rsidRPr="00F9761E">
              <w:t xml:space="preserve">het indienen van een aanvraag tot vergunning, registratie, erkenning of bekrachtiging overeenkomstig artikel 24 bis, leden 1, 2 </w:t>
            </w:r>
            <w:r w:rsidRPr="00F9761E">
              <w:t>of 3, naargelang het geval.</w:t>
            </w:r>
          </w:p>
        </w:tc>
        <w:tc>
          <w:tcPr>
            <w:tcW w:w="4876" w:type="dxa"/>
            <w:hideMark/>
          </w:tcPr>
          <w:p w:rsidR="001762D4" w:rsidRPr="00F9761E" w:rsidRDefault="00CC2358">
            <w:pPr>
              <w:pStyle w:val="Normal6"/>
              <w:rPr>
                <w:szCs w:val="24"/>
              </w:rPr>
            </w:pPr>
            <w:r w:rsidRPr="00F9761E">
              <w:t>4 quater.</w:t>
            </w:r>
            <w:r w:rsidRPr="00F9761E">
              <w:tab/>
              <w:t xml:space="preserve">Bevoegde </w:t>
            </w:r>
            <w:r w:rsidRPr="00F9761E">
              <w:rPr>
                <w:b/>
                <w:i/>
              </w:rPr>
              <w:t>nationale</w:t>
            </w:r>
            <w:r w:rsidRPr="00F9761E">
              <w:t xml:space="preserve"> autoriteiten </w:t>
            </w:r>
            <w:r w:rsidRPr="00F9761E">
              <w:rPr>
                <w:b/>
                <w:i/>
              </w:rPr>
              <w:t>die voornemens zijn een benchmark aan te wijzen die wordt aangeboden door een beheerder die op ... [date of application of this amending Regulation – 1 day] in het ESMA-register is opgen</w:t>
            </w:r>
            <w:r w:rsidRPr="00F9761E">
              <w:rPr>
                <w:b/>
                <w:i/>
              </w:rPr>
              <w:t>omen of ESMA die voornemens is een benchmark aan te wijzen die is opgenomen in het ESMA-register of waarvan de beheerder op ... [date of application of this amending Regulation – 1 day] in het ESMA-register is opgenomen, doen dit uiterlijk ... [12 months f</w:t>
            </w:r>
            <w:r w:rsidRPr="00F9761E">
              <w:rPr>
                <w:b/>
                <w:i/>
              </w:rPr>
              <w:t>rom the date of application of this amending Regulation].</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t xml:space="preserve">Benchmarkbeheerders die op [date of application of this amending Regulation] over een vergunning, registratie, </w:t>
            </w:r>
            <w:r w:rsidRPr="00F9761E">
              <w:lastRenderedPageBreak/>
              <w:t xml:space="preserve">bekrachtiging of erkenning beschikten, </w:t>
            </w:r>
            <w:r w:rsidRPr="00F9761E">
              <w:rPr>
                <w:b/>
                <w:i/>
              </w:rPr>
              <w:t xml:space="preserve">behouden deze status tot twaalf maanden na de </w:t>
            </w:r>
            <w:r w:rsidRPr="00F9761E">
              <w:rPr>
                <w:b/>
                <w:i/>
              </w:rPr>
              <w:t>inwerkingtreding van deze wijzigingsverordening.</w:t>
            </w:r>
            <w:r w:rsidRPr="00F9761E">
              <w:t xml:space="preserve"> </w:t>
            </w:r>
            <w:r w:rsidRPr="00F9761E">
              <w:rPr>
                <w:b/>
                <w:i/>
              </w:rPr>
              <w:t>Wanneer een of meer van hun benchmarks uiterlijk ... [within 12 months after the date of application of this amending Regulation] worden aangewezen, zijn de aangewezen beheerders niet verplicht tot</w:t>
            </w:r>
            <w:r w:rsidRPr="00F9761E">
              <w:t xml:space="preserve"> het </w:t>
            </w:r>
            <w:r w:rsidRPr="00F9761E">
              <w:rPr>
                <w:b/>
                <w:i/>
              </w:rPr>
              <w:t>opnie</w:t>
            </w:r>
            <w:r w:rsidRPr="00F9761E">
              <w:rPr>
                <w:b/>
                <w:i/>
              </w:rPr>
              <w:t>uw</w:t>
            </w:r>
            <w:r w:rsidRPr="00F9761E">
              <w:t xml:space="preserve"> indienen van een aanvraag tot vergunning, registratie, erkenning of bekrachtiging overeenkomstig artikel 24 bis, leden 1, 2 of 3, naargelang het geval.</w:t>
            </w:r>
          </w:p>
        </w:tc>
      </w:tr>
      <w:tr w:rsidR="00087166" w:rsidRPr="00F9761E" w:rsidTr="001762D4">
        <w:trPr>
          <w:jc w:val="center"/>
        </w:trPr>
        <w:tc>
          <w:tcPr>
            <w:tcW w:w="4876" w:type="dxa"/>
          </w:tcPr>
          <w:p w:rsidR="001762D4" w:rsidRPr="00F9761E" w:rsidRDefault="001762D4">
            <w:pPr>
              <w:pStyle w:val="Normal6"/>
            </w:pPr>
          </w:p>
        </w:tc>
        <w:tc>
          <w:tcPr>
            <w:tcW w:w="4876" w:type="dxa"/>
            <w:hideMark/>
          </w:tcPr>
          <w:p w:rsidR="001762D4" w:rsidRPr="00F9761E" w:rsidRDefault="00CC2358">
            <w:pPr>
              <w:pStyle w:val="Normal6"/>
              <w:rPr>
                <w:szCs w:val="24"/>
              </w:rPr>
            </w:pPr>
            <w:r w:rsidRPr="00F9761E">
              <w:rPr>
                <w:b/>
                <w:i/>
              </w:rPr>
              <w:t>Beheerders van significante benchmarks die op ... [date of application of this amending Regulation]</w:t>
            </w:r>
            <w:r w:rsidRPr="00F9761E">
              <w:rPr>
                <w:b/>
                <w:i/>
              </w:rPr>
              <w:t xml:space="preserve"> over een vergunning, registratie, bekrachtiging of erkenning beschikten, zijn niet verplicht tot het opnieuw indienen van een aanvraag tot vergunning, registratie, erkenning of bekrachtiging overeenkomstig artikel 24 bis, lid 1, wanneer een of meer van hu</w:t>
            </w:r>
            <w:r w:rsidRPr="00F9761E">
              <w:rPr>
                <w:b/>
                <w:i/>
              </w:rPr>
              <w:t>n benchmarks significant zijn overeenkomstig artikel 24, lid 1, punt a).</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pPr>
        <w:pStyle w:val="JustificationTitle"/>
        <w:rPr>
          <w:noProof w:val="0"/>
        </w:rPr>
      </w:pPr>
      <w:r w:rsidRPr="00F9761E">
        <w:rPr>
          <w:rStyle w:val="HideTWBExt"/>
          <w:i w:val="0"/>
        </w:rPr>
        <w:t>&lt;TitreJust&gt;</w:t>
      </w:r>
      <w:r w:rsidRPr="00F9761E">
        <w:t>Motivering</w:t>
      </w:r>
      <w:r w:rsidRPr="00F9761E">
        <w:rPr>
          <w:rStyle w:val="HideTWBExt"/>
          <w:i w:val="0"/>
        </w:rPr>
        <w:t>&lt;/TitreJust&gt;</w:t>
      </w:r>
    </w:p>
    <w:p w:rsidR="001762D4" w:rsidRPr="00F9761E" w:rsidRDefault="00CC2358" w:rsidP="001762D4">
      <w:pPr>
        <w:pStyle w:val="Normal12Italic"/>
        <w:rPr>
          <w:noProof w:val="0"/>
        </w:rPr>
      </w:pPr>
      <w:r w:rsidRPr="00F9761E">
        <w:t xml:space="preserve">Wanneer bestaande beheerders worden verplicht om een nieuwe aanvraag in te dienen, kan dat leiden tot onnodige </w:t>
      </w:r>
      <w:r w:rsidRPr="00F9761E">
        <w:t>administratieve lasten en kosten. Door hun toe te staan onder de bestaande benchmarkverordening te blijven werken, kunnen dat soort ondoelmatigheden worden vermeden.</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133</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Dorien Rookmaker</w:t>
      </w:r>
      <w:r w:rsidRPr="00F9761E">
        <w:rPr>
          <w:rStyle w:val="HideTWBExt"/>
          <w:b w:val="0"/>
        </w:rPr>
        <w:t>&lt;/</w:t>
      </w:r>
      <w:r w:rsidRPr="00F9761E">
        <w:rPr>
          <w:rStyle w:val="HideTWBExt"/>
          <w:b w:val="0"/>
        </w:rPr>
        <w: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t>&lt;DocAmend&gt;</w:t>
      </w:r>
      <w:r w:rsidRPr="00F9761E">
        <w:t>Voorstel voor 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21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51 – lid 4 quater</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 xml:space="preserve">Door de Commissie </w:t>
            </w:r>
            <w:r w:rsidRPr="00F9761E">
              <w:t>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4 quater.</w:t>
            </w:r>
            <w:r w:rsidRPr="00F9761E">
              <w:tab/>
              <w:t xml:space="preserve">Bevoegde autoriteiten en </w:t>
            </w:r>
            <w:r w:rsidRPr="00F9761E">
              <w:lastRenderedPageBreak/>
              <w:t xml:space="preserve">ESMA zien erop toe dat </w:t>
            </w:r>
            <w:r w:rsidRPr="00F9761E">
              <w:rPr>
                <w:b/>
                <w:i/>
              </w:rPr>
              <w:t>benchmarkbeheerders</w:t>
            </w:r>
            <w:r w:rsidRPr="00F9761E">
              <w:t xml:space="preserve"> die </w:t>
            </w:r>
            <w:r w:rsidRPr="00F9761E">
              <w:rPr>
                <w:b/>
                <w:bCs/>
                <w:i/>
                <w:iCs/>
              </w:rPr>
              <w:t>op</w:t>
            </w:r>
            <w:r w:rsidRPr="00F9761E">
              <w:t xml:space="preserve"> [PO please insert the date = date of application of this amending Regulation] over een vergunning, registratie, bekrachtiging of erkenning </w:t>
            </w:r>
            <w:r w:rsidRPr="00F9761E">
              <w:rPr>
                <w:b/>
                <w:i/>
              </w:rPr>
              <w:t>beschikten</w:t>
            </w:r>
            <w:r w:rsidRPr="00F9761E">
              <w:rPr>
                <w:b/>
                <w:bCs/>
                <w:i/>
                <w:iCs/>
              </w:rPr>
              <w:t>,</w:t>
            </w:r>
            <w:r w:rsidRPr="00F9761E">
              <w:t xml:space="preserve"> uiterlijk [PO please insert the date = date of application of this amending Regulation + two years] </w:t>
            </w:r>
            <w:r w:rsidRPr="00F9761E">
              <w:rPr>
                <w:b/>
                <w:bCs/>
                <w:i/>
                <w:iCs/>
              </w:rPr>
              <w:t>kunnen</w:t>
            </w:r>
            <w:r w:rsidRPr="00F9761E">
              <w:t xml:space="preserve"> gebruikmaken van een vereenvoudigde procedure voor het indienen van een aanvraag tot vergunning, registratie, erkenning of bekrachtiging </w:t>
            </w:r>
            <w:r w:rsidRPr="00F9761E">
              <w:t>overeenkomstig artikel 24 bis, leden 1, 2 of 3, naargelang het geval.</w:t>
            </w:r>
          </w:p>
        </w:tc>
        <w:tc>
          <w:tcPr>
            <w:tcW w:w="4876" w:type="dxa"/>
            <w:hideMark/>
          </w:tcPr>
          <w:p w:rsidR="001762D4" w:rsidRPr="00F9761E" w:rsidRDefault="00CC2358" w:rsidP="00F70312">
            <w:pPr>
              <w:pStyle w:val="Normal6"/>
              <w:rPr>
                <w:szCs w:val="24"/>
              </w:rPr>
            </w:pPr>
            <w:r w:rsidRPr="00F9761E">
              <w:lastRenderedPageBreak/>
              <w:t>4 quater.</w:t>
            </w:r>
            <w:r w:rsidRPr="00F9761E">
              <w:tab/>
              <w:t xml:space="preserve">Bevoegde autoriteiten en </w:t>
            </w:r>
            <w:r w:rsidRPr="00F9761E">
              <w:lastRenderedPageBreak/>
              <w:t xml:space="preserve">ESMA zien erop toe dat </w:t>
            </w:r>
            <w:r w:rsidRPr="00F9761E">
              <w:rPr>
                <w:b/>
                <w:i/>
              </w:rPr>
              <w:t>een benchmarkbeheerder</w:t>
            </w:r>
            <w:r w:rsidRPr="00F9761E">
              <w:t xml:space="preserve"> die </w:t>
            </w:r>
            <w:r w:rsidRPr="00F9761E">
              <w:rPr>
                <w:b/>
                <w:bCs/>
                <w:i/>
                <w:iCs/>
              </w:rPr>
              <w:t>vóór</w:t>
            </w:r>
            <w:r w:rsidRPr="00F9761E">
              <w:t xml:space="preserve"> [PO please insert the date = date of application of this amending Regulation] over een vergunnin</w:t>
            </w:r>
            <w:r w:rsidRPr="00F9761E">
              <w:t xml:space="preserve">g, registratie, bekrachtiging of erkenning </w:t>
            </w:r>
            <w:r w:rsidRPr="00F9761E">
              <w:rPr>
                <w:b/>
                <w:i/>
              </w:rPr>
              <w:t>van een bevoegde autoriteit uit hoofde van deze verordening beschikte</w:t>
            </w:r>
            <w:r w:rsidRPr="00F9761E">
              <w:rPr>
                <w:b/>
                <w:bCs/>
                <w:i/>
                <w:iCs/>
              </w:rPr>
              <w:t>,</w:t>
            </w:r>
            <w:r w:rsidRPr="00F9761E">
              <w:rPr>
                <w:b/>
                <w:i/>
              </w:rPr>
              <w:t xml:space="preserve"> deze status op grond van deze verordening behoudt wanneer een of meer van de benchmarks van die beheerder de in artikel 24 genoemde drempel ov</w:t>
            </w:r>
            <w:r w:rsidRPr="00F9761E">
              <w:rPr>
                <w:b/>
                <w:i/>
              </w:rPr>
              <w:t xml:space="preserve">erschrijden of die beheerder er vrijwillig voor kiest die vergunning, registratie, bekrachtiging of erkenning op grond van deze verordening te behouden. Benchmarkbeheerders met een bestaande vergunning, registratie, bekrachtiging of erkenning van vóór [PO </w:t>
            </w:r>
            <w:r w:rsidRPr="00F9761E">
              <w:rPr>
                <w:b/>
                <w:i/>
              </w:rPr>
              <w:t>please insert the date = date of application of this amending Regulation] die een of meer van de benchmarks beheren die de in artikel 24 genoemde drempel voor significante benchmarks overschrijden of die er op basis van vrijwilligheid voor kiezen die vergu</w:t>
            </w:r>
            <w:r w:rsidRPr="00F9761E">
              <w:rPr>
                <w:b/>
                <w:i/>
              </w:rPr>
              <w:t xml:space="preserve">nning, registratie, bekrachtiging of erkenning te behouden, zijn niet verplicht opnieuw een aanvraag in te dienen voor een vergunning, registratie, bekrachtiging of erkenning, naargelang het geval, uit hoofde van deze verordening op basis van het herziene </w:t>
            </w:r>
            <w:r w:rsidRPr="00F9761E">
              <w:rPr>
                <w:b/>
                <w:i/>
              </w:rPr>
              <w:t>toepassingsgebied ervan</w:t>
            </w:r>
            <w:r w:rsidRPr="00F9761E">
              <w:rPr>
                <w:b/>
              </w:rPr>
              <w:t xml:space="preserve">, </w:t>
            </w:r>
            <w:r w:rsidRPr="00F9761E">
              <w:rPr>
                <w:b/>
                <w:bCs/>
                <w:i/>
                <w:iCs/>
              </w:rPr>
              <w:t>kunnen</w:t>
            </w:r>
            <w:r w:rsidRPr="00F9761E">
              <w:rPr>
                <w:b/>
                <w:bCs/>
              </w:rPr>
              <w:t xml:space="preserve"> </w:t>
            </w:r>
            <w:r w:rsidRPr="00F9761E">
              <w:t>uiterlijk [PO please insert the date = date of application of this amending Regulation + two years] gebruikmaken van een vereenvoudigde procedure voor het indienen van een aanvraag tot vergunning, registratie, erkenning of b</w:t>
            </w:r>
            <w:r w:rsidRPr="00F9761E">
              <w:t>ekrachtiging overeenkomstig artikel 24 bis, leden 1, 2 of 3, naargelang het geval.</w:t>
            </w:r>
          </w:p>
        </w:tc>
      </w:tr>
    </w:tbl>
    <w:p w:rsidR="001762D4" w:rsidRPr="00F9761E" w:rsidRDefault="00CC2358" w:rsidP="001762D4">
      <w:pPr>
        <w:pStyle w:val="Olang"/>
      </w:pPr>
      <w:r w:rsidRPr="00F9761E">
        <w:rPr>
          <w:noProof w:val="0"/>
        </w:rPr>
        <w:lastRenderedPageBreak/>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1762D4" w:rsidRPr="00F9761E" w:rsidRDefault="00CC2358" w:rsidP="001762D4">
      <w:r w:rsidRPr="00F9761E">
        <w:rPr>
          <w:rStyle w:val="HideTWBExt"/>
        </w:rPr>
        <w:t>&lt;/Amend&gt;</w:t>
      </w:r>
    </w:p>
    <w:p w:rsidR="001762D4" w:rsidRPr="00F9761E" w:rsidRDefault="00CC2358" w:rsidP="001762D4">
      <w:pPr>
        <w:pStyle w:val="AMNumberTabs0"/>
        <w:keepNext/>
      </w:pPr>
      <w:r w:rsidRPr="00F9761E">
        <w:rPr>
          <w:rStyle w:val="HideTWBExt"/>
          <w:b w:val="0"/>
        </w:rPr>
        <w:t>&lt;Amend&gt;</w:t>
      </w:r>
      <w:r w:rsidRPr="00F9761E">
        <w:t>Amendement</w:t>
      </w:r>
      <w:r w:rsidRPr="00F9761E">
        <w:tab/>
      </w:r>
      <w:r w:rsidRPr="00F9761E">
        <w:tab/>
      </w:r>
      <w:r w:rsidRPr="00F9761E">
        <w:rPr>
          <w:rStyle w:val="HideTWBExt"/>
          <w:b w:val="0"/>
        </w:rPr>
        <w:t>&lt;NumAm&gt;</w:t>
      </w:r>
      <w:r w:rsidRPr="00F9761E">
        <w:t>134</w:t>
      </w:r>
      <w:r w:rsidRPr="00F9761E">
        <w:rPr>
          <w:rStyle w:val="HideTWBExt"/>
          <w:b w:val="0"/>
        </w:rPr>
        <w:t>&lt;/NumAm&gt;</w:t>
      </w:r>
    </w:p>
    <w:p w:rsidR="001762D4" w:rsidRPr="00F9761E" w:rsidRDefault="00CC2358" w:rsidP="001762D4">
      <w:pPr>
        <w:pStyle w:val="NormalBold"/>
      </w:pPr>
      <w:r w:rsidRPr="00F9761E">
        <w:rPr>
          <w:rStyle w:val="HideTWBExt"/>
          <w:b w:val="0"/>
        </w:rPr>
        <w:t>&lt;RepeatBlock-By&gt;&lt;Members&gt;</w:t>
      </w:r>
      <w:r w:rsidRPr="00F9761E">
        <w:t>Inese Vaidere</w:t>
      </w:r>
      <w:r w:rsidRPr="00F9761E">
        <w:rPr>
          <w:rStyle w:val="HideTWBExt"/>
          <w:b w:val="0"/>
        </w:rPr>
        <w:t>&lt;/Members&gt;</w:t>
      </w:r>
    </w:p>
    <w:p w:rsidR="001762D4" w:rsidRPr="00F9761E" w:rsidRDefault="00CC2358" w:rsidP="001762D4">
      <w:r w:rsidRPr="00F9761E">
        <w:rPr>
          <w:rStyle w:val="HideTWBExt"/>
        </w:rPr>
        <w:t>&lt;/RepeatBlock-By&gt;</w:t>
      </w:r>
    </w:p>
    <w:p w:rsidR="001762D4" w:rsidRPr="00F9761E" w:rsidRDefault="00CC2358" w:rsidP="001762D4">
      <w:pPr>
        <w:pStyle w:val="NormalBold"/>
        <w:keepNext/>
      </w:pPr>
      <w:r w:rsidRPr="00F9761E">
        <w:rPr>
          <w:rStyle w:val="HideTWBExt"/>
          <w:b w:val="0"/>
        </w:rPr>
        <w:lastRenderedPageBreak/>
        <w:t>&lt;DocAmend&gt;</w:t>
      </w:r>
      <w:r w:rsidRPr="00F9761E">
        <w:t xml:space="preserve">Voorstel voor </w:t>
      </w:r>
      <w:r w:rsidRPr="00F9761E">
        <w:t>een verordening</w:t>
      </w:r>
      <w:r w:rsidRPr="00F9761E">
        <w:rPr>
          <w:rStyle w:val="HideTWBExt"/>
          <w:b w:val="0"/>
        </w:rPr>
        <w:t>&lt;/DocAmend&gt;</w:t>
      </w:r>
    </w:p>
    <w:p w:rsidR="001762D4" w:rsidRPr="00F9761E" w:rsidRDefault="00CC2358" w:rsidP="001762D4">
      <w:pPr>
        <w:pStyle w:val="NormalBold"/>
      </w:pPr>
      <w:r w:rsidRPr="00F9761E">
        <w:rPr>
          <w:rStyle w:val="HideTWBExt"/>
          <w:b w:val="0"/>
        </w:rPr>
        <w:t>&lt;Article&gt;</w:t>
      </w:r>
      <w:r w:rsidRPr="00F9761E">
        <w:t>Artikel 1 – alinea 1 – punt 21</w:t>
      </w:r>
      <w:r w:rsidRPr="00F9761E">
        <w:rPr>
          <w:rStyle w:val="HideTWBExt"/>
          <w:b w:val="0"/>
        </w:rPr>
        <w:t>&lt;/Article&gt;</w:t>
      </w:r>
    </w:p>
    <w:p w:rsidR="001762D4" w:rsidRPr="00F9761E" w:rsidRDefault="00CC2358" w:rsidP="001762D4">
      <w:pPr>
        <w:keepNext/>
      </w:pPr>
      <w:r w:rsidRPr="00F9761E">
        <w:rPr>
          <w:rStyle w:val="HideTWBExt"/>
        </w:rPr>
        <w:t>&lt;DocAmend2&gt;</w:t>
      </w:r>
      <w:r w:rsidRPr="00F9761E">
        <w:t>Verordening (EU) 2016/1011</w:t>
      </w:r>
      <w:r w:rsidRPr="00F9761E">
        <w:rPr>
          <w:rStyle w:val="HideTWBExt"/>
        </w:rPr>
        <w:t>&lt;/DocAmend2&gt;</w:t>
      </w:r>
    </w:p>
    <w:p w:rsidR="001762D4" w:rsidRPr="00F9761E" w:rsidRDefault="00CC2358" w:rsidP="001762D4">
      <w:r w:rsidRPr="00F9761E">
        <w:rPr>
          <w:rStyle w:val="HideTWBExt"/>
        </w:rPr>
        <w:t>&lt;Article2&gt;</w:t>
      </w:r>
      <w:r w:rsidRPr="00F9761E">
        <w:t>Artikel 51 – lid 4 quater</w:t>
      </w:r>
      <w:r w:rsidRPr="00F976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7166" w:rsidRPr="00F9761E" w:rsidTr="001762D4">
        <w:trPr>
          <w:jc w:val="center"/>
        </w:trPr>
        <w:tc>
          <w:tcPr>
            <w:tcW w:w="9752" w:type="dxa"/>
            <w:gridSpan w:val="2"/>
          </w:tcPr>
          <w:p w:rsidR="001762D4" w:rsidRPr="00F9761E" w:rsidRDefault="001762D4">
            <w:pPr>
              <w:keepNext/>
            </w:pPr>
          </w:p>
        </w:tc>
      </w:tr>
      <w:tr w:rsidR="00087166" w:rsidRPr="00F9761E" w:rsidTr="001762D4">
        <w:trPr>
          <w:jc w:val="center"/>
        </w:trPr>
        <w:tc>
          <w:tcPr>
            <w:tcW w:w="4876" w:type="dxa"/>
            <w:hideMark/>
          </w:tcPr>
          <w:p w:rsidR="001762D4" w:rsidRPr="00F9761E" w:rsidRDefault="00CC2358">
            <w:pPr>
              <w:pStyle w:val="ColumnHeading"/>
              <w:keepNext/>
            </w:pPr>
            <w:r w:rsidRPr="00F9761E">
              <w:t>Door de Commissie voorgestelde tekst</w:t>
            </w:r>
          </w:p>
        </w:tc>
        <w:tc>
          <w:tcPr>
            <w:tcW w:w="4876" w:type="dxa"/>
            <w:hideMark/>
          </w:tcPr>
          <w:p w:rsidR="001762D4" w:rsidRPr="00F9761E" w:rsidRDefault="00CC2358">
            <w:pPr>
              <w:pStyle w:val="ColumnHeading"/>
              <w:keepNext/>
            </w:pPr>
            <w:r w:rsidRPr="00F9761E">
              <w:t>Amendement</w:t>
            </w:r>
          </w:p>
        </w:tc>
      </w:tr>
      <w:tr w:rsidR="00087166" w:rsidRPr="00F9761E" w:rsidTr="001762D4">
        <w:trPr>
          <w:jc w:val="center"/>
        </w:trPr>
        <w:tc>
          <w:tcPr>
            <w:tcW w:w="4876" w:type="dxa"/>
            <w:hideMark/>
          </w:tcPr>
          <w:p w:rsidR="001762D4" w:rsidRPr="00F9761E" w:rsidRDefault="00CC2358">
            <w:pPr>
              <w:pStyle w:val="Normal6"/>
            </w:pPr>
            <w:r w:rsidRPr="00F9761E">
              <w:t>4 quater.</w:t>
            </w:r>
            <w:r w:rsidRPr="00F9761E">
              <w:tab/>
            </w:r>
            <w:r w:rsidRPr="00F9761E">
              <w:t xml:space="preserve">Bevoegde autoriteiten en ESMA zien erop toe dat benchmarkbeheerders die op [PO please insert the date = date of application of this amending Regulation] over een vergunning, registratie, bekrachtiging of erkenning </w:t>
            </w:r>
            <w:r w:rsidRPr="00F9761E">
              <w:rPr>
                <w:b/>
                <w:bCs/>
                <w:i/>
                <w:iCs/>
              </w:rPr>
              <w:t>beschikten</w:t>
            </w:r>
            <w:r w:rsidRPr="00F9761E">
              <w:t>, uiterlijk [PO please insert th</w:t>
            </w:r>
            <w:r w:rsidRPr="00F9761E">
              <w:t xml:space="preserve">e date = date of application of this amending Regulation + two years] kunnen gebruikmaken van een vereenvoudigde procedure voor het indienen van een aanvraag tot vergunning, registratie, erkenning of bekrachtiging overeenkomstig artikel 24 bis, leden 1, 2 </w:t>
            </w:r>
            <w:r w:rsidRPr="00F9761E">
              <w:t>of 3, naargelang het geval.</w:t>
            </w:r>
          </w:p>
        </w:tc>
        <w:tc>
          <w:tcPr>
            <w:tcW w:w="4876" w:type="dxa"/>
            <w:hideMark/>
          </w:tcPr>
          <w:p w:rsidR="001762D4" w:rsidRPr="00F9761E" w:rsidRDefault="00CC2358">
            <w:pPr>
              <w:pStyle w:val="Normal6"/>
              <w:rPr>
                <w:szCs w:val="24"/>
              </w:rPr>
            </w:pPr>
            <w:r w:rsidRPr="00F9761E">
              <w:t>4 quater.</w:t>
            </w:r>
            <w:r w:rsidRPr="00F9761E">
              <w:tab/>
              <w:t xml:space="preserve">Bevoegde autoriteiten en ESMA zien erop toe dat benchmarkbeheerders die op [PO please insert the date = date of application of this amending Regulation] </w:t>
            </w:r>
            <w:r w:rsidRPr="00F9761E">
              <w:rPr>
                <w:b/>
                <w:i/>
              </w:rPr>
              <w:t>als gevolg van de inwerkingtreding van [deze wijzigingsverordenin</w:t>
            </w:r>
            <w:r w:rsidRPr="00F9761E">
              <w:rPr>
                <w:b/>
                <w:i/>
              </w:rPr>
              <w:t xml:space="preserve">g] </w:t>
            </w:r>
            <w:r w:rsidRPr="00F9761E">
              <w:rPr>
                <w:b/>
                <w:bCs/>
                <w:i/>
                <w:iCs/>
              </w:rPr>
              <w:t>niet langer</w:t>
            </w:r>
            <w:r w:rsidRPr="00F9761E">
              <w:t xml:space="preserve"> over een vergunning, registratie, bekrachtiging of erkenning </w:t>
            </w:r>
            <w:r w:rsidRPr="00F9761E">
              <w:rPr>
                <w:b/>
                <w:bCs/>
                <w:i/>
                <w:iCs/>
              </w:rPr>
              <w:t>zouden beschikken</w:t>
            </w:r>
            <w:r w:rsidRPr="00F9761E">
              <w:t>, uiterlijk [PO please insert the date = date of application of this amending Regulation + two years] kunnen gebruikmaken van een vereenvoudigde procedure voor het</w:t>
            </w:r>
            <w:r w:rsidRPr="00F9761E">
              <w:t xml:space="preserve"> indienen van een aanvraag tot vergunning, registratie, erkenning of bekrachtiging overeenkomstig artikel 24 bis, leden 1, 2 of 3, naargelang het geval.</w:t>
            </w:r>
          </w:p>
        </w:tc>
      </w:tr>
    </w:tbl>
    <w:p w:rsidR="001762D4" w:rsidRPr="00F9761E" w:rsidRDefault="00CC2358" w:rsidP="001762D4">
      <w:pPr>
        <w:pStyle w:val="Olang"/>
      </w:pPr>
      <w:r w:rsidRPr="00F9761E">
        <w:rPr>
          <w:noProof w:val="0"/>
        </w:rPr>
        <w:t xml:space="preserve">Or. </w:t>
      </w:r>
      <w:r w:rsidRPr="00F9761E">
        <w:rPr>
          <w:rStyle w:val="HideTWBExt"/>
          <w:noProof w:val="0"/>
        </w:rPr>
        <w:t>&lt;Original&gt;</w:t>
      </w:r>
      <w:r w:rsidRPr="00F9761E">
        <w:rPr>
          <w:rStyle w:val="HideTWBInt"/>
          <w:noProof w:val="0"/>
        </w:rPr>
        <w:t>{EN}</w:t>
      </w:r>
      <w:r w:rsidRPr="00F9761E">
        <w:rPr>
          <w:noProof w:val="0"/>
        </w:rPr>
        <w:t>en</w:t>
      </w:r>
      <w:r w:rsidRPr="00F9761E">
        <w:rPr>
          <w:rStyle w:val="HideTWBExt"/>
          <w:noProof w:val="0"/>
        </w:rPr>
        <w:t>&lt;/Original&gt;</w:t>
      </w:r>
    </w:p>
    <w:p w:rsidR="00FA192C" w:rsidRPr="00F9761E" w:rsidRDefault="00CC2358" w:rsidP="001762D4">
      <w:pPr>
        <w:pStyle w:val="AmNumberTabs"/>
        <w:keepNext/>
      </w:pPr>
      <w:r w:rsidRPr="00F9761E">
        <w:rPr>
          <w:rStyle w:val="HideTWBExt"/>
        </w:rPr>
        <w:t>&lt;/Amend&gt;&lt;/RepeatBlock-Amend&gt;</w:t>
      </w:r>
    </w:p>
    <w:p w:rsidR="008363E4" w:rsidRPr="00F9761E" w:rsidRDefault="008363E4" w:rsidP="00FA192C"/>
    <w:sectPr w:rsidR="008363E4" w:rsidRPr="00F9761E" w:rsidSect="00F9761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9761E" w:rsidRDefault="00CC2358">
      <w:r w:rsidRPr="00F9761E">
        <w:separator/>
      </w:r>
    </w:p>
  </w:endnote>
  <w:endnote w:type="continuationSeparator" w:id="0">
    <w:p w:rsidR="00000000" w:rsidRPr="00F9761E" w:rsidRDefault="00CC2358">
      <w:r w:rsidRPr="00F976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61E" w:rsidRPr="00F9761E" w:rsidRDefault="00F9761E" w:rsidP="00F9761E">
    <w:pPr>
      <w:pStyle w:val="EPFooter"/>
    </w:pPr>
    <w:r w:rsidRPr="00F9761E">
      <w:t>PE</w:t>
    </w:r>
    <w:r w:rsidRPr="00F9761E">
      <w:rPr>
        <w:rStyle w:val="HideTWBExt"/>
      </w:rPr>
      <w:t>&lt;NoPE&gt;</w:t>
    </w:r>
    <w:r w:rsidRPr="00F9761E">
      <w:t>758.780</w:t>
    </w:r>
    <w:r w:rsidRPr="00F9761E">
      <w:rPr>
        <w:rStyle w:val="HideTWBExt"/>
      </w:rPr>
      <w:t>&lt;/NoPE&gt;&lt;Version&gt;</w:t>
    </w:r>
    <w:r w:rsidRPr="00F9761E">
      <w:t>v01-00</w:t>
    </w:r>
    <w:r w:rsidRPr="00F9761E">
      <w:rPr>
        <w:rStyle w:val="HideTWBExt"/>
      </w:rPr>
      <w:t>&lt;/Version&gt;</w:t>
    </w:r>
    <w:r w:rsidRPr="00F9761E">
      <w:tab/>
    </w:r>
    <w:r w:rsidRPr="00F9761E">
      <w:fldChar w:fldCharType="begin"/>
    </w:r>
    <w:r w:rsidRPr="00F9761E">
      <w:instrText xml:space="preserve"> PAGE  \* MERGEFORMAT </w:instrText>
    </w:r>
    <w:r w:rsidRPr="00F9761E">
      <w:fldChar w:fldCharType="separate"/>
    </w:r>
    <w:r w:rsidR="00CC2358">
      <w:rPr>
        <w:noProof/>
      </w:rPr>
      <w:t>2</w:t>
    </w:r>
    <w:r w:rsidRPr="00F9761E">
      <w:fldChar w:fldCharType="end"/>
    </w:r>
    <w:r w:rsidRPr="00F9761E">
      <w:t>/</w:t>
    </w:r>
    <w:fldSimple w:instr=" NUMPAGES  \* MERGEFORMAT ">
      <w:r w:rsidR="00CC2358">
        <w:rPr>
          <w:noProof/>
        </w:rPr>
        <w:t>45</w:t>
      </w:r>
    </w:fldSimple>
    <w:r w:rsidRPr="00F9761E">
      <w:tab/>
    </w:r>
    <w:r w:rsidRPr="00F9761E">
      <w:rPr>
        <w:rStyle w:val="HideTWBExt"/>
      </w:rPr>
      <w:t>&lt;PathFdR&gt;</w:t>
    </w:r>
    <w:r w:rsidRPr="00F9761E">
      <w:t>AM\1295538NL.docx</w:t>
    </w:r>
    <w:r w:rsidRPr="00F9761E">
      <w:rPr>
        <w:rStyle w:val="HideTWBExt"/>
      </w:rPr>
      <w:t>&lt;/PathFdR&gt;</w:t>
    </w:r>
  </w:p>
  <w:p w:rsidR="00EC2D82" w:rsidRPr="00F9761E" w:rsidRDefault="00F9761E" w:rsidP="00F9761E">
    <w:pPr>
      <w:pStyle w:val="EPFooter2"/>
    </w:pPr>
    <w:r w:rsidRPr="00F9761E">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61E" w:rsidRPr="00F9761E" w:rsidRDefault="00F9761E" w:rsidP="00F9761E">
    <w:pPr>
      <w:pStyle w:val="EPFooter"/>
    </w:pPr>
    <w:r w:rsidRPr="00F9761E">
      <w:rPr>
        <w:rStyle w:val="HideTWBExt"/>
      </w:rPr>
      <w:t>&lt;PathFdR&gt;</w:t>
    </w:r>
    <w:r w:rsidRPr="00F9761E">
      <w:t>AM\1295538NL.docx</w:t>
    </w:r>
    <w:r w:rsidRPr="00F9761E">
      <w:rPr>
        <w:rStyle w:val="HideTWBExt"/>
      </w:rPr>
      <w:t>&lt;/PathFdR&gt;</w:t>
    </w:r>
    <w:r w:rsidRPr="00F9761E">
      <w:tab/>
    </w:r>
    <w:r w:rsidRPr="00F9761E">
      <w:fldChar w:fldCharType="begin"/>
    </w:r>
    <w:r w:rsidRPr="00F9761E">
      <w:instrText xml:space="preserve"> PAGE  \* MERGEFORMAT </w:instrText>
    </w:r>
    <w:r w:rsidRPr="00F9761E">
      <w:fldChar w:fldCharType="separate"/>
    </w:r>
    <w:r w:rsidR="00CC2358">
      <w:rPr>
        <w:noProof/>
      </w:rPr>
      <w:t>3</w:t>
    </w:r>
    <w:r w:rsidRPr="00F9761E">
      <w:fldChar w:fldCharType="end"/>
    </w:r>
    <w:r w:rsidRPr="00F9761E">
      <w:t>/</w:t>
    </w:r>
    <w:fldSimple w:instr=" NUMPAGES  \* MERGEFORMAT ">
      <w:r w:rsidR="00CC2358">
        <w:rPr>
          <w:noProof/>
        </w:rPr>
        <w:t>45</w:t>
      </w:r>
    </w:fldSimple>
    <w:r w:rsidRPr="00F9761E">
      <w:tab/>
      <w:t>PE</w:t>
    </w:r>
    <w:r w:rsidRPr="00F9761E">
      <w:rPr>
        <w:rStyle w:val="HideTWBExt"/>
      </w:rPr>
      <w:t>&lt;NoPE&gt;</w:t>
    </w:r>
    <w:r w:rsidRPr="00F9761E">
      <w:t>758.780</w:t>
    </w:r>
    <w:r w:rsidRPr="00F9761E">
      <w:rPr>
        <w:rStyle w:val="HideTWBExt"/>
      </w:rPr>
      <w:t>&lt;/NoPE&gt;&lt;Version&gt;</w:t>
    </w:r>
    <w:r w:rsidRPr="00F9761E">
      <w:t>v01-00</w:t>
    </w:r>
    <w:r w:rsidRPr="00F9761E">
      <w:rPr>
        <w:rStyle w:val="HideTWBExt"/>
      </w:rPr>
      <w:t>&lt;/Version&gt;</w:t>
    </w:r>
  </w:p>
  <w:p w:rsidR="00EC2D82" w:rsidRPr="00F9761E" w:rsidRDefault="00F9761E" w:rsidP="00F9761E">
    <w:pPr>
      <w:pStyle w:val="EPFooter2"/>
    </w:pPr>
    <w:r w:rsidRPr="00F9761E">
      <w:tab/>
    </w:r>
    <w:r w:rsidRPr="00F9761E">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61E" w:rsidRPr="00F9761E" w:rsidRDefault="00F9761E" w:rsidP="00F9761E">
    <w:pPr>
      <w:pStyle w:val="EPFooter"/>
    </w:pPr>
    <w:r w:rsidRPr="00F9761E">
      <w:rPr>
        <w:rStyle w:val="HideTWBExt"/>
      </w:rPr>
      <w:t>&lt;PathFdR&gt;</w:t>
    </w:r>
    <w:r w:rsidRPr="00F9761E">
      <w:t>AM\1295538NL.docx</w:t>
    </w:r>
    <w:r w:rsidRPr="00F9761E">
      <w:rPr>
        <w:rStyle w:val="HideTWBExt"/>
      </w:rPr>
      <w:t>&lt;/PathFdR&gt;</w:t>
    </w:r>
    <w:r w:rsidRPr="00F9761E">
      <w:tab/>
    </w:r>
    <w:r w:rsidRPr="00F9761E">
      <w:tab/>
      <w:t>PE</w:t>
    </w:r>
    <w:r w:rsidRPr="00F9761E">
      <w:rPr>
        <w:rStyle w:val="HideTWBExt"/>
      </w:rPr>
      <w:t>&lt;NoPE&gt;</w:t>
    </w:r>
    <w:r w:rsidRPr="00F9761E">
      <w:t>758.780</w:t>
    </w:r>
    <w:r w:rsidRPr="00F9761E">
      <w:rPr>
        <w:rStyle w:val="HideTWBExt"/>
      </w:rPr>
      <w:t>&lt;/NoPE&gt;&lt;Version&gt;</w:t>
    </w:r>
    <w:r w:rsidRPr="00F9761E">
      <w:t>v01-00</w:t>
    </w:r>
    <w:r w:rsidRPr="00F9761E">
      <w:rPr>
        <w:rStyle w:val="HideTWBExt"/>
      </w:rPr>
      <w:t>&lt;/Version&gt;</w:t>
    </w:r>
  </w:p>
  <w:p w:rsidR="00EC2D82" w:rsidRPr="00F9761E" w:rsidRDefault="00F9761E" w:rsidP="00F9761E">
    <w:pPr>
      <w:pStyle w:val="EPFooter2"/>
    </w:pPr>
    <w:r w:rsidRPr="00F9761E">
      <w:t>NL</w:t>
    </w:r>
    <w:r w:rsidRPr="00F9761E">
      <w:tab/>
    </w:r>
    <w:r w:rsidRPr="00F9761E">
      <w:rPr>
        <w:b w:val="0"/>
        <w:i/>
        <w:color w:val="C0C0C0"/>
        <w:sz w:val="22"/>
      </w:rPr>
      <w:t>In verscheidenheid verenigd</w:t>
    </w:r>
    <w:r w:rsidRPr="00F9761E">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9761E" w:rsidRDefault="00CC2358">
      <w:r w:rsidRPr="00F9761E">
        <w:separator/>
      </w:r>
    </w:p>
  </w:footnote>
  <w:footnote w:type="continuationSeparator" w:id="0">
    <w:p w:rsidR="00000000" w:rsidRPr="00F9761E" w:rsidRDefault="00CC2358">
      <w:r w:rsidRPr="00F976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71E" w:rsidRDefault="002357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71E" w:rsidRDefault="002357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71E" w:rsidRDefault="00235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ODEMNU" w:val=" 1"/>
    <w:docVar w:name="COMKEY" w:val="ECON"/>
    <w:docVar w:name="CopyToNetwork" w:val="-1"/>
    <w:docVar w:name="CVA" w:val="73"/>
    <w:docVar w:name="DOCCODMNU" w:val=" 1"/>
    <w:docVar w:name="DOCDT" w:val="3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83215 HideTWBInt;}}{\*\rsidtbl \rsid24658\rsid223860\rsid735077\rsid1666277\rsid1718133\rsid2892074_x000d__x000a_\rsid3565327\rsid4666813\rsid6641733\rsid7823322\rsid9636012\rsid9783215\rsid103772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4\mo1\dy30\hr11\min28}{\revtim\yr2024\mo1\dy30\hr11\min28}{\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215\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666277 \chftnsep _x000d__x000a_\par }}{\*\ftnsepc \ltrpar \pard\plain \ltrpar\ql \li0\ri0\widctlpar\wrapdefault\aspalpha\aspnum\faauto\adjustright\rin0\lin0\itap0 \rtlch\fcs1 \af0\afs20\alang1025 \ltrch\fcs0 \fs24\lang2057\langfe2057\cgrid\langnp2057\langfenp2057 {\rtlch\fcs1 \af0 _x000d__x000a_\ltrch\fcs0 \insrsid1666277 \chftnsepc _x000d__x000a_\par }}{\*\aftnsep \ltrpar \pard\plain \ltrpar\ql \li0\ri0\widctlpar\wrapdefault\aspalpha\aspnum\faauto\adjustright\rin0\lin0\itap0 \rtlch\fcs1 \af0\afs20\alang1025 \ltrch\fcs0 \fs24\lang2057\langfe2057\cgrid\langnp2057\langfenp2057 {\rtlch\fcs1 \af0 _x000d__x000a_\ltrch\fcs0 \insrsid1666277 \chftnsep _x000d__x000a_\par }}{\*\aftnsepc \ltrpar \pard\plain \ltrpar\ql \li0\ri0\widctlpar\wrapdefault\aspalpha\aspnum\faauto\adjustright\rin0\lin0\itap0 \rtlch\fcs1 \af0\afs20\alang1025 \ltrch\fcs0 \fs24\lang2057\langfe2057\cgrid\langnp2057\langfenp2057 {\rtlch\fcs1 \af0 _x000d__x000a_\ltrch\fcs0 \insrsid1666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783215\charrsid2653071 {\*\bkmkstart ReplaceBookmark}#}{\rtlch\fcs1 \af1 \ltrch\fcs0 _x000d__x000a_\cs17\v\f1\fs20\cf15\insrsid9783215\charrsid2653071 &gt;&gt;&gt;CVAR@@AmendA}{\rtlch\fcs1 \af0 \ltrch\fcs0 \insrsid9783215\charrsid265307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f_x000d__x000a_de16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8314 HideTWBExt;}{\*\cs18 \additive \v\f1\fs20\cf15 _x000d__x000a_\spriority0 \styrsid14708314 HideTWBInt;}{\s19\ql \li0\ri0\sa120\nowidctlpar\wrapdefault\aspalpha\aspnum\faauto\adjustright\rin0\lin0\itap0 \rtlch\fcs1 \af0\afs20\alang1025 \ltrch\fcs0 \fs24\lang2057\langfe2057\cgrid\langnp2057\langfenp2057 _x000d__x000a_\sbasedon0 \snext19 \spriority0 \styrsid14708314 Normal6a;}{\s20\ql \li0\ri0\nowidctlpar\wrapdefault\aspalpha\aspnum\faauto\adjustright\rin0\lin0\itap0 \rtlch\fcs1 \af0\afs20\alang1025 \ltrch\fcs0 \b\fs24\lang2057\langfe2057\cgrid\langnp2057\langfenp2057 _x000d__x000a_\sbasedon0 \snext20 \spriority0 \styrsid14708314 NormalBold;}{\s21\qr \li0\ri0\sb240\sa240\nowidctlpar\wrapdefault\aspalpha\aspnum\faauto\adjustright\rin0\lin0\itap0 \rtlch\fcs1 \af0\afs20\alang1025 \ltrch\fcs0 _x000d__x000a_\fs24\lang2057\langfe2057\cgrid\langnp2057\langfenp2057 \sbasedon0 \snext21 \spriority0 \styrsid14708314 AmOrLang;}{\s22\qc \li0\ri0\sa240\nowidctlpar\wrapdefault\aspalpha\aspnum\faauto\adjustright\rin0\lin0\itap0 \rtlch\fcs1 \af0\afs20\alang1025 _x000d__x000a_\ltrch\fcs0 \i\fs24\lang2057\langfe2057\cgrid\langnp2057\langfenp2057 \sbasedon0 \snext22 \spriority0 \styrsid147083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708314 AmNumberTabs;}}{\*\rsidtbl \rsid24658\rsid223860\rsid735077\rsid942745\rsid1718133\rsid2892074\rsid3565327\rsid4666813\rsid6641733_x000d__x000a_\rsid7823322\rsid9636012\rsid10377208\rsid11215221\rsid11549030\rsid12154954\rsid14382809\rsid14424199\rsid14708314\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8314\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942745 \chftnsep _x000d__x000a_\par }}{\*\ftnsepc \ltrpar \pard\plain \ltrpar\ql \li0\ri0\widctlpar\wrapdefault\aspalpha\aspnum\faauto\adjustright\rin0\lin0\itap0 \rtlch\fcs1 \af0\afs20\alang1025 \ltrch\fcs0 \fs24\lang2057\langfe2057\cgrid\langnp2057\langfenp2057 {\rtlch\fcs1 \af0 _x000d__x000a_\ltrch\fcs0 \insrsid942745 \chftnsepc _x000d__x000a_\par }}{\*\aftnsep \ltrpar \pard\plain \ltrpar\ql \li0\ri0\widctlpar\wrapdefault\aspalpha\aspnum\faauto\adjustright\rin0\lin0\itap0 \rtlch\fcs1 \af0\afs20\alang1025 \ltrch\fcs0 \fs24\lang2057\langfe2057\cgrid\langnp2057\langfenp2057 {\rtlch\fcs1 \af0 _x000d__x000a_\ltrch\fcs0 \insrsid942745 \chftnsep _x000d__x000a_\par }}{\*\aftnsepc \ltrpar \pard\plain \ltrpar\ql \li0\ri0\widctlpar\wrapdefault\aspalpha\aspnum\faauto\adjustright\rin0\lin0\itap0 \rtlch\fcs1 \af0\afs20\alang1025 \ltrch\fcs0 \fs24\lang2057\langfe2057\cgrid\langnp2057\langfenp2057 {\rtlch\fcs1 \af0 _x000d__x000a_\ltrch\fcs0 \insrsid942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708314 \rtlch\fcs1 _x000d__x000a_\af0\afs20\alang1025 \ltrch\fcs0 \b\fs24\lang2057\langfe2057\cgrid\langnp2057\langfenp2057 {\rtlch\fcs1 \af0 \ltrch\fcs0 \cs17\b0\v\fs20\cf9\lang1024\langfe1024\loch\af1\hich\af1\dbch\af31501\noproof\insrsid14708314\charrsid2653071 {\*\bkmkstart restartA}_x000d__x000a_\hich\af1\dbch\af31501\loch\f1 &lt;AmendA&gt;}{\rtlch\fcs1 \af0 \ltrch\fcs0 \insrsid14708314\charrsid2653071 Amendment\tab \tab }{\rtlch\fcs1 \af0 \ltrch\fcs0 _x000d__x000a_\cs17\b0\v\fs20\cf9\lang1024\langfe1024\loch\af1\hich\af1\dbch\af31501\noproof\insrsid14708314\charrsid2653071 \hich\af1\dbch\af31501\loch\f1 &lt;NumAmA&gt;}{\rtlch\fcs1 \af0 \ltrch\fcs0 \insrsid14708314\charrsid2653071 #}{\rtlch\fcs1 \af1 \ltrch\fcs0 _x000d__x000a_\cs18\v\f1\fs20\cf15\insrsid14708314\charrsid2653071 ENMIENDA@NRAM@}{\rtlch\fcs1 \af0 \ltrch\fcs0 \insrsid14708314\charrsid2653071 #}{\rtlch\fcs1 \af0 \ltrch\fcs0 _x000d__x000a_\cs17\b0\v\fs20\cf9\lang1024\langfe1024\loch\af1\hich\af1\dbch\af31501\noproof\insrsid14708314\charrsid2653071 \hich\af1\dbch\af31501\loch\f1 &lt;/NumAmA&gt;}{\rtlch\fcs1 \af0 \ltrch\fcs0 \insrsid14708314\charrsid2653071 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RepeatBlock-By&gt;}{\rtlch\fcs1 \af0 \ltrch\fcs0 \insrsid14708314\charrsid2653071 #}{\rtlch\fcs1 \af1 _x000d__x000a_\ltrch\fcs0 \cs18\v\f1\fs20\cf15\insrsid14708314\charrsid2653071 (MOD@InsideLoop()}{\rtlch\fcs1 \af0 \ltrch\fcs0 \insrsid14708314\charrsid2653071 ##}{\rtlch\fcs1 \af1 \ltrch\fcs0 \cs18\v\f1\fs20\cf15\insrsid14708314\charrsid2653071 &gt;&gt;&gt;@[ZMEMBERSMSG]@}{_x000d__x000a_\rtlch\fcs1 \af0 \ltrch\fcs0 \insrsid14708314\charrsid2653071 #}{\rtlch\fcs1 \af0 \ltrch\fcs0 \cs17\b0\v\fs20\cf9\lang1024\langfe1024\loch\af1\hich\af1\dbch\af31501\noproof\insrsid14708314\charrsid2653071 \hich\af1\dbch\af31501\loch\f1 &lt;Members&gt;}{_x000d__x000a_\rtlch\fcs1 \af0 \ltrch\fcs0 \insrsid14708314\charrsid2653071 #}{\rtlch\fcs1 \af1 \ltrch\fcs0 \cs18\v\f1\fs20\cf15\insrsid14708314\charrsid2653071 (MOD@InsideLoop(\'a7)}{\rtlch\fcs1 \af0 \ltrch\fcs0 \insrsid14708314\charrsid2653071 #}{\rtlch\fcs1 \af0 _x000d__x000a_\ltrch\fcs0 \cf10\insrsid14708314\charrsid2653071 \u9668\'3f}{\rtlch\fcs1 \af0 \ltrch\fcs0 \insrsid14708314\charrsid2653071 #}{\rtlch\fcs1 \af1 \ltrch\fcs0 \cs18\v\f1\fs20\cf15\insrsid14708314\charrsid2653071 TVTMEMBERS\'a7@MEMBERS@}{\rtlch\fcs1 \af0 _x000d__x000a_\ltrch\fcs0 \insrsid14708314\charrsid2653071 #}{\rtlch\fcs1 \af0 \ltrch\fcs0 \cf10\insrsid14708314\charrsid2653071 \u9658\'3f}{\rtlch\fcs1 \af0 \ltrch\fcs0 _x000d__x000a_\cs17\b0\v\fs20\cf9\lang1024\langfe1024\loch\af1\hich\af1\dbch\af31501\noproof\insrsid14708314\charrsid2653071 \hich\af1\dbch\af31501\loch\f1 &lt;/Members&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uNomDe&gt;&lt;OptDel&gt;}{\rtlch\fcs1 \af0 \ltrch\fcs0 \insrsid14708314\charrsid2653071 #}{\rtlch\fcs1 \af1 \ltrch\fcs0 _x000d__x000a_\cs18\v\f1\fs20\cf15\insrsid14708314\charrsid2653071 MNU[ONBEHALFYES][NOTAPP]@CHOICE@}{\rtlch\fcs1 \af0 \ltrch\fcs0 \insrsid14708314\charrsid2653071 #}{\rtlch\fcs1 \af0 \ltrch\fcs0 _x000d__x000a_\cs17\v\fs20\cf9\lang1024\langfe1024\loch\af1\hich\af1\dbch\af31501\noproof\insrsid14708314\charrsid2653071 \hich\af1\dbch\af31501\loch\f1 &lt;/OptDel&gt;&lt;/AuNomDe&gt;}{\rtlch\fcs1 \af0 \ltrch\fcs0 \insrsid14708314\charrsid2653071 _x000d__x000a_\par &lt;&lt;&lt;}{\rtlch\fcs1 \af0 \ltrch\fcs0 \cs17\v\fs20\cf9\lang1024\langfe1024\loch\af1\hich\af1\dbch\af31501\noproof\insrsid14708314\charrsid2653071 \hich\af1\dbch\af31501\loch\f1 &lt;/RepeatBlock-By&gt;}{\rtlch\fcs1 \af0 \ltrch\fcs0 \insrsid14708314\charrsid2653071 _x000d__x000a_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DocAmend&gt;}{\rtlch\fcs1 \af0 \ltrch\fcs0 \insrsid14708314\charrsid2653071 _x000d__x000a_Draft legislative resolution}{\rtlch\fcs1 \af0 \ltrch\fcs0 \cs17\b0\v\fs20\cf9\lang1024\langfe1024\loch\af1\hich\af1\dbch\af31501\noproof\insrsid14708314\charrsid2653071 \hich\af1\dbch\af31501\loch\f1 &lt;/DocAmend&gt;}{\rtlch\fcs1 \af0 \ltrch\fcs0 _x000d__x000a_\insrsid14708314\charrsid2653071 _x000d__x000a_\par }{\rtlch\fcs1 \af0 \ltrch\fcs0 \cs17\b0\v\fs20\cf9\lang1024\langfe1024\loch\af1\hich\af1\dbch\af31501\noproof\insrsid14708314\charrsid2653071 \hich\af1\dbch\af31501\loch\f1 &lt;Article&gt;}{\rtlch\fcs1 \af0 \ltrch\fcs0 \cf10\insrsid14708314\charrsid2653071 _x000d__x000a_\u9668\'3f}{\rtlch\fcs1 \af0 \ltrch\fcs0 \insrsid14708314\charrsid2653071 #}{\rtlch\fcs1 \af1 \ltrch\fcs0 \cs18\v\f1\fs20\cf15\insrsid14708314\charrsid2653071 TVTRESPART@RESPART@}{\rtlch\fcs1 \af0 \ltrch\fcs0 \insrsid14708314\charrsid2653071 #}{_x000d__x000a_\rtlch\fcs1 \af0 \ltrch\fcs0 \cf10\insrsid14708314\charrsid2653071 \u9658\'3f}{\rtlch\fcs1 \af0 \ltrch\fcs0 \cs17\b0\v\fs20\cf9\lang1024\langfe1024\loch\af1\hich\af1\dbch\af31501\noproof\insrsid14708314\charrsid2653071 \hich\af1\dbch\af31501\loch\f1 _x000d__x000a_&lt;/Article&gt;}{\rtlch\fcs1 \af0 \ltrch\fcs0 \insrsid14708314\charrsid265307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708314\charrsid2653071 Draft legislative resolution\cell Amendment\cell }\pard\plain \ltrpar\ql \li0\ri0\widctlpar\intbl\wrapdefault\aspalpha\aspnum\faauto\adjustright\rin0\lin0 \rtlch\fcs1 \af0\afs20\alang1025 _x000d__x000a_\ltrch\fcs0 \fs24\lang2057\langfe2057\cgrid\langnp2057\langfenp2057 {\rtlch\fcs1 \af0 \ltrch\fcs0 \insrsid14708314\charrsid265307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08314\charrsid2653071 ##\cell ##}{\rtlch\fcs1 \af0\afs24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708314 \rtlch\fcs1 \af0\afs20\alang1025 \ltrch\fcs0 \fs24\lang2057\langfe2057\cgrid\langnp2057\langfenp2057 {\rtlch\fcs1 \af0 \ltrch\fcs0 _x000d__x000a_\insrsid14708314\charrsid2653071 Or. }{\rtlch\fcs1 \af0 \ltrch\fcs0 \cs17\v\fs20\cf9\lang1024\langfe1024\loch\af1\hich\af1\dbch\af31501\noproof\insrsid14708314\charrsid2653071 \hich\af1\dbch\af31501\loch\f1 &lt;Original&gt;}{\rtlch\fcs1 \af0 \ltrch\fcs0 _x000d__x000a_\insrsid14708314\charrsid2653071 #}{\rtlch\fcs1 \af1 \ltrch\fcs0 \cs18\v\f1\fs20\cf15\insrsid14708314\charrsid2653071 KEY(MAIN/LANGMIN)sh@ORLANGMSG@}{\rtlch\fcs1 \af0 \ltrch\fcs0 \insrsid14708314\charrsid2653071 #}{\rtlch\fcs1 \af0 \ltrch\fcs0 _x000d__x000a_\cs17\v\fs20\cf9\lang1024\langfe1024\loch\af1\hich\af1\dbch\af31501\noproof\insrsid14708314\charrsid2653071 \hich\af1\dbch\af31501\loch\f1 &lt;/Original&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7_x000d__x000a_8bfa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6580 HideTWBExt;}{\*\cs18 \additive \v\f1\fs20\cf15 _x000d__x000a_\spriority0 \styrsid596580 HideTWBInt;}{\s19\ql \li0\ri0\sa120\nowidctlpar\wrapdefault\aspalpha\aspnum\faauto\adjustright\rin0\lin0\itap0 \rtlch\fcs1 \af0\afs20\alang1025 \ltrch\fcs0 \fs24\lang2057\langfe2057\cgrid\langnp2057\langfenp2057 _x000d__x000a_\sbasedon0 \snext19 \spriority0 \styrsid596580 Normal6a;}{\s20\ql \li0\ri0\nowidctlpar\wrapdefault\aspalpha\aspnum\faauto\adjustright\rin0\lin0\itap0 \rtlch\fcs1 \af0\afs20\alang1025 \ltrch\fcs0 \b\fs24\lang2057\langfe2057\cgrid\langnp2057\langfenp2057 _x000d__x000a_\sbasedon0 \snext20 \spriority0 \styrsid596580 NormalBold;}{\s21\ql \li0\ri0\sa240\nowidctlpar\wrapdefault\aspalpha\aspnum\faauto\adjustright\rin0\lin0\itap0 \rtlch\fcs1 \af0\afs20\alang1025 \ltrch\fcs0 _x000d__x000a_\i\fs24\lang2057\langfe2057\cgrid\langnp2057\langfenp2057 \sbasedon0 \snext21 \spriority0 \styrsid596580 AmJustText;}{\s22\qc \li0\ri0\sb240\sa240\nowidctlpar\wrapdefault\aspalpha\aspnum\faauto\adjustright\rin0\lin0\itap0 \rtlch\fcs1 \af0\afs20\alang1025 _x000d__x000a_\ltrch\fcs0 \i\fs24\lang2057\langfe2057\cgrid\langnp2057\langfenp2057 \sbasedon0 \snext22 \spriority0 \styrsid596580 AmCrossRef;}{\s23\qc \li0\ri0\sb240\sa240\keepn\nowidctlpar\wrapdefault\aspalpha\aspnum\faauto\adjustright\rin0\lin0\itap0 \rtlch\fcs1 _x000d__x000a_\af0\afs20\alang1025 \ltrch\fcs0 \i\fs24\lang2057\langfe2057\cgrid\langnp2057\langfenp2057 \sbasedon0 \snext21 \spriority0 \styrsid596580 AmJustTitle;}{_x000d__x000a_\s24\qr \li0\ri0\sb240\sa240\nowidctlpar\wrapdefault\aspalpha\aspnum\faauto\adjustright\rin0\lin0\itap0 \rtlch\fcs1 \af0\afs20\alang1025 \ltrch\fcs0 \fs24\lang2057\langfe2057\cgrid\langnp2057\langfenp2057 \sbasedon0 \snext24 \spriority0 \styrsid596580 _x000d__x000a_AmOrLang;}{\s25\qc \li0\ri0\sa240\nowidctlpar\wrapdefault\aspalpha\aspnum\faauto\adjustright\rin0\lin0\itap0 \rtlch\fcs1 \af0\afs20\alang1025 \ltrch\fcs0 \i\fs24\lang2057\langfe2057\cgrid\langnp2057\langfenp2057 _x000d__x000a_\sbasedon0 \snext25 \spriority0 \styrsid5965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6580 AmNumberTabs;}}{\*\rsidtbl \rsid24658\rsid223860\rsid596580\rsid735077\rsid1718133\rsid2892074\rsid3565327\rsid4666813\rsid6641733_x000d__x000a_\rsid7823322\rsid9636012\rsid10377208\rsid11215221\rsid11414031\rsid11549030\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580\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1414031 \chftnsep _x000d__x000a_\par }}{\*\ftnsepc \ltrpar \pard\plain \ltrpar\ql \li0\ri0\widctlpar\wrapdefault\aspalpha\aspnum\faauto\adjustright\rin0\lin0\itap0 \rtlch\fcs1 \af0\afs20\alang1025 \ltrch\fcs0 \fs24\lang2057\langfe2057\cgrid\langnp2057\langfenp2057 {\rtlch\fcs1 \af0 _x000d__x000a_\ltrch\fcs0 \insrsid11414031 \chftnsepc _x000d__x000a_\par }}{\*\aftnsep \ltrpar \pard\plain \ltrpar\ql \li0\ri0\widctlpar\wrapdefault\aspalpha\aspnum\faauto\adjustright\rin0\lin0\itap0 \rtlch\fcs1 \af0\afs20\alang1025 \ltrch\fcs0 \fs24\lang2057\langfe2057\cgrid\langnp2057\langfenp2057 {\rtlch\fcs1 \af0 _x000d__x000a_\ltrch\fcs0 \insrsid11414031 \chftnsep _x000d__x000a_\par }}{\*\aftnsepc \ltrpar \pard\plain \ltrpar\ql \li0\ri0\widctlpar\wrapdefault\aspalpha\aspnum\faauto\adjustright\rin0\lin0\itap0 \rtlch\fcs1 \af0\afs20\alang1025 \ltrch\fcs0 \fs24\lang2057\langfe2057\cgrid\langnp2057\langfenp2057 {\rtlch\fcs1 \af0 _x000d__x000a_\ltrch\fcs0 \insrsid1141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6580 \rtlch\fcs1 _x000d__x000a_\af0\afs20\alang1025 \ltrch\fcs0 \b\fs24\lang2057\langfe2057\cgrid\langnp2057\langfenp2057 {\rtlch\fcs1 \af0 \ltrch\fcs0 \cs17\b0\v\fs20\cf9\lang1024\langfe1024\loch\af1\hich\af1\dbch\af31501\noproof\insrsid596580\charrsid2653071 {\*\bkmkstart restartB}_x000d__x000a_\hich\af1\dbch\af31501\loch\f1 &lt;AmendB&gt;}{\rtlch\fcs1 \af0 \ltrch\fcs0 \insrsid596580\charrsid2653071 Amendment\tab \tab }{\rtlch\fcs1 \af0 \ltrch\fcs0 _x000d__x000a_\cs17\b0\v\fs20\cf9\lang1024\langfe1024\loch\af1\hich\af1\dbch\af31501\noproof\insrsid596580\charrsid2653071 \hich\af1\dbch\af31501\loch\f1 &lt;NumAmB&gt;}{\rtlch\fcs1 \af0 \ltrch\fcs0 \insrsid596580\charrsid2653071 #}{\rtlch\fcs1 \af1 \ltrch\fcs0 _x000d__x000a_\cs18\v\f1\fs20\cf15\insrsid596580\charrsid2653071 ENMIENDA@NRAM@}{\rtlch\fcs1 \af0 \ltrch\fcs0 \insrsid596580\charrsid2653071 #}{\rtlch\fcs1 \af0 \ltrch\fcs0 _x000d__x000a_\cs17\b0\v\fs20\cf9\lang1024\langfe1024\loch\af1\hich\af1\dbch\af31501\noproof\insrsid596580\charrsid2653071 \hich\af1\dbch\af31501\loch\f1 &lt;/NumAmB&gt;}{\rtlch\fcs1 \af0 \ltrch\fcs0 \insrsid596580\charrsid2653071 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RepeatBlock-By&gt;}{\rtlch\fcs1 \af0 \ltrch\fcs0 \insrsid596580\charrsid2653071 #}{\rtlch\fcs1 \af1 _x000d__x000a_\ltrch\fcs0 \cs18\v\f1\fs20\cf15\insrsid596580\charrsid2653071 (MOD@InsideLoop()}{\rtlch\fcs1 \af0 \ltrch\fcs0 \insrsid596580\charrsid2653071 ##}{\rtlch\fcs1 \af1 \ltrch\fcs0 \cs18\v\f1\fs20\cf15\insrsid596580\charrsid2653071 &gt;&gt;&gt;@[ZMEMBERSMSG]@}{_x000d__x000a_\rtlch\fcs1 \af0 \ltrch\fcs0 \insrsid596580\charrsid2653071 #}{\rtlch\fcs1 \af0 \ltrch\fcs0 \cs17\b0\v\fs20\cf9\lang1024\langfe1024\loch\af1\hich\af1\dbch\af31501\noproof\insrsid596580\charrsid2653071 \hich\af1\dbch\af31501\loch\f1 &lt;Members&gt;}{\rtlch\fcs1 _x000d__x000a_\af0 \ltrch\fcs0 \insrsid596580\charrsid2653071 #}{\rtlch\fcs1 \af1 \ltrch\fcs0 \cs18\v\f1\fs20\cf15\insrsid596580\charrsid2653071 (MOD@InsideLoop(\'a7)}{\rtlch\fcs1 \af0 \ltrch\fcs0 \insrsid596580\charrsid2653071 #}{\rtlch\fcs1 \af0 \ltrch\fcs0 _x000d__x000a_\cf10\insrsid596580\charrsid2653071 \u9668\'3f}{\rtlch\fcs1 \af0 \ltrch\fcs0 \insrsid596580\charrsid2653071 #}{\rtlch\fcs1 \af1 \ltrch\fcs0 \cs18\v\f1\fs20\cf15\insrsid596580\charrsid2653071 TVTMEMBERS\'a7@MEMBERS@}{\rtlch\fcs1 \af0 \ltrch\fcs0 _x000d__x000a_\insrsid596580\charrsid2653071 #}{\rtlch\fcs1 \af0 \ltrch\fcs0 \cf10\insrsid596580\charrsid2653071 \u9658\'3f}{\rtlch\fcs1 \af0 \ltrch\fcs0 \cs17\b0\v\fs20\cf9\lang1024\langfe1024\loch\af1\hich\af1\dbch\af31501\noproof\insrsid596580\charrsid2653071 _x000d__x000a_\hich\af1\dbch\af31501\loch\f1 &lt;/Members&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uNomDe&gt;&lt;OptDel&gt;}{\rtlch\fcs1 \af0 \ltrch\fcs0 \insrsid596580\charrsid2653071 #}{\rtlch\fcs1 \af1 \ltrch\fcs0 _x000d__x000a_\cs18\v\f1\fs20\cf15\insrsid596580\charrsid2653071 MNU[ONBEHALFYES][NOTAPP]@CHOICE@}{\rtlch\fcs1 \af0 \ltrch\fcs0 \insrsid596580\charrsid2653071 #}{\rtlch\fcs1 \af0 \ltrch\fcs0 _x000d__x000a_\cs17\v\fs20\cf9\lang1024\langfe1024\loch\af1\hich\af1\dbch\af31501\noproof\insrsid596580\charrsid2653071 \hich\af1\dbch\af31501\loch\f1 &lt;/OptDel&gt;&lt;/AuNomDe&gt;}{\rtlch\fcs1 \af0 \ltrch\fcs0 \insrsid596580\charrsid2653071 _x000d__x000a_\par &lt;&lt;&lt;}{\rtlch\fcs1 \af0 \ltrch\fcs0 \cs17\v\fs20\cf9\lang1024\langfe1024\loch\af1\hich\af1\dbch\af31501\noproof\insrsid596580\charrsid2653071 \hich\af1\dbch\af31501\loch\f1 &lt;/RepeatBlock-By&gt;}{\rtlch\fcs1 \af0 \ltrch\fcs0 \insrsid596580\charrsid2653071 _x000d__x000a_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DocAmend&gt;}{\rtlch\fcs1 \af0 \ltrch\fcs0 \insrsid596580\charrsid2653071 #}{\rtlch\fcs1 \af1 _x000d__x000a_\ltrch\fcs0 \cs18\v\f1\fs20\cf15\insrsid596580\charrsid2653071 MNU[OPTPROPOSALCOD][OPTPROPOSALCNS][OPTPROPOSALNLE]@CHOICE@CODEMNU}{\rtlch\fcs1 \af0 \ltrch\fcs0 \insrsid596580\charrsid2653071 #}{\rtlch\fcs1 \af0 \ltrch\fcs0 _x000d__x000a_\cs17\b0\v\fs20\cf9\lang1024\langfe1024\loch\af1\hich\af1\dbch\af31501\noproof\insrsid596580\charrsid2653071 \hich\af1\dbch\af31501\loch\f1 &lt;/DocAmend&gt;}{\rtlch\fcs1 \af0 \ltrch\fcs0 \insrsid596580\charrsid2653071 _x000d__x000a_\par }\pard \ltrpar\s20\ql \li0\ri0\keepn\nowidctlpar\wrapdefault\aspalpha\aspnum\faauto\adjustright\rin0\lin0\itap0\pararsid596580 {\rtlch\fcs1 \af0 \ltrch\fcs0 _x000d__x000a_\cs17\b0\v\fs20\cf9\lang1024\langfe1024\loch\af1\hich\af1\dbch\af31501\noproof\insrsid596580\charrsid2653071 \hich\af1\dbch\af31501\loch\f1 &lt;Article&gt;}{\rtlch\fcs1 \af0 \ltrch\fcs0 \insrsid596580\charrsid2653071 #}{\rtlch\fcs1 \af1 \ltrch\fcs0 _x000d__x000a_\cs18\v\f1\fs20\cf15\insrsid596580\charrsid2653071 MNU[AMACTPARTYES][AMACTPARTNO]@CHOICE@AMACTMNU}{\rtlch\fcs1 \af0 \ltrch\fcs0 \insrsid596580\charrsid2653071 #}{\rtlch\fcs1 \af0 \ltrch\fcs0 _x000d__x000a_\cs17\b0\v\fs20\cf9\lang1024\langfe1024\loch\af1\hich\af1\dbch\af31501\noproof\insrsid596580\charrsid2653071 \hich\af1\dbch\af31501\loch\f1 &lt;/Article&gt;}{\rtlch\fcs1 \af0 \ltrch\fcs0 \insrsid596580\charrsid2653071 _x000d__x000a_\par }\pard\plain \ltrpar\ql \li0\ri0\keepn\widctlpar\wrapdefault\aspalpha\aspnum\faauto\adjustright\rin0\lin0\itap0\pararsid596580 \rtlch\fcs1 \af0\afs20\alang1025 \ltrch\fcs0 \fs24\lang2057\langfe2057\cgrid\langnp2057\langfenp2057 {\rtlch\fcs1 \af0 _x000d__x000a_\ltrch\fcs0 \cs17\v\fs20\cf9\lang1024\langfe1024\loch\af1\hich\af1\dbch\af31501\noproof\insrsid596580\charrsid2653071 \hich\af1\dbch\af31501\loch\f1 &lt;DocAmend2&gt;&lt;OptDel&gt;}{\rtlch\fcs1 \af0 \ltrch\fcs0 \insrsid596580\charrsid2653071 #}{\rtlch\fcs1 \af1 _x000d__x000a_\ltrch\fcs0 \cs18\v\f1\fs20\cf15\insrsid596580\charrsid2653071 MNU[OPTNRACTYES][NOTAPP]@CHOICE@AMACTMNU}{\rtlch\fcs1 \af0 \ltrch\fcs0 \insrsid596580\charrsid2653071 #}{\rtlch\fcs1 \af0 \ltrch\fcs0 _x000d__x000a_\cs17\v\fs20\cf9\lang1024\langfe1024\loch\af1\hich\af1\dbch\af31501\noproof\insrsid596580\charrsid2653071 \hich\af1\dbch\af31501\loch\f1 &lt;/OptDel&gt;&lt;/DocAmend2&gt;}{\rtlch\fcs1 \af0 \ltrch\fcs0 \insrsid596580\charrsid2653071 _x000d__x000a_\par }\pard \ltrpar\ql \li0\ri0\widctlpar\wrapdefault\aspalpha\aspnum\faauto\adjustright\rin0\lin0\itap0\pararsid596580 {\rtlch\fcs1 \af0 \ltrch\fcs0 \cs17\v\fs20\cf9\lang1024\langfe1024\loch\af1\hich\af1\dbch\af31501\noproof\insrsid596580\charrsid2653071 _x000d__x000a_\hich\af1\dbch\af31501\loch\f1 &lt;Article2&gt;&lt;OptDel&gt;}{\rtlch\fcs1 \af0 \ltrch\fcs0 \insrsid596580\charrsid2653071 #}{\rtlch\fcs1 \af1 \ltrch\fcs0 \cs18\v\f1\fs20\cf15\insrsid596580\charrsid2653071 MNU[OPTACTPARTYES][NOTAPP]@CHOICE@AMACTMNU}{\rtlch\fcs1 \af0 _x000d__x000a_\ltrch\fcs0 \insrsid596580\charrsid2653071 #}{\rtlch\fcs1 \af0 \ltrch\fcs0 \cs17\v\fs20\cf9\lang1024\langfe1024\loch\af1\hich\af1\dbch\af31501\noproof\insrsid596580\charrsid2653071 \hich\af1\dbch\af31501\loch\f1 &lt;/OptDel&gt;&lt;/Article2&gt;}{\rtlch\fcs1 \af0 _x000d__x000a_\ltrch\fcs0 \insrsid596580\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96580\charrsid2653071 \cell }\pard\plain \ltrpar\ql \li0\ri0\widctlpar\intbl\wrapdefault\aspalpha\aspnum\faauto\adjustright\rin0\lin0 \rtlch\fcs1 _x000d__x000a_\af0\afs20\alang1025 \ltrch\fcs0 \fs24\lang2057\langfe2057\cgrid\langnp2057\langfenp2057 {\rtlch\fcs1 \af0 \ltrch\fcs0 \insrsid596580\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96580\charrsid2653071 #}{\rtlch\fcs1 \af1 \ltrch\fcs0 \cs18\v\f1\fs20\cf15\insrsid596580\charrsid2653071 MNU[OPTLEFTAMACT][LEFTPROP]@CHOICE@AMACTMNU}{_x000d__x000a_\rtlch\fcs1 \af0 \ltrch\fcs0 \insrsid596580\charrsid2653071 #\cell Amendment\cell }\pard\plain \ltrpar\ql \li0\ri0\widctlpar\intbl\wrapdefault\aspalpha\aspnum\faauto\adjustright\rin0\lin0 \rtlch\fcs1 \af0\afs20\alang1025 \ltrch\fcs0 _x000d__x000a_\fs24\lang2057\langfe2057\cgrid\langnp2057\langfenp2057 {\rtlch\fcs1 \af0 \ltrch\fcs0 \insrsid596580\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96580\charrsid2653071 ##\cell ##}{\rtlch\fcs1 \af0\afs24 \ltrch\fcs0 \insrsid596580\charrsid2653071 \cell }\pard\plain \ltrpar\ql \li0\ri0\widctlpar\intbl\wrapdefault\aspalpha\aspnum\faauto\adjustright\rin0\lin0 \rtlch\fcs1 \af0\afs20\alang1025 _x000d__x000a_\ltrch\fcs0 \fs24\lang2057\langfe2057\cgrid\langnp2057\langfenp2057 {\rtlch\fcs1 \af0 \ltrch\fcs0 \insrsid596580\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6580 \rtlch\fcs1 \af0\afs20\alang1025 \ltrch\fcs0 \fs24\lang2057\langfe2057\cgrid\langnp2057\langfenp2057 {\rtlch\fcs1 \af0 \ltrch\fcs0 _x000d__x000a_\insrsid596580\charrsid2653071 Or. }{\rtlch\fcs1 \af0 \ltrch\fcs0 \cs17\v\fs20\cf9\lang1024\langfe1024\loch\af1\hich\af1\dbch\af31501\noproof\insrsid596580\charrsid2653071 \hich\af1\dbch\af31501\loch\f1 &lt;Original&gt;}{\rtlch\fcs1 \af0 \ltrch\fcs0 _x000d__x000a_\insrsid596580\charrsid2653071 #}{\rtlch\fcs1 \af1 \ltrch\fcs0 \cs18\v\f1\fs20\cf15\insrsid596580\charrsid2653071 KEY(MAIN/LANGMIN)sh@ORLANGMSG@}{\rtlch\fcs1 \af0 \ltrch\fcs0 \insrsid596580\charrsid2653071 #}{\rtlch\fcs1 \af0 \ltrch\fcs0 _x000d__x000a_\cs17\v\fs20\cf9\lang1024\langfe1024\loch\af1\hich\af1\dbch\af31501\noproof\insrsid596580\charrsid2653071 \hich\af1\dbch\af31501\loch\f1 &lt;/Original&gt;}{\rtlch\fcs1 \af0 \ltrch\fcs0 \insrsid596580\charrsid2653071 _x000d__x000a_\par }\pard\plain \ltrpar\s22\qc \li0\ri0\sb240\sa240\nowidctlpar\wrapdefault\aspalpha\aspnum\faauto\adjustright\rin0\lin0\itap0\pararsid596580 \rtlch\fcs1 \af0\afs20\alang1025 \ltrch\fcs0 \i\fs24\lang2057\langfe2057\cgrid\langnp2057\langfenp2057 {\rtlch\fcs1 _x000d__x000a_\af0 \ltrch\fcs0 \cs17\i0\v\fs20\cf9\lang1024\langfe1024\loch\af1\hich\af1\dbch\af31501\noproof\insrsid596580\charrsid2653071 \hich\af1\dbch\af31501\loch\f1 &lt;OptDel&gt;}{\rtlch\fcs1 \af0 \ltrch\fcs0 \insrsid596580\charrsid2653071 #}{\rtlch\fcs1 \af1 _x000d__x000a_\ltrch\fcs0 \cs18\v\f1\fs20\cf15\insrsid596580\charrsid2653071 MNU[CROSSREFNO][CROSSREFYES]@CHOICE@}{\rtlch\fcs1 \af0 \ltrch\fcs0 \insrsid596580\charrsid2653071 #}{\rtlch\fcs1 \af0 \ltrch\fcs0 _x000d__x000a_\cs17\i0\v\fs20\cf9\lang1024\langfe1024\loch\af1\hich\af1\dbch\af31501\noproof\insrsid596580\charrsid2653071 \hich\af1\dbch\af31501\loch\f1 &lt;/OptDel&gt;}{\rtlch\fcs1 \af0 \ltrch\fcs0 \insrsid596580\charrsid2653071 _x000d__x000a_\par }\pard\plain \ltrpar\s23\qc \li0\ri0\sb240\sa240\keepn\nowidctlpar\wrapdefault\aspalpha\aspnum\faauto\adjustright\rin0\lin0\itap0\pararsid596580 \rtlch\fcs1 \af0\afs20\alang1025 \ltrch\fcs0 \i\fs24\lang2057\langfe2057\cgrid\langnp2057\langfenp2057 {_x000d__x000a_\rtlch\fcs1 \af0 \ltrch\fcs0 \cs17\i0\v\fs20\cf9\lang1024\langfe1024\loch\af1\hich\af1\dbch\af31501\noproof\insrsid596580\charrsid2653071 \hich\af1\dbch\af31501\loch\f1 &lt;TitreJust&gt;}{\rtlch\fcs1 \af0 \ltrch\fcs0 \insrsid596580\charrsid2653071 Justification_x000d__x000a_}{\rtlch\fcs1 \af0 \ltrch\fcs0 \cs17\i0\v\fs20\cf9\lang1024\langfe1024\loch\af1\hich\af1\dbch\af31501\noproof\insrsid596580\charrsid2653071 \hich\af1\dbch\af31501\loch\f1 &lt;/TitreJust&gt;}{\rtlch\fcs1 \af0 \ltrch\fcs0 \insrsid596580\charrsid2653071 _x000d__x000a_\par }\pard\plain \ltrpar\s21\ql \li0\ri0\sa240\nowidctlpar\wrapdefault\aspalpha\aspnum\faauto\adjustright\rin0\lin0\itap0\pararsid596580 \rtlch\fcs1 \af0\afs20\alang1025 \ltrch\fcs0 \i\fs24\lang2057\langfe2057\cgrid\langnp2057\langfenp2057 {\rtlch\fcs1 \af0 _x000d__x000a_\ltrch\fcs0 \cs17\i0\v\fs20\cf9\lang1024\langfe1024\loch\af1\hich\af1\dbch\af31501\noproof\insrsid596580\charrsid2653071 \hich\af1\dbch\af31501\loch\f1 &lt;OptDelPrev&gt;}{\rtlch\fcs1 \af0 \ltrch\fcs0 \insrsid596580\charrsid2653071 #}{\rtlch\fcs1 \af1 _x000d__x000a_\ltrch\fcs0 \cs18\v\f1\fs20\cf15\insrsid596580\charrsid2653071 MNU[TEXTJUSTYES][TEXTJUSTNO]@CHOICE@}{\rtlch\fcs1 \af0 \ltrch\fcs0 \insrsid596580\charrsid2653071 #}{\rtlch\fcs1 \af0 \ltrch\fcs0 _x000d__x000a_\cs17\i0\v\fs20\cf9\lang1024\langfe1024\loch\af1\hich\af1\dbch\af31501\noproof\insrsid596580\charrsid2653071 \hich\af1\dbch\af31501\loch\f1 &lt;/OptDelPrev&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5_x000d__x000a_aefb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9104 HideTWBExt;}{\*\cs18 \additive \v\f1\fs20\cf15 _x000d__x000a_\spriority0 \styrsid539104 HideTWBInt;}{\s19\ql \li0\ri0\sa120\nowidctlpar\wrapdefault\aspalpha\aspnum\faauto\adjustright\rin0\lin0\itap0 \rtlch\fcs1 \af0\afs20\alang1025 \ltrch\fcs0 \fs24\lang2057\langfe2057\cgrid\langnp2057\langfenp2057 _x000d__x000a_\sbasedon0 \snext19 \spriority0 \styrsid539104 Normal6a;}{\s20\ql \li0\ri0\nowidctlpar\wrapdefault\aspalpha\aspnum\faauto\adjustright\rin0\lin0\itap0 \rtlch\fcs1 \af0\afs20\alang1025 \ltrch\fcs0 \b\fs24\lang2057\langfe2057\cgrid\langnp2057\langfenp2057 _x000d__x000a_\sbasedon0 \snext20 \spriority0 \styrsid539104 NormalBold;}{\s21\ql \li0\ri0\sa240\nowidctlpar\wrapdefault\aspalpha\aspnum\faauto\adjustright\rin0\lin0\itap0 \rtlch\fcs1 \af0\afs20\alang1025 \ltrch\fcs0 _x000d__x000a_\i\fs24\lang2057\langfe2057\cgrid\langnp2057\langfenp2057 \sbasedon0 \snext21 \spriority0 \styrsid539104 AmJustText;}{\s22\qc \li0\ri0\sb240\sa240\nowidctlpar\wrapdefault\aspalpha\aspnum\faauto\adjustright\rin0\lin0\itap0 \rtlch\fcs1 \af0\afs20\alang1025 _x000d__x000a_\ltrch\fcs0 \i\fs24\lang2057\langfe2057\cgrid\langnp2057\langfenp2057 \sbasedon0 \snext22 \spriority0 \styrsid539104 AmCrossRef;}{\s23\qc \li0\ri0\sb240\sa240\keepn\nowidctlpar\wrapdefault\aspalpha\aspnum\faauto\adjustright\rin0\lin0\itap0 \rtlch\fcs1 _x000d__x000a_\af0\afs20\alang1025 \ltrch\fcs0 \i\fs24\lang2057\langfe2057\cgrid\langnp2057\langfenp2057 \sbasedon0 \snext21 \spriority0 \styrsid539104 AmJustTitle;}{_x000d__x000a_\s24\qr \li0\ri0\sb240\sa240\nowidctlpar\wrapdefault\aspalpha\aspnum\faauto\adjustright\rin0\lin0\itap0 \rtlch\fcs1 \af0\afs20\alang1025 \ltrch\fcs0 \fs24\lang2057\langfe2057\cgrid\langnp2057\langfenp2057 \sbasedon0 \snext24 \spriority0 \styrsid539104 _x000d__x000a_AmOrLang;}{\s25\qc \li0\ri0\sa240\nowidctlpar\wrapdefault\aspalpha\aspnum\faauto\adjustright\rin0\lin0\itap0 \rtlch\fcs1 \af0\afs20\alang1025 \ltrch\fcs0 \i\fs24\lang2057\langfe2057\cgrid\langnp2057\langfenp2057 _x000d__x000a_\sbasedon0 \snext25 \spriority0 \styrsid5391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9104 AmNumberTabs;}}{\*\rsidtbl \rsid24658\rsid223860\rsid539104\rsid735077\rsid1718133\rsid2892074\rsid3565327\rsid4666813\rsid6641733_x000d__x000a_\rsid7823322\rsid9636012\rsid10377208\rsid11215221\rsid11549030\rsid12008813\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8}{\revtim\yr2024\mo1\dy30\hr11\min28}{\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9104\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2008813 \chftnsep _x000d__x000a_\par }}{\*\ftnsepc \ltrpar \pard\plain \ltrpar\ql \li0\ri0\widctlpar\wrapdefault\aspalpha\aspnum\faauto\adjustright\rin0\lin0\itap0 \rtlch\fcs1 \af0\afs20\alang1025 \ltrch\fcs0 \fs24\lang2057\langfe2057\cgrid\langnp2057\langfenp2057 {\rtlch\fcs1 \af0 _x000d__x000a_\ltrch\fcs0 \insrsid12008813 \chftnsepc _x000d__x000a_\par }}{\*\aftnsep \ltrpar \pard\plain \ltrpar\ql \li0\ri0\widctlpar\wrapdefault\aspalpha\aspnum\faauto\adjustright\rin0\lin0\itap0 \rtlch\fcs1 \af0\afs20\alang1025 \ltrch\fcs0 \fs24\lang2057\langfe2057\cgrid\langnp2057\langfenp2057 {\rtlch\fcs1 \af0 _x000d__x000a_\ltrch\fcs0 \insrsid12008813 \chftnsep _x000d__x000a_\par }}{\*\aftnsepc \ltrpar \pard\plain \ltrpar\ql \li0\ri0\widctlpar\wrapdefault\aspalpha\aspnum\faauto\adjustright\rin0\lin0\itap0 \rtlch\fcs1 \af0\afs20\alang1025 \ltrch\fcs0 \fs24\lang2057\langfe2057\cgrid\langnp2057\langfenp2057 {\rtlch\fcs1 \af0 _x000d__x000a_\ltrch\fcs0 \insrsid120088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9104 \rtlch\fcs1 _x000d__x000a_\af0\afs20\alang1025 \ltrch\fcs0 \b\fs24\lang2057\langfe2057\cgrid\langnp2057\langfenp2057 {\rtlch\fcs1 \af0 \ltrch\fcs0 \cs17\b0\v\fs20\cf9\lang1024\langfe1024\loch\af1\hich\af1\dbch\af31501\noproof\insrsid539104\charrsid2653071 {\*\bkmkstart restart}_x000d__x000a_\hich\af1\dbch\af31501\loch\f1 &lt;}{\rtlch\fcs1 \af0 \ltrch\fcs0 \cs17\b0\v\fs20\cf9\lang1024\langfe1024\loch\af1\hich\af1\dbch\af31501\noproof\insrsid539104 \hich\af1\dbch\af31501\loch\f1 Amend}{\rtlch\fcs1 \af0 \ltrch\fcs0 _x000d__x000a_\cs17\b0\v\fs20\cf9\lang1024\langfe1024\loch\af1\hich\af1\dbch\af31501\noproof\insrsid539104\charrsid2653071 \hich\af1\dbch\af31501\loch\f1 &gt;}{\rtlch\fcs1 \af0 \ltrch\fcs0 \insrsid539104\charrsid2653071 Amendment\tab \tab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rtlch\fcs1 \af1 \ltrch\fcs0 _x000d__x000a_\cs18\v\f1\fs20\cf15\insrsid539104\charrsid2653071 ENMIENDA@NRAM@}{\rtlch\fcs1 \af0 \ltrch\fcs0 \insrsid539104\charrsid2653071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hich\af1\dbch\af31501\loch\f1 RepeatBlock-By&gt;}{\rtlch\fcs1 \af0 \ltrch\fcs0 _x000d__x000a_\insrsid539104\charrsid2653071 #}{\rtlch\fcs1 \af1 \ltrch\fcs0 \cs18\v\f1\fs20\cf15\insrsid539104\charrsid2653071 (MOD@InsideLoop()}{\rtlch\fcs1 \af0 \ltrch\fcs0 \insrsid539104\charrsid2653071 ##}{\rtlch\fcs1 \af1 \ltrch\fcs0 _x000d__x000a_\cs18\v\f1\fs20\cf15\insrsid539104\charrsid2653071 &gt;&gt;&gt;@[ZMEMBERSMSG]@}{\rtlch\fcs1 \af0 \ltrch\fcs0 \insrsid539104\charrsid2653071 #}{\rtlch\fcs1 \af0 \ltrch\fcs0 _x000d__x000a_\cs17\b0\v\fs20\cf9\lang1024\langfe1024\loch\af1\hich\af1\dbch\af31501\noproof\insrsid539104\charrsid2653071 \hich\af1\dbch\af31501\loch\f1 &lt;Members&gt;}{\rtlch\fcs1 \af0 \ltrch\fcs0 \insrsid539104\charrsid2653071 #}{\rtlch\fcs1 \af1 \ltrch\fcs0 _x000d__x000a_\cs18\v\f1\fs20\cf15\insrsid539104\charrsid2653071 (MOD@InsideLoop(\'a7)}{\rtlch\fcs1 \af0 \ltrch\fcs0 \insrsid539104\charrsid2653071 #}{\rtlch\fcs1 \af0 \ltrch\fcs0 \cf10\insrsid539104\charrsid2100491 \u9668\'3f}{\rtlch\fcs1 \af0 \ltrch\fcs0 _x000d__x000a_\insrsid539104\charrsid2653071 #}{\rtlch\fcs1 \af1 \ltrch\fcs0 \cs18\v\f1\fs20\cf15\insrsid539104\charrsid2653071 TVTMEMBERS\'a7@MEMBERS@}{\rtlch\fcs1 \af0 \ltrch\fcs0 \insrsid539104\charrsid2653071 #}{\rtlch\fcs1 \af0 \ltrch\fcs0 _x000d__x000a_\cf10\insrsid539104\charrsid2100491 \u9658\'3f}{\rtlch\fcs1 \af0 \ltrch\fcs0 \cs17\b0\v\fs20\cf9\lang1024\langfe1024\loch\af1\hich\af1\dbch\af31501\noproof\insrsid539104\charrsid2653071 \hich\af1\dbch\af31501\loch\f1 &lt;/Members&gt;}{\rtlch\fcs1 \af0 _x000d__x000a_\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AuNomDe&gt;&lt;OptDel&gt;}{\rtlch\fcs1 \af0 \ltrch\fcs0 \insrsid539104\charrsid2653071 #}{\rtlch\fcs1 \af1 \ltrch\fcs0 _x000d__x000a_\cs18\v\f1\fs20\cf15\insrsid539104\charrsid2653071 MNU[ONBEHALFYES][NOTAPP]@CHOICE@}{\rtlch\fcs1 \af0 \ltrch\fcs0 \insrsid539104\charrsid2653071 #}{\rtlch\fcs1 \af0 \ltrch\fcs0 _x000d__x000a_\cs17\v\fs20\cf9\lang1024\langfe1024\loch\af1\hich\af1\dbch\af31501\noproof\insrsid539104\charrsid2653071 \hich\af1\dbch\af31501\loch\f1 &lt;/OptDel&gt;&lt;/AuNomDe&gt;}{\rtlch\fcs1 \af0 \ltrch\fcs0 \insrsid539104\charrsid2653071 _x000d__x000a_\par &lt;&lt;&lt;}{\rtlch\fcs1 \af0 \ltrch\fcs0 \cs17\v\fs20\cf9\lang1024\langfe1024\loch\af1\hich\af1\dbch\af31501\noproof\insrsid539104\charrsid2653071 \hich\af1\dbch\af31501\loch\f1 &lt;/RepeatBlock-By&gt;}{\rtlch\fcs1 \af0 \ltrch\fcs0 \insrsid539104\charrsid2653071 _x000d__x000a_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DocAmend&gt;}{\rtlch\fcs1 \af0 \ltrch\fcs0 \insrsid539104\charrsid2653071 #}{\rtlch\fcs1 \af1 _x000d__x000a_\ltrch\fcs0 \cs18\v\f1\fs20\cf15\insrsid539104\charrsid2653071 MNU[OPTPROPOSALCOD][OPTPROPOSALCNS][OPTPROPOSALNLE]@CHOICE@CODEMNU}{\rtlch\fcs1 \af0 \ltrch\fcs0 \insrsid539104\charrsid2653071 #}{\rtlch\fcs1 \af0 \ltrch\fcs0 _x000d__x000a_\cs17\b0\v\fs20\cf9\lang1024\langfe1024\loch\af1\hich\af1\dbch\af31501\noproof\insrsid539104\charrsid2653071 \hich\af1\dbch\af31501\loch\f1 &lt;/DocAmend&gt;}{\rtlch\fcs1 \af0 \ltrch\fcs0 \insrsid539104\charrsid2653071 _x000d__x000a_\par }\pard \ltrpar\s20\ql \li0\ri0\keepn\nowidctlpar\wrapdefault\aspalpha\aspnum\faauto\adjustright\rin0\lin0\itap0\pararsid539104 {\rtlch\fcs1 \af0 \ltrch\fcs0 _x000d__x000a_\cs17\b0\v\fs20\cf9\lang1024\langfe1024\loch\af1\hich\af1\dbch\af31501\noproof\insrsid539104\charrsid2653071 \hich\af1\dbch\af31501\loch\f1 &lt;Article&gt;}{\rtlch\fcs1 \af0 \ltrch\fcs0 \insrsid539104\charrsid2653071 #}{\rtlch\fcs1 \af1 \ltrch\fcs0 _x000d__x000a_\cs18\v\f1\fs20\cf15\insrsid539104\charrsid2653071 MNU[AMACTPARTYES][AMACTPARTNO]@CHOICE@AMACTMNU}{\rtlch\fcs1 \af0 \ltrch\fcs0 \insrsid539104\charrsid2653071 #}{\rtlch\fcs1 \af0 \ltrch\fcs0 _x000d__x000a_\cs17\b0\v\fs20\cf9\lang1024\langfe1024\loch\af1\hich\af1\dbch\af31501\noproof\insrsid539104\charrsid2653071 \hich\af1\dbch\af31501\loch\f1 &lt;/Article&gt;}{\rtlch\fcs1 \af0 \ltrch\fcs0 \insrsid539104\charrsid2653071 _x000d__x000a_\par }\pard\plain \ltrpar\ql \li0\ri0\keepn\widctlpar\wrapdefault\aspalpha\aspnum\faauto\adjustright\rin0\lin0\itap0\pararsid539104 \rtlch\fcs1 \af0\afs20\alang1025 \ltrch\fcs0 \fs24\lang2057\langfe2057\cgrid\langnp2057\langfenp2057 {\rtlch\fcs1 \af0 _x000d__x000a_\ltrch\fcs0 \cs17\v\fs20\cf9\lang1024\langfe1024\loch\af1\hich\af1\dbch\af31501\noproof\insrsid539104\charrsid2653071 \hich\af1\dbch\af31501\loch\f1 &lt;DocAmend2&gt;&lt;OptDel&gt;}{\rtlch\fcs1 \af0 \ltrch\fcs0 \insrsid539104\charrsid2653071 #}{\rtlch\fcs1 \af1 _x000d__x000a_\ltrch\fcs0 \cs18\v\f1\fs20\cf15\insrsid539104\charrsid2653071 MNU[OPTNRACTYES][NOTAPP]@CHOICE@AMACTMNU}{\rtlch\fcs1 \af0 \ltrch\fcs0 \insrsid539104\charrsid2653071 #}{\rtlch\fcs1 \af0 \ltrch\fcs0 _x000d__x000a_\cs17\v\fs20\cf9\lang1024\langfe1024\loch\af1\hich\af1\dbch\af31501\noproof\insrsid539104\charrsid2653071 \hich\af1\dbch\af31501\loch\f1 &lt;/OptDel&gt;&lt;/DocAmend2&gt;}{\rtlch\fcs1 \af0 \ltrch\fcs0 \insrsid539104\charrsid2653071 _x000d__x000a_\par }\pard \ltrpar\ql \li0\ri0\widctlpar\wrapdefault\aspalpha\aspnum\faauto\adjustright\rin0\lin0\itap0\pararsid539104 {\rtlch\fcs1 \af0 \ltrch\fcs0 \cs17\v\fs20\cf9\lang1024\langfe1024\loch\af1\hich\af1\dbch\af31501\noproof\insrsid539104\charrsid2653071 _x000d__x000a_\hich\af1\dbch\af31501\loch\f1 &lt;Article2&gt;&lt;OptDel&gt;}{\rtlch\fcs1 \af0 \ltrch\fcs0 \insrsid539104\charrsid2653071 #}{\rtlch\fcs1 \af1 \ltrch\fcs0 \cs18\v\f1\fs20\cf15\insrsid539104\charrsid2653071 MNU[OPTACTPARTYES][NOTAPP]@CHOICE@AMACTMNU}{\rtlch\fcs1 \af0 _x000d__x000a_\ltrch\fcs0 \insrsid539104\charrsid2653071 #}{\rtlch\fcs1 \af0 \ltrch\fcs0 \cs17\v\fs20\cf9\lang1024\langfe1024\loch\af1\hich\af1\dbch\af31501\noproof\insrsid539104\charrsid2653071 \hich\af1\dbch\af31501\loch\f1 &lt;/OptDel&gt;&lt;/Article2&gt;}{\rtlch\fcs1 \af0 _x000d__x000a_\ltrch\fcs0 \insrsid539104\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39104\charrsid2653071 \cell }\pard\plain \ltrpar\ql \li0\ri0\widctlpar\intbl\wrapdefault\aspalpha\aspnum\faauto\adjustright\rin0\lin0 \rtlch\fcs1 _x000d__x000a_\af0\afs20\alang1025 \ltrch\fcs0 \fs24\lang2057\langfe2057\cgrid\langnp2057\langfenp2057 {\rtlch\fcs1 \af0 \ltrch\fcs0 \insrsid539104\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39104\charrsid2653071 #}{\rtlch\fcs1 \af1 \ltrch\fcs0 \cs18\v\f1\fs20\cf15\insrsid539104\charrsid2653071 MNU[OPTLEFTAMACT][LEFTPROP]@CHOICE@AMACTMNU}{_x000d__x000a_\rtlch\fcs1 \af0 \ltrch\fcs0 \insrsid539104\charrsid2653071 #\cell Amendment\cell }\pard\plain \ltrpar\ql \li0\ri0\widctlpar\intbl\wrapdefault\aspalpha\aspnum\faauto\adjustright\rin0\lin0 \rtlch\fcs1 \af0\afs20\alang1025 \ltrch\fcs0 _x000d__x000a_\fs24\lang2057\langfe2057\cgrid\langnp2057\langfenp2057 {\rtlch\fcs1 \af0 \ltrch\fcs0 \insrsid539104\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39104\charrsid2653071 ##\cell ##}{\rtlch\fcs1 \af0\afs24 \ltrch\fcs0 \insrsid539104\charrsid2653071 \cell }\pard\plain \ltrpar\ql \li0\ri0\widctlpar\intbl\wrapdefault\aspalpha\aspnum\faauto\adjustright\rin0\lin0 \rtlch\fcs1 \af0\afs20\alang1025 _x000d__x000a_\ltrch\fcs0 \fs24\lang2057\langfe2057\cgrid\langnp2057\langfenp2057 {\rtlch\fcs1 \af0 \ltrch\fcs0 \insrsid539104\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9104 \rtlch\fcs1 \af0\afs20\alang1025 \ltrch\fcs0 \fs24\lang2057\langfe2057\cgrid\langnp2057\langfenp2057 {\rtlch\fcs1 \af0 \ltrch\fcs0 _x000d__x000a_\insrsid539104\charrsid2653071 Or. }{\rtlch\fcs1 \af0 \ltrch\fcs0 \cs17\v\fs20\cf9\lang1024\langfe1024\loch\af1\hich\af1\dbch\af31501\noproof\insrsid539104\charrsid2653071 \hich\af1\dbch\af31501\loch\f1 &lt;Original&gt;}{\rtlch\fcs1 \af0 \ltrch\fcs0 _x000d__x000a_\insrsid539104\charrsid2653071 #}{\rtlch\fcs1 \af1 \ltrch\fcs0 \cs18\v\f1\fs20\cf15\insrsid539104\charrsid2653071 KEY(MAIN/LANGMIN)sh@ORLANGMSG@}{\rtlch\fcs1 \af0 \ltrch\fcs0 \insrsid539104\charrsid2653071 #}{\rtlch\fcs1 \af0 \ltrch\fcs0 _x000d__x000a_\cs17\v\fs20\cf9\lang1024\langfe1024\loch\af1\hich\af1\dbch\af31501\noproof\insrsid539104\charrsid2653071 \hich\af1\dbch\af31501\loch\f1 &lt;/Original&gt;}{\rtlch\fcs1 \af0 \ltrch\fcs0 \insrsid539104\charrsid2653071 _x000d__x000a_\par }\pard\plain \ltrpar\s22\qc \li0\ri0\sb240\sa240\nowidctlpar\wrapdefault\aspalpha\aspnum\faauto\adjustright\rin0\lin0\itap0\pararsid539104 \rtlch\fcs1 \af0\afs20\alang1025 \ltrch\fcs0 \i\fs24\lang2057\langfe2057\cgrid\langnp2057\langfenp2057 {\rtlch\fcs1 _x000d__x000a_\af0 \ltrch\fcs0 \cs17\i0\v\fs20\cf9\lang1024\langfe1024\loch\af1\hich\af1\dbch\af31501\noproof\insrsid539104\charrsid2653071 \hich\af1\dbch\af31501\loch\f1 &lt;OptDel&gt;}{\rtlch\fcs1 \af0 \ltrch\fcs0 \insrsid539104\charrsid2653071 #}{\rtlch\fcs1 \af1 _x000d__x000a_\ltrch\fcs0 \cs18\v\f1\fs20\cf15\insrsid539104\charrsid2653071 MNU[CROSSREFNO][CROSSREFYES]@CHOICE@}{\rtlch\fcs1 \af0 \ltrch\fcs0 \insrsid539104\charrsid2653071 #}{\rtlch\fcs1 \af0 \ltrch\fcs0 _x000d__x000a_\cs17\i0\v\fs20\cf9\lang1024\langfe1024\loch\af1\hich\af1\dbch\af31501\noproof\insrsid539104\charrsid2653071 \hich\af1\dbch\af31501\loch\f1 &lt;/OptDel&gt;}{\rtlch\fcs1 \af0 \ltrch\fcs0 \insrsid539104\charrsid2653071 _x000d__x000a_\par }\pard\plain \ltrpar\s23\qc \li0\ri0\sb240\sa240\keepn\nowidctlpar\wrapdefault\aspalpha\aspnum\faauto\adjustright\rin0\lin0\itap0\pararsid539104 \rtlch\fcs1 \af0\afs20\alang1025 \ltrch\fcs0 \i\fs24\lang2057\langfe2057\cgrid\langnp2057\langfenp2057 {_x000d__x000a_\rtlch\fcs1 \af0 \ltrch\fcs0 \cs17\i0\v\fs20\cf9\lang1024\langfe1024\loch\af1\hich\af1\dbch\af31501\noproof\insrsid539104\charrsid2653071 \hich\af1\dbch\af31501\loch\f1 &lt;TitreJust&gt;}{\rtlch\fcs1 \af0 \ltrch\fcs0 \insrsid539104\charrsid2653071 Justification_x000d__x000a_}{\rtlch\fcs1 \af0 \ltrch\fcs0 \cs17\i0\v\fs20\cf9\lang1024\langfe1024\loch\af1\hich\af1\dbch\af31501\noproof\insrsid539104\charrsid2653071 \hich\af1\dbch\af31501\loch\f1 &lt;/TitreJust&gt;}{\rtlch\fcs1 \af0 \ltrch\fcs0 \insrsid539104\charrsid2653071 _x000d__x000a_\par }\pard\plain \ltrpar\s21\ql \li0\ri0\sa240\nowidctlpar\wrapdefault\aspalpha\aspnum\faauto\adjustright\rin0\lin0\itap0\pararsid539104 \rtlch\fcs1 \af0\afs20\alang1025 \ltrch\fcs0 \i\fs24\lang2057\langfe2057\cgrid\langnp2057\langfenp2057 {\rtlch\fcs1 \af0 _x000d__x000a_\ltrch\fcs0 \cs17\i0\v\fs20\cf9\lang1024\langfe1024\loch\af1\hich\af1\dbch\af31501\noproof\insrsid539104\charrsid2653071 \hich\af1\dbch\af31501\loch\f1 &lt;OptDelPrev&gt;}{\rtlch\fcs1 \af0 \ltrch\fcs0 \insrsid539104\charrsid2653071 #}{\rtlch\fcs1 \af1 _x000d__x000a_\ltrch\fcs0 \cs18\v\f1\fs20\cf15\insrsid539104\charrsid2653071 MNU[TEXTJUSTYES][TEXTJUSTNO]@CHOICE@}{\rtlch\fcs1 \af0 \ltrch\fcs0 \insrsid539104\charrsid2653071 #}{\rtlch\fcs1 \af0 \ltrch\fcs0 _x000d__x000a_\cs17\i0\v\fs20\cf9\lang1024\langfe1024\loch\af1\hich\af1\dbch\af31501\noproof\insrsid539104\charrsid2653071 \hich\af1\dbch\af31501\loch\f1 &lt;/OptDelPrev&gt;}{\rtlch\fcs1 \af0 \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rtlch\fcs1 \af0 \ltrch\fcs0 _x000d__x000a_\cs17\v\fs20\cf9\lang1024\langfe1024\loch\af1\hich\af1\dbch\af31501\noproof\insrsid539104 \hich\af1\dbch\af31501\loch\f1 Amend}{\rtlch\fcs1 \af0 \ltrch\fcs0 _x000d__x000a_\cs17\v\fs20\cf9\lang1024\langfe1024\loch\af1\hich\af1\dbch\af31501\noproof\insrsid539104\charrsid265307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ce17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5"/>
    <w:docVar w:name="TXTAUTHOR" w:val="Jonás Fernández"/>
    <w:docVar w:name="TXTLANGUE" w:val="EN"/>
    <w:docVar w:name="TXTLANGUEMIN" w:val="en"/>
    <w:docVar w:name="TXTNRAM" w:val="73"/>
    <w:docVar w:name="TXTNRC" w:val="0389/2023"/>
    <w:docVar w:name="TXTNRCOM" w:val="(2023)0660"/>
    <w:docVar w:name="TXTNRFIRSTAM" w:val="73"/>
    <w:docVar w:name="TXTNRLASTAM" w:val="134"/>
    <w:docVar w:name="TXTNRPE" w:val="758.780"/>
    <w:docVar w:name="TXTNRPE2" w:val="1293602"/>
    <w:docVar w:name="TXTNRPROC" w:val="2023/0379"/>
    <w:docVar w:name="TXTPEorAP" w:val="PE"/>
    <w:docVar w:name="TXTROUTE" w:val="AM\1295538EN.docx"/>
    <w:docVar w:name="TXTTITLE" w:val="on the proposal for a regulation of the European Parliament and of the Council amending Regulation (EU) 2016/1011 as regards the scope of the rules for benchmarks, the use in the Union of benchmarks provided by an administrator located in a third country, and certain reporting requirements"/>
    <w:docVar w:name="TXTVERSION" w:val="01-00"/>
    <w:docVar w:name="TXTVERSION2" w:val="01-00"/>
  </w:docVars>
  <w:rsids>
    <w:rsidRoot w:val="00287B8F"/>
    <w:rsid w:val="000111BD"/>
    <w:rsid w:val="00073830"/>
    <w:rsid w:val="00075DBE"/>
    <w:rsid w:val="00087166"/>
    <w:rsid w:val="000B0781"/>
    <w:rsid w:val="000B3BE8"/>
    <w:rsid w:val="000D446F"/>
    <w:rsid w:val="000E4F88"/>
    <w:rsid w:val="000E7234"/>
    <w:rsid w:val="000F2A80"/>
    <w:rsid w:val="000F7815"/>
    <w:rsid w:val="00126BC4"/>
    <w:rsid w:val="00150057"/>
    <w:rsid w:val="00166CCB"/>
    <w:rsid w:val="001762D4"/>
    <w:rsid w:val="001809DD"/>
    <w:rsid w:val="001A4802"/>
    <w:rsid w:val="001B761C"/>
    <w:rsid w:val="001C2054"/>
    <w:rsid w:val="001C502E"/>
    <w:rsid w:val="001D13C9"/>
    <w:rsid w:val="001D5CC4"/>
    <w:rsid w:val="001D7A49"/>
    <w:rsid w:val="001F0FDD"/>
    <w:rsid w:val="00200D0B"/>
    <w:rsid w:val="0020367C"/>
    <w:rsid w:val="00222325"/>
    <w:rsid w:val="002277B2"/>
    <w:rsid w:val="00231EA7"/>
    <w:rsid w:val="0023571E"/>
    <w:rsid w:val="00236619"/>
    <w:rsid w:val="002574CB"/>
    <w:rsid w:val="00257823"/>
    <w:rsid w:val="00280EA6"/>
    <w:rsid w:val="002862D3"/>
    <w:rsid w:val="00287B8F"/>
    <w:rsid w:val="002959F4"/>
    <w:rsid w:val="002A1C82"/>
    <w:rsid w:val="002A2CF8"/>
    <w:rsid w:val="002B6A7B"/>
    <w:rsid w:val="002C5761"/>
    <w:rsid w:val="002D2C5E"/>
    <w:rsid w:val="002E3F68"/>
    <w:rsid w:val="002E4311"/>
    <w:rsid w:val="003003A7"/>
    <w:rsid w:val="00315664"/>
    <w:rsid w:val="00322475"/>
    <w:rsid w:val="003462D1"/>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190D"/>
    <w:rsid w:val="004367B3"/>
    <w:rsid w:val="00441413"/>
    <w:rsid w:val="00441D7D"/>
    <w:rsid w:val="00461E32"/>
    <w:rsid w:val="00464338"/>
    <w:rsid w:val="00481004"/>
    <w:rsid w:val="00495E20"/>
    <w:rsid w:val="004E0AAC"/>
    <w:rsid w:val="004E0DCA"/>
    <w:rsid w:val="004E1C4C"/>
    <w:rsid w:val="004F03F0"/>
    <w:rsid w:val="004F2903"/>
    <w:rsid w:val="004F38B0"/>
    <w:rsid w:val="005246D8"/>
    <w:rsid w:val="00547F73"/>
    <w:rsid w:val="00557617"/>
    <w:rsid w:val="00571479"/>
    <w:rsid w:val="005A7205"/>
    <w:rsid w:val="005A7EB4"/>
    <w:rsid w:val="005B32E3"/>
    <w:rsid w:val="005C48C1"/>
    <w:rsid w:val="005E31B4"/>
    <w:rsid w:val="005E50C2"/>
    <w:rsid w:val="005F6EEE"/>
    <w:rsid w:val="00607ABE"/>
    <w:rsid w:val="006337D4"/>
    <w:rsid w:val="00637384"/>
    <w:rsid w:val="00637CB3"/>
    <w:rsid w:val="0066168A"/>
    <w:rsid w:val="00665DDA"/>
    <w:rsid w:val="00672807"/>
    <w:rsid w:val="006746CD"/>
    <w:rsid w:val="00687070"/>
    <w:rsid w:val="00695CC1"/>
    <w:rsid w:val="006965BE"/>
    <w:rsid w:val="006A2838"/>
    <w:rsid w:val="006B4B58"/>
    <w:rsid w:val="006B6438"/>
    <w:rsid w:val="006C4711"/>
    <w:rsid w:val="006D6B15"/>
    <w:rsid w:val="006E4023"/>
    <w:rsid w:val="006F3F81"/>
    <w:rsid w:val="006F4B73"/>
    <w:rsid w:val="00702F62"/>
    <w:rsid w:val="007059E9"/>
    <w:rsid w:val="00706049"/>
    <w:rsid w:val="00711821"/>
    <w:rsid w:val="007152AF"/>
    <w:rsid w:val="00736FBA"/>
    <w:rsid w:val="0074160E"/>
    <w:rsid w:val="007659AC"/>
    <w:rsid w:val="0079060C"/>
    <w:rsid w:val="007A42AB"/>
    <w:rsid w:val="007C71DE"/>
    <w:rsid w:val="008027CF"/>
    <w:rsid w:val="00822C94"/>
    <w:rsid w:val="008363E4"/>
    <w:rsid w:val="00842138"/>
    <w:rsid w:val="00851460"/>
    <w:rsid w:val="0087052C"/>
    <w:rsid w:val="00870CF2"/>
    <w:rsid w:val="00874862"/>
    <w:rsid w:val="00875A9C"/>
    <w:rsid w:val="00877C23"/>
    <w:rsid w:val="00887FDC"/>
    <w:rsid w:val="00894FB4"/>
    <w:rsid w:val="00895947"/>
    <w:rsid w:val="008B251A"/>
    <w:rsid w:val="008D4294"/>
    <w:rsid w:val="008D6D06"/>
    <w:rsid w:val="008F0DDD"/>
    <w:rsid w:val="008F1F42"/>
    <w:rsid w:val="00900CAE"/>
    <w:rsid w:val="00904AD5"/>
    <w:rsid w:val="00907CCA"/>
    <w:rsid w:val="009154FF"/>
    <w:rsid w:val="00917A85"/>
    <w:rsid w:val="00966038"/>
    <w:rsid w:val="00977646"/>
    <w:rsid w:val="009A65D8"/>
    <w:rsid w:val="009B0305"/>
    <w:rsid w:val="009B782B"/>
    <w:rsid w:val="009F230F"/>
    <w:rsid w:val="00A15973"/>
    <w:rsid w:val="00A233E9"/>
    <w:rsid w:val="00A46736"/>
    <w:rsid w:val="00A507FC"/>
    <w:rsid w:val="00A5426B"/>
    <w:rsid w:val="00A845EF"/>
    <w:rsid w:val="00A84E16"/>
    <w:rsid w:val="00A93389"/>
    <w:rsid w:val="00A93F8C"/>
    <w:rsid w:val="00A97203"/>
    <w:rsid w:val="00AA0426"/>
    <w:rsid w:val="00AB74D6"/>
    <w:rsid w:val="00AC7149"/>
    <w:rsid w:val="00AD730A"/>
    <w:rsid w:val="00AE4459"/>
    <w:rsid w:val="00AF25FC"/>
    <w:rsid w:val="00AF2819"/>
    <w:rsid w:val="00B0638A"/>
    <w:rsid w:val="00B10564"/>
    <w:rsid w:val="00B41B4D"/>
    <w:rsid w:val="00B56F1B"/>
    <w:rsid w:val="00B65C69"/>
    <w:rsid w:val="00B77A45"/>
    <w:rsid w:val="00B8066A"/>
    <w:rsid w:val="00B85286"/>
    <w:rsid w:val="00B85361"/>
    <w:rsid w:val="00B90B7F"/>
    <w:rsid w:val="00B9188F"/>
    <w:rsid w:val="00BA48D2"/>
    <w:rsid w:val="00BB38BB"/>
    <w:rsid w:val="00BC1B1F"/>
    <w:rsid w:val="00BD20D9"/>
    <w:rsid w:val="00BE0C84"/>
    <w:rsid w:val="00BE5062"/>
    <w:rsid w:val="00BF246A"/>
    <w:rsid w:val="00C10F61"/>
    <w:rsid w:val="00C22CC4"/>
    <w:rsid w:val="00C2336C"/>
    <w:rsid w:val="00C35E35"/>
    <w:rsid w:val="00C41E32"/>
    <w:rsid w:val="00C92798"/>
    <w:rsid w:val="00CB34F1"/>
    <w:rsid w:val="00CB7B07"/>
    <w:rsid w:val="00CC2358"/>
    <w:rsid w:val="00CC2955"/>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73C5"/>
    <w:rsid w:val="00DE672F"/>
    <w:rsid w:val="00E15A86"/>
    <w:rsid w:val="00E25682"/>
    <w:rsid w:val="00E25DC5"/>
    <w:rsid w:val="00E44BB0"/>
    <w:rsid w:val="00E471BE"/>
    <w:rsid w:val="00E57F50"/>
    <w:rsid w:val="00E660E2"/>
    <w:rsid w:val="00E73CE2"/>
    <w:rsid w:val="00EA25AE"/>
    <w:rsid w:val="00EB3A71"/>
    <w:rsid w:val="00EC2D82"/>
    <w:rsid w:val="00EE011D"/>
    <w:rsid w:val="00EE3E0D"/>
    <w:rsid w:val="00EF03A3"/>
    <w:rsid w:val="00EF11AD"/>
    <w:rsid w:val="00F27170"/>
    <w:rsid w:val="00F459F7"/>
    <w:rsid w:val="00F70312"/>
    <w:rsid w:val="00F8078F"/>
    <w:rsid w:val="00F92B49"/>
    <w:rsid w:val="00F9761E"/>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4D84911-DB82-4596-B0EE-0E51C111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762D4"/>
    <w:pPr>
      <w:widowControl/>
      <w:spacing w:before="100" w:beforeAutospacing="1" w:after="100" w:afterAutospacing="1"/>
    </w:pPr>
    <w:rPr>
      <w:szCs w:val="24"/>
    </w:rPr>
  </w:style>
  <w:style w:type="paragraph" w:styleId="Footer">
    <w:name w:val="footer"/>
    <w:link w:val="FooterChar"/>
    <w:semiHidden/>
    <w:unhideWhenUsed/>
    <w:rsid w:val="001762D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762D4"/>
    <w:rPr>
      <w:sz w:val="22"/>
    </w:rPr>
  </w:style>
  <w:style w:type="character" w:customStyle="1" w:styleId="Normal12Char">
    <w:name w:val="Normal12 Char"/>
    <w:basedOn w:val="DefaultParagraphFont"/>
    <w:link w:val="Normal12"/>
    <w:locked/>
    <w:rsid w:val="001762D4"/>
    <w:rPr>
      <w:noProof/>
      <w:sz w:val="24"/>
    </w:rPr>
  </w:style>
  <w:style w:type="paragraph" w:customStyle="1" w:styleId="Normal12">
    <w:name w:val="Normal12"/>
    <w:basedOn w:val="Normal"/>
    <w:link w:val="Normal12Char"/>
    <w:rsid w:val="001762D4"/>
    <w:pPr>
      <w:spacing w:after="240"/>
    </w:pPr>
    <w:rPr>
      <w:noProof/>
    </w:rPr>
  </w:style>
  <w:style w:type="paragraph" w:customStyle="1" w:styleId="CommitteeAM">
    <w:name w:val="CommitteeAM"/>
    <w:basedOn w:val="Normal"/>
    <w:rsid w:val="001762D4"/>
    <w:pPr>
      <w:spacing w:before="240" w:after="600"/>
      <w:jc w:val="center"/>
    </w:pPr>
    <w:rPr>
      <w:i/>
    </w:rPr>
  </w:style>
  <w:style w:type="paragraph" w:customStyle="1" w:styleId="ZDateAM">
    <w:name w:val="ZDateAM"/>
    <w:basedOn w:val="Normal"/>
    <w:rsid w:val="001762D4"/>
    <w:pPr>
      <w:tabs>
        <w:tab w:val="right" w:pos="9356"/>
      </w:tabs>
      <w:spacing w:after="480"/>
    </w:pPr>
    <w:rPr>
      <w:noProof/>
    </w:rPr>
  </w:style>
  <w:style w:type="paragraph" w:customStyle="1" w:styleId="ProjRap">
    <w:name w:val="ProjRap"/>
    <w:basedOn w:val="Normal"/>
    <w:rsid w:val="001762D4"/>
    <w:pPr>
      <w:tabs>
        <w:tab w:val="right" w:pos="9356"/>
      </w:tabs>
    </w:pPr>
    <w:rPr>
      <w:b/>
      <w:noProof/>
    </w:rPr>
  </w:style>
  <w:style w:type="paragraph" w:customStyle="1" w:styleId="PELeft">
    <w:name w:val="PELeft"/>
    <w:basedOn w:val="Normal"/>
    <w:rsid w:val="001762D4"/>
    <w:pPr>
      <w:spacing w:before="40" w:after="40"/>
    </w:pPr>
    <w:rPr>
      <w:rFonts w:ascii="Arial" w:hAnsi="Arial" w:cs="Arial"/>
      <w:sz w:val="22"/>
      <w:szCs w:val="22"/>
    </w:rPr>
  </w:style>
  <w:style w:type="paragraph" w:customStyle="1" w:styleId="PERight">
    <w:name w:val="PERight"/>
    <w:basedOn w:val="Normal"/>
    <w:next w:val="Normal"/>
    <w:rsid w:val="001762D4"/>
    <w:pPr>
      <w:jc w:val="right"/>
    </w:pPr>
    <w:rPr>
      <w:rFonts w:ascii="Arial" w:hAnsi="Arial" w:cs="Arial"/>
      <w:sz w:val="22"/>
      <w:szCs w:val="22"/>
    </w:rPr>
  </w:style>
  <w:style w:type="character" w:customStyle="1" w:styleId="Normal6Char">
    <w:name w:val="Normal6 Char"/>
    <w:basedOn w:val="DefaultParagraphFont"/>
    <w:link w:val="Normal6"/>
    <w:locked/>
    <w:rsid w:val="001762D4"/>
    <w:rPr>
      <w:sz w:val="24"/>
      <w:lang w:val="nl-NL"/>
    </w:rPr>
  </w:style>
  <w:style w:type="paragraph" w:customStyle="1" w:styleId="Normal6">
    <w:name w:val="Normal6"/>
    <w:basedOn w:val="Normal"/>
    <w:link w:val="Normal6Char"/>
    <w:rsid w:val="001762D4"/>
    <w:pPr>
      <w:spacing w:after="120"/>
    </w:pPr>
  </w:style>
  <w:style w:type="character" w:customStyle="1" w:styleId="NormalBoldChar">
    <w:name w:val="NormalBold Char"/>
    <w:basedOn w:val="DefaultParagraphFont"/>
    <w:link w:val="NormalBold"/>
    <w:locked/>
    <w:rsid w:val="001762D4"/>
    <w:rPr>
      <w:b/>
      <w:sz w:val="24"/>
    </w:rPr>
  </w:style>
  <w:style w:type="paragraph" w:customStyle="1" w:styleId="Normal12Italic">
    <w:name w:val="Normal12Italic"/>
    <w:basedOn w:val="Normal12"/>
    <w:rsid w:val="001762D4"/>
    <w:rPr>
      <w:i/>
    </w:rPr>
  </w:style>
  <w:style w:type="paragraph" w:customStyle="1" w:styleId="JustificationTitle">
    <w:name w:val="JustificationTitle"/>
    <w:basedOn w:val="Normal"/>
    <w:next w:val="Normal12"/>
    <w:rsid w:val="001762D4"/>
    <w:pPr>
      <w:keepNext/>
      <w:spacing w:before="240" w:after="240"/>
      <w:jc w:val="center"/>
    </w:pPr>
    <w:rPr>
      <w:i/>
      <w:noProof/>
    </w:rPr>
  </w:style>
  <w:style w:type="paragraph" w:customStyle="1" w:styleId="Olang">
    <w:name w:val="Olang"/>
    <w:basedOn w:val="Normal"/>
    <w:rsid w:val="001762D4"/>
    <w:pPr>
      <w:spacing w:before="240" w:after="240"/>
      <w:jc w:val="right"/>
    </w:pPr>
    <w:rPr>
      <w:noProof/>
      <w:szCs w:val="24"/>
    </w:rPr>
  </w:style>
  <w:style w:type="paragraph" w:customStyle="1" w:styleId="ColumnHeading">
    <w:name w:val="ColumnHeading"/>
    <w:basedOn w:val="Normal"/>
    <w:rsid w:val="001762D4"/>
    <w:pPr>
      <w:spacing w:after="240"/>
      <w:jc w:val="center"/>
    </w:pPr>
    <w:rPr>
      <w:i/>
    </w:rPr>
  </w:style>
  <w:style w:type="paragraph" w:customStyle="1" w:styleId="AMNumberTabs0">
    <w:name w:val="AMNumberTabs"/>
    <w:basedOn w:val="Normal"/>
    <w:rsid w:val="001762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62D4"/>
    <w:pPr>
      <w:spacing w:before="240"/>
    </w:pPr>
    <w:rPr>
      <w:b/>
    </w:rPr>
  </w:style>
  <w:style w:type="paragraph" w:customStyle="1" w:styleId="CrossRef">
    <w:name w:val="CrossRef"/>
    <w:basedOn w:val="Normal"/>
    <w:rsid w:val="001762D4"/>
    <w:pPr>
      <w:spacing w:before="240"/>
      <w:jc w:val="center"/>
    </w:pPr>
    <w:rPr>
      <w:i/>
    </w:rPr>
  </w:style>
  <w:style w:type="paragraph" w:customStyle="1" w:styleId="Footer2">
    <w:name w:val="Footer2"/>
    <w:basedOn w:val="Normal12"/>
    <w:rsid w:val="001762D4"/>
    <w:pPr>
      <w:tabs>
        <w:tab w:val="center" w:pos="4535"/>
        <w:tab w:val="right" w:pos="9923"/>
      </w:tabs>
      <w:spacing w:line="480" w:lineRule="auto"/>
      <w:ind w:left="-851"/>
    </w:pPr>
    <w:rPr>
      <w:rFonts w:ascii="Arial" w:cs="Arial"/>
      <w:b/>
      <w:sz w:val="48"/>
    </w:rPr>
  </w:style>
  <w:style w:type="character" w:customStyle="1" w:styleId="Footer2Middle">
    <w:name w:val="Footer2Middle"/>
    <w:rsid w:val="001762D4"/>
    <w:rPr>
      <w:rFonts w:ascii="Arial" w:hAnsi="Arial" w:cs="Arial" w:hint="default"/>
      <w:b w:val="0"/>
      <w:bCs w:val="0"/>
      <w:i/>
      <w:iCs w:val="0"/>
      <w:color w:val="C0C0C0"/>
      <w:sz w:val="22"/>
    </w:rPr>
  </w:style>
  <w:style w:type="paragraph" w:customStyle="1" w:styleId="EntPE">
    <w:name w:val="EntPE"/>
    <w:basedOn w:val="Normal12"/>
    <w:rsid w:val="001762D4"/>
    <w:pPr>
      <w:jc w:val="center"/>
    </w:pPr>
    <w:rPr>
      <w:noProof w:val="0"/>
      <w:sz w:val="56"/>
    </w:rPr>
  </w:style>
  <w:style w:type="paragraph" w:styleId="BalloonText">
    <w:name w:val="Balloon Text"/>
    <w:basedOn w:val="Normal"/>
    <w:link w:val="BalloonTextChar"/>
    <w:semiHidden/>
    <w:unhideWhenUsed/>
    <w:rsid w:val="00B56F1B"/>
    <w:rPr>
      <w:rFonts w:ascii="Segoe UI" w:hAnsi="Segoe UI" w:cs="Segoe UI"/>
      <w:sz w:val="18"/>
      <w:szCs w:val="18"/>
    </w:rPr>
  </w:style>
  <w:style w:type="character" w:customStyle="1" w:styleId="BalloonTextChar">
    <w:name w:val="Balloon Text Char"/>
    <w:basedOn w:val="DefaultParagraphFont"/>
    <w:link w:val="BalloonText"/>
    <w:semiHidden/>
    <w:rsid w:val="00B56F1B"/>
    <w:rPr>
      <w:rFonts w:ascii="Segoe UI" w:hAnsi="Segoe UI" w:cs="Segoe UI"/>
      <w:sz w:val="18"/>
      <w:szCs w:val="18"/>
    </w:rPr>
  </w:style>
  <w:style w:type="paragraph" w:styleId="Revision">
    <w:name w:val="Revision"/>
    <w:hidden/>
    <w:uiPriority w:val="99"/>
    <w:semiHidden/>
    <w:rsid w:val="00B56F1B"/>
    <w:rPr>
      <w:sz w:val="24"/>
    </w:rPr>
  </w:style>
  <w:style w:type="paragraph" w:styleId="CommentText">
    <w:name w:val="annotation text"/>
    <w:basedOn w:val="Normal"/>
    <w:link w:val="CommentTextChar"/>
    <w:unhideWhenUsed/>
    <w:rsid w:val="00B56F1B"/>
    <w:pPr>
      <w:widowControl/>
    </w:pPr>
    <w:rPr>
      <w:sz w:val="20"/>
    </w:rPr>
  </w:style>
  <w:style w:type="character" w:customStyle="1" w:styleId="CommentTextChar">
    <w:name w:val="Comment Text Char"/>
    <w:basedOn w:val="DefaultParagraphFont"/>
    <w:link w:val="CommentText"/>
    <w:rsid w:val="00B56F1B"/>
  </w:style>
  <w:style w:type="character" w:styleId="CommentReference">
    <w:name w:val="annotation reference"/>
    <w:basedOn w:val="DefaultParagraphFont"/>
    <w:unhideWhenUsed/>
    <w:rsid w:val="00B56F1B"/>
    <w:rPr>
      <w:sz w:val="16"/>
      <w:szCs w:val="16"/>
    </w:rPr>
  </w:style>
  <w:style w:type="character" w:customStyle="1" w:styleId="no-parag">
    <w:name w:val="no-parag"/>
    <w:basedOn w:val="DefaultParagraphFont"/>
    <w:rsid w:val="002959F4"/>
  </w:style>
  <w:style w:type="character" w:styleId="Hyperlink">
    <w:name w:val="Hyperlink"/>
    <w:basedOn w:val="DefaultParagraphFont"/>
    <w:unhideWhenUsed/>
    <w:rsid w:val="00BD20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uciu\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45</Pages>
  <Words>10092</Words>
  <Characters>59205</Characters>
  <Application>Microsoft Office Word</Application>
  <DocSecurity>0</DocSecurity>
  <Lines>2311</Lines>
  <Paragraphs>765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68813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SUCIU Monica-Elena</dc:creator>
  <cp:lastModifiedBy>HOOGLAND Yvonne</cp:lastModifiedBy>
  <cp:revision>2</cp:revision>
  <cp:lastPrinted>2007-06-22T14:02:00Z</cp:lastPrinted>
  <dcterms:created xsi:type="dcterms:W3CDTF">2024-02-13T15:59:00Z</dcterms:created>
  <dcterms:modified xsi:type="dcterms:W3CDTF">2024-02-13T15:59:00Z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1295538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heckDocument">
    <vt:lpwstr>NOK(PBTAG) - 2024/02/01 15:22</vt:lpwstr>
  </property>
  <property fmtid="{D5CDD505-2E9C-101B-9397-08002B2CF9AE}" pid="9" name="Created with">
    <vt:lpwstr>9.17.1 Build [20240101]</vt:lpwstr>
  </property>
  <property fmtid="{D5CDD505-2E9C-101B-9397-08002B2CF9AE}" pid="10" name="FooterPath">
    <vt:lpwstr>AM\1295538NL.docx</vt:lpwstr>
  </property>
  <property fmtid="{D5CDD505-2E9C-101B-9397-08002B2CF9AE}" pid="11" name="LastEdited with">
    <vt:lpwstr>9.17.1 Build [20240111]</vt:lpwstr>
  </property>
  <property fmtid="{D5CDD505-2E9C-101B-9397-08002B2CF9AE}" pid="12" name="PE number">
    <vt:lpwstr>758.780</vt:lpwstr>
  </property>
  <property fmtid="{D5CDD505-2E9C-101B-9397-08002B2CF9AE}" pid="13" name="SDLStudio">
    <vt:lpwstr/>
  </property>
  <property fmtid="{D5CDD505-2E9C-101B-9397-08002B2CF9AE}" pid="14" name="SendToEpades">
    <vt:lpwstr>OK(AMNUM) - 2024/02/01 12:14</vt:lpwstr>
  </property>
  <property fmtid="{D5CDD505-2E9C-101B-9397-08002B2CF9AE}" pid="15" name="Bookout">
    <vt:lpwstr>OK - 2024/02/13 16:59</vt:lpwstr>
  </property>
</Properties>
</file>