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707A5" w:rsidTr="001762D4">
        <w:trPr>
          <w:trHeight w:hRule="exact" w:val="1418"/>
        </w:trPr>
        <w:tc>
          <w:tcPr>
            <w:tcW w:w="6804" w:type="dxa"/>
            <w:shd w:val="clear" w:color="auto" w:fill="auto"/>
            <w:vAlign w:val="center"/>
          </w:tcPr>
          <w:p w:rsidR="00BE5062" w:rsidRPr="00E73CE2" w:rsidRDefault="00BE5062" w:rsidP="00200D0B">
            <w:pPr>
              <w:pStyle w:val="EPTerm"/>
            </w:pPr>
          </w:p>
        </w:tc>
        <w:tc>
          <w:tcPr>
            <w:tcW w:w="2268" w:type="dxa"/>
            <w:shd w:val="clear" w:color="auto" w:fill="auto"/>
          </w:tcPr>
          <w:p w:rsidR="00BE5062" w:rsidRPr="00E73CE2" w:rsidRDefault="000C3E1A" w:rsidP="001762D4">
            <w:pPr>
              <w:pStyle w:val="EPLogo"/>
            </w:pPr>
            <w:r w:rsidRPr="00E73C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73CE2" w:rsidRDefault="000E7234" w:rsidP="000E7234">
      <w:pPr>
        <w:pStyle w:val="LineTop"/>
      </w:pPr>
    </w:p>
    <w:p w:rsidR="000E7234" w:rsidRPr="003534BF" w:rsidRDefault="000C3E1A" w:rsidP="000E7234">
      <w:pPr>
        <w:pStyle w:val="EPBody"/>
        <w:rPr>
          <w:lang w:val="it-IT"/>
        </w:rPr>
      </w:pPr>
      <w:r w:rsidRPr="003534BF">
        <w:rPr>
          <w:rStyle w:val="HideTWBExt"/>
          <w:lang w:val="it-IT"/>
        </w:rPr>
        <w:t>&lt;</w:t>
      </w:r>
      <w:r w:rsidRPr="003534BF">
        <w:rPr>
          <w:rStyle w:val="HideTWBExt"/>
          <w:i w:val="0"/>
          <w:lang w:val="it-IT"/>
        </w:rPr>
        <w:t>Commission</w:t>
      </w:r>
      <w:r w:rsidRPr="003534BF">
        <w:rPr>
          <w:rStyle w:val="HideTWBExt"/>
          <w:lang w:val="it-IT"/>
        </w:rPr>
        <w:t>&gt;</w:t>
      </w:r>
      <w:r w:rsidRPr="003534BF">
        <w:rPr>
          <w:rStyle w:val="HideTWBInt"/>
          <w:color w:val="auto"/>
          <w:lang w:val="it-IT"/>
        </w:rPr>
        <w:t>{ECON}</w:t>
      </w:r>
      <w:r w:rsidRPr="003534BF">
        <w:rPr>
          <w:lang w:val="it-IT"/>
        </w:rPr>
        <w:t>Komisja Gospodarcza i Monetarna</w:t>
      </w:r>
      <w:r w:rsidRPr="003534BF">
        <w:rPr>
          <w:rStyle w:val="HideTWBExt"/>
          <w:lang w:val="it-IT"/>
        </w:rPr>
        <w:t>&lt;/</w:t>
      </w:r>
      <w:r w:rsidRPr="003534BF">
        <w:rPr>
          <w:rStyle w:val="HideTWBExt"/>
          <w:i w:val="0"/>
          <w:lang w:val="it-IT"/>
        </w:rPr>
        <w:t>Commission</w:t>
      </w:r>
      <w:r w:rsidRPr="003534BF">
        <w:rPr>
          <w:rStyle w:val="HideTWBExt"/>
          <w:lang w:val="it-IT"/>
        </w:rPr>
        <w:t>&gt;</w:t>
      </w:r>
    </w:p>
    <w:p w:rsidR="000E7234" w:rsidRPr="003534BF" w:rsidRDefault="000E7234" w:rsidP="000E7234">
      <w:pPr>
        <w:pStyle w:val="LineBottom"/>
        <w:rPr>
          <w:lang w:val="it-IT"/>
        </w:rPr>
      </w:pPr>
    </w:p>
    <w:p w:rsidR="00B85286" w:rsidRPr="003534BF" w:rsidRDefault="000C3E1A">
      <w:pPr>
        <w:pStyle w:val="CoverReference"/>
        <w:rPr>
          <w:lang w:val="it-IT"/>
        </w:rPr>
      </w:pPr>
      <w:r w:rsidRPr="003534BF">
        <w:rPr>
          <w:rStyle w:val="HideTWBExt"/>
          <w:b w:val="0"/>
          <w:lang w:val="it-IT"/>
        </w:rPr>
        <w:t>&lt;RefProc&gt;</w:t>
      </w:r>
      <w:r w:rsidRPr="003534BF">
        <w:rPr>
          <w:lang w:val="it-IT"/>
        </w:rPr>
        <w:t>2023/0379</w:t>
      </w:r>
      <w:r w:rsidRPr="003534BF">
        <w:rPr>
          <w:rStyle w:val="HideTWBExt"/>
          <w:b w:val="0"/>
          <w:lang w:val="it-IT"/>
        </w:rPr>
        <w:t>&lt;/RefProc&gt;&lt;RefTypeProc&gt;</w:t>
      </w:r>
      <w:r w:rsidRPr="003534BF">
        <w:rPr>
          <w:lang w:val="it-IT"/>
        </w:rPr>
        <w:t>(COD)</w:t>
      </w:r>
      <w:r w:rsidRPr="003534BF">
        <w:rPr>
          <w:rStyle w:val="HideTWBExt"/>
          <w:b w:val="0"/>
          <w:lang w:val="it-IT"/>
        </w:rPr>
        <w:t>&lt;/RefTypeProc&gt;</w:t>
      </w:r>
    </w:p>
    <w:p w:rsidR="00B85286" w:rsidRPr="003534BF" w:rsidRDefault="000C3E1A">
      <w:pPr>
        <w:pStyle w:val="CoverDate"/>
        <w:rPr>
          <w:lang w:val="en-GB"/>
        </w:rPr>
      </w:pPr>
      <w:r w:rsidRPr="003534BF">
        <w:rPr>
          <w:rStyle w:val="HideTWBExt"/>
          <w:lang w:val="en-GB"/>
        </w:rPr>
        <w:t>&lt;Date&gt;</w:t>
      </w:r>
      <w:r w:rsidRPr="003534BF">
        <w:rPr>
          <w:rStyle w:val="HideTWBInt"/>
          <w:color w:val="auto"/>
          <w:lang w:val="en-GB"/>
        </w:rPr>
        <w:t>{01/02/2024}</w:t>
      </w:r>
      <w:r w:rsidRPr="003534BF">
        <w:rPr>
          <w:lang w:val="en-GB"/>
        </w:rPr>
        <w:t>1.2.2024</w:t>
      </w:r>
      <w:r w:rsidRPr="003534BF">
        <w:rPr>
          <w:rStyle w:val="HideTWBExt"/>
          <w:lang w:val="en-GB"/>
        </w:rPr>
        <w:t>&lt;/Date&gt;</w:t>
      </w:r>
    </w:p>
    <w:p w:rsidR="009B0305" w:rsidRPr="003534BF" w:rsidRDefault="000C3E1A" w:rsidP="009B0305">
      <w:pPr>
        <w:pStyle w:val="CoverDocType"/>
        <w:rPr>
          <w:lang w:val="en-GB"/>
        </w:rPr>
      </w:pPr>
      <w:r w:rsidRPr="003534BF">
        <w:rPr>
          <w:rStyle w:val="HideTWBExt"/>
          <w:b w:val="0"/>
          <w:lang w:val="en-GB"/>
        </w:rPr>
        <w:t>&lt;TypeAM&gt;</w:t>
      </w:r>
      <w:r w:rsidRPr="003534BF">
        <w:rPr>
          <w:lang w:val="en-GB"/>
        </w:rPr>
        <w:t>POPRAWKI</w:t>
      </w:r>
      <w:r w:rsidRPr="003534BF">
        <w:rPr>
          <w:rStyle w:val="HideTWBExt"/>
          <w:b w:val="0"/>
          <w:lang w:val="en-GB"/>
        </w:rPr>
        <w:t>&lt;/TypeAM&gt;</w:t>
      </w:r>
    </w:p>
    <w:p w:rsidR="00B85286" w:rsidRPr="003534BF" w:rsidRDefault="000C3E1A" w:rsidP="001C2054">
      <w:pPr>
        <w:pStyle w:val="CoverDocType24a"/>
        <w:rPr>
          <w:lang w:val="en-GB"/>
        </w:rPr>
      </w:pPr>
      <w:r w:rsidRPr="003534BF">
        <w:rPr>
          <w:rStyle w:val="HideTWBExt"/>
          <w:b w:val="0"/>
          <w:lang w:val="en-GB"/>
        </w:rPr>
        <w:t>&lt;RangeAM&gt;</w:t>
      </w:r>
      <w:r w:rsidRPr="003534BF">
        <w:rPr>
          <w:lang w:val="en-GB"/>
        </w:rPr>
        <w:t>73 - 134</w:t>
      </w:r>
      <w:r w:rsidRPr="003534BF">
        <w:rPr>
          <w:rStyle w:val="HideTWBExt"/>
          <w:b w:val="0"/>
          <w:lang w:val="en-GB"/>
        </w:rPr>
        <w:t>&lt;/RangeAM&gt;</w:t>
      </w:r>
    </w:p>
    <w:p w:rsidR="001C2054" w:rsidRPr="003534BF" w:rsidRDefault="000C3E1A" w:rsidP="00A93F8C">
      <w:pPr>
        <w:pStyle w:val="CoverBold"/>
        <w:rPr>
          <w:lang w:val="fr-FR"/>
        </w:rPr>
      </w:pPr>
      <w:r>
        <w:rPr>
          <w:rStyle w:val="HideTWBExt"/>
          <w:b w:val="0"/>
          <w:lang w:val="fr-FR"/>
        </w:rPr>
        <w:t>&lt;TitreType&gt;</w:t>
      </w:r>
      <w:r w:rsidRPr="003534BF">
        <w:rPr>
          <w:lang w:val="fr-FR"/>
        </w:rPr>
        <w:t>Projekt sprawozdania</w:t>
      </w:r>
      <w:r>
        <w:rPr>
          <w:rStyle w:val="HideTWBExt"/>
          <w:b w:val="0"/>
          <w:lang w:val="fr-FR"/>
        </w:rPr>
        <w:t>&lt;/TitreType&gt;</w:t>
      </w:r>
    </w:p>
    <w:p w:rsidR="00B85286" w:rsidRPr="003534BF" w:rsidRDefault="000C3E1A" w:rsidP="00A93F8C">
      <w:pPr>
        <w:pStyle w:val="CoverBold"/>
        <w:rPr>
          <w:lang w:val="fr-FR"/>
        </w:rPr>
      </w:pPr>
      <w:r>
        <w:rPr>
          <w:rStyle w:val="HideTWBExt"/>
          <w:b w:val="0"/>
          <w:lang w:val="fr-FR"/>
        </w:rPr>
        <w:t>&lt;Rapporteur&gt;</w:t>
      </w:r>
      <w:r w:rsidRPr="003534BF">
        <w:rPr>
          <w:lang w:val="fr-FR"/>
        </w:rPr>
        <w:t>Jonás Fernández</w:t>
      </w:r>
      <w:r>
        <w:rPr>
          <w:rStyle w:val="HideTWBExt"/>
          <w:b w:val="0"/>
          <w:lang w:val="fr-FR"/>
        </w:rPr>
        <w:t>&lt;/Rapporteur&gt;</w:t>
      </w:r>
    </w:p>
    <w:p w:rsidR="00B85286" w:rsidRPr="00E73CE2" w:rsidRDefault="000C3E1A">
      <w:pPr>
        <w:pStyle w:val="CoverNormal24a"/>
      </w:pPr>
      <w:r>
        <w:rPr>
          <w:rStyle w:val="HideTWBExt"/>
        </w:rPr>
        <w:t>&lt;DocRefPE&gt;</w:t>
      </w:r>
      <w:r>
        <w:t>(PE757.977v01-00)</w:t>
      </w:r>
      <w:r>
        <w:rPr>
          <w:rStyle w:val="HideTWBExt"/>
        </w:rPr>
        <w:t>&lt;/DocRefPE&gt;</w:t>
      </w:r>
    </w:p>
    <w:p w:rsidR="00B85286" w:rsidRPr="00E73CE2" w:rsidRDefault="000C3E1A">
      <w:pPr>
        <w:pStyle w:val="CoverNormal24a"/>
      </w:pPr>
      <w:r>
        <w:rPr>
          <w:rStyle w:val="HideTWBExt"/>
        </w:rPr>
        <w:t>&lt;Titre&gt;</w:t>
      </w:r>
      <w:r>
        <w:t>Zmiana rozporządzenia (UE) 2016/1011 w odniesieniu do zakresu przepisów dotyczących wskaźników referencyjnych, stosowania w Unii wskaźników referencyjnych o</w:t>
      </w:r>
      <w:r>
        <w:t>pracowywanych przez administratora mającego siedzibę lub miejsce zamieszkania w państwie trzecim oraz niektórych wymogów sprawozdawczych</w:t>
      </w:r>
      <w:r>
        <w:rPr>
          <w:rStyle w:val="HideTWBExt"/>
        </w:rPr>
        <w:t>&lt;/Titre&gt;</w:t>
      </w:r>
    </w:p>
    <w:p w:rsidR="006337D4" w:rsidRPr="00E73CE2" w:rsidRDefault="000C3E1A" w:rsidP="006337D4">
      <w:pPr>
        <w:pStyle w:val="CoverNormal"/>
      </w:pPr>
      <w:r>
        <w:rPr>
          <w:rStyle w:val="HideTWBExt"/>
        </w:rPr>
        <w:t>&lt;DocAmend&gt;</w:t>
      </w:r>
      <w:r>
        <w:t>Wniosek dotyczący rozporządzenia</w:t>
      </w:r>
      <w:r>
        <w:rPr>
          <w:rStyle w:val="HideTWBExt"/>
        </w:rPr>
        <w:t>&lt;/DocAmend&gt;</w:t>
      </w:r>
    </w:p>
    <w:p w:rsidR="00B85286" w:rsidRPr="003534BF" w:rsidRDefault="000C3E1A">
      <w:pPr>
        <w:pStyle w:val="CoverNormal24a"/>
        <w:rPr>
          <w:lang w:val="pt-PT"/>
        </w:rPr>
      </w:pPr>
      <w:r>
        <w:rPr>
          <w:rStyle w:val="HideTWBExt"/>
          <w:lang w:val="pt-PT"/>
        </w:rPr>
        <w:t>&lt;DocRef&gt;</w:t>
      </w:r>
      <w:r w:rsidRPr="003534BF">
        <w:rPr>
          <w:lang w:val="pt-PT"/>
        </w:rPr>
        <w:t>(COM(2023)0660 – C9</w:t>
      </w:r>
      <w:r w:rsidRPr="003534BF">
        <w:rPr>
          <w:lang w:val="pt-PT"/>
        </w:rPr>
        <w:noBreakHyphen/>
        <w:t>0389/2023 – 2023/0379(COD))</w:t>
      </w:r>
      <w:r>
        <w:rPr>
          <w:rStyle w:val="HideTWBExt"/>
          <w:lang w:val="pt-PT"/>
        </w:rPr>
        <w:t>&lt;/DocRef&gt;</w:t>
      </w:r>
    </w:p>
    <w:p w:rsidR="00B85286" w:rsidRPr="003534BF" w:rsidRDefault="000C3E1A" w:rsidP="00E660E2">
      <w:pPr>
        <w:widowControl/>
        <w:tabs>
          <w:tab w:val="center" w:pos="4677"/>
        </w:tabs>
        <w:rPr>
          <w:lang w:val="en-GB"/>
        </w:rPr>
      </w:pPr>
      <w:r w:rsidRPr="003534BF">
        <w:rPr>
          <w:lang w:val="en-GB"/>
        </w:rPr>
        <w:br w:type="page"/>
      </w:r>
      <w:r w:rsidRPr="003534BF">
        <w:rPr>
          <w:lang w:val="en-GB"/>
        </w:rPr>
        <w:lastRenderedPageBreak/>
        <w:t>AM_Com_LegReport</w:t>
      </w:r>
    </w:p>
    <w:p w:rsidR="001762D4" w:rsidRPr="003534BF" w:rsidRDefault="000C3E1A" w:rsidP="001762D4">
      <w:pPr>
        <w:pStyle w:val="AMNumberTabs0"/>
        <w:keepNext/>
        <w:rPr>
          <w:lang w:val="en-GB"/>
        </w:rPr>
      </w:pPr>
      <w:r w:rsidRPr="003534BF">
        <w:rPr>
          <w:lang w:val="en-GB"/>
        </w:rPr>
        <w:br w:type="page"/>
      </w:r>
      <w:bookmarkStart w:id="0" w:name="IntroB"/>
      <w:r>
        <w:rPr>
          <w:rStyle w:val="HideTWBExt"/>
          <w:b w:val="0"/>
          <w:lang w:val="en-GB"/>
        </w:rPr>
        <w:lastRenderedPageBreak/>
        <w:t>&lt;RepeatBlock-Amend&gt;</w:t>
      </w:r>
      <w:bookmarkStart w:id="1" w:name="restart"/>
      <w:bookmarkEnd w:id="0"/>
      <w:r>
        <w:rPr>
          <w:rStyle w:val="HideTWBExt"/>
          <w:b w:val="0"/>
          <w:lang w:val="en-GB"/>
        </w:rPr>
        <w:t>&lt;Amend&gt;</w:t>
      </w:r>
      <w:bookmarkEnd w:id="1"/>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73</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w:t>
            </w:r>
            <w:r>
              <w:t xml:space="preserve">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w:t>
            </w:r>
            <w:r>
              <w:tab/>
              <w:t xml:space="preserve">Zgodnie z art. 19d rozporządzenia (UE) 2016/1011 administratorzy istotnych wskaźników referencyjnych mają obowiązek podejmować starania </w:t>
            </w:r>
            <w:r>
              <w:rPr>
                <w:b/>
                <w:i/>
              </w:rPr>
              <w:t xml:space="preserve">do dnia 1 stycznia 2022 r. </w:t>
            </w:r>
            <w:r>
              <w:t xml:space="preserve">w celu opracowywania unijnego wskaźnika referencyjnego transformacji </w:t>
            </w:r>
            <w:r>
              <w:t>klimatycznej lub unijnego wskaźnika referencyjnego dostosowanego do porozumienia paryskiego</w:t>
            </w:r>
            <w:r>
              <w:rPr>
                <w:b/>
                <w:i/>
              </w:rPr>
              <w:t xml:space="preserve"> Ponieważ termin ten upłynął, należy skreślić ten przepis</w:t>
            </w:r>
            <w:r>
              <w:t>.</w:t>
            </w:r>
          </w:p>
        </w:tc>
        <w:tc>
          <w:tcPr>
            <w:tcW w:w="4876" w:type="dxa"/>
            <w:hideMark/>
          </w:tcPr>
          <w:p w:rsidR="001762D4" w:rsidRPr="00E73CE2" w:rsidRDefault="000C3E1A">
            <w:pPr>
              <w:pStyle w:val="Normal6"/>
              <w:rPr>
                <w:szCs w:val="24"/>
              </w:rPr>
            </w:pPr>
            <w:r>
              <w:t>(4)</w:t>
            </w:r>
            <w:r>
              <w:tab/>
              <w:t>Zgodnie z art. 19d rozporządzenia (UE) 2016/1011 administratorzy istotnych wskaźników referencyjnych m</w:t>
            </w:r>
            <w:r>
              <w:t xml:space="preserve">ają obowiązek podejmować starania w celu opracowywania unijnego wskaźnika referencyjnego transformacji klimatycznej lub unijnego wskaźnika referencyjnego dostosowanego do porozumienia paryskiego </w:t>
            </w:r>
            <w:r>
              <w:rPr>
                <w:b/>
                <w:i/>
              </w:rPr>
              <w:t>z myślą o ustanowieniu minimalnych standardów dla klimatyczny</w:t>
            </w:r>
            <w:r>
              <w:rPr>
                <w:b/>
                <w:i/>
              </w:rPr>
              <w:t>ch wskaźników referencyjnych</w:t>
            </w:r>
            <w:r>
              <w:t>.</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74</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w:t>
      </w:r>
      <w:r>
        <w:rPr>
          <w:rStyle w:val="HideTWBExt"/>
          <w:b w:val="0"/>
        </w:rPr>
        <w:t>/DocAmend&gt;</w:t>
      </w:r>
    </w:p>
    <w:p w:rsidR="001762D4" w:rsidRPr="00E73CE2" w:rsidRDefault="000C3E1A" w:rsidP="001762D4">
      <w:pPr>
        <w:pStyle w:val="NormalBold"/>
      </w:pPr>
      <w:r>
        <w:rPr>
          <w:rStyle w:val="HideTWBExt"/>
          <w:b w:val="0"/>
        </w:rPr>
        <w:t>&lt;Article&gt;</w:t>
      </w:r>
      <w:r>
        <w:t>Motyw 5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(5a)</w:t>
            </w:r>
            <w:r>
              <w:rPr>
                <w:b/>
                <w:i/>
              </w:rPr>
              <w:tab/>
              <w:t xml:space="preserve">Jeżeli jeden administrator opracowuje kombinację wskaźników referencyjnych, z których żaden indywidualnie nie przekracza progu 50 mld EUR, ale łącznie </w:t>
            </w:r>
            <w:r>
              <w:rPr>
                <w:b/>
                <w:i/>
              </w:rPr>
              <w:t>przekraczają one ten próg, administrator tych pozaistotnych wskaźników referencyjnych będzie podlegał tym samym obowiązkom jak w przypadku istotnych wskaźników referencyjnych.</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75</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w:t>
      </w:r>
      <w:r w:rsidRPr="003534BF">
        <w:rPr>
          <w:rStyle w:val="HideTWBExt"/>
          <w:b w:val="0"/>
          <w:lang w:val="en-GB"/>
        </w:rPr>
        <w:t>peatBlock-By&gt;&lt;Members&gt;</w:t>
      </w:r>
      <w:r w:rsidRPr="003534BF">
        <w:rPr>
          <w:lang w:val="en-GB"/>
        </w:rPr>
        <w:t>Markus Ferber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(6)</w:t>
            </w:r>
            <w:r>
              <w:tab/>
              <w:t xml:space="preserve">Administratorzy wskaźników referencyjnych </w:t>
            </w:r>
            <w:r>
              <w:rPr>
                <w:b/>
                <w:i/>
              </w:rPr>
              <w:t>są w stanie najlepiej</w:t>
            </w:r>
            <w:r>
              <w:t xml:space="preserve"> monitorować stosowanie w Unii wskaźników referencyjnych, które opracowują</w:t>
            </w:r>
            <w:r>
              <w:rPr>
                <w:b/>
                <w:i/>
              </w:rPr>
              <w:t>. Powinny oni zatem</w:t>
            </w:r>
            <w:r>
              <w:t xml:space="preserve"> powiadomić dany właściwy organ lub Europejski Urząd Nadzoru Giełd i Papierów Wartościowych (ESMA) – w zależności od tego, gdzie administrator ma siedzibę lub miej</w:t>
            </w:r>
            <w:r>
              <w:t xml:space="preserve">sce zamieszkania – że zagregowane stosowanie jednego z ich wskaźników referencyjnych przekroczyło próg określony w art. 24 ust. 1 lit. a) rozporządzenia (UE) 2016/1011. </w:t>
            </w:r>
            <w:r>
              <w:rPr>
                <w:b/>
                <w:i/>
              </w:rPr>
              <w:t xml:space="preserve">W celu zapewnienia, </w:t>
            </w:r>
            <w:r>
              <w:t xml:space="preserve">aby </w:t>
            </w:r>
            <w:r>
              <w:rPr>
                <w:b/>
                <w:i/>
              </w:rPr>
              <w:t>administratorzy wskaźników referencyjnych mieli wystarczająco d</w:t>
            </w:r>
            <w:r>
              <w:rPr>
                <w:b/>
                <w:i/>
              </w:rPr>
              <w:t>użo czasu na dostosowanie się do wymogów mających zastosowanie do istotnych wskaźników referencyjnych</w:t>
            </w:r>
            <w:r>
              <w:t xml:space="preserve">, </w:t>
            </w:r>
            <w:r>
              <w:rPr>
                <w:b/>
                <w:i/>
              </w:rPr>
              <w:t>powinni oni podlegać tym wymogom dopiero po upływie 60 dni roboczych od dokonania takiego powiadomienia. Administratorzy wskaźników referencyjnych powinn</w:t>
            </w:r>
            <w:r>
              <w:rPr>
                <w:b/>
                <w:i/>
              </w:rPr>
              <w:t xml:space="preserve">i ponadto przekazywać danym właściwym organom lub </w:t>
            </w:r>
            <w:r>
              <w:t xml:space="preserve">ESMA </w:t>
            </w:r>
            <w:r>
              <w:rPr>
                <w:b/>
                <w:i/>
              </w:rPr>
              <w:t>na ich wniosek wszelkie informacje niezbędne do oceny zagregowanego stosowania tego wskaźnika referencyjnego w Unii.</w:t>
            </w:r>
            <w:r>
              <w:t xml:space="preserve"> </w:t>
            </w:r>
            <w:r>
              <w:rPr>
                <w:b/>
                <w:i/>
              </w:rPr>
              <w:t>W przypadku gdy administrator wskaźnika referencyjnego pomija, że stosowanie jednego</w:t>
            </w:r>
            <w:r>
              <w:rPr>
                <w:b/>
                <w:i/>
              </w:rPr>
              <w:t xml:space="preserve"> z jego wskaźników referencyjnych przekroczyło próg określony w art. 24 ust. 1 lit. a) rozporządzenia (UE) 2016/1011, lub odmawia zgłoszenia tego faktu oraz jeżeli właściwe organy mają wyraźne i możliwe do wykazania powody, by uznać, że próg ten został prz</w:t>
            </w:r>
            <w:r>
              <w:rPr>
                <w:b/>
                <w:i/>
              </w:rPr>
              <w:t xml:space="preserve">ekroczony, dane właściwe organy lub ESMA, stosownie do </w:t>
            </w:r>
            <w:r>
              <w:rPr>
                <w:b/>
                <w:i/>
              </w:rPr>
              <w:lastRenderedPageBreak/>
              <w:t>przypadku, powinny mieć możliwość oświadczenia, że próg ten został przekroczony, po uprzednim umożliwieniu administratorowi przedstawienia swojego stanowiska. Takie oświadczenie powinno wiązać się z na</w:t>
            </w:r>
            <w:r>
              <w:rPr>
                <w:b/>
                <w:i/>
              </w:rPr>
              <w:t>łożeniem na administratora wskaźnika referencyjnego takich samych obowiązków jak powiadomienie dokonane przez administratora wskaźnika referencyjnego. Powinno to pozostawać bez uszczerbku dla możliwości nakładania przez ESMA lub właściwe organy sankcji adm</w:t>
            </w:r>
            <w:r>
              <w:rPr>
                <w:b/>
                <w:i/>
              </w:rPr>
              <w:t>inistracyjnych na tych administratorów, którzy nie zgłoszą, że jeden z ich wskaźników referencyjnych przekroczył próg mający zastosowanie.</w:t>
            </w:r>
          </w:p>
        </w:tc>
        <w:tc>
          <w:tcPr>
            <w:tcW w:w="4876" w:type="dxa"/>
            <w:hideMark/>
          </w:tcPr>
          <w:p w:rsidR="001762D4" w:rsidRPr="00E73CE2" w:rsidRDefault="000C3E1A" w:rsidP="00481004">
            <w:pPr>
              <w:pStyle w:val="Normal6"/>
              <w:rPr>
                <w:szCs w:val="24"/>
              </w:rPr>
            </w:pPr>
            <w:r>
              <w:lastRenderedPageBreak/>
              <w:t>(6)</w:t>
            </w:r>
            <w:r>
              <w:tab/>
              <w:t xml:space="preserve">Administratorzy wskaźników referencyjnych </w:t>
            </w:r>
            <w:r>
              <w:rPr>
                <w:b/>
                <w:i/>
              </w:rPr>
              <w:t>powinni</w:t>
            </w:r>
            <w:r>
              <w:t xml:space="preserve"> monitorować stosowanie w Unii wskaźników referencyjnych, które opracowują</w:t>
            </w:r>
            <w:r>
              <w:rPr>
                <w:b/>
                <w:i/>
              </w:rPr>
              <w:t>, oraz</w:t>
            </w:r>
            <w:r>
              <w:t xml:space="preserve"> powiadomić dany właściwy organ lub Europejski Urząd Nadzoru Giełd i Papierów Wartościowych (ESMA) – w zależności od tego, gdzie administrator ma siedzibę lub miejsce zamieszka</w:t>
            </w:r>
            <w:r>
              <w:t xml:space="preserve">nia – że zagregowane stosowanie jednego z ich wskaźników referencyjnych przekroczyło próg określony w art. 24 ust. 1 lit. a) rozporządzenia (UE) 2016/1011. Aby </w:t>
            </w:r>
            <w:r>
              <w:rPr>
                <w:b/>
                <w:i/>
              </w:rPr>
              <w:t>zapewnić spójne wdrażanie tych progów</w:t>
            </w:r>
            <w:r>
              <w:t xml:space="preserve">, ESMA </w:t>
            </w:r>
            <w:r>
              <w:rPr>
                <w:b/>
                <w:i/>
              </w:rPr>
              <w:t xml:space="preserve">powinien opracować projekt regulacyjnych standardów </w:t>
            </w:r>
            <w:r>
              <w:rPr>
                <w:b/>
                <w:i/>
              </w:rPr>
              <w:t>technicznych</w:t>
            </w:r>
            <w:r>
              <w:t xml:space="preserve"> w </w:t>
            </w:r>
            <w:r>
              <w:rPr>
                <w:b/>
                <w:i/>
              </w:rPr>
              <w:t>celu doprecyzowania metody obliczania</w:t>
            </w:r>
            <w:r>
              <w:t>.</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76</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(8)</w:t>
            </w:r>
            <w:r>
              <w:rPr>
                <w:b/>
                <w:i/>
              </w:rPr>
              <w:tab/>
              <w:t>W wyjątkowych przypadkach mogą jednak istnieć wskaźniki referencyjne o zagregowanym stosowaniu poniżej progu określonego w art. 24 ust. 1 lit. a) rozporządzenia (UE) 201</w:t>
            </w:r>
            <w:r>
              <w:rPr>
                <w:b/>
                <w:i/>
              </w:rPr>
              <w:t>6/1011, które ze względu na szczególną sytuację na rynku danego państwa członkowskiego mają jednak dla tego państwa członkowskiego takie znaczenie, że jakikolwiek brak wiarygodności miałby wpływ porównywalny z wpływem wskaźnika referencyjnego, którego stos</w:t>
            </w:r>
            <w:r>
              <w:rPr>
                <w:b/>
                <w:i/>
              </w:rPr>
              <w:t xml:space="preserve">owanie przekracza ten próg. Z tego powodu właściwy organ tego państwa członkowskiego powinien mieć możliwość wyznaczenia takiego wskaźnika referencyjnego jako istotnego na podstawie zestawu kryteriów jakościowych, w przypadku gdy wskaźnik </w:t>
            </w:r>
            <w:r>
              <w:rPr>
                <w:b/>
                <w:i/>
              </w:rPr>
              <w:lastRenderedPageBreak/>
              <w:t>ten jest opracowy</w:t>
            </w:r>
            <w:r>
              <w:rPr>
                <w:b/>
                <w:i/>
              </w:rPr>
              <w:t>wany przez administratora z UE. W przypadku wskaźników referencyjnych opracowywanych przez administratora spoza UE to ESMA powinien wyznaczyć taki wskaźnik jako istotny wskaźnik referencyjny na wniosek co najmniej jednego właściwego organu.</w:t>
            </w:r>
          </w:p>
        </w:tc>
        <w:tc>
          <w:tcPr>
            <w:tcW w:w="4876" w:type="dxa"/>
            <w:hideMark/>
          </w:tcPr>
          <w:p w:rsidR="001762D4" w:rsidRPr="00E73CE2" w:rsidRDefault="000C3E1A">
            <w:pPr>
              <w:pStyle w:val="Normal6"/>
              <w:rPr>
                <w:szCs w:val="24"/>
              </w:rPr>
            </w:pPr>
            <w:r>
              <w:rPr>
                <w:b/>
                <w:i/>
              </w:rPr>
              <w:lastRenderedPageBreak/>
              <w:t>skreśla się</w:t>
            </w:r>
          </w:p>
        </w:tc>
      </w:tr>
    </w:tbl>
    <w:p w:rsidR="001762D4" w:rsidRPr="00E73CE2" w:rsidRDefault="000C3E1A" w:rsidP="001762D4">
      <w:pPr>
        <w:pStyle w:val="Olang"/>
        <w:rPr>
          <w:lang w:val="en-GB"/>
        </w:rPr>
      </w:pPr>
      <w:r w:rsidRPr="00E73CE2">
        <w:rPr>
          <w:noProof w:val="0"/>
          <w:lang w:val="en-GB"/>
        </w:rPr>
        <w:t>Or</w:t>
      </w:r>
      <w:r w:rsidRPr="00E73CE2">
        <w:rPr>
          <w:noProof w:val="0"/>
          <w:lang w:val="en-GB"/>
        </w:rPr>
        <w:t xml:space="preserve">.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E73CE2" w:rsidRDefault="000C3E1A" w:rsidP="001762D4">
      <w:r>
        <w:rPr>
          <w:rStyle w:val="HideTWBExt"/>
        </w:rPr>
        <w:t>&lt;/Amend&gt;</w:t>
      </w:r>
    </w:p>
    <w:p w:rsidR="001762D4" w:rsidRPr="00E73CE2" w:rsidRDefault="000C3E1A" w:rsidP="001762D4">
      <w:pPr>
        <w:pStyle w:val="AMNumberTabs0"/>
        <w:keepNext/>
      </w:pPr>
      <w:r>
        <w:rPr>
          <w:rStyle w:val="HideTWBExt"/>
          <w:b w:val="0"/>
          <w:lang w:val="en-GB"/>
        </w:rPr>
        <w:t>&lt;Amend&gt;</w:t>
      </w:r>
      <w:r>
        <w:t>Poprawka</w:t>
      </w:r>
      <w:r>
        <w:tab/>
      </w:r>
      <w:r>
        <w:tab/>
      </w:r>
      <w:r>
        <w:rPr>
          <w:rStyle w:val="HideTWBExt"/>
          <w:b w:val="0"/>
          <w:lang w:val="en-GB"/>
        </w:rPr>
        <w:t>&lt;NumAm&gt;</w:t>
      </w:r>
      <w:r>
        <w:t>77</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w:t>
            </w:r>
            <w:r>
              <w:t xml:space="preserve">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(9)</w:t>
            </w:r>
            <w:r>
              <w:rPr>
                <w:b/>
                <w:i/>
              </w:rPr>
              <w:tab/>
              <w:t>Aby zapewnić spójność i koordynację krajowych wyznaczeń wskaźników referencyjnych jako istotnych wskaźników referencyjnych, właściwe organy, które zamierzają wyznaczyć wskaźnik referencyjny jako istotny, powinny zasięgać opinii</w:t>
            </w:r>
            <w:r>
              <w:rPr>
                <w:b/>
                <w:i/>
              </w:rPr>
              <w:t xml:space="preserve"> ESMA. Z tego samego powodu właściwy organ państwa członkowskiego, który zamierza wyznaczyć jako istotny wskaźnik referencyjny opracowywany przez administratora mającego siedzibę lub miejsce zamieszkania w innym państwie członkowskim, powinien również skon</w:t>
            </w:r>
            <w:r>
              <w:rPr>
                <w:b/>
                <w:i/>
              </w:rPr>
              <w:t>sultować się z właściwym organem tego innego państwa członkowskiego. W przypadku gdy właściwe organy nie zgadzają się co do tego, który z nich powinien wyznaczyć i nadzorować wskaźnik referencyjny, ESMA powinien rozstrzygnąć ten spór zgodnie z art. 19 rozp</w:t>
            </w:r>
            <w:r>
              <w:rPr>
                <w:b/>
                <w:i/>
              </w:rPr>
              <w:t>orządzenia Parlamentu Europejskiego i Rady (UE) nr 1095/2010</w:t>
            </w:r>
            <w:r>
              <w:rPr>
                <w:b/>
                <w:i/>
                <w:vertAlign w:val="superscript"/>
              </w:rPr>
              <w:t>5</w:t>
            </w:r>
            <w:r>
              <w:rPr>
                <w:b/>
                <w:i/>
              </w:rPr>
              <w:t>.</w:t>
            </w:r>
          </w:p>
        </w:tc>
        <w:tc>
          <w:tcPr>
            <w:tcW w:w="4876" w:type="dxa"/>
            <w:hideMark/>
          </w:tcPr>
          <w:p w:rsidR="001762D4" w:rsidRPr="00E73CE2" w:rsidRDefault="000C3E1A">
            <w:pPr>
              <w:pStyle w:val="Normal6"/>
              <w:rPr>
                <w:szCs w:val="24"/>
              </w:rPr>
            </w:pPr>
            <w:r>
              <w:rPr>
                <w:b/>
                <w:i/>
              </w:rPr>
              <w:t>skreśla się</w:t>
            </w:r>
          </w:p>
        </w:tc>
      </w:tr>
      <w:tr w:rsidR="00F707A5" w:rsidTr="001762D4">
        <w:trPr>
          <w:jc w:val="center"/>
        </w:trPr>
        <w:tc>
          <w:tcPr>
            <w:tcW w:w="4876" w:type="dxa"/>
            <w:hideMark/>
          </w:tcPr>
          <w:p w:rsidR="001762D4" w:rsidRPr="00E73CE2" w:rsidRDefault="000C3E1A">
            <w:pPr>
              <w:pStyle w:val="Normal6"/>
            </w:pPr>
            <w:r>
              <w:rPr>
                <w:b/>
                <w:i/>
              </w:rPr>
              <w:t>__________________</w:t>
            </w:r>
          </w:p>
        </w:tc>
        <w:tc>
          <w:tcPr>
            <w:tcW w:w="4876" w:type="dxa"/>
          </w:tcPr>
          <w:p w:rsidR="001762D4" w:rsidRPr="00E73CE2" w:rsidRDefault="001762D4">
            <w:pPr>
              <w:pStyle w:val="Normal6"/>
              <w:rPr>
                <w:szCs w:val="24"/>
                <w:lang w:val="en-GB"/>
              </w:rPr>
            </w:pPr>
          </w:p>
        </w:tc>
      </w:tr>
      <w:tr w:rsidR="00F707A5" w:rsidTr="001762D4">
        <w:trPr>
          <w:jc w:val="center"/>
        </w:trPr>
        <w:tc>
          <w:tcPr>
            <w:tcW w:w="4876" w:type="dxa"/>
            <w:hideMark/>
          </w:tcPr>
          <w:p w:rsidR="001762D4" w:rsidRPr="00E73CE2" w:rsidRDefault="000C3E1A">
            <w:pPr>
              <w:pStyle w:val="Normal6"/>
            </w:pPr>
            <w:r>
              <w:rPr>
                <w:b/>
                <w:bCs/>
                <w:i/>
                <w:iCs/>
                <w:vertAlign w:val="superscript"/>
              </w:rPr>
              <w:t>5</w:t>
            </w:r>
            <w:r>
              <w:rPr>
                <w:b/>
                <w:bCs/>
                <w:i/>
                <w:iCs/>
              </w:rPr>
              <w:t xml:space="preserve"> Rozporządzenie Parlamentu Europejskiego i Rady (UE) nr 1095/2010 </w:t>
            </w:r>
            <w:r>
              <w:rPr>
                <w:b/>
                <w:bCs/>
                <w:i/>
                <w:iCs/>
              </w:rPr>
              <w:lastRenderedPageBreak/>
              <w:t>z dnia 24 listopada 2010 r. w sprawie ustanowienia Europejskiego Urzędu Nadzoru (Europejskiego Urzędu Nadzoru Giełd i Papierów Wartościowych), zmiany decyzji nr 716/2009/WE i uchylenia decyz</w:t>
            </w:r>
            <w:r>
              <w:rPr>
                <w:b/>
                <w:bCs/>
                <w:i/>
                <w:iCs/>
              </w:rPr>
              <w:t>ji Komisji 2009/77/WE (Dz.U. L 331 z 15.12.2010, s. 84).</w:t>
            </w:r>
          </w:p>
        </w:tc>
        <w:tc>
          <w:tcPr>
            <w:tcW w:w="4876" w:type="dxa"/>
          </w:tcPr>
          <w:p w:rsidR="001762D4" w:rsidRPr="003534BF" w:rsidRDefault="001762D4">
            <w:pPr>
              <w:pStyle w:val="Normal6"/>
              <w:rPr>
                <w:szCs w:val="24"/>
              </w:rPr>
            </w:pP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EC2D82" w:rsidRPr="003534BF" w:rsidRDefault="000C3E1A" w:rsidP="00EC2D82">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78</w:t>
      </w:r>
      <w:r>
        <w:rPr>
          <w:rStyle w:val="HideTWBExt"/>
          <w:b w:val="0"/>
          <w:lang w:val="en-GB"/>
        </w:rPr>
        <w:t>&lt;/NumAm&gt;</w:t>
      </w:r>
    </w:p>
    <w:p w:rsidR="00EC2D82" w:rsidRPr="003534BF" w:rsidRDefault="000C3E1A" w:rsidP="00EC2D82">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EC2D82" w:rsidRPr="00E73CE2" w:rsidRDefault="000C3E1A" w:rsidP="00EC2D82">
      <w:r>
        <w:rPr>
          <w:rStyle w:val="HideTWBExt"/>
        </w:rPr>
        <w:t>&lt;/RepeatBlock-By&gt;</w:t>
      </w:r>
    </w:p>
    <w:p w:rsidR="00EC2D82" w:rsidRPr="00E73CE2" w:rsidRDefault="000C3E1A" w:rsidP="00EC2D82">
      <w:pPr>
        <w:pStyle w:val="NormalBold"/>
        <w:keepNext/>
      </w:pPr>
      <w:r>
        <w:rPr>
          <w:rStyle w:val="HideTWBExt"/>
          <w:b w:val="0"/>
        </w:rPr>
        <w:t>&lt;DocAmend&gt;</w:t>
      </w:r>
      <w:r>
        <w:t>Wniosek dotyczący rozporządzenia</w:t>
      </w:r>
      <w:r>
        <w:rPr>
          <w:rStyle w:val="HideTWBExt"/>
          <w:b w:val="0"/>
        </w:rPr>
        <w:t>&lt;/DocAmend&gt;</w:t>
      </w:r>
    </w:p>
    <w:p w:rsidR="00EC2D82" w:rsidRPr="00E73CE2" w:rsidRDefault="000C3E1A" w:rsidP="00EC2D82">
      <w:pPr>
        <w:pStyle w:val="NormalBold"/>
      </w:pPr>
      <w:r>
        <w:rPr>
          <w:rStyle w:val="HideTWBExt"/>
          <w:b w:val="0"/>
        </w:rPr>
        <w:t>&lt;Article&gt;</w:t>
      </w:r>
      <w:r>
        <w:t>Motyw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EC2D82">
        <w:trPr>
          <w:jc w:val="center"/>
        </w:trPr>
        <w:tc>
          <w:tcPr>
            <w:tcW w:w="9752" w:type="dxa"/>
            <w:gridSpan w:val="2"/>
          </w:tcPr>
          <w:p w:rsidR="00EC2D82" w:rsidRPr="00E73CE2" w:rsidRDefault="00EC2D82" w:rsidP="00EC2D82">
            <w:pPr>
              <w:keepNext/>
            </w:pPr>
          </w:p>
        </w:tc>
      </w:tr>
      <w:tr w:rsidR="00F707A5" w:rsidTr="00EC2D82">
        <w:trPr>
          <w:jc w:val="center"/>
        </w:trPr>
        <w:tc>
          <w:tcPr>
            <w:tcW w:w="4876" w:type="dxa"/>
            <w:hideMark/>
          </w:tcPr>
          <w:p w:rsidR="00EC2D82" w:rsidRPr="00E73CE2" w:rsidRDefault="000C3E1A" w:rsidP="00EC2D82">
            <w:pPr>
              <w:pStyle w:val="ColumnHeading"/>
              <w:keepNext/>
            </w:pPr>
            <w:r>
              <w:t>Tekst proponowany przez Komisję</w:t>
            </w:r>
          </w:p>
        </w:tc>
        <w:tc>
          <w:tcPr>
            <w:tcW w:w="4876" w:type="dxa"/>
            <w:hideMark/>
          </w:tcPr>
          <w:p w:rsidR="00EC2D82" w:rsidRPr="00E73CE2" w:rsidRDefault="000C3E1A" w:rsidP="00EC2D82">
            <w:pPr>
              <w:pStyle w:val="ColumnHeading"/>
              <w:keepNext/>
            </w:pPr>
            <w:r>
              <w:t>Poprawka</w:t>
            </w:r>
          </w:p>
        </w:tc>
      </w:tr>
      <w:tr w:rsidR="00F707A5" w:rsidTr="00EC2D82">
        <w:trPr>
          <w:jc w:val="center"/>
        </w:trPr>
        <w:tc>
          <w:tcPr>
            <w:tcW w:w="4876" w:type="dxa"/>
            <w:hideMark/>
          </w:tcPr>
          <w:p w:rsidR="00EC2D82" w:rsidRPr="00E73CE2" w:rsidRDefault="000C3E1A" w:rsidP="00EC2D82">
            <w:pPr>
              <w:pStyle w:val="Normal6"/>
            </w:pPr>
            <w:r>
              <w:t>(12)</w:t>
            </w:r>
            <w:r>
              <w:tab/>
              <w:t xml:space="preserve">Unijne wskaźniki referencyjne transformacji klimatycznej i unijne wskaźniki referencyjne dostosowane do porozumienia paryskiego to </w:t>
            </w:r>
            <w:r>
              <w:t>szczególne kategorie wskaźników referencyjnych, które określa się na podstawie ich zgodności z przepisami regulującymi ich metodę i </w:t>
            </w:r>
            <w:r>
              <w:rPr>
                <w:b/>
                <w:i/>
              </w:rPr>
              <w:t>informacje ujawniane</w:t>
            </w:r>
            <w:r>
              <w:t xml:space="preserve"> przez ich administratora. Z tego powodu oraz aby zapobiec twierdzeniom, które mogłyby skłonić użytkowni</w:t>
            </w:r>
            <w:r>
              <w:t>ków do myślenia, że takie wskaźniki referencyjne są zgodne ze standardami przypisanymi do tych oznaczeń, konieczne jest poddanie tych wskaźników referencyjnych obowiązkowej rejestracji</w:t>
            </w:r>
            <w:r>
              <w:rPr>
                <w:b/>
                <w:i/>
              </w:rPr>
              <w:t xml:space="preserve"> lub</w:t>
            </w:r>
            <w:r>
              <w:t xml:space="preserve"> obowiązkowemu uzyskaniu zezwolenia, stosownie do przypadku, oraz na</w:t>
            </w:r>
            <w:r>
              <w:t>dzorowi.</w:t>
            </w:r>
          </w:p>
        </w:tc>
        <w:tc>
          <w:tcPr>
            <w:tcW w:w="4876" w:type="dxa"/>
            <w:hideMark/>
          </w:tcPr>
          <w:p w:rsidR="00EC2D82" w:rsidRPr="00E73CE2" w:rsidRDefault="000C3E1A" w:rsidP="00EC2D82">
            <w:pPr>
              <w:pStyle w:val="Normal6"/>
              <w:rPr>
                <w:szCs w:val="24"/>
              </w:rPr>
            </w:pPr>
            <w:r>
              <w:t>(12)</w:t>
            </w:r>
            <w:r>
              <w:tab/>
              <w:t>Unijne wskaźniki referencyjne transformacji klimatycznej i unijne wskaźniki referencyjne dostosowane do porozumienia paryskiego to szczególne kategorie wskaźników referencyjnych, które określa się na podstawie ich zgodności z przepisami regul</w:t>
            </w:r>
            <w:r>
              <w:t>ującymi ich metodę i </w:t>
            </w:r>
            <w:r>
              <w:rPr>
                <w:b/>
                <w:i/>
              </w:rPr>
              <w:t>z wymogami dotyczącymi ujawniania informacji</w:t>
            </w:r>
            <w:r>
              <w:t xml:space="preserve"> przez ich administratora. Z tego powodu oraz aby zapobiec twierdzeniom, które mogłyby skłonić użytkowników do myślenia, że takie wskaźniki referencyjne są zgodne ze standardami przypisanymi </w:t>
            </w:r>
            <w:r>
              <w:t>do tych oznaczeń, konieczne jest poddanie tych wskaźników referencyjnych obowiązkowej rejestracji</w:t>
            </w:r>
            <w:r>
              <w:rPr>
                <w:b/>
                <w:i/>
              </w:rPr>
              <w:t>,</w:t>
            </w:r>
            <w:r>
              <w:t xml:space="preserve"> obowiązkowemu uzyskaniu zezwolenia</w:t>
            </w:r>
            <w:r>
              <w:rPr>
                <w:b/>
                <w:i/>
              </w:rPr>
              <w:t xml:space="preserve"> lub uznaniu</w:t>
            </w:r>
            <w:r>
              <w:t>, stosownie do przypadku, oraz nadzorowi.</w:t>
            </w:r>
          </w:p>
        </w:tc>
      </w:tr>
    </w:tbl>
    <w:p w:rsidR="00EC2D82" w:rsidRPr="00E73CE2" w:rsidRDefault="000C3E1A" w:rsidP="00EC2D82">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E73CE2" w:rsidRPr="003534BF" w:rsidRDefault="000C3E1A" w:rsidP="00E73CE2">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79</w:t>
      </w:r>
      <w:r>
        <w:rPr>
          <w:rStyle w:val="HideTWBExt"/>
          <w:b w:val="0"/>
          <w:lang w:val="en-GB"/>
        </w:rPr>
        <w:t>&lt;</w:t>
      </w:r>
      <w:r>
        <w:rPr>
          <w:rStyle w:val="HideTWBExt"/>
          <w:b w:val="0"/>
          <w:lang w:val="en-GB"/>
        </w:rPr>
        <w: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lastRenderedPageBreak/>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(12)</w:t>
            </w:r>
            <w:r>
              <w:tab/>
              <w:t xml:space="preserve">Unijne wskaźniki referencyjne transformacji </w:t>
            </w:r>
            <w:r>
              <w:t>klimatycznej i unijne wskaźniki referencyjne dostosowane do porozumienia paryskiego to szczególne kategorie wskaźników referencyjnych, które określa się na podstawie ich zgodności z przepisami regulującymi ich metodę i </w:t>
            </w:r>
            <w:r>
              <w:rPr>
                <w:b/>
                <w:i/>
              </w:rPr>
              <w:t>informacje ujawniane</w:t>
            </w:r>
            <w:r>
              <w:t xml:space="preserve"> przez ich </w:t>
            </w:r>
            <w:r>
              <w:rPr>
                <w:b/>
                <w:i/>
              </w:rPr>
              <w:t>admini</w:t>
            </w:r>
            <w:r>
              <w:rPr>
                <w:b/>
                <w:i/>
              </w:rPr>
              <w:t>stratora</w:t>
            </w:r>
            <w:r>
              <w:t>. Z tego powodu oraz aby zapobiec twierdzeniom, które mogłyby skłonić użytkowników do myślenia, że takie wskaźniki referencyjne są zgodne ze standardami przypisanymi do tych oznaczeń, konieczne jest poddanie tych wskaźników referencyjnych obowiązko</w:t>
            </w:r>
            <w:r>
              <w:t>wej rejestracji</w:t>
            </w:r>
            <w:r>
              <w:rPr>
                <w:b/>
                <w:i/>
              </w:rPr>
              <w:t xml:space="preserve"> lub</w:t>
            </w:r>
            <w:r>
              <w:t xml:space="preserve"> obowiązkowemu uzyskaniu zezwolenia, stosownie do przypadku, oraz nadzorowi.</w:t>
            </w:r>
          </w:p>
        </w:tc>
        <w:tc>
          <w:tcPr>
            <w:tcW w:w="4876" w:type="dxa"/>
            <w:hideMark/>
          </w:tcPr>
          <w:p w:rsidR="001762D4" w:rsidRPr="00E73CE2" w:rsidRDefault="000C3E1A">
            <w:pPr>
              <w:pStyle w:val="Normal6"/>
              <w:rPr>
                <w:szCs w:val="24"/>
              </w:rPr>
            </w:pPr>
            <w:r>
              <w:t>(12)</w:t>
            </w:r>
            <w:r>
              <w:tab/>
              <w:t>Unijne wskaźniki referencyjne transformacji klimatycznej i unijne wskaźniki referencyjne dostosowane do porozumienia paryskiego to szczególne kategorie wsk</w:t>
            </w:r>
            <w:r>
              <w:t>aźników referencyjnych, które określa się na podstawie ich zgodności z przepisami regulującymi ich metodę i </w:t>
            </w:r>
            <w:r>
              <w:rPr>
                <w:b/>
                <w:i/>
              </w:rPr>
              <w:t>wymogi dotyczące ujawniania informacji</w:t>
            </w:r>
            <w:r>
              <w:t xml:space="preserve"> przez ich </w:t>
            </w:r>
            <w:r>
              <w:rPr>
                <w:b/>
                <w:i/>
              </w:rPr>
              <w:t>administratorów</w:t>
            </w:r>
            <w:r>
              <w:t>. Z tego powodu oraz aby zapobiec twierdzeniom, które mogłyby skłonić użytkowników d</w:t>
            </w:r>
            <w:r>
              <w:t>o myślenia, że takie wskaźniki referencyjne są zgodne ze standardami przypisanymi do tych oznaczeń, konieczne jest poddanie tych wskaźników referencyjnych obowiązkowej rejestracji</w:t>
            </w:r>
            <w:r>
              <w:rPr>
                <w:b/>
                <w:i/>
              </w:rPr>
              <w:t>,</w:t>
            </w:r>
            <w:r>
              <w:t xml:space="preserve"> obowiązkowemu uzyskaniu zezwolenia</w:t>
            </w:r>
            <w:r>
              <w:rPr>
                <w:b/>
                <w:i/>
              </w:rPr>
              <w:t>, uznaniu lub zatwierdzeniu</w:t>
            </w:r>
            <w:r>
              <w:t>, stosownie do</w:t>
            </w:r>
            <w:r>
              <w:t xml:space="preserve"> przypadku, oraz nadzorowi.</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Większość wskaźników klimatycznych jest opracowywana przez administratorów spoza UE. Unijne oznakowanie ESG powinno być również dostępne dla uznanych lub </w:t>
      </w:r>
      <w:r>
        <w:t>zatwierdzonych administratorów z państw trzecich, pod warunkiem, że spełniają wszystkie wymogi dotyczące oznakowania ESG określone w rozporządzeniu o wskaźnikach referencyjnych.</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80</w:t>
      </w:r>
      <w:r w:rsidRPr="003534BF">
        <w:rPr>
          <w:rStyle w:val="HideTWBExt"/>
          <w:b w:val="0"/>
        </w:rPr>
        <w:t>&lt;/NumAm&gt;</w:t>
      </w:r>
    </w:p>
    <w:p w:rsidR="001762D4" w:rsidRPr="00E73CE2" w:rsidRDefault="000C3E1A" w:rsidP="001762D4">
      <w:pPr>
        <w:pStyle w:val="NormalBold"/>
      </w:pPr>
      <w:r>
        <w:rPr>
          <w:rStyle w:val="HideTWBExt"/>
          <w:b w:val="0"/>
        </w:rPr>
        <w:t>&lt;RepeatBlock-By&gt;&lt;Members&gt;</w:t>
      </w:r>
      <w:r>
        <w:t>Gilles Bo</w:t>
      </w:r>
      <w:r>
        <w:t>yer, Stéphanie Yon-Courtin, Olivier Chastel</w:t>
      </w:r>
      <w:r>
        <w:rPr>
          <w:rStyle w:val="HideTWBExt"/>
          <w:b w:val="0"/>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12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(12a)</w:t>
            </w:r>
            <w:r>
              <w:rPr>
                <w:b/>
                <w:i/>
              </w:rPr>
              <w:tab/>
              <w:t xml:space="preserve">Podejście regulacyjne do towarowych </w:t>
            </w:r>
            <w:r>
              <w:rPr>
                <w:b/>
                <w:i/>
              </w:rPr>
              <w:t xml:space="preserve">wskaźników referencyjnych powinno być dostosowane do ich specyfiki. Towarowe wskaźniki </w:t>
            </w:r>
            <w:r>
              <w:rPr>
                <w:b/>
                <w:i/>
              </w:rPr>
              <w:lastRenderedPageBreak/>
              <w:t>referencyjne podlegające ogólnym zasadom dotyczącym finansowych wskaźników referencyjnych należy traktować tak samo jak inne finansowe wskaźniki referencyjne, a rozporzą</w:t>
            </w:r>
            <w:r>
              <w:rPr>
                <w:b/>
                <w:i/>
              </w:rPr>
              <w:t>dzeniem (UE) 2016/1011 powinny być objęte tylko wtedy, gdy są to istotne lub kluczowe wskaźniki referencyjne i nie zostały wyłączone z zakresu niniejszego rozporządzenia. Towarowe wskaźniki referencyjne podlegające szczególnemu systemowi określonemu w załą</w:t>
            </w:r>
            <w:r>
              <w:rPr>
                <w:b/>
                <w:i/>
              </w:rPr>
              <w:t>czniku II do rozporządzenia (UE) 2016/1011 powinny zawsze być objęte tym rozporządzeniem, ponieważ istnieje mniej zabezpieczeń gwarantujących solidność metod gromadzenia danych na potrzeby wskaźnika referencyjnego oraz produkcji tego wskaźnika.</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w:t>
      </w:r>
      <w:r w:rsidRPr="00E73CE2">
        <w:rPr>
          <w:rStyle w:val="HideTWBExt"/>
          <w:noProof w:val="0"/>
          <w:lang w:val="en-GB"/>
        </w:rPr>
        <w:t>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81</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przez </w:t>
            </w:r>
            <w:r>
              <w:t>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(13)</w:t>
            </w:r>
            <w:r>
              <w:tab/>
              <w:t>Aby zapewnić terminowe rozpoczęcie nadzoru nad istotnymi wskaźnikami referencyjnymi, administratorzy wskaźników referencyjnych, które stały się istotne wskutek osiągnięcia mającego zastosowanie progu ilościowego</w:t>
            </w:r>
            <w:r>
              <w:rPr>
                <w:b/>
                <w:i/>
              </w:rPr>
              <w:t xml:space="preserve"> albo wyznaczenia</w:t>
            </w:r>
            <w:r>
              <w:t>, pow</w:t>
            </w:r>
            <w:r>
              <w:t>inni być zobowiązani do ubiegania się w terminie 60 dni roboczych o udzielenie zezwolenia lub o rejestrację lub – w przypadku wskaźników referencyjnych opracowywanych przez administratora mającego siedzibę lub miejsce zamieszkania w państwie trzecim – o za</w:t>
            </w:r>
            <w:r>
              <w:t>twierdzenie lub uznanie.</w:t>
            </w:r>
          </w:p>
        </w:tc>
        <w:tc>
          <w:tcPr>
            <w:tcW w:w="4876" w:type="dxa"/>
            <w:hideMark/>
          </w:tcPr>
          <w:p w:rsidR="001762D4" w:rsidRPr="00E73CE2" w:rsidRDefault="000C3E1A">
            <w:pPr>
              <w:pStyle w:val="Normal6"/>
              <w:rPr>
                <w:szCs w:val="24"/>
              </w:rPr>
            </w:pPr>
            <w:r>
              <w:t>(13)</w:t>
            </w:r>
            <w:r>
              <w:tab/>
              <w:t xml:space="preserve">Aby zapewnić terminowe rozpoczęcie nadzoru nad istotnymi wskaźnikami referencyjnymi, administratorzy wskaźników referencyjnych, które stały się istotne wskutek osiągnięcia mającego zastosowanie progu ilościowego, powinni być </w:t>
            </w:r>
            <w:r>
              <w:t>zobowiązani do ubiegania się w terminie 60 dni roboczych o udzielenie zezwolenia lub o rejestrację lub – w przypadku wskaźników referencyjnych opracowywanych przez administratora mającego siedzibę lub miejsce zamieszkania w państwie trzecim – o zatwierdzen</w:t>
            </w:r>
            <w:r>
              <w:t>ie lub uznanie.</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82</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w:t>
      </w:r>
      <w:r>
        <w:rPr>
          <w:rStyle w:val="HideTWBExt"/>
          <w:b w:val="0"/>
        </w:rPr>
        <w:t>ticle&gt;</w:t>
      </w:r>
      <w:r>
        <w:t>Motyw 20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(20a)</w:t>
            </w:r>
            <w:r>
              <w:rPr>
                <w:b/>
                <w:i/>
              </w:rPr>
              <w:tab/>
              <w:t>W rozporządzeniu (UE) 2019/2089 wprowadzono przepisy dotyczące przejrzystości wskaźników referencyjnych, w przypadku których deklaruje się, w komunikacji marketingowej lub</w:t>
            </w:r>
            <w:r>
              <w:rPr>
                <w:b/>
                <w:i/>
              </w:rPr>
              <w:t xml:space="preserve"> prawnej, że przy ich projektowaniu uwzględniono czynniki z zakresu ochrony środowiska, polityki społecznej i ładu korporacyjnego (ESG). Aby zachować wysoki poziom przejrzystości wokół deklaracji związanych z ESG oraz odpowiedni poziom ochrony użytkowników</w:t>
            </w:r>
            <w:r>
              <w:rPr>
                <w:b/>
                <w:i/>
              </w:rPr>
              <w:t>, należy nałożyć wymóg, aby użytkownicy wskaźników referencyjnych, w przypadku których deklaruje się uwzględnienie czynników ESG, nie stosowali takich wskaźników referencyjnych, jeżeli nie otrzymali informacji, o których mowa w art. 13 ust. 1 lit. d) i art</w:t>
            </w:r>
            <w:r>
              <w:rPr>
                <w:b/>
                <w:i/>
              </w:rPr>
              <w:t>. 27 ust. 2a rozporządzenia (UE) 2016/1011, a ujawniane informacje nie spełniają wymogów rozporządzenia (UE) 2019/2088. Powinno to mieć zastosowanie do każdego wskaźnika referencyjnego, co do którego deklaruje się, że przy jego projektowaniu uwzględniono c</w:t>
            </w:r>
            <w:r>
              <w:rPr>
                <w:b/>
                <w:i/>
              </w:rPr>
              <w:t>zynniki ESG, niezależnie od tego, czy taki wskaźnik referencyjny jest administrowany w Unii, czy w państwie trzecim.</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83</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Pr>
          <w:rStyle w:val="HideTWBExt"/>
          <w:b w:val="0"/>
        </w:rPr>
        <w:t>&lt;Article&gt;</w:t>
      </w:r>
      <w:r>
        <w:t>Motyw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(21)</w:t>
            </w:r>
            <w:r>
              <w:tab/>
              <w:t>Aby zapewnić sprawne przejście na przepisy wprowadzone niniejszym rozporządzeniem</w:t>
            </w:r>
            <w:r>
              <w:rPr>
                <w:b/>
                <w:i/>
              </w:rPr>
              <w:t xml:space="preserve"> oraz uniknąć sytuacji</w:t>
            </w:r>
            <w:r>
              <w:t xml:space="preserve">, </w:t>
            </w:r>
            <w:r>
              <w:rPr>
                <w:b/>
                <w:i/>
              </w:rPr>
              <w:t>w </w:t>
            </w:r>
            <w:r>
              <w:rPr>
                <w:b/>
                <w:i/>
              </w:rPr>
              <w:t>której administratorzy muszą przechodzić procedurę rejestracji</w:t>
            </w:r>
            <w:r>
              <w:t xml:space="preserve"> lub </w:t>
            </w:r>
            <w:r>
              <w:rPr>
                <w:b/>
                <w:i/>
              </w:rPr>
              <w:t>uzyskania zezwolenia więcej niż jeden raz, właściwe organy i ESMA powinny przewidzieć mniej uciążliwe procedury składania wniosków w przypadku administratorów</w:t>
            </w:r>
            <w:r>
              <w:t xml:space="preserve">, </w:t>
            </w:r>
            <w:r>
              <w:rPr>
                <w:b/>
                <w:i/>
              </w:rPr>
              <w:t>którzy już uzyskali</w:t>
            </w:r>
            <w:r>
              <w:t xml:space="preserve"> zezwoleni</w:t>
            </w:r>
            <w:r>
              <w:t>e</w:t>
            </w:r>
            <w:r>
              <w:rPr>
                <w:b/>
                <w:i/>
              </w:rPr>
              <w:t>, zostali zarejestrowani, zatwierdzeni lub uznani i którzy ubiegają się o nowe zezwolenie</w:t>
            </w:r>
            <w:r>
              <w:t xml:space="preserve">, </w:t>
            </w:r>
            <w:r>
              <w:rPr>
                <w:b/>
                <w:i/>
              </w:rPr>
              <w:t>nową rejestrację</w:t>
            </w:r>
            <w:r>
              <w:t xml:space="preserve">, </w:t>
            </w:r>
            <w:r>
              <w:rPr>
                <w:b/>
                <w:i/>
              </w:rPr>
              <w:t>nowe zatwierdzenie lub uznanie w ciągu dwóch lat od daty rozpoczęcia stosowania niniejszego rozporządzenia zmieniającego</w:t>
            </w:r>
            <w:r>
              <w:t>.</w:t>
            </w:r>
          </w:p>
        </w:tc>
        <w:tc>
          <w:tcPr>
            <w:tcW w:w="4876" w:type="dxa"/>
            <w:hideMark/>
          </w:tcPr>
          <w:p w:rsidR="001762D4" w:rsidRPr="00E73CE2" w:rsidRDefault="000C3E1A">
            <w:pPr>
              <w:pStyle w:val="Normal6"/>
              <w:rPr>
                <w:szCs w:val="24"/>
              </w:rPr>
            </w:pPr>
            <w:r>
              <w:t>(21)</w:t>
            </w:r>
            <w:r>
              <w:tab/>
              <w:t>Aby zapewnić sprawn</w:t>
            </w:r>
            <w:r>
              <w:t>e przejście na przepisy wprowadzone niniejszym rozporządzeniem</w:t>
            </w:r>
            <w:r>
              <w:rPr>
                <w:b/>
                <w:i/>
              </w:rPr>
              <w:t>, administratorzy</w:t>
            </w:r>
            <w:r>
              <w:t xml:space="preserve">, </w:t>
            </w:r>
            <w:r>
              <w:rPr>
                <w:b/>
                <w:i/>
              </w:rPr>
              <w:t>którzy uprzednio zostali zarejestrowani, uznani</w:t>
            </w:r>
            <w:r>
              <w:t xml:space="preserve"> lub </w:t>
            </w:r>
            <w:r>
              <w:rPr>
                <w:b/>
                <w:i/>
              </w:rPr>
              <w:t>zatwierdzeni, uzyskali zezwolenie bądź otrzymali decyzję o równoważnym skutku na podstawie rozporządzenia (UE) 2016/1011, p</w:t>
            </w:r>
            <w:r>
              <w:rPr>
                <w:b/>
                <w:i/>
              </w:rPr>
              <w:t>owinni utrzymać swój status bez konieczności ponownego składania wniosku</w:t>
            </w:r>
            <w:r>
              <w:t xml:space="preserve">, </w:t>
            </w:r>
            <w:r>
              <w:rPr>
                <w:b/>
                <w:i/>
              </w:rPr>
              <w:t>o ile administrują jakimkolwiek wskaźnikiem referencyjnym objętym zakresem rozporządzenia lub dobrowolnie postanowią stosować rozporządzenie</w:t>
            </w:r>
            <w:r>
              <w:t>.</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84</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 – litera a</w:t>
      </w:r>
      <w:r w:rsidRPr="003534BF">
        <w:rPr>
          <w:rStyle w:val="HideTWBExt"/>
          <w:b w:val="0"/>
        </w:rPr>
        <w:t>&lt;/Article&gt;</w:t>
      </w:r>
    </w:p>
    <w:p w:rsidR="001762D4" w:rsidRPr="00E73CE2" w:rsidRDefault="000C3E1A" w:rsidP="001762D4">
      <w:pPr>
        <w:keepNext/>
      </w:pPr>
      <w:r w:rsidRPr="003534BF">
        <w:rPr>
          <w:rStyle w:val="HideTWBExt"/>
        </w:rPr>
        <w:t>&lt;DocAmend2&gt;</w:t>
      </w:r>
      <w:r>
        <w:t xml:space="preserve">Rozporządzenie </w:t>
      </w:r>
      <w:r>
        <w:t>(UE) 2016/1011</w:t>
      </w:r>
      <w:r w:rsidRPr="003534BF">
        <w:rPr>
          <w:rStyle w:val="HideTWBExt"/>
        </w:rPr>
        <w:t>&lt;/DocAmend2&gt;</w:t>
      </w:r>
    </w:p>
    <w:p w:rsidR="001762D4" w:rsidRPr="00E73CE2" w:rsidRDefault="000C3E1A" w:rsidP="001762D4">
      <w:r>
        <w:rPr>
          <w:rStyle w:val="HideTWBExt"/>
          <w:lang w:val="fr-FR"/>
        </w:rPr>
        <w:t>&lt;Article2&gt;</w:t>
      </w:r>
      <w:r>
        <w:t>Artykuł 2 – ustęp 1a</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1a.</w:t>
            </w:r>
            <w:r>
              <w:tab/>
            </w:r>
            <w:r>
              <w:t xml:space="preserve">Tytuły II, III, IV i VI stosuje się wyłącznie w odniesieniu do kluczowych wskaźników referencyjnych, istotnych wskaźników referencyjnych, unijnych wskaźników referencyjnych transformacji klimatycznej </w:t>
            </w:r>
            <w:r>
              <w:rPr>
                <w:b/>
                <w:i/>
              </w:rPr>
              <w:t>i </w:t>
            </w:r>
            <w:r>
              <w:t>unijnych wskaźników referencyjnych dostosowanych do po</w:t>
            </w:r>
            <w:r>
              <w:t>rozumienia paryskiego.”;</w:t>
            </w:r>
          </w:p>
        </w:tc>
        <w:tc>
          <w:tcPr>
            <w:tcW w:w="4876" w:type="dxa"/>
            <w:hideMark/>
          </w:tcPr>
          <w:p w:rsidR="001762D4" w:rsidRPr="00E73CE2" w:rsidRDefault="000C3E1A">
            <w:pPr>
              <w:pStyle w:val="Normal6"/>
              <w:rPr>
                <w:szCs w:val="24"/>
              </w:rPr>
            </w:pPr>
            <w:r>
              <w:t>1a.</w:t>
            </w:r>
            <w:r>
              <w:tab/>
              <w:t xml:space="preserve">Tytuły II, III, </w:t>
            </w:r>
            <w:r>
              <w:rPr>
                <w:b/>
                <w:i/>
              </w:rPr>
              <w:t xml:space="preserve">z wyjątkiem art. 23a–23d, </w:t>
            </w:r>
            <w:r>
              <w:t>IV i VI stosuje się wyłącznie w odniesieniu do kluczowych wskaźników referencyjnych, istotnych wskaźników referencyjnych, unijnych wskaźników referencyjnych transformacji klimatycznej</w:t>
            </w:r>
            <w:r>
              <w:rPr>
                <w:b/>
                <w:i/>
              </w:rPr>
              <w:t>,</w:t>
            </w:r>
            <w:r>
              <w:t xml:space="preserve"> </w:t>
            </w:r>
            <w:r>
              <w:t>unijnych wskaźników referencyjnych dostosowanych do porozumienia paryskiego</w:t>
            </w:r>
            <w:r>
              <w:rPr>
                <w:b/>
                <w:i/>
              </w:rPr>
              <w:t xml:space="preserve"> i wskaźników referencyjnych </w:t>
            </w:r>
            <w:r>
              <w:rPr>
                <w:b/>
                <w:i/>
              </w:rPr>
              <w:lastRenderedPageBreak/>
              <w:t>ESG. Tytuł III, z wyjątkiem art. 23a–23d, oraz tytuły IV i VI stosuje się do towarowych wskaźników referencyjnych objętych załącznikiem II</w:t>
            </w:r>
            <w:r>
              <w:t>.”;</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w:t>
      </w:r>
      <w:r w:rsidRPr="00E73CE2">
        <w:rPr>
          <w:rStyle w:val="HideTWBExt"/>
          <w:noProof w:val="0"/>
          <w:lang w:val="en-GB"/>
        </w:rPr>
        <w:t>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85</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w:t>
      </w:r>
      <w:r>
        <w:t xml:space="preserve"> – punkt 1 – litera a</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Pr>
          <w:rStyle w:val="HideTWBExt"/>
          <w:lang w:val="fr-FR"/>
        </w:rPr>
        <w:t>&lt;Article2&gt;</w:t>
      </w:r>
      <w:r>
        <w:t>Artykuł 2 – ustęp 1a</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1a.</w:t>
            </w:r>
            <w:r>
              <w:tab/>
              <w:t xml:space="preserve">Tytuły II, III, IV i VI stosuje się wyłącznie w odniesieniu do kluczowych </w:t>
            </w:r>
            <w:r>
              <w:t>wskaźników referencyjnych, istotnych wskaźników referencyjnych, unijnych wskaźników referencyjnych transformacji klimatycznej i</w:t>
            </w:r>
            <w:r>
              <w:rPr>
                <w:b/>
                <w:i/>
              </w:rPr>
              <w:t> </w:t>
            </w:r>
            <w:r>
              <w:t>unijnych wskaźników referencyjnych dostosowanych do porozumienia paryskiego.”;</w:t>
            </w:r>
          </w:p>
        </w:tc>
        <w:tc>
          <w:tcPr>
            <w:tcW w:w="4876" w:type="dxa"/>
            <w:hideMark/>
          </w:tcPr>
          <w:p w:rsidR="001762D4" w:rsidRPr="00E73CE2" w:rsidRDefault="000C3E1A">
            <w:pPr>
              <w:pStyle w:val="Normal6"/>
              <w:rPr>
                <w:szCs w:val="24"/>
              </w:rPr>
            </w:pPr>
            <w:r>
              <w:t>1a.</w:t>
            </w:r>
            <w:r>
              <w:tab/>
              <w:t xml:space="preserve">Tytuły II, III, </w:t>
            </w:r>
            <w:r>
              <w:rPr>
                <w:b/>
                <w:i/>
              </w:rPr>
              <w:t xml:space="preserve">z wyjątkiem art. 23a–23c, </w:t>
            </w:r>
            <w:r>
              <w:t xml:space="preserve">IV </w:t>
            </w:r>
            <w:r>
              <w:t xml:space="preserve">i VI stosuje się wyłącznie w odniesieniu do kluczowych wskaźników referencyjnych, istotnych wskaźników referencyjnych, </w:t>
            </w:r>
            <w:r>
              <w:rPr>
                <w:b/>
                <w:i/>
              </w:rPr>
              <w:t xml:space="preserve">towarowych wskaźników referencyjnych objętych załącznikiem II, </w:t>
            </w:r>
            <w:r>
              <w:t>unijnych wskaźników referencyjnych transformacji klimatycznej i</w:t>
            </w:r>
            <w:r>
              <w:rPr>
                <w:b/>
                <w:i/>
              </w:rPr>
              <w:t xml:space="preserve"> </w:t>
            </w:r>
            <w:r>
              <w:t>unijnych w</w:t>
            </w:r>
            <w:r>
              <w:t>skaźników referencyjnych dostosowanych do porozumienia paryskiego.”;</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86</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 – litera b</w:t>
      </w:r>
      <w:r w:rsidRPr="003534BF">
        <w:rPr>
          <w:rStyle w:val="HideTWBExt"/>
          <w:b w:val="0"/>
        </w:rPr>
        <w:t>&lt;/Article&gt;</w:t>
      </w:r>
    </w:p>
    <w:p w:rsidR="001762D4" w:rsidRPr="00E73CE2" w:rsidRDefault="000C3E1A" w:rsidP="001762D4">
      <w:pPr>
        <w:keepNext/>
      </w:pPr>
      <w:r>
        <w:rPr>
          <w:rStyle w:val="HideTWBExt"/>
        </w:rPr>
        <w:t>&lt;DocAmend2&gt;</w:t>
      </w:r>
      <w:r>
        <w:t>Rozporządzenie (UE) 2016/1011</w:t>
      </w:r>
      <w:r>
        <w:rPr>
          <w:rStyle w:val="HideTWBExt"/>
        </w:rPr>
        <w:t>&lt;/DocAmend2&gt;</w:t>
      </w:r>
    </w:p>
    <w:p w:rsidR="001762D4" w:rsidRPr="00E73CE2" w:rsidRDefault="000C3E1A" w:rsidP="001762D4">
      <w:r>
        <w:rPr>
          <w:rStyle w:val="HideTWBExt"/>
        </w:rPr>
        <w:t>&lt;Article2&gt;</w:t>
      </w:r>
      <w:r>
        <w:t>Artykuł 2 – ustęp 2 – litera g oraz litera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b)</w:t>
            </w:r>
            <w:r>
              <w:rPr>
                <w:b/>
                <w:i/>
              </w:rPr>
              <w:tab/>
              <w:t xml:space="preserve">w ust. 2 uchyla </w:t>
            </w:r>
            <w:r>
              <w:rPr>
                <w:b/>
                <w:i/>
              </w:rPr>
              <w:t>się lit. g) i i);</w:t>
            </w:r>
          </w:p>
        </w:tc>
        <w:tc>
          <w:tcPr>
            <w:tcW w:w="4876" w:type="dxa"/>
            <w:hideMark/>
          </w:tcPr>
          <w:p w:rsidR="001762D4" w:rsidRPr="00E73CE2" w:rsidRDefault="000C3E1A">
            <w:pPr>
              <w:pStyle w:val="Normal6"/>
              <w:rPr>
                <w:szCs w:val="24"/>
              </w:rPr>
            </w:pPr>
            <w:r>
              <w:rPr>
                <w:b/>
                <w:i/>
              </w:rPr>
              <w:t>skreśla się</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E73CE2" w:rsidRDefault="000C3E1A" w:rsidP="001762D4">
      <w:pPr>
        <w:pStyle w:val="JustificationTitle"/>
        <w:rPr>
          <w:noProof w:val="0"/>
        </w:rPr>
      </w:pPr>
      <w:r>
        <w:rPr>
          <w:rStyle w:val="HideTWBExt"/>
          <w:i w:val="0"/>
          <w:lang w:val="en-GB"/>
        </w:rPr>
        <w:t>&lt;TitreJust&gt;</w:t>
      </w:r>
      <w:r>
        <w:t>Uzasadnienie</w:t>
      </w:r>
      <w:r>
        <w:rPr>
          <w:rStyle w:val="HideTWBExt"/>
          <w:i w:val="0"/>
          <w:lang w:val="en-GB"/>
        </w:rPr>
        <w:t>&lt;/TitreJust&gt;</w:t>
      </w:r>
    </w:p>
    <w:p w:rsidR="001762D4" w:rsidRPr="00E73CE2" w:rsidRDefault="000C3E1A" w:rsidP="001762D4">
      <w:pPr>
        <w:pStyle w:val="Normal12Italic"/>
        <w:rPr>
          <w:noProof w:val="0"/>
        </w:rPr>
      </w:pPr>
      <w:r>
        <w:t>Należy utrzymać wyłączenie dotyczące małych towarowych wskaźników referencyjnych.</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87</w:t>
      </w:r>
      <w:r w:rsidRPr="003534BF">
        <w:rPr>
          <w:rStyle w:val="HideTWBExt"/>
          <w:b w:val="0"/>
        </w:rPr>
        <w:t>&lt;/NumAm&gt;</w:t>
      </w:r>
    </w:p>
    <w:p w:rsidR="001762D4" w:rsidRPr="00E73CE2" w:rsidRDefault="000C3E1A" w:rsidP="001762D4">
      <w:pPr>
        <w:pStyle w:val="NormalBold"/>
      </w:pPr>
      <w:r>
        <w:rPr>
          <w:rStyle w:val="HideTWBExt"/>
          <w:b w:val="0"/>
        </w:rPr>
        <w:t>&lt;RepeatBlock-By&gt;&lt;Members&gt;</w:t>
      </w:r>
      <w:r>
        <w:t>Gilles</w:t>
      </w:r>
      <w:r>
        <w:t xml:space="preserve"> Boyer, Stéphanie Yon-Courtin, Olivier Chastel</w:t>
      </w:r>
      <w:r>
        <w:rPr>
          <w:rStyle w:val="HideTWBExt"/>
          <w:b w:val="0"/>
        </w:rPr>
        <w:t>&lt;/Members&gt;</w:t>
      </w:r>
    </w:p>
    <w:p w:rsidR="001762D4" w:rsidRPr="00E73CE2" w:rsidRDefault="000C3E1A" w:rsidP="001762D4">
      <w:r>
        <w:rPr>
          <w:rStyle w:val="HideTWBExt"/>
        </w:rPr>
        <w:t>&lt;/RepeatBlock-By&gt;</w:t>
      </w:r>
    </w:p>
    <w:p w:rsidR="00EC2D82" w:rsidRPr="00E73CE2" w:rsidRDefault="000C3E1A" w:rsidP="00EC2D82">
      <w:pPr>
        <w:pStyle w:val="NormalBold"/>
        <w:keepNext/>
      </w:pPr>
      <w:r>
        <w:rPr>
          <w:rStyle w:val="HideTWBExt"/>
          <w:b w:val="0"/>
        </w:rPr>
        <w:t>&lt;DocAmend&gt;</w:t>
      </w:r>
      <w:r>
        <w:t>Wniosek dotyczący rozporządzenia</w:t>
      </w:r>
      <w:r>
        <w:rPr>
          <w:rStyle w:val="HideTWBExt"/>
          <w:b w:val="0"/>
        </w:rPr>
        <w:t>&lt;/DocAmend&gt;</w:t>
      </w:r>
    </w:p>
    <w:p w:rsidR="00EC2D82" w:rsidRPr="00E73CE2" w:rsidRDefault="000C3E1A" w:rsidP="00EC2D82">
      <w:pPr>
        <w:pStyle w:val="NormalBold"/>
      </w:pPr>
      <w:r w:rsidRPr="003534BF">
        <w:rPr>
          <w:rStyle w:val="HideTWBExt"/>
          <w:b w:val="0"/>
        </w:rPr>
        <w:t>&lt;Article&gt;</w:t>
      </w:r>
      <w:r>
        <w:t>Artykuł 1 – akapit 1 – punkt 1 – litera a a (nowa)</w:t>
      </w:r>
      <w:r w:rsidRPr="003534BF">
        <w:rPr>
          <w:rStyle w:val="HideTWBExt"/>
          <w:b w:val="0"/>
        </w:rPr>
        <w:t>&lt;/Article&gt;</w:t>
      </w:r>
    </w:p>
    <w:p w:rsidR="00EC2D82" w:rsidRPr="00E73CE2" w:rsidRDefault="000C3E1A" w:rsidP="00EC2D82">
      <w:pPr>
        <w:keepNext/>
      </w:pPr>
      <w:r w:rsidRPr="003534BF">
        <w:rPr>
          <w:rStyle w:val="HideTWBExt"/>
        </w:rPr>
        <w:t>&lt;DocAmend2&gt;</w:t>
      </w:r>
      <w:r>
        <w:t>Rozporządzenie (UE) 2016/1011</w:t>
      </w:r>
      <w:r w:rsidRPr="003534BF">
        <w:rPr>
          <w:rStyle w:val="HideTWBExt"/>
        </w:rPr>
        <w:t>&lt;/DocAmend2&gt;</w:t>
      </w:r>
    </w:p>
    <w:p w:rsidR="00EC2D82" w:rsidRPr="00E73CE2" w:rsidRDefault="000C3E1A" w:rsidP="00EC2D82">
      <w:r w:rsidRPr="003534BF">
        <w:rPr>
          <w:rStyle w:val="HideTWBExt"/>
        </w:rPr>
        <w:t>&lt;Article2&gt;</w:t>
      </w:r>
      <w:r>
        <w:t>Artykuł 3 – ustęp 1 – punkt 23 c a (nowy)</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EC2D82" w:rsidRPr="00E73CE2" w:rsidRDefault="00EC2D82">
            <w:pPr>
              <w:pStyle w:val="Normal6"/>
              <w:rPr>
                <w:lang w:val="en-GB"/>
              </w:rPr>
            </w:pPr>
          </w:p>
        </w:tc>
        <w:tc>
          <w:tcPr>
            <w:tcW w:w="4876" w:type="dxa"/>
          </w:tcPr>
          <w:p w:rsidR="00EC2D82" w:rsidRPr="00E73CE2" w:rsidRDefault="000C3E1A">
            <w:pPr>
              <w:pStyle w:val="Normal6"/>
              <w:rPr>
                <w:b/>
                <w:i/>
              </w:rPr>
            </w:pPr>
            <w:r>
              <w:rPr>
                <w:b/>
                <w:i/>
              </w:rPr>
              <w:t>aa)</w:t>
            </w:r>
            <w:r>
              <w:rPr>
                <w:b/>
                <w:i/>
              </w:rPr>
              <w:tab/>
              <w:t>dodaje się pkt 23ca) w brzmieniu:</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23ca)</w:t>
            </w:r>
            <w:r>
              <w:rPr>
                <w:b/>
                <w:i/>
              </w:rPr>
              <w:tab/>
              <w:t xml:space="preserve">„wskaźnik referencyjny ESG” oznacza wskaźnik referencyjny realizujący cele z zakresu ochrony </w:t>
            </w:r>
            <w:r>
              <w:rPr>
                <w:b/>
                <w:i/>
              </w:rPr>
              <w:t>środowiska, polityki społecznej i ładu korporacyjnego (ESG) zgodnie z rozporządzeniem (UE) 2019/2088.</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Zasady ujawniania informacji dotyczących wskaźników referencyjnych ESG muszą być </w:t>
      </w:r>
      <w:r>
        <w:t>spójne z unijnymi przepisami dotyczącymi produktów finansowych (rozporządzenie w sprawie ujawniania informacji związanych ze zrównoważonym rozwojem w sektorze usług finansowych).</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88</w:t>
      </w:r>
      <w:r w:rsidRPr="003534BF">
        <w:rPr>
          <w:rStyle w:val="HideTWBExt"/>
          <w:b w:val="0"/>
        </w:rPr>
        <w:t>&lt;/NumAm&gt;</w:t>
      </w:r>
    </w:p>
    <w:p w:rsidR="001762D4" w:rsidRPr="00E73CE2" w:rsidRDefault="000C3E1A" w:rsidP="001762D4">
      <w:pPr>
        <w:pStyle w:val="NormalBold"/>
      </w:pPr>
      <w:r>
        <w:rPr>
          <w:rStyle w:val="HideTWBExt"/>
          <w:b w:val="0"/>
        </w:rPr>
        <w:t>&lt;RepeatBlock-By&gt;&lt;Members&gt;</w:t>
      </w:r>
      <w:r>
        <w:t xml:space="preserve">Gilles </w:t>
      </w:r>
      <w:r>
        <w:t>Boyer, Stéphanie Yon-Courtin, Olivier Chastel</w:t>
      </w:r>
      <w:r>
        <w:rPr>
          <w:rStyle w:val="HideTWBExt"/>
          <w:b w:val="0"/>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5F6EEE" w:rsidRPr="00E73CE2" w:rsidRDefault="000C3E1A" w:rsidP="005F6EEE">
      <w:pPr>
        <w:pStyle w:val="NormalBold"/>
      </w:pPr>
      <w:r w:rsidRPr="003534BF">
        <w:rPr>
          <w:rStyle w:val="HideTWBExt"/>
          <w:b w:val="0"/>
        </w:rPr>
        <w:t>&lt;Article&gt;</w:t>
      </w:r>
      <w:r>
        <w:t>Artykuł 1 – akapit 1 – punkt 5 – litera b</w:t>
      </w:r>
      <w:r w:rsidRPr="003534BF">
        <w:rPr>
          <w:rStyle w:val="HideTWBExt"/>
          <w:b w:val="0"/>
        </w:rPr>
        <w:t>&lt;/Article&gt;</w:t>
      </w:r>
    </w:p>
    <w:p w:rsidR="005F6EEE" w:rsidRPr="00E73CE2" w:rsidRDefault="000C3E1A" w:rsidP="005F6EEE">
      <w:pPr>
        <w:keepNext/>
      </w:pPr>
      <w:r w:rsidRPr="003534BF">
        <w:rPr>
          <w:rStyle w:val="HideTWBExt"/>
        </w:rPr>
        <w:t>&lt;DocAmend2&gt;</w:t>
      </w:r>
      <w:r>
        <w:t>Rozporządzenie (UE) 2016/1011</w:t>
      </w:r>
      <w:r w:rsidRPr="003534BF">
        <w:rPr>
          <w:rStyle w:val="HideTWBExt"/>
        </w:rPr>
        <w:t>&lt;/DocAmend2&gt;</w:t>
      </w:r>
    </w:p>
    <w:p w:rsidR="0043190D" w:rsidRPr="00E73CE2" w:rsidRDefault="000C3E1A" w:rsidP="0043190D">
      <w:r>
        <w:rPr>
          <w:rStyle w:val="HideTWBExt"/>
          <w:lang w:val="fr-FR"/>
        </w:rPr>
        <w:t>&lt;Article2&gt;</w:t>
      </w:r>
      <w:r>
        <w:t>Arty</w:t>
      </w:r>
      <w:r>
        <w:t>kuł 13 – ustęp 4</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b)</w:t>
            </w:r>
            <w:r>
              <w:tab/>
            </w:r>
            <w:r>
              <w:rPr>
                <w:b/>
                <w:bCs/>
                <w:i/>
                <w:iCs/>
              </w:rPr>
              <w:t>uchyla się</w:t>
            </w:r>
            <w:r>
              <w:t xml:space="preserve"> ust. 4;</w:t>
            </w:r>
          </w:p>
        </w:tc>
        <w:tc>
          <w:tcPr>
            <w:tcW w:w="4876" w:type="dxa"/>
            <w:hideMark/>
          </w:tcPr>
          <w:p w:rsidR="001762D4" w:rsidRPr="00E73CE2" w:rsidRDefault="000C3E1A">
            <w:pPr>
              <w:pStyle w:val="Normal6"/>
              <w:rPr>
                <w:szCs w:val="24"/>
              </w:rPr>
            </w:pPr>
            <w:r>
              <w:t>b)</w:t>
            </w:r>
            <w:r>
              <w:tab/>
              <w:t xml:space="preserve">ust. 4 </w:t>
            </w:r>
            <w:r>
              <w:rPr>
                <w:b/>
                <w:bCs/>
                <w:i/>
                <w:iCs/>
              </w:rPr>
              <w:t>otrzymuje brzmienie:</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4.</w:t>
            </w:r>
            <w:r>
              <w:tab/>
            </w:r>
            <w:r>
              <w:rPr>
                <w:b/>
                <w:i/>
              </w:rPr>
              <w:t>ESMA opracowuje:</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a)</w:t>
            </w:r>
            <w:r>
              <w:tab/>
            </w:r>
            <w:r>
              <w:rPr>
                <w:b/>
                <w:i/>
              </w:rPr>
              <w:t xml:space="preserve">regulacyjne standardy techniczne mające na celu dostosowanie ujawniania informacji dotyczących ESG na </w:t>
            </w:r>
            <w:r>
              <w:rPr>
                <w:b/>
                <w:i/>
              </w:rPr>
              <w:t>poziomie wskaźników referencyjnych, które mają być publikowane przez administratora wskaźnika referencyjnego, do wymogów dotyczących ujawniania informacji regulacyjnych na podstawie rozporządzenia (UE) 2019/2088 i jego rozporządzeń delegowanych.</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ESMA prz</w:t>
            </w:r>
            <w:r>
              <w:rPr>
                <w:b/>
                <w:i/>
              </w:rPr>
              <w:t>edstawi Komisji projekt tych regulacyjnych standardów technicznych do dnia 1 kwietnia 2025 r.</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Komisji powierza się uprawnienia do przyjęcia regulacyjnych standardów technicznych, o których mowa w akapicie pierwszym, zgodnie z art. 10–14 rozporządzenia (U</w:t>
            </w:r>
            <w:r>
              <w:rPr>
                <w:b/>
                <w:i/>
              </w:rPr>
              <w:t>E) nr 1095/2010;</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b)</w:t>
            </w:r>
            <w:r>
              <w:tab/>
            </w:r>
            <w:r>
              <w:rPr>
                <w:b/>
                <w:i/>
              </w:rPr>
              <w:t>wytyczne dotyczące nazw wskaźników referencyjnych spójne z wytycznymi dotyczącymi nazw funduszy, w których priorytetowo traktuje się wskaźniki stanowiące podstawę funduszy inwestycyjnych typu ETF i funduszy indeksowych, do dnia [12 mi</w:t>
            </w:r>
            <w:r>
              <w:rPr>
                <w:b/>
                <w:i/>
              </w:rPr>
              <w:t>esięcy od daty wejścia w życie niniejszego rozporządzenia zmieniającego];</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Niezbędne jest dostosowanie przepisów dotyczących obowiązku ujawniania informacji związanych z ESG w kontekście </w:t>
      </w:r>
      <w:r>
        <w:t>wskaźników referencyjnych ESG do przepisów unijnego rozporządzenia w sprawie ujawniania informacji związanych ze zrównoważonym rozwojem w sektorze usług finansowych, a także uspójnienie wymogów dotyczących nazw wskaźników referencyjnych z wymogami dotycząc</w:t>
      </w:r>
      <w:r>
        <w:t>ymi nazw funduszy, zwłaszcza ETF (których nazwy odzwierciedlają nazwy ich indeksów bazowych), określonymi w dyrektywie w sprawie UCITS i dyrektywie w sprawie ZAFI).</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lastRenderedPageBreak/>
        <w:t>&lt;Amend&gt;</w:t>
      </w:r>
      <w:r>
        <w:t>Poprawka</w:t>
      </w:r>
      <w:r>
        <w:tab/>
      </w:r>
      <w:r>
        <w:tab/>
      </w:r>
      <w:r w:rsidRPr="003534BF">
        <w:rPr>
          <w:rStyle w:val="HideTWBExt"/>
          <w:b w:val="0"/>
        </w:rPr>
        <w:t>&lt;NumAm&gt;</w:t>
      </w:r>
      <w:r>
        <w:t>89</w:t>
      </w:r>
      <w:r w:rsidRPr="003534BF">
        <w:rPr>
          <w:rStyle w:val="HideTWBExt"/>
          <w:b w:val="0"/>
        </w:rPr>
        <w:t>&lt;/NumAm&gt;</w:t>
      </w:r>
    </w:p>
    <w:p w:rsidR="001762D4" w:rsidRPr="00E73CE2" w:rsidRDefault="000C3E1A" w:rsidP="001762D4">
      <w:pPr>
        <w:pStyle w:val="NormalBold"/>
      </w:pPr>
      <w:r>
        <w:rPr>
          <w:rStyle w:val="HideTWBExt"/>
          <w:b w:val="0"/>
        </w:rPr>
        <w:t>&lt;RepeatBlock-By&gt;&lt;Members&gt;</w:t>
      </w:r>
      <w:r>
        <w:t>Erik Poulsen, Gilles B</w:t>
      </w:r>
      <w:r>
        <w:t>oyer</w:t>
      </w:r>
      <w:r>
        <w:rPr>
          <w:rStyle w:val="HideTWBExt"/>
          <w:b w:val="0"/>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7 a (nowy)</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18 – ustęp 1 – akapit 2</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obowiązujący</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7a)</w:t>
            </w:r>
            <w:r>
              <w:rPr>
                <w:b/>
                <w:i/>
              </w:rPr>
              <w:tab/>
              <w:t>w art. 18 akapit drugi wprowadza się następujące zmiany:</w:t>
            </w:r>
          </w:p>
        </w:tc>
      </w:tr>
      <w:tr w:rsidR="00F707A5" w:rsidTr="001762D4">
        <w:trPr>
          <w:jc w:val="center"/>
        </w:trPr>
        <w:tc>
          <w:tcPr>
            <w:tcW w:w="4876" w:type="dxa"/>
            <w:hideMark/>
          </w:tcPr>
          <w:p w:rsidR="001762D4" w:rsidRPr="00E73CE2" w:rsidRDefault="000C3E1A">
            <w:pPr>
              <w:pStyle w:val="Normal6"/>
            </w:pPr>
            <w:r>
              <w:t xml:space="preserve">Art. </w:t>
            </w:r>
            <w:r>
              <w:rPr>
                <w:b/>
                <w:i/>
              </w:rPr>
              <w:t xml:space="preserve">24, </w:t>
            </w:r>
            <w:r>
              <w:t>25</w:t>
            </w:r>
            <w:r>
              <w:rPr>
                <w:b/>
                <w:i/>
              </w:rPr>
              <w:t xml:space="preserve"> i 26</w:t>
            </w:r>
            <w:r>
              <w:t xml:space="preserve"> nie stosuje się do opracowywania wskaźników referencyjnych stóp procentowych i przekazywania danych na ich potrzeby.</w:t>
            </w:r>
          </w:p>
        </w:tc>
        <w:tc>
          <w:tcPr>
            <w:tcW w:w="4876" w:type="dxa"/>
            <w:hideMark/>
          </w:tcPr>
          <w:p w:rsidR="001762D4" w:rsidRPr="00E73CE2" w:rsidRDefault="000C3E1A">
            <w:pPr>
              <w:pStyle w:val="Normal6"/>
              <w:rPr>
                <w:szCs w:val="24"/>
              </w:rPr>
            </w:pPr>
            <w:r>
              <w:t xml:space="preserve">Art. 25 nie stosuje się do </w:t>
            </w:r>
            <w:r>
              <w:t>opracowywania wskaźników referencyjnych stóp procentowych i przekazywania danych na ich potrzeby.</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 </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pStyle w:val="CrossRef"/>
        <w:rPr>
          <w:lang w:val="en-GB"/>
        </w:rPr>
      </w:pPr>
      <w:r w:rsidRPr="003534BF">
        <w:rPr>
          <w:lang w:val="en-GB"/>
        </w:rPr>
        <w:t>(https://eur-lex.europa.eu/legal-content/PL/TXT/?uri=CELEX%3A02016R1011-20240109)</w:t>
      </w:r>
    </w:p>
    <w:p w:rsidR="001762D4" w:rsidRPr="003534BF" w:rsidRDefault="000C3E1A" w:rsidP="001762D4">
      <w:pPr>
        <w:pStyle w:val="JustificationTitle"/>
        <w:rPr>
          <w:noProof w:val="0"/>
          <w:lang w:val="en-GB"/>
        </w:rPr>
      </w:pPr>
      <w:r>
        <w:rPr>
          <w:rStyle w:val="HideTWBExt"/>
          <w:i w:val="0"/>
          <w:lang w:val="en-GB"/>
        </w:rPr>
        <w:t>&lt;TitreJust&gt;</w:t>
      </w:r>
      <w:r w:rsidRPr="003534BF">
        <w:rPr>
          <w:lang w:val="en-GB"/>
        </w:rPr>
        <w:t>Uzasadnienie</w:t>
      </w:r>
      <w:r>
        <w:rPr>
          <w:rStyle w:val="HideTWBExt"/>
          <w:i w:val="0"/>
          <w:lang w:val="en-GB"/>
        </w:rPr>
        <w:t>&lt;/TitreJust&gt;</w:t>
      </w:r>
    </w:p>
    <w:p w:rsidR="001762D4" w:rsidRPr="003534BF" w:rsidRDefault="000C3E1A" w:rsidP="001762D4">
      <w:pPr>
        <w:pStyle w:val="Normal12Italic"/>
        <w:rPr>
          <w:noProof w:val="0"/>
          <w:lang w:val="en-GB"/>
        </w:rPr>
      </w:pPr>
      <w:r w:rsidRPr="003534BF">
        <w:rPr>
          <w:lang w:val="en-GB"/>
        </w:rPr>
        <w:t>Thi</w:t>
      </w:r>
      <w:r w:rsidRPr="003534BF">
        <w:rPr>
          <w:lang w:val="en-GB"/>
        </w:rPr>
        <w:t xml:space="preserve">s amendment introduces a change to article 18 in the current BMR. The aim of the amendment is to allow interest rate benchmarks to be defined as “significant”, thus fall within the revised BMR scope through the general 50 bn euro threshold and qualitative </w:t>
      </w:r>
      <w:r w:rsidRPr="003534BF">
        <w:rPr>
          <w:lang w:val="en-GB"/>
        </w:rPr>
        <w:t>designation criteria laid down in article 24 for significant benchmarks. Otherwise, interest rate benchmarks would need to exceed a much higher threshold before being included in the scope and being super-vised than all other types of benchmarks. Specifica</w:t>
      </w:r>
      <w:r w:rsidRPr="003534BF">
        <w:rPr>
          <w:lang w:val="en-GB"/>
        </w:rPr>
        <w:t xml:space="preserve">lly, they would need to fulfil the criteria for being “critical”, which very few benchmarks are, and which entails greater burdens, a more cumbersome designation and could pose issues as regards ensuring a level-playing field towards third countries. Such </w:t>
      </w:r>
      <w:r w:rsidRPr="003534BF">
        <w:rPr>
          <w:lang w:val="en-GB"/>
        </w:rPr>
        <w:t>a situation would be illogical and undesirable given interest rate benchmarks play a key role in pricing financial assets, are used extensively by households and are often more vulnerable to manipulation than other benchmarks (e.g. LIBOR-scandal).</w:t>
      </w:r>
    </w:p>
    <w:p w:rsidR="001762D4" w:rsidRPr="003534BF" w:rsidRDefault="000C3E1A" w:rsidP="001762D4">
      <w:pPr>
        <w:rPr>
          <w:lang w:val="en-GB"/>
        </w:rPr>
      </w:pPr>
      <w:r w:rsidRPr="003534BF">
        <w:rPr>
          <w:rStyle w:val="HideTWBExt"/>
          <w:lang w:val="en-GB"/>
        </w:rPr>
        <w:t>&lt;/Amend&gt;</w:t>
      </w:r>
    </w:p>
    <w:p w:rsidR="005C48C1" w:rsidRPr="003534BF" w:rsidRDefault="000C3E1A" w:rsidP="005C48C1">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90</w:t>
      </w:r>
      <w:r>
        <w:rPr>
          <w:rStyle w:val="HideTWBExt"/>
          <w:b w:val="0"/>
          <w:lang w:val="en-GB"/>
        </w:rPr>
        <w:t>&lt;/NumAm&gt;</w:t>
      </w:r>
    </w:p>
    <w:p w:rsidR="005C48C1" w:rsidRPr="003534BF" w:rsidRDefault="000C3E1A" w:rsidP="005C48C1">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5C48C1" w:rsidRPr="00E73CE2" w:rsidRDefault="000C3E1A" w:rsidP="005C48C1">
      <w:r>
        <w:rPr>
          <w:rStyle w:val="HideTWBExt"/>
        </w:rPr>
        <w:t>&lt;/RepeatBlock-By&gt;</w:t>
      </w:r>
    </w:p>
    <w:p w:rsidR="005C48C1" w:rsidRPr="00E73CE2" w:rsidRDefault="000C3E1A" w:rsidP="005C48C1">
      <w:pPr>
        <w:pStyle w:val="NormalBold"/>
        <w:keepNext/>
      </w:pPr>
      <w:r>
        <w:rPr>
          <w:rStyle w:val="HideTWBExt"/>
          <w:b w:val="0"/>
        </w:rPr>
        <w:t>&lt;DocAmend&gt;</w:t>
      </w:r>
      <w:r>
        <w:t>Wniosek dotyczący rozporządzenia</w:t>
      </w:r>
      <w:r>
        <w:rPr>
          <w:rStyle w:val="HideTWBExt"/>
          <w:b w:val="0"/>
        </w:rPr>
        <w:t>&lt;/DocAmend&gt;</w:t>
      </w:r>
    </w:p>
    <w:p w:rsidR="005C48C1" w:rsidRPr="00E73CE2" w:rsidRDefault="000C3E1A" w:rsidP="005C48C1">
      <w:pPr>
        <w:pStyle w:val="NormalBold"/>
      </w:pPr>
      <w:r w:rsidRPr="003534BF">
        <w:rPr>
          <w:rStyle w:val="HideTWBExt"/>
          <w:b w:val="0"/>
        </w:rPr>
        <w:t>&lt;Article&gt;</w:t>
      </w:r>
      <w:r>
        <w:t>Artykuł 1 – akapit 1 – punkt 8 a (nowy)</w:t>
      </w:r>
      <w:r w:rsidRPr="003534BF">
        <w:rPr>
          <w:rStyle w:val="HideTWBExt"/>
          <w:b w:val="0"/>
        </w:rPr>
        <w:t>&lt;/Article&gt;</w:t>
      </w:r>
    </w:p>
    <w:p w:rsidR="005C48C1" w:rsidRPr="00E73CE2" w:rsidRDefault="000C3E1A" w:rsidP="005C48C1">
      <w:pPr>
        <w:keepNext/>
      </w:pPr>
      <w:r w:rsidRPr="003534BF">
        <w:rPr>
          <w:rStyle w:val="HideTWBExt"/>
        </w:rPr>
        <w:t>&lt;DocAmend2&gt;</w:t>
      </w:r>
      <w:r>
        <w:t xml:space="preserve">Rozporządzenie (UE) </w:t>
      </w:r>
      <w:r>
        <w:t>2016/1011</w:t>
      </w:r>
      <w:r w:rsidRPr="003534BF">
        <w:rPr>
          <w:rStyle w:val="HideTWBExt"/>
        </w:rPr>
        <w:t>&lt;/DocAmend2&gt;</w:t>
      </w:r>
    </w:p>
    <w:p w:rsidR="005C48C1" w:rsidRPr="00E73CE2" w:rsidRDefault="000C3E1A" w:rsidP="005C48C1">
      <w:r w:rsidRPr="003534BF">
        <w:rPr>
          <w:rStyle w:val="HideTWBExt"/>
        </w:rPr>
        <w:t>&lt;Article2&gt;</w:t>
      </w:r>
      <w:r>
        <w:t>Artykuł 19 – ustęp 1 – akapit 2</w:t>
      </w:r>
      <w:r w:rsidRPr="0035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07A5" w:rsidTr="005F6EEE">
        <w:trPr>
          <w:jc w:val="center"/>
        </w:trPr>
        <w:tc>
          <w:tcPr>
            <w:tcW w:w="9752" w:type="dxa"/>
            <w:gridSpan w:val="2"/>
          </w:tcPr>
          <w:p w:rsidR="005C48C1" w:rsidRPr="003534BF" w:rsidRDefault="005C48C1" w:rsidP="00EC2D82">
            <w:pPr>
              <w:keepNext/>
            </w:pPr>
          </w:p>
        </w:tc>
      </w:tr>
      <w:tr w:rsidR="00F707A5" w:rsidTr="005F6EEE">
        <w:trPr>
          <w:jc w:val="center"/>
        </w:trPr>
        <w:tc>
          <w:tcPr>
            <w:tcW w:w="4876" w:type="dxa"/>
            <w:hideMark/>
          </w:tcPr>
          <w:p w:rsidR="005C48C1" w:rsidRPr="00E73CE2" w:rsidRDefault="000C3E1A" w:rsidP="00EC2D82">
            <w:pPr>
              <w:pStyle w:val="ColumnHeading"/>
              <w:keepNext/>
            </w:pPr>
            <w:r>
              <w:t>Tekst obowiązujący</w:t>
            </w:r>
          </w:p>
        </w:tc>
        <w:tc>
          <w:tcPr>
            <w:tcW w:w="4876" w:type="dxa"/>
            <w:hideMark/>
          </w:tcPr>
          <w:p w:rsidR="005C48C1" w:rsidRPr="00E73CE2" w:rsidRDefault="000C3E1A" w:rsidP="00EC2D82">
            <w:pPr>
              <w:pStyle w:val="ColumnHeading"/>
              <w:keepNext/>
            </w:pPr>
            <w:r>
              <w:t>Poprawka</w:t>
            </w:r>
          </w:p>
        </w:tc>
      </w:tr>
      <w:tr w:rsidR="00F707A5" w:rsidTr="005F6EEE">
        <w:trPr>
          <w:jc w:val="center"/>
        </w:trPr>
        <w:tc>
          <w:tcPr>
            <w:tcW w:w="4876" w:type="dxa"/>
          </w:tcPr>
          <w:p w:rsidR="005C48C1" w:rsidRPr="00E73CE2" w:rsidRDefault="005C48C1" w:rsidP="00EC2D82">
            <w:pPr>
              <w:pStyle w:val="Normal6"/>
              <w:rPr>
                <w:lang w:val="en-GB"/>
              </w:rPr>
            </w:pPr>
          </w:p>
        </w:tc>
        <w:tc>
          <w:tcPr>
            <w:tcW w:w="4876" w:type="dxa"/>
            <w:hideMark/>
          </w:tcPr>
          <w:p w:rsidR="005C48C1" w:rsidRPr="00E73CE2" w:rsidRDefault="000C3E1A" w:rsidP="00EC2D82">
            <w:pPr>
              <w:pStyle w:val="Normal6"/>
              <w:rPr>
                <w:szCs w:val="24"/>
              </w:rPr>
            </w:pPr>
            <w:r>
              <w:rPr>
                <w:b/>
                <w:i/>
              </w:rPr>
              <w:t>8a)</w:t>
            </w:r>
            <w:r>
              <w:rPr>
                <w:b/>
                <w:i/>
              </w:rPr>
              <w:tab/>
              <w:t xml:space="preserve">w art. 19 ust. 1 akapit drugi wprowadza się następujące zmiany: </w:t>
            </w:r>
          </w:p>
        </w:tc>
      </w:tr>
      <w:tr w:rsidR="00F707A5" w:rsidTr="005F6EEE">
        <w:trPr>
          <w:jc w:val="center"/>
        </w:trPr>
        <w:tc>
          <w:tcPr>
            <w:tcW w:w="4876" w:type="dxa"/>
          </w:tcPr>
          <w:p w:rsidR="005C48C1" w:rsidRPr="00E73CE2" w:rsidRDefault="000C3E1A" w:rsidP="00EC2D82">
            <w:pPr>
              <w:pStyle w:val="Normal6"/>
            </w:pPr>
            <w:r>
              <w:rPr>
                <w:shd w:val="clear" w:color="auto" w:fill="FFFFFF"/>
              </w:rPr>
              <w:t>Art. 24</w:t>
            </w:r>
            <w:r>
              <w:rPr>
                <w:b/>
                <w:i/>
                <w:shd w:val="clear" w:color="auto" w:fill="FFFFFF"/>
              </w:rPr>
              <w:t>, 25</w:t>
            </w:r>
            <w:r>
              <w:rPr>
                <w:shd w:val="clear" w:color="auto" w:fill="FFFFFF"/>
              </w:rPr>
              <w:t xml:space="preserve"> i </w:t>
            </w:r>
            <w:r>
              <w:rPr>
                <w:b/>
                <w:i/>
                <w:shd w:val="clear" w:color="auto" w:fill="FFFFFF"/>
              </w:rPr>
              <w:t>26</w:t>
            </w:r>
            <w:r>
              <w:rPr>
                <w:shd w:val="clear" w:color="auto" w:fill="FFFFFF"/>
              </w:rPr>
              <w:t xml:space="preserve"> nie stosuje się do opracowywania towarowych wskaźników referencyjnych i przekazywania danych na ich potrzeby.</w:t>
            </w:r>
          </w:p>
        </w:tc>
        <w:tc>
          <w:tcPr>
            <w:tcW w:w="4876" w:type="dxa"/>
          </w:tcPr>
          <w:p w:rsidR="005C48C1" w:rsidRPr="00E73CE2" w:rsidRDefault="000C3E1A" w:rsidP="00EC2D82">
            <w:pPr>
              <w:pStyle w:val="Normal6"/>
            </w:pPr>
            <w:r>
              <w:t xml:space="preserve">Art. 24 i </w:t>
            </w:r>
            <w:r>
              <w:rPr>
                <w:b/>
                <w:i/>
              </w:rPr>
              <w:t>25</w:t>
            </w:r>
            <w:r>
              <w:t xml:space="preserve"> nie stosuje się do opracowywania towarowych wskaźników referencyjnych i przekazywania danych na ich potrzeby.</w:t>
            </w:r>
          </w:p>
        </w:tc>
      </w:tr>
    </w:tbl>
    <w:p w:rsidR="008F1F42" w:rsidRPr="00E73CE2" w:rsidRDefault="000C3E1A" w:rsidP="008F1F42">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8F1F42" w:rsidRPr="003534BF" w:rsidRDefault="000C3E1A" w:rsidP="008F1F42">
      <w:pPr>
        <w:pStyle w:val="CrossRef"/>
        <w:rPr>
          <w:lang w:val="en-GB"/>
        </w:rPr>
      </w:pPr>
      <w:r w:rsidRPr="003534BF">
        <w:rPr>
          <w:lang w:val="en-GB"/>
        </w:rPr>
        <w:t>(https://eur-lex.europa.eu/legal-content/PL/TXT/?uri=CELEX%3A02016R1011-20240109)</w:t>
      </w:r>
    </w:p>
    <w:p w:rsidR="005C48C1" w:rsidRPr="003534BF" w:rsidRDefault="000C3E1A" w:rsidP="005C48C1">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91</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w:t>
      </w:r>
      <w:r>
        <w:rPr>
          <w:rStyle w:val="HideTWBExt"/>
          <w:b w:val="0"/>
        </w:rPr>
        <w:t>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19a – ustęp 4</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9)</w:t>
            </w:r>
            <w:r>
              <w:rPr>
                <w:b/>
                <w:i/>
              </w:rPr>
              <w:tab/>
              <w:t>w art. 19a dodaje się ust. 4 w brzmieniu:</w:t>
            </w:r>
          </w:p>
        </w:tc>
        <w:tc>
          <w:tcPr>
            <w:tcW w:w="4876" w:type="dxa"/>
            <w:hideMark/>
          </w:tcPr>
          <w:p w:rsidR="001762D4" w:rsidRPr="00E73CE2" w:rsidRDefault="000C3E1A">
            <w:pPr>
              <w:pStyle w:val="Normal6"/>
              <w:rPr>
                <w:szCs w:val="24"/>
              </w:rPr>
            </w:pPr>
            <w:r>
              <w:rPr>
                <w:b/>
                <w:i/>
              </w:rPr>
              <w:t>skreśla się</w:t>
            </w:r>
          </w:p>
        </w:tc>
      </w:tr>
      <w:tr w:rsidR="00F707A5" w:rsidTr="001762D4">
        <w:trPr>
          <w:jc w:val="center"/>
        </w:trPr>
        <w:tc>
          <w:tcPr>
            <w:tcW w:w="4876" w:type="dxa"/>
            <w:hideMark/>
          </w:tcPr>
          <w:p w:rsidR="001762D4" w:rsidRPr="00E73CE2" w:rsidRDefault="000C3E1A">
            <w:pPr>
              <w:pStyle w:val="Normal6"/>
            </w:pPr>
            <w:r>
              <w:rPr>
                <w:b/>
                <w:i/>
              </w:rPr>
              <w:t>„</w:t>
            </w:r>
          </w:p>
        </w:tc>
        <w:tc>
          <w:tcPr>
            <w:tcW w:w="4876" w:type="dxa"/>
          </w:tcPr>
          <w:p w:rsidR="001762D4" w:rsidRPr="00E73CE2" w:rsidRDefault="001762D4">
            <w:pPr>
              <w:pStyle w:val="Normal6"/>
              <w:rPr>
                <w:szCs w:val="24"/>
                <w:lang w:val="en-GB"/>
              </w:rPr>
            </w:pPr>
          </w:p>
        </w:tc>
      </w:tr>
      <w:tr w:rsidR="00F707A5" w:rsidTr="001762D4">
        <w:trPr>
          <w:jc w:val="center"/>
        </w:trPr>
        <w:tc>
          <w:tcPr>
            <w:tcW w:w="4876" w:type="dxa"/>
            <w:hideMark/>
          </w:tcPr>
          <w:p w:rsidR="001762D4" w:rsidRPr="00E73CE2" w:rsidRDefault="000C3E1A">
            <w:pPr>
              <w:pStyle w:val="Normal6"/>
            </w:pPr>
            <w:r>
              <w:rPr>
                <w:b/>
                <w:i/>
              </w:rPr>
              <w:t>4.</w:t>
            </w:r>
            <w:r>
              <w:rPr>
                <w:b/>
                <w:i/>
              </w:rPr>
              <w:tab/>
              <w:t>Administratorzy, którzy nie uzyskali zezwolenia lub nie zostali zarejestrowani zgodnie z art. 34, nie mogą:</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a)</w:t>
            </w:r>
            <w:r>
              <w:rPr>
                <w:b/>
                <w:i/>
              </w:rPr>
              <w:tab/>
              <w:t xml:space="preserve">opracowywać unijnych wskaźników referencyjnych transformacji klimatycznej lub unijnych wskaźników referencyjnych dostosowanych do </w:t>
            </w:r>
            <w:r>
              <w:rPr>
                <w:b/>
                <w:i/>
              </w:rPr>
              <w:t>porozumienia paryskiego;</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b)</w:t>
            </w:r>
            <w:r>
              <w:rPr>
                <w:b/>
                <w:i/>
              </w:rPr>
              <w:tab/>
              <w:t xml:space="preserve">wskazywać lub sugerować w nazwie wskaźników referencyjnych, które udostępniają do stosowania w Unii, lub w dokumentacji prawnej lub marketingowej dotyczącej tych wskaźników referencyjnych, że udostępniane przez nich wskaźniki </w:t>
            </w:r>
            <w:r>
              <w:rPr>
                <w:b/>
                <w:i/>
              </w:rPr>
              <w:t xml:space="preserve">referencyjne spełniają wymogi mające zastosowanie do opracowywania unijnych </w:t>
            </w:r>
            <w:r>
              <w:rPr>
                <w:b/>
                <w:i/>
              </w:rPr>
              <w:lastRenderedPageBreak/>
              <w:t>wskaźników referencyjnych transformacji klimatycznej lub unijnych wskaźników referencyjnych dostosowanych do porozumienia paryskiego.”;</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1762D4">
            <w:pPr>
              <w:pStyle w:val="Normal6"/>
            </w:pPr>
          </w:p>
        </w:tc>
        <w:tc>
          <w:tcPr>
            <w:tcW w:w="4876" w:type="dxa"/>
          </w:tcPr>
          <w:p w:rsidR="001762D4" w:rsidRPr="003534BF" w:rsidRDefault="001762D4">
            <w:pPr>
              <w:pStyle w:val="Normal6"/>
              <w:rPr>
                <w:szCs w:val="24"/>
              </w:rPr>
            </w:pP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w:t>
      </w:r>
      <w:r w:rsidRPr="003534BF">
        <w:rPr>
          <w:rStyle w:val="HideTWBExt"/>
          <w:i w:val="0"/>
        </w:rPr>
        <w:t>ust&gt;</w:t>
      </w:r>
      <w:r>
        <w:t>Uzasadnienie</w:t>
      </w:r>
      <w:r w:rsidRPr="003534BF">
        <w:rPr>
          <w:rStyle w:val="HideTWBExt"/>
          <w:i w:val="0"/>
        </w:rPr>
        <w:t>&lt;/TitreJust&gt;</w:t>
      </w:r>
    </w:p>
    <w:p w:rsidR="001762D4" w:rsidRPr="00E73CE2" w:rsidRDefault="000C3E1A" w:rsidP="001762D4">
      <w:pPr>
        <w:pStyle w:val="Normal12Italic"/>
        <w:rPr>
          <w:noProof w:val="0"/>
        </w:rPr>
      </w:pPr>
      <w:r>
        <w:t>Inwestorzy z UE powinni mieć możliwość korzystania z unijnych wskaźników z oznaczeniem ESG oferowanych przez administratorów spoza UE pod warunkiem że spełniają wszystkie wymogi przewidziane w systemie państw trzecich określone</w:t>
      </w:r>
      <w:r>
        <w:t xml:space="preserve"> w rozporządzeniu w sprawie wskaźników referencyjnych. Wymaganie od administratorów unijnych wskaźników z oznaczeniem ESG przeniesienia się do UE grozi ograniczeniem dostępu inwestorów z UE do istniejących wskaźników kluczowych dla ich procesów biznesowych</w:t>
      </w:r>
      <w:r>
        <w:t xml:space="preserve"> oraz potencjalnych nowych i innowacyjnych produktów.</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92</w:t>
      </w:r>
      <w:r w:rsidRPr="003534BF">
        <w:rPr>
          <w:rStyle w:val="HideTWBExt"/>
          <w:b w:val="0"/>
        </w:rPr>
        <w:t>&lt;/NumAm&gt;</w:t>
      </w:r>
    </w:p>
    <w:p w:rsidR="001762D4" w:rsidRPr="00E73CE2" w:rsidRDefault="000C3E1A" w:rsidP="001762D4">
      <w:pPr>
        <w:pStyle w:val="NormalBold"/>
      </w:pPr>
      <w:r>
        <w:rPr>
          <w:rStyle w:val="HideTWBExt"/>
          <w:b w:val="0"/>
        </w:rPr>
        <w:t>&lt;RepeatBlock-By&gt;&lt;Members&gt;</w:t>
      </w:r>
      <w:r>
        <w:t>Gilles Boyer, Stéphanie Yon-Courtin, Olivier Chastel</w:t>
      </w:r>
      <w:r>
        <w:rPr>
          <w:rStyle w:val="HideTWBExt"/>
          <w:b w:val="0"/>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Pr>
          <w:rStyle w:val="HideTWBExt"/>
        </w:rPr>
        <w:t>&lt;Article2&gt;</w:t>
      </w:r>
      <w:r>
        <w:t>Artykuł 19a – ustęp 4 – wprowadzenie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w:t>
            </w:r>
            <w:r>
              <w:tab/>
            </w:r>
            <w:r>
              <w:t xml:space="preserve">Administratorzy, którzy nie uzyskali zezwolenia lub nie zostali </w:t>
            </w:r>
            <w:r>
              <w:rPr>
                <w:b/>
                <w:i/>
              </w:rPr>
              <w:t>zarejestrowani</w:t>
            </w:r>
            <w:r>
              <w:t xml:space="preserve"> zgodnie z art. </w:t>
            </w:r>
            <w:r>
              <w:rPr>
                <w:b/>
                <w:i/>
              </w:rPr>
              <w:t>34</w:t>
            </w:r>
            <w:r>
              <w:t>, nie mogą:</w:t>
            </w:r>
          </w:p>
        </w:tc>
        <w:tc>
          <w:tcPr>
            <w:tcW w:w="4876" w:type="dxa"/>
            <w:hideMark/>
          </w:tcPr>
          <w:p w:rsidR="001762D4" w:rsidRPr="00E73CE2" w:rsidRDefault="000C3E1A">
            <w:pPr>
              <w:pStyle w:val="Normal6"/>
              <w:rPr>
                <w:szCs w:val="24"/>
              </w:rPr>
            </w:pPr>
            <w:r>
              <w:t>4.</w:t>
            </w:r>
            <w:r>
              <w:tab/>
              <w:t xml:space="preserve">Administratorzy, którzy nie uzyskali zezwolenia </w:t>
            </w:r>
            <w:r>
              <w:rPr>
                <w:b/>
                <w:i/>
              </w:rPr>
              <w:t xml:space="preserve">zgodnie z art. 34 </w:t>
            </w:r>
            <w:r>
              <w:t xml:space="preserve">lub nie zostali </w:t>
            </w:r>
            <w:r>
              <w:rPr>
                <w:b/>
                <w:i/>
              </w:rPr>
              <w:t>uznani</w:t>
            </w:r>
            <w:r>
              <w:t xml:space="preserve"> zgodnie z art. </w:t>
            </w:r>
            <w:r>
              <w:rPr>
                <w:b/>
                <w:i/>
              </w:rPr>
              <w:t>32</w:t>
            </w:r>
            <w:r>
              <w:t>, nie mogą:</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Oprócz administratorów UE jedynie uznani administratorzy z państw trzecich powinni mieć możliwość opracowywania unijnych wskaźników referencyjnych transformacji klimatycznej i unijnych wskaźników referencyjny</w:t>
      </w:r>
      <w:r>
        <w:t>ch dostosowanych do porozumienia paryskiego. Dzięki temu wszyscy administratorzy, którym zezwolono na opracowywanie tych unijnych wskaźników, będą podlegać bezpośredniemu nadzorowi ze strony ESMA.</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93</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w:t>
      </w:r>
      <w:r w:rsidRPr="003534BF">
        <w:rPr>
          <w:rStyle w:val="HideTWBExt"/>
          <w:b w:val="0"/>
          <w:lang w:val="en-GB"/>
        </w:rPr>
        <w:t>&gt;&lt;Members&gt;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Pr>
          <w:rStyle w:val="HideTWBExt"/>
        </w:rPr>
        <w:t>&lt;Article2&gt;</w:t>
      </w:r>
      <w:r>
        <w:t>Artykuł 19a – ustęp 4 – wprowadzenie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w:t>
            </w:r>
            <w:r>
              <w:tab/>
              <w:t>Administratorzy</w:t>
            </w:r>
            <w:r>
              <w:rPr>
                <w:b/>
                <w:i/>
              </w:rPr>
              <w:t>, którzy nie uzyskali zezwolenia lub nie zostali zarejestrowani zgodnie z</w:t>
            </w:r>
            <w:r>
              <w:t> art. </w:t>
            </w:r>
            <w:r>
              <w:rPr>
                <w:b/>
                <w:i/>
              </w:rPr>
              <w:t>34</w:t>
            </w:r>
            <w:r>
              <w:t>, nie mogą:</w:t>
            </w:r>
          </w:p>
        </w:tc>
        <w:tc>
          <w:tcPr>
            <w:tcW w:w="4876" w:type="dxa"/>
            <w:hideMark/>
          </w:tcPr>
          <w:p w:rsidR="001762D4" w:rsidRPr="00E73CE2" w:rsidRDefault="000C3E1A">
            <w:pPr>
              <w:pStyle w:val="Normal6"/>
              <w:rPr>
                <w:szCs w:val="24"/>
              </w:rPr>
            </w:pPr>
            <w:r>
              <w:t>4.</w:t>
            </w:r>
            <w:r>
              <w:tab/>
              <w:t>Administratorzy</w:t>
            </w:r>
            <w:r>
              <w:rPr>
                <w:b/>
                <w:i/>
              </w:rPr>
              <w:t xml:space="preserve"> niewpisani do rejestru ESMA, o którym mowa w</w:t>
            </w:r>
            <w:r>
              <w:t> art. </w:t>
            </w:r>
            <w:r>
              <w:rPr>
                <w:b/>
                <w:i/>
              </w:rPr>
              <w:t>36</w:t>
            </w:r>
            <w:r>
              <w:t>, nie mogą:</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94</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Marco Zanni, Valentino Grant, Antonio Maria Rinaldi</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w:t>
      </w:r>
      <w:r w:rsidRPr="003534BF">
        <w:rPr>
          <w:lang w:val="fr-FR"/>
        </w:rPr>
        <w:t>it 1 – punkt 9</w:t>
      </w:r>
      <w:r>
        <w:rPr>
          <w:rStyle w:val="HideTWBExt"/>
          <w:b w:val="0"/>
          <w:lang w:val="fr-FR"/>
        </w:rPr>
        <w:t>&lt;/Article&gt;</w:t>
      </w:r>
    </w:p>
    <w:p w:rsidR="001762D4" w:rsidRPr="00E73CE2" w:rsidRDefault="000C3E1A" w:rsidP="001762D4">
      <w:pPr>
        <w:keepNext/>
      </w:pPr>
      <w:r>
        <w:rPr>
          <w:rStyle w:val="HideTWBExt"/>
        </w:rPr>
        <w:t>&lt;DocAmend2&gt;</w:t>
      </w:r>
      <w:r>
        <w:t>Rozporządzenie (UE) 2016/1011</w:t>
      </w:r>
      <w:r>
        <w:rPr>
          <w:rStyle w:val="HideTWBExt"/>
        </w:rPr>
        <w:t>&lt;/DocAmend2&gt;</w:t>
      </w:r>
    </w:p>
    <w:p w:rsidR="001762D4" w:rsidRPr="00E73CE2" w:rsidRDefault="000C3E1A" w:rsidP="001762D4">
      <w:r>
        <w:rPr>
          <w:rStyle w:val="HideTWBExt"/>
        </w:rPr>
        <w:t>&lt;Article2&gt;</w:t>
      </w:r>
      <w:r>
        <w:t>Artykuł 19a – ustęp 4 – wprowadzenie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w:t>
            </w:r>
            <w:r>
              <w:tab/>
              <w:t>Administratorzy</w:t>
            </w:r>
            <w:r>
              <w:rPr>
                <w:b/>
                <w:i/>
              </w:rPr>
              <w:t xml:space="preserve">, którzy nie uzyskali zezwolenia lub nie zostali </w:t>
            </w:r>
            <w:r>
              <w:rPr>
                <w:b/>
                <w:i/>
              </w:rPr>
              <w:t>zarejestrowani zgodnie z</w:t>
            </w:r>
            <w:r>
              <w:t> art. </w:t>
            </w:r>
            <w:r>
              <w:rPr>
                <w:b/>
                <w:i/>
              </w:rPr>
              <w:t>34</w:t>
            </w:r>
            <w:r>
              <w:t>, nie mogą:</w:t>
            </w:r>
          </w:p>
        </w:tc>
        <w:tc>
          <w:tcPr>
            <w:tcW w:w="4876" w:type="dxa"/>
            <w:hideMark/>
          </w:tcPr>
          <w:p w:rsidR="001762D4" w:rsidRPr="00E73CE2" w:rsidRDefault="000C3E1A">
            <w:pPr>
              <w:pStyle w:val="Normal6"/>
              <w:rPr>
                <w:szCs w:val="24"/>
              </w:rPr>
            </w:pPr>
            <w:r>
              <w:t>4.</w:t>
            </w:r>
            <w:r>
              <w:tab/>
              <w:t>Administratorzy</w:t>
            </w:r>
            <w:r>
              <w:rPr>
                <w:b/>
                <w:i/>
              </w:rPr>
              <w:t xml:space="preserve"> niewpisani do rejestru, o którym mowa w</w:t>
            </w:r>
            <w:r>
              <w:t> art. </w:t>
            </w:r>
            <w:r>
              <w:rPr>
                <w:b/>
                <w:i/>
              </w:rPr>
              <w:t>36</w:t>
            </w:r>
            <w:r>
              <w:t>, nie mogą:</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95</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w:t>
      </w:r>
      <w:r w:rsidRPr="003534BF">
        <w:rPr>
          <w:rStyle w:val="HideTWBExt"/>
          <w:b w:val="0"/>
          <w:lang w:val="en-GB"/>
        </w:rPr>
        <w:t>&lt;/Members&gt;</w:t>
      </w:r>
    </w:p>
    <w:p w:rsidR="001762D4" w:rsidRPr="00E73CE2" w:rsidRDefault="000C3E1A" w:rsidP="001762D4">
      <w:r>
        <w:rPr>
          <w:rStyle w:val="HideTWBExt"/>
        </w:rPr>
        <w:t>&lt;/Repeat</w:t>
      </w:r>
      <w:r>
        <w:rPr>
          <w:rStyle w:val="HideTWBExt"/>
        </w:rPr>
        <w: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Pr>
          <w:rStyle w:val="HideTWBExt"/>
        </w:rPr>
        <w:t>&lt;Article2&gt;</w:t>
      </w:r>
      <w:r>
        <w:t>Artykuł 19a – ustęp 4 – wprowadzenie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przez </w:t>
            </w:r>
            <w:r>
              <w:t>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w:t>
            </w:r>
            <w:r>
              <w:tab/>
              <w:t>Administratorzy</w:t>
            </w:r>
            <w:r>
              <w:rPr>
                <w:b/>
                <w:i/>
              </w:rPr>
              <w:t xml:space="preserve">, którzy nie uzyskali zezwolenia lub nie zostali </w:t>
            </w:r>
            <w:r>
              <w:rPr>
                <w:b/>
                <w:i/>
              </w:rPr>
              <w:lastRenderedPageBreak/>
              <w:t>zarejestrowani zgodnie z</w:t>
            </w:r>
            <w:r>
              <w:t> art. </w:t>
            </w:r>
            <w:r>
              <w:rPr>
                <w:b/>
                <w:i/>
              </w:rPr>
              <w:t>34</w:t>
            </w:r>
            <w:r>
              <w:t>, nie mogą:</w:t>
            </w:r>
          </w:p>
        </w:tc>
        <w:tc>
          <w:tcPr>
            <w:tcW w:w="4876" w:type="dxa"/>
            <w:hideMark/>
          </w:tcPr>
          <w:p w:rsidR="001762D4" w:rsidRPr="00E73CE2" w:rsidRDefault="000C3E1A">
            <w:pPr>
              <w:pStyle w:val="Normal6"/>
              <w:rPr>
                <w:szCs w:val="24"/>
              </w:rPr>
            </w:pPr>
            <w:r>
              <w:lastRenderedPageBreak/>
              <w:t>4.</w:t>
            </w:r>
            <w:r>
              <w:tab/>
              <w:t>Administratorzy</w:t>
            </w:r>
            <w:r>
              <w:rPr>
                <w:b/>
                <w:i/>
              </w:rPr>
              <w:t xml:space="preserve"> niewpisani do rejestru, o którym mowa w</w:t>
            </w:r>
            <w:r>
              <w:t> art. </w:t>
            </w:r>
            <w:r>
              <w:rPr>
                <w:b/>
                <w:i/>
              </w:rPr>
              <w:t>36</w:t>
            </w:r>
            <w:r>
              <w:t xml:space="preserve">, nie </w:t>
            </w:r>
            <w:r>
              <w:lastRenderedPageBreak/>
              <w:t>mogą:</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96</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19a – ustęp 4 – akapit 1 – litera a</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a)</w:t>
            </w:r>
            <w:r>
              <w:tab/>
              <w:t xml:space="preserve">opracowywać unijnych wskaźników referencyjnych transformacji klimatycznej lub unijnych wskaźników referencyjnych dostosowanych do porozumienia </w:t>
            </w:r>
            <w:r>
              <w:t>paryskiego;</w:t>
            </w:r>
          </w:p>
        </w:tc>
        <w:tc>
          <w:tcPr>
            <w:tcW w:w="4876" w:type="dxa"/>
            <w:hideMark/>
          </w:tcPr>
          <w:p w:rsidR="001762D4" w:rsidRPr="00E73CE2" w:rsidRDefault="000C3E1A">
            <w:pPr>
              <w:pStyle w:val="Normal6"/>
              <w:rPr>
                <w:szCs w:val="24"/>
              </w:rPr>
            </w:pPr>
            <w:r>
              <w:t>a)</w:t>
            </w:r>
            <w:r>
              <w:tab/>
              <w:t xml:space="preserve">opracowywać </w:t>
            </w:r>
            <w:r>
              <w:rPr>
                <w:b/>
                <w:i/>
              </w:rPr>
              <w:t xml:space="preserve">ani zatwierdzać </w:t>
            </w:r>
            <w:r>
              <w:t>unijnych wskaźników referencyjnych transformacji klimatycznej lub unijnych wskaźników referencyjnych dostosowanych do porozumienia paryskiego;</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97</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nr 201</w:t>
      </w:r>
      <w:r>
        <w:t>6/1011</w:t>
      </w:r>
      <w:r w:rsidRPr="003534BF">
        <w:rPr>
          <w:rStyle w:val="HideTWBExt"/>
        </w:rPr>
        <w:t>&lt;/DocAmend2&gt;</w:t>
      </w:r>
    </w:p>
    <w:p w:rsidR="001762D4" w:rsidRPr="00E73CE2" w:rsidRDefault="000C3E1A" w:rsidP="001762D4">
      <w:r>
        <w:rPr>
          <w:rStyle w:val="HideTWBExt"/>
          <w:lang w:val="fr-FR"/>
        </w:rPr>
        <w:t>&lt;Article2&gt;</w:t>
      </w:r>
      <w:r>
        <w:t>Artykuł 19a – ustęp 4 – akapit 1 – litera a</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a)</w:t>
            </w:r>
            <w:r>
              <w:tab/>
              <w:t xml:space="preserve">opracowywać unijnych wskaźników referencyjnych transformacji klimatycznej lub unijnych wskaźników referencyjnych </w:t>
            </w:r>
            <w:r>
              <w:t>dostosowanych do porozumienia paryskiego;</w:t>
            </w:r>
          </w:p>
        </w:tc>
        <w:tc>
          <w:tcPr>
            <w:tcW w:w="4876" w:type="dxa"/>
            <w:hideMark/>
          </w:tcPr>
          <w:p w:rsidR="001762D4" w:rsidRPr="00E73CE2" w:rsidRDefault="000C3E1A">
            <w:pPr>
              <w:pStyle w:val="Normal6"/>
              <w:rPr>
                <w:szCs w:val="24"/>
              </w:rPr>
            </w:pPr>
            <w:r>
              <w:rPr>
                <w:i/>
              </w:rPr>
              <w:t>(Nie dotyczy polskiej wersji językowej)</w:t>
            </w:r>
            <w:r>
              <w:tab/>
              <w:t xml:space="preserve"> </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98</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Marco Zanni, Valentino Grant, Antonio Maria Rinaldi</w:t>
      </w:r>
      <w:r w:rsidRPr="003534BF">
        <w:rPr>
          <w:rStyle w:val="HideTWBExt"/>
          <w:b w:val="0"/>
          <w:lang w:val="en-GB"/>
        </w:rPr>
        <w:t>&lt;/Members&gt;</w:t>
      </w:r>
    </w:p>
    <w:p w:rsidR="001762D4" w:rsidRPr="00E73CE2" w:rsidRDefault="000C3E1A" w:rsidP="001762D4">
      <w:r>
        <w:rPr>
          <w:rStyle w:val="HideTWBExt"/>
        </w:rPr>
        <w:t>&lt;/Repeat</w:t>
      </w:r>
      <w:r>
        <w:rPr>
          <w:rStyle w:val="HideTWBExt"/>
        </w:rPr>
        <w: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9</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19a – ustęp 4 – akapit 1 – litera a</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w:t>
            </w:r>
            <w:r>
              <w:t>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a)</w:t>
            </w:r>
            <w:r>
              <w:tab/>
              <w:t>opracowywać unijnych wskaźników referencyjnych transformacji klimatycznej lub unijnych wskaźników referencyjnych dostosowanych do porozumienia paryskiego;</w:t>
            </w:r>
          </w:p>
        </w:tc>
        <w:tc>
          <w:tcPr>
            <w:tcW w:w="4876" w:type="dxa"/>
            <w:hideMark/>
          </w:tcPr>
          <w:p w:rsidR="001762D4" w:rsidRPr="00E73CE2" w:rsidRDefault="000C3E1A">
            <w:pPr>
              <w:pStyle w:val="Normal6"/>
              <w:rPr>
                <w:szCs w:val="24"/>
              </w:rPr>
            </w:pPr>
            <w:r>
              <w:rPr>
                <w:i/>
              </w:rPr>
              <w:t>(Nie dotyczy polskiej wersji językowej)</w:t>
            </w:r>
            <w:r>
              <w:tab/>
              <w:t xml:space="preserve"> </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99</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10 a (nowy)</w:t>
      </w:r>
      <w:r w:rsidRPr="003534BF">
        <w:rPr>
          <w:rStyle w:val="HideTWBExt"/>
          <w:b w:val="0"/>
        </w:rPr>
        <w:t>&lt;/</w:t>
      </w:r>
      <w:r w:rsidRPr="003534BF">
        <w:rPr>
          <w:rStyle w:val="HideTWBExt"/>
          <w:b w:val="0"/>
        </w:rPr>
        <w:t>Article&gt;</w:t>
      </w:r>
    </w:p>
    <w:p w:rsidR="001762D4" w:rsidRPr="00E73CE2" w:rsidRDefault="000C3E1A" w:rsidP="001762D4">
      <w:pPr>
        <w:keepNext/>
      </w:pPr>
      <w:r w:rsidRPr="003534BF">
        <w:rPr>
          <w:rStyle w:val="HideTWBExt"/>
        </w:rPr>
        <w:t>&lt;DocAmend2&gt;</w:t>
      </w:r>
      <w:r>
        <w:t>Rozporządzenie (UE) nr 2016/1011</w:t>
      </w:r>
      <w:r w:rsidRPr="003534BF">
        <w:rPr>
          <w:rStyle w:val="HideTWBExt"/>
        </w:rPr>
        <w:t>&lt;/DocAmend2&gt;</w:t>
      </w:r>
    </w:p>
    <w:p w:rsidR="001762D4" w:rsidRPr="00E73CE2" w:rsidRDefault="000C3E1A" w:rsidP="001762D4">
      <w:r>
        <w:rPr>
          <w:rStyle w:val="HideTWBExt"/>
        </w:rPr>
        <w:t>&lt;Article2&gt;</w:t>
      </w:r>
      <w:r>
        <w:t>Artykuł 19d</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07A5" w:rsidTr="008F1F42">
        <w:trPr>
          <w:jc w:val="center"/>
        </w:trPr>
        <w:tc>
          <w:tcPr>
            <w:tcW w:w="9752" w:type="dxa"/>
            <w:gridSpan w:val="2"/>
          </w:tcPr>
          <w:p w:rsidR="001762D4" w:rsidRPr="00E73CE2" w:rsidRDefault="001762D4">
            <w:pPr>
              <w:keepNext/>
            </w:pPr>
          </w:p>
        </w:tc>
      </w:tr>
      <w:tr w:rsidR="00F707A5" w:rsidTr="008F1F42">
        <w:trPr>
          <w:jc w:val="center"/>
        </w:trPr>
        <w:tc>
          <w:tcPr>
            <w:tcW w:w="4876" w:type="dxa"/>
            <w:hideMark/>
          </w:tcPr>
          <w:p w:rsidR="001762D4" w:rsidRPr="00E73CE2" w:rsidRDefault="000C3E1A">
            <w:pPr>
              <w:pStyle w:val="ColumnHeading"/>
              <w:keepNext/>
            </w:pPr>
            <w:r>
              <w:t>Tekst obowiązujący</w:t>
            </w:r>
          </w:p>
        </w:tc>
        <w:tc>
          <w:tcPr>
            <w:tcW w:w="4876" w:type="dxa"/>
            <w:hideMark/>
          </w:tcPr>
          <w:p w:rsidR="001762D4" w:rsidRPr="00E73CE2" w:rsidRDefault="000C3E1A">
            <w:pPr>
              <w:pStyle w:val="ColumnHeading"/>
              <w:keepNext/>
            </w:pPr>
            <w:r>
              <w:t>Poprawka</w:t>
            </w:r>
          </w:p>
        </w:tc>
      </w:tr>
      <w:tr w:rsidR="00F707A5" w:rsidTr="008F1F42">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10a)</w:t>
            </w:r>
            <w:r>
              <w:rPr>
                <w:b/>
                <w:i/>
              </w:rPr>
              <w:tab/>
              <w:t>w art. 19d wprowadza się następujące zmiany:</w:t>
            </w:r>
          </w:p>
        </w:tc>
      </w:tr>
      <w:tr w:rsidR="00F707A5" w:rsidTr="008F1F42">
        <w:trPr>
          <w:jc w:val="center"/>
        </w:trPr>
        <w:tc>
          <w:tcPr>
            <w:tcW w:w="4876" w:type="dxa"/>
            <w:hideMark/>
          </w:tcPr>
          <w:p w:rsidR="001762D4" w:rsidRPr="00E73CE2" w:rsidRDefault="000C3E1A">
            <w:pPr>
              <w:pStyle w:val="Normal6"/>
            </w:pPr>
            <w:r>
              <w:rPr>
                <w:b/>
                <w:i/>
              </w:rPr>
              <w:t>Artykuł</w:t>
            </w:r>
            <w:r>
              <w:t xml:space="preserve"> 19d</w:t>
            </w:r>
          </w:p>
        </w:tc>
        <w:tc>
          <w:tcPr>
            <w:tcW w:w="4876" w:type="dxa"/>
            <w:hideMark/>
          </w:tcPr>
          <w:p w:rsidR="001762D4" w:rsidRPr="00E73CE2" w:rsidRDefault="000C3E1A">
            <w:pPr>
              <w:pStyle w:val="Normal6"/>
              <w:rPr>
                <w:szCs w:val="24"/>
              </w:rPr>
            </w:pPr>
            <w:r>
              <w:rPr>
                <w:b/>
                <w:i/>
              </w:rPr>
              <w:t>„Artykuł</w:t>
            </w:r>
            <w:r>
              <w:t xml:space="preserve"> 19d</w:t>
            </w:r>
          </w:p>
        </w:tc>
      </w:tr>
      <w:tr w:rsidR="00F707A5" w:rsidTr="008F1F42">
        <w:trPr>
          <w:jc w:val="center"/>
        </w:trPr>
        <w:tc>
          <w:tcPr>
            <w:tcW w:w="4876" w:type="dxa"/>
            <w:hideMark/>
          </w:tcPr>
          <w:p w:rsidR="001762D4" w:rsidRPr="00E73CE2" w:rsidRDefault="000C3E1A">
            <w:pPr>
              <w:pStyle w:val="Normal6"/>
            </w:pPr>
            <w:r>
              <w:t>Starania w celu opracowywania unijnych wskaźników</w:t>
            </w:r>
            <w:r>
              <w:t xml:space="preserve"> referencyjnych transformacji klimatycznej</w:t>
            </w:r>
          </w:p>
        </w:tc>
        <w:tc>
          <w:tcPr>
            <w:tcW w:w="4876" w:type="dxa"/>
            <w:hideMark/>
          </w:tcPr>
          <w:p w:rsidR="001762D4" w:rsidRPr="00E73CE2" w:rsidRDefault="000C3E1A">
            <w:pPr>
              <w:pStyle w:val="Normal6"/>
              <w:rPr>
                <w:szCs w:val="24"/>
              </w:rPr>
            </w:pPr>
            <w:r>
              <w:t>Starania w celu opracowywania unijnych wskaźników referencyjnych transformacji klimatycznej</w:t>
            </w:r>
            <w:r>
              <w:rPr>
                <w:b/>
                <w:i/>
              </w:rPr>
              <w:t xml:space="preserve"> i unijnych wskaźników referencyjnych dostosowanych do porozumienia paryskiego;</w:t>
            </w:r>
          </w:p>
        </w:tc>
      </w:tr>
      <w:tr w:rsidR="00F707A5" w:rsidTr="008F1F42">
        <w:trPr>
          <w:jc w:val="center"/>
        </w:trPr>
        <w:tc>
          <w:tcPr>
            <w:tcW w:w="4876" w:type="dxa"/>
            <w:hideMark/>
          </w:tcPr>
          <w:p w:rsidR="001762D4" w:rsidRPr="00E73CE2" w:rsidRDefault="000C3E1A">
            <w:pPr>
              <w:pStyle w:val="Normal6"/>
            </w:pPr>
            <w:r>
              <w:rPr>
                <w:b/>
                <w:i/>
              </w:rPr>
              <w:t xml:space="preserve">Do dnia 1 stycznia 2022 r. </w:t>
            </w:r>
            <w:r>
              <w:t>administratorz</w:t>
            </w:r>
            <w:r>
              <w:t>y, którzy mają siedzibę w Unii</w:t>
            </w:r>
            <w:r>
              <w:rPr>
                <w:b/>
                <w:i/>
              </w:rPr>
              <w:t>,</w:t>
            </w:r>
            <w:r>
              <w:t xml:space="preserve"> i</w:t>
            </w:r>
            <w:r>
              <w:rPr>
                <w:b/>
                <w:i/>
              </w:rPr>
              <w:t xml:space="preserve"> którzy</w:t>
            </w:r>
            <w:r>
              <w:t xml:space="preserve"> opracowują istotne wskaźniki referencyjne wyznaczone na podstawie wartości jednego lub większej liczby aktywów bazowych lub cen, podejmują starania w</w:t>
            </w:r>
            <w:r>
              <w:rPr>
                <w:b/>
                <w:i/>
              </w:rPr>
              <w:t xml:space="preserve"> </w:t>
            </w:r>
            <w:r>
              <w:t xml:space="preserve">celu opracowywania jednego </w:t>
            </w:r>
            <w:r>
              <w:lastRenderedPageBreak/>
              <w:t>lub większej liczby unijnych wskaźnikó</w:t>
            </w:r>
            <w:r>
              <w:t>w referencyjnych transformacji klimatycznej.</w:t>
            </w:r>
          </w:p>
        </w:tc>
        <w:tc>
          <w:tcPr>
            <w:tcW w:w="4876" w:type="dxa"/>
            <w:hideMark/>
          </w:tcPr>
          <w:p w:rsidR="001762D4" w:rsidRPr="00E73CE2" w:rsidRDefault="000C3E1A">
            <w:pPr>
              <w:pStyle w:val="Normal6"/>
              <w:rPr>
                <w:szCs w:val="24"/>
              </w:rPr>
            </w:pPr>
            <w:r>
              <w:lastRenderedPageBreak/>
              <w:t>Administratorzy, którzy mają siedzibę w Unii i opracowują istotne wskaźniki referencyjne wyznaczone na podstawie wartości jednego lub większej liczby aktywów bazowych lub cen, podejmują starania w</w:t>
            </w:r>
            <w:r>
              <w:rPr>
                <w:b/>
                <w:i/>
              </w:rPr>
              <w:t> </w:t>
            </w:r>
            <w:r>
              <w:t>celu opracowyw</w:t>
            </w:r>
            <w:r>
              <w:t xml:space="preserve">ania jednego lub większej liczby unijnych wskaźników </w:t>
            </w:r>
            <w:r>
              <w:lastRenderedPageBreak/>
              <w:t>referencyjnych transformacji klimatycznej</w:t>
            </w:r>
            <w:r>
              <w:rPr>
                <w:b/>
                <w:i/>
              </w:rPr>
              <w:t xml:space="preserve"> i unijnych wskaźników referencyjnych dostosowanych do porozumienia paryskiego</w:t>
            </w:r>
            <w:r>
              <w:t>.</w:t>
            </w:r>
          </w:p>
        </w:tc>
      </w:tr>
      <w:tr w:rsidR="00F707A5" w:rsidTr="008F1F42">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w:t>
            </w:r>
          </w:p>
        </w:tc>
      </w:tr>
    </w:tbl>
    <w:p w:rsidR="008F1F42" w:rsidRPr="00E73CE2" w:rsidRDefault="000C3E1A" w:rsidP="008F1F42">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8F1F42" w:rsidRPr="003534BF" w:rsidRDefault="000C3E1A" w:rsidP="008F1F42">
      <w:pPr>
        <w:pStyle w:val="CrossRef"/>
        <w:rPr>
          <w:lang w:val="en-GB"/>
        </w:rPr>
      </w:pPr>
      <w:r w:rsidRPr="003534BF">
        <w:rPr>
          <w:lang w:val="en-GB"/>
        </w:rPr>
        <w:t>(https://eur-lex.europa.eu/legal-content/PL/</w:t>
      </w:r>
      <w:r w:rsidRPr="003534BF">
        <w:rPr>
          <w:lang w:val="en-GB"/>
        </w:rPr>
        <w:t>TXT/?uri=CELEX%3A02016R1011-20240109)</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100</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E25682" w:rsidRPr="00E73CE2" w:rsidRDefault="000C3E1A" w:rsidP="00E25682">
      <w:pPr>
        <w:pStyle w:val="NormalBold"/>
      </w:pPr>
      <w:r w:rsidRPr="003534BF">
        <w:rPr>
          <w:rStyle w:val="HideTWBExt"/>
          <w:b w:val="0"/>
        </w:rPr>
        <w:t>&lt;Article&gt;</w:t>
      </w:r>
      <w:r>
        <w:t>Artykuł 1 – akapit 1 – punkt 10 b (nowy)</w:t>
      </w:r>
      <w:r w:rsidRPr="003534BF">
        <w:rPr>
          <w:rStyle w:val="HideTWBExt"/>
          <w:b w:val="0"/>
        </w:rPr>
        <w:t>&lt;/Article&gt;</w:t>
      </w:r>
    </w:p>
    <w:p w:rsidR="00842138" w:rsidRPr="00E73CE2" w:rsidRDefault="000C3E1A" w:rsidP="00842138">
      <w:pPr>
        <w:keepNext/>
      </w:pPr>
      <w:r w:rsidRPr="003534BF">
        <w:rPr>
          <w:rStyle w:val="HideTWBExt"/>
        </w:rPr>
        <w:t>&lt;DocAmend2&gt;</w:t>
      </w:r>
      <w:r>
        <w:t>Rozporządzenie (UE) nr 2016/1011</w:t>
      </w:r>
      <w:r w:rsidRPr="003534BF">
        <w:rPr>
          <w:rStyle w:val="HideTWBExt"/>
        </w:rPr>
        <w:t>&lt;/DocAmend2&gt;</w:t>
      </w:r>
    </w:p>
    <w:p w:rsidR="00842138" w:rsidRPr="00E73CE2" w:rsidRDefault="000C3E1A" w:rsidP="00842138">
      <w:r>
        <w:rPr>
          <w:rStyle w:val="HideTWBExt"/>
          <w:lang w:val="fr-FR"/>
        </w:rPr>
        <w:t>&lt;Article2&gt;</w:t>
      </w:r>
      <w:r>
        <w:t>Artykuł 19d a (nowy)</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9B782B" w:rsidRPr="00E73CE2" w:rsidRDefault="009B782B">
            <w:pPr>
              <w:pStyle w:val="Normal6"/>
              <w:rPr>
                <w:lang w:val="en-GB"/>
              </w:rPr>
            </w:pPr>
          </w:p>
        </w:tc>
        <w:tc>
          <w:tcPr>
            <w:tcW w:w="4876" w:type="dxa"/>
          </w:tcPr>
          <w:p w:rsidR="009B782B" w:rsidRPr="00E73CE2" w:rsidRDefault="000C3E1A">
            <w:pPr>
              <w:pStyle w:val="Normal6"/>
              <w:rPr>
                <w:b/>
                <w:i/>
              </w:rPr>
            </w:pPr>
            <w:r>
              <w:rPr>
                <w:b/>
                <w:i/>
              </w:rPr>
              <w:t>10b)</w:t>
            </w:r>
            <w:r>
              <w:rPr>
                <w:b/>
                <w:i/>
              </w:rPr>
              <w:tab/>
              <w:t>dodaje się artykuł w brzmieniu:</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b/>
                <w:i/>
              </w:rPr>
            </w:pPr>
            <w:r>
              <w:rPr>
                <w:b/>
                <w:i/>
              </w:rPr>
              <w:t>„Artykuł 19da</w:t>
            </w:r>
          </w:p>
          <w:p w:rsidR="009B782B" w:rsidRPr="00E73CE2" w:rsidRDefault="000C3E1A">
            <w:pPr>
              <w:pStyle w:val="Normal6"/>
              <w:rPr>
                <w:szCs w:val="24"/>
              </w:rPr>
            </w:pPr>
            <w:r>
              <w:rPr>
                <w:b/>
                <w:i/>
              </w:rPr>
              <w:t xml:space="preserve">Tytuł </w:t>
            </w:r>
            <w:r>
              <w:rPr>
                <w:b/>
                <w:i/>
              </w:rPr>
              <w:t>artykułu</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1.</w:t>
            </w:r>
            <w:r>
              <w:rPr>
                <w:b/>
                <w:i/>
              </w:rPr>
              <w:tab/>
              <w:t>Administratorzy, którzy nie uzyskali zezwolenia lub nie zostali zarejestrowani zgodnie z art. 34 lub nie zostali uznani zgodnie z art. 32, nie mogą:</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a) </w:t>
            </w:r>
            <w:r>
              <w:rPr>
                <w:b/>
                <w:i/>
              </w:rPr>
              <w:tab/>
              <w:t>opracowywać ani zatwierdzać wskaźników referencyjnych ESG, ani</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b) </w:t>
            </w:r>
            <w:r>
              <w:rPr>
                <w:b/>
                <w:i/>
              </w:rPr>
              <w:tab/>
              <w:t>wskazywać ani suge</w:t>
            </w:r>
            <w:r>
              <w:rPr>
                <w:b/>
                <w:i/>
              </w:rPr>
              <w:t>rować w nazwie wskaźników referencyjnych, które udostępniają do stosowania w Unii, lub w dokumentacji prawnej lub marketingowej dotyczącej tych wskaźników referencyjnych, że udostępniane przez nich wskaźniki referencyjne realizują cele z zakresu ESG lub uw</w:t>
            </w:r>
            <w:r>
              <w:rPr>
                <w:b/>
                <w:i/>
              </w:rPr>
              <w:t>zględniają czynniki ESG.</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2. </w:t>
            </w:r>
            <w:r>
              <w:rPr>
                <w:b/>
                <w:i/>
              </w:rPr>
              <w:tab/>
              <w:t xml:space="preserve">ESMA opracowuje projekty regulacyjnych standardów technicznych w celu określenia wspólnych standardów dotyczących nazw wskaźników referencyjnych ESG zgodnych z </w:t>
            </w:r>
            <w:r>
              <w:rPr>
                <w:b/>
                <w:i/>
              </w:rPr>
              <w:lastRenderedPageBreak/>
              <w:t>rozporządzeniem (UE) 2019/2088 oraz dyrektywami 2011/61/UE i 2009</w:t>
            </w:r>
            <w:r>
              <w:rPr>
                <w:b/>
                <w:i/>
              </w:rPr>
              <w:t>/65/WE.</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ESMA przedstawia Komisji te projekty regulacyjnych standardów technicznych do [12 miesięcy od dnia wejścia w życie niniejszego rozporządzenia] r.</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Komisja jest uprawniona do uzupełnienia niniejszego rozporządzenia przez przyjęcie regulacyjnych </w:t>
            </w:r>
            <w:r>
              <w:rPr>
                <w:b/>
                <w:i/>
              </w:rPr>
              <w:t>standardów technicznych, o których mowa w akapicie pierwszym, zgodnie z art. 10–14 rozporządzenia (UE) nr 1095/2010.”;</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Niezbędne jest dostosowanie przepisów dotyczących obowiązku </w:t>
      </w:r>
      <w:r>
        <w:t>ujawniania informacji związanych z ESG w kontekście wskaźników referencyjnych ESG do przepisów unijnego rozporządzenia w sprawie ujawniania informacji związanych ze zrównoważonym rozwojem w sektorze usług finansowych, a także uspójnienie wymogów dotyczącyc</w:t>
      </w:r>
      <w:r>
        <w:t>h nazw wskaźników referencyjnych z wymogami dotyczącymi nazw funduszy, zwłaszcza ETF (których nazwy odzwierciedlają nazwy ich indeksów bazowych), określonymi w dyrektywie w sprawie UCITS i dyrektywie w sprawie ZAFI).</w:t>
      </w:r>
    </w:p>
    <w:p w:rsidR="001762D4" w:rsidRPr="003534BF" w:rsidRDefault="000C3E1A" w:rsidP="001762D4">
      <w:pPr>
        <w:rPr>
          <w:lang w:val="en-GB"/>
        </w:rPr>
      </w:pPr>
      <w:r w:rsidRPr="003534BF">
        <w:rPr>
          <w:rStyle w:val="HideTWBExt"/>
          <w:lang w:val="en-GB"/>
        </w:rPr>
        <w:t>&lt;/Amend&gt;</w:t>
      </w:r>
    </w:p>
    <w:p w:rsidR="00B56F1B" w:rsidRPr="003534BF" w:rsidRDefault="000C3E1A" w:rsidP="00B56F1B">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101</w:t>
      </w:r>
      <w:r>
        <w:rPr>
          <w:rStyle w:val="HideTWBExt"/>
          <w:b w:val="0"/>
          <w:lang w:val="en-GB"/>
        </w:rPr>
        <w:t>&lt;/N</w:t>
      </w:r>
      <w:r>
        <w:rPr>
          <w:rStyle w:val="HideTWBExt"/>
          <w:b w:val="0"/>
          <w:lang w:val="en-GB"/>
        </w:rPr>
        <w:t>umAm&gt;</w:t>
      </w:r>
    </w:p>
    <w:p w:rsidR="00B56F1B" w:rsidRPr="003534BF" w:rsidRDefault="000C3E1A" w:rsidP="00B56F1B">
      <w:pPr>
        <w:pStyle w:val="NormalBold"/>
        <w:rPr>
          <w:lang w:val="en-GB"/>
        </w:rPr>
      </w:pPr>
      <w:r w:rsidRPr="003534BF">
        <w:rPr>
          <w:rStyle w:val="HideTWBExt"/>
          <w:b w:val="0"/>
          <w:lang w:val="en-GB"/>
        </w:rPr>
        <w:t>&lt;RepeatBlock-By&gt;&lt;Members&gt;</w:t>
      </w:r>
      <w:r w:rsidRPr="003534BF">
        <w:rPr>
          <w:lang w:val="en-GB"/>
        </w:rPr>
        <w:t>Markus Ferber</w:t>
      </w:r>
      <w:r w:rsidRPr="003534BF">
        <w:rPr>
          <w:rStyle w:val="HideTWBExt"/>
          <w:b w:val="0"/>
          <w:lang w:val="en-GB"/>
        </w:rPr>
        <w:t>&lt;/Members&gt;</w:t>
      </w:r>
    </w:p>
    <w:p w:rsidR="00B56F1B" w:rsidRPr="00E73CE2" w:rsidRDefault="000C3E1A" w:rsidP="00B56F1B">
      <w:r>
        <w:rPr>
          <w:rStyle w:val="HideTWBExt"/>
        </w:rPr>
        <w:t>&lt;/RepeatBlock-By&gt;</w:t>
      </w:r>
    </w:p>
    <w:p w:rsidR="00B56F1B" w:rsidRPr="00E73CE2" w:rsidRDefault="000C3E1A" w:rsidP="00B56F1B">
      <w:pPr>
        <w:pStyle w:val="NormalBold"/>
        <w:keepNext/>
      </w:pPr>
      <w:r>
        <w:rPr>
          <w:rStyle w:val="HideTWBExt"/>
          <w:b w:val="0"/>
        </w:rPr>
        <w:t>&lt;DocAmend&gt;</w:t>
      </w:r>
      <w:r>
        <w:t>Wniosek dotyczący rozporządzenia</w:t>
      </w:r>
      <w:r>
        <w:rPr>
          <w:rStyle w:val="HideTWBExt"/>
          <w:b w:val="0"/>
        </w:rPr>
        <w:t>&lt;/DocAmend&gt;</w:t>
      </w:r>
    </w:p>
    <w:p w:rsidR="00B56F1B" w:rsidRPr="003534BF" w:rsidRDefault="000C3E1A" w:rsidP="00B56F1B">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B56F1B" w:rsidRPr="003534BF" w:rsidRDefault="000C3E1A" w:rsidP="00B56F1B">
      <w:pPr>
        <w:keepNext/>
        <w:rPr>
          <w:lang w:val="fr-FR"/>
        </w:rPr>
      </w:pPr>
      <w:r>
        <w:rPr>
          <w:rStyle w:val="HideTWBExt"/>
          <w:lang w:val="fr-FR"/>
        </w:rPr>
        <w:t>&lt;DocAmend2&gt;</w:t>
      </w:r>
      <w:r w:rsidRPr="003534BF">
        <w:rPr>
          <w:lang w:val="fr-FR"/>
        </w:rPr>
        <w:t>Rozporządzenie (UE) 2016/1011</w:t>
      </w:r>
      <w:r>
        <w:rPr>
          <w:rStyle w:val="HideTWBExt"/>
          <w:lang w:val="fr-FR"/>
        </w:rPr>
        <w:t>&lt;/DocAmend2&gt;</w:t>
      </w:r>
    </w:p>
    <w:p w:rsidR="00B56F1B" w:rsidRPr="003534BF" w:rsidRDefault="000C3E1A" w:rsidP="00B56F1B">
      <w:pPr>
        <w:rPr>
          <w:lang w:val="fr-FR"/>
        </w:rPr>
      </w:pPr>
      <w:r>
        <w:rPr>
          <w:rStyle w:val="HideTWBExt"/>
          <w:lang w:val="fr-FR"/>
        </w:rPr>
        <w:t>&lt;Article2&gt;</w:t>
      </w:r>
      <w:r w:rsidRPr="003534BF">
        <w:rPr>
          <w:lang w:val="fr-FR"/>
        </w:rPr>
        <w:t xml:space="preserve">Artykuł 24 – </w:t>
      </w:r>
      <w:r w:rsidRPr="003534BF">
        <w:rPr>
          <w:lang w:val="fr-FR"/>
        </w:rPr>
        <w:t>ustęp 1 – akapit 1 – litera a</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EC2D82">
        <w:trPr>
          <w:jc w:val="center"/>
        </w:trPr>
        <w:tc>
          <w:tcPr>
            <w:tcW w:w="9752" w:type="dxa"/>
            <w:gridSpan w:val="2"/>
          </w:tcPr>
          <w:p w:rsidR="00B56F1B" w:rsidRPr="00E73CE2" w:rsidRDefault="00B56F1B" w:rsidP="00EC2D82">
            <w:pPr>
              <w:keepNext/>
              <w:rPr>
                <w:lang w:val="fr-FR"/>
              </w:rPr>
            </w:pPr>
          </w:p>
        </w:tc>
      </w:tr>
      <w:tr w:rsidR="00F707A5" w:rsidTr="00EC2D82">
        <w:trPr>
          <w:jc w:val="center"/>
        </w:trPr>
        <w:tc>
          <w:tcPr>
            <w:tcW w:w="4876" w:type="dxa"/>
            <w:hideMark/>
          </w:tcPr>
          <w:p w:rsidR="00B56F1B" w:rsidRPr="00E73CE2" w:rsidRDefault="000C3E1A" w:rsidP="00EC2D82">
            <w:pPr>
              <w:pStyle w:val="ColumnHeading"/>
              <w:keepNext/>
            </w:pPr>
            <w:r>
              <w:t>Tekst proponowany przez Komisję</w:t>
            </w:r>
          </w:p>
        </w:tc>
        <w:tc>
          <w:tcPr>
            <w:tcW w:w="4876" w:type="dxa"/>
            <w:hideMark/>
          </w:tcPr>
          <w:p w:rsidR="00B56F1B" w:rsidRPr="00E73CE2" w:rsidRDefault="000C3E1A" w:rsidP="00EC2D82">
            <w:pPr>
              <w:pStyle w:val="ColumnHeading"/>
              <w:keepNext/>
            </w:pPr>
            <w:r>
              <w:t>Poprawka</w:t>
            </w:r>
          </w:p>
        </w:tc>
      </w:tr>
      <w:tr w:rsidR="00F707A5" w:rsidTr="00EC2D82">
        <w:trPr>
          <w:jc w:val="center"/>
        </w:trPr>
        <w:tc>
          <w:tcPr>
            <w:tcW w:w="4876" w:type="dxa"/>
            <w:hideMark/>
          </w:tcPr>
          <w:p w:rsidR="00B56F1B" w:rsidRPr="00E73CE2" w:rsidRDefault="000C3E1A" w:rsidP="00EC2D82">
            <w:pPr>
              <w:pStyle w:val="Normal6"/>
            </w:pPr>
            <w:r>
              <w:t>a)</w:t>
            </w:r>
            <w:r>
              <w:tab/>
            </w:r>
            <w:r>
              <w:t>wskaźnik referencyjny jest wykorzystywany pośrednio lub bezpośrednio w zestawie wskaźników referencyjnych stosowanych w Unii jako odniesienie dla instrumentów finansowych lub umów finansowych lub do pomiaru wyników funduszy inwestycyjnych, o całkowitej uśr</w:t>
            </w:r>
            <w:r>
              <w:t xml:space="preserve">ednionej wartości wynoszącej co najmniej </w:t>
            </w:r>
            <w:r>
              <w:rPr>
                <w:b/>
                <w:i/>
              </w:rPr>
              <w:t>50</w:t>
            </w:r>
            <w:r>
              <w:t xml:space="preserve"> mld EUR szacowanej na podstawie wszystkich okresów zapadalności wskaźnika </w:t>
            </w:r>
            <w:r>
              <w:lastRenderedPageBreak/>
              <w:t>referencyjnego, w stosownych przypadkach, za okres sześciu miesięcy;</w:t>
            </w:r>
          </w:p>
        </w:tc>
        <w:tc>
          <w:tcPr>
            <w:tcW w:w="4876" w:type="dxa"/>
            <w:hideMark/>
          </w:tcPr>
          <w:p w:rsidR="00B56F1B" w:rsidRPr="00E73CE2" w:rsidRDefault="000C3E1A" w:rsidP="00EC2D82">
            <w:pPr>
              <w:pStyle w:val="Normal6"/>
              <w:rPr>
                <w:szCs w:val="24"/>
              </w:rPr>
            </w:pPr>
            <w:r>
              <w:lastRenderedPageBreak/>
              <w:t>a)</w:t>
            </w:r>
            <w:r>
              <w:tab/>
              <w:t>wskaźnik referencyjny jest wykorzystywany pośrednio lub bezpośredn</w:t>
            </w:r>
            <w:r>
              <w:t xml:space="preserve">io w zestawie wskaźników referencyjnych stosowanych w Unii jako odniesienie dla instrumentów finansowych lub umów finansowych lub do pomiaru wyników funduszy inwestycyjnych, o całkowitej uśrednionej wartości wynoszącej co najmniej </w:t>
            </w:r>
            <w:r>
              <w:rPr>
                <w:b/>
                <w:i/>
              </w:rPr>
              <w:t>75</w:t>
            </w:r>
            <w:r>
              <w:t xml:space="preserve"> mld EUR szacowanej na </w:t>
            </w:r>
            <w:r>
              <w:t xml:space="preserve">podstawie wszystkich okresów zapadalności wskaźnika </w:t>
            </w:r>
            <w:r>
              <w:lastRenderedPageBreak/>
              <w:t>referencyjnego, w stosownych przypadkach, za okres sześciu miesięcy;</w:t>
            </w:r>
          </w:p>
        </w:tc>
      </w:tr>
    </w:tbl>
    <w:p w:rsidR="00B56F1B" w:rsidRPr="00E73CE2" w:rsidRDefault="000C3E1A" w:rsidP="00B56F1B">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B56F1B" w:rsidRPr="003534BF" w:rsidRDefault="000C3E1A" w:rsidP="00B56F1B">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102</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3534BF" w:rsidRDefault="000C3E1A" w:rsidP="001762D4">
      <w:pPr>
        <w:keepNext/>
        <w:rPr>
          <w:lang w:val="fr-FR"/>
        </w:rPr>
      </w:pPr>
      <w:r>
        <w:rPr>
          <w:rStyle w:val="HideTWBExt"/>
          <w:lang w:val="fr-FR"/>
        </w:rPr>
        <w:t>&lt;DocAmend2&gt;</w:t>
      </w:r>
      <w:r w:rsidRPr="003534BF">
        <w:rPr>
          <w:lang w:val="fr-FR"/>
        </w:rPr>
        <w:t>Rozporządzenie (UE) 2016/1011</w:t>
      </w:r>
      <w:r>
        <w:rPr>
          <w:rStyle w:val="HideTWBExt"/>
          <w:lang w:val="fr-FR"/>
        </w:rPr>
        <w:t>&lt;/DocAmend2&gt;</w:t>
      </w:r>
    </w:p>
    <w:p w:rsidR="001762D4" w:rsidRPr="003534BF" w:rsidRDefault="000C3E1A" w:rsidP="001762D4">
      <w:pPr>
        <w:rPr>
          <w:lang w:val="fr-FR"/>
        </w:rPr>
      </w:pPr>
      <w:r>
        <w:rPr>
          <w:rStyle w:val="HideTWBExt"/>
          <w:lang w:val="fr-FR"/>
        </w:rPr>
        <w:t>&lt;Article2&gt;</w:t>
      </w:r>
      <w:r w:rsidRPr="003534BF">
        <w:rPr>
          <w:lang w:val="fr-FR"/>
        </w:rPr>
        <w:t>Artykuł 24 – ustęp 1 – akapit 1 – litera a</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w:t>
            </w:r>
            <w:r>
              <w:t>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a)</w:t>
            </w:r>
            <w:r>
              <w:tab/>
              <w:t>wskaźnik referencyjny jest wykorzystywany pośrednio lub bezpośrednio w zestawie wskaźników referencyjnych stosowanych w Unii jako odniesienie dla instrumentów finansowych lub umów finansowych lub do pomiaru wyników funduszy i</w:t>
            </w:r>
            <w:r>
              <w:t xml:space="preserve">nwestycyjnych, o całkowitej uśrednionej wartości wynoszącej co najmniej </w:t>
            </w:r>
            <w:r>
              <w:rPr>
                <w:b/>
                <w:i/>
              </w:rPr>
              <w:t>50</w:t>
            </w:r>
            <w:r>
              <w:t xml:space="preserve"> mld EUR szacowanej na podstawie wszystkich okresów zapadalności wskaźnika referencyjnego, w stosownych przypadkach, za okres sześciu miesięcy;</w:t>
            </w:r>
          </w:p>
        </w:tc>
        <w:tc>
          <w:tcPr>
            <w:tcW w:w="4876" w:type="dxa"/>
            <w:hideMark/>
          </w:tcPr>
          <w:p w:rsidR="001762D4" w:rsidRPr="00E73CE2" w:rsidRDefault="000C3E1A">
            <w:pPr>
              <w:pStyle w:val="Normal6"/>
              <w:rPr>
                <w:szCs w:val="24"/>
              </w:rPr>
            </w:pPr>
            <w:r>
              <w:t>a)</w:t>
            </w:r>
            <w:r>
              <w:tab/>
            </w:r>
            <w:r>
              <w:t>wskaźnik referencyjny jest wykorzystywany pośrednio lub bezpośrednio w zestawie wskaźników referencyjnych stosowanych w Unii jako odniesienie dla instrumentów finansowych lub umów finansowych lub do pomiaru wyników funduszy inwestycyjnych, o całkowitej uśr</w:t>
            </w:r>
            <w:r>
              <w:t xml:space="preserve">ednionej wartości wynoszącej co najmniej </w:t>
            </w:r>
            <w:r>
              <w:rPr>
                <w:b/>
                <w:i/>
              </w:rPr>
              <w:t>60</w:t>
            </w:r>
            <w:r>
              <w:t xml:space="preserve"> mld EUR szacowanej na podstawie wszystkich okresów zapadalności wskaźnika referencyjnego, w stosownych przypadkach, za okres sześciu miesięcy;</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103</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3534BF" w:rsidRDefault="000C3E1A" w:rsidP="001762D4">
      <w:pPr>
        <w:keepNext/>
        <w:rPr>
          <w:lang w:val="fr-FR"/>
        </w:rPr>
      </w:pPr>
      <w:r>
        <w:rPr>
          <w:rStyle w:val="HideTWBExt"/>
          <w:lang w:val="fr-FR"/>
        </w:rPr>
        <w:t>&lt;DocAmend2&gt;</w:t>
      </w:r>
      <w:r w:rsidRPr="003534BF">
        <w:rPr>
          <w:lang w:val="fr-FR"/>
        </w:rPr>
        <w:t>Rozporządzenie (UE) 2016/1011</w:t>
      </w:r>
      <w:r>
        <w:rPr>
          <w:rStyle w:val="HideTWBExt"/>
          <w:lang w:val="fr-FR"/>
        </w:rPr>
        <w:t>&lt;/DocAmend2&gt;</w:t>
      </w:r>
    </w:p>
    <w:p w:rsidR="001762D4" w:rsidRPr="003534BF" w:rsidRDefault="000C3E1A" w:rsidP="001762D4">
      <w:pPr>
        <w:rPr>
          <w:lang w:val="fr-FR"/>
        </w:rPr>
      </w:pPr>
      <w:r>
        <w:rPr>
          <w:rStyle w:val="HideTWBExt"/>
          <w:lang w:val="fr-FR"/>
        </w:rPr>
        <w:t>&lt;Articl</w:t>
      </w:r>
      <w:r>
        <w:rPr>
          <w:rStyle w:val="HideTWBExt"/>
          <w:lang w:val="fr-FR"/>
        </w:rPr>
        <w:t>e2&gt;</w:t>
      </w:r>
      <w:r w:rsidRPr="003534BF">
        <w:rPr>
          <w:lang w:val="fr-FR"/>
        </w:rPr>
        <w:t>Artykuł 24 – ustęp 1 – akapit 1 – litera b</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b)</w:t>
            </w:r>
            <w:r>
              <w:rPr>
                <w:b/>
                <w:i/>
              </w:rPr>
              <w:tab/>
              <w:t xml:space="preserve">wskaźnik referencyjny wyznaczono jako istotny zgodnie z procedurą określoną w ust. 3, 4 i 5 lub procedurą </w:t>
            </w:r>
            <w:r>
              <w:rPr>
                <w:b/>
                <w:i/>
              </w:rPr>
              <w:lastRenderedPageBreak/>
              <w:t>określoną w ust. 6.</w:t>
            </w:r>
          </w:p>
        </w:tc>
        <w:tc>
          <w:tcPr>
            <w:tcW w:w="4876" w:type="dxa"/>
            <w:hideMark/>
          </w:tcPr>
          <w:p w:rsidR="001762D4" w:rsidRPr="00E73CE2" w:rsidRDefault="000C3E1A">
            <w:pPr>
              <w:pStyle w:val="Normal6"/>
              <w:rPr>
                <w:szCs w:val="24"/>
              </w:rPr>
            </w:pPr>
            <w:r>
              <w:rPr>
                <w:b/>
                <w:i/>
              </w:rPr>
              <w:lastRenderedPageBreak/>
              <w:t>skreśla się</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E73CE2" w:rsidRDefault="000C3E1A" w:rsidP="001762D4">
      <w:pPr>
        <w:pStyle w:val="JustificationTitle"/>
        <w:rPr>
          <w:noProof w:val="0"/>
        </w:rPr>
      </w:pPr>
      <w:r>
        <w:rPr>
          <w:rStyle w:val="HideTWBExt"/>
          <w:i w:val="0"/>
          <w:lang w:val="en-GB"/>
        </w:rPr>
        <w:t>&lt;TitreJust&gt;</w:t>
      </w:r>
      <w:r>
        <w:t>Uzasadnienie</w:t>
      </w:r>
      <w:r>
        <w:rPr>
          <w:rStyle w:val="HideTWBExt"/>
          <w:i w:val="0"/>
          <w:lang w:val="en-GB"/>
        </w:rPr>
        <w:t>&lt;/TitreJust&gt;</w:t>
      </w:r>
    </w:p>
    <w:p w:rsidR="001762D4" w:rsidRPr="00E73CE2" w:rsidRDefault="000C3E1A" w:rsidP="001762D4">
      <w:pPr>
        <w:pStyle w:val="Normal12Italic"/>
        <w:rPr>
          <w:noProof w:val="0"/>
        </w:rPr>
      </w:pPr>
      <w:r>
        <w:t>Aby zapewnić spójne stosowanie niniejszego rozporządzenia, ustalenie, czy dany wskaźnik jest istotny, powinno opierać się wyłącznie na kryteriach ilościowych.</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104</w:t>
      </w:r>
      <w:r w:rsidRPr="003534BF">
        <w:rPr>
          <w:rStyle w:val="HideTWBExt"/>
          <w:b w:val="0"/>
        </w:rPr>
        <w:t>&lt;/NumAm&gt;</w:t>
      </w:r>
    </w:p>
    <w:p w:rsidR="001762D4" w:rsidRPr="00E73CE2" w:rsidRDefault="000C3E1A" w:rsidP="001762D4">
      <w:pPr>
        <w:pStyle w:val="NormalBold"/>
      </w:pPr>
      <w:r>
        <w:rPr>
          <w:rStyle w:val="HideTWBExt"/>
          <w:b w:val="0"/>
        </w:rPr>
        <w:t>&lt;RepeatBlock-By&gt;&lt;Members&gt;</w:t>
      </w:r>
      <w:r>
        <w:t>Gilles Boyer, Stéphanie Yon-Courtin, Olivier Chastel</w:t>
      </w:r>
      <w:r>
        <w:rPr>
          <w:rStyle w:val="HideTWBExt"/>
          <w:b w:val="0"/>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w:t>
      </w:r>
      <w:r>
        <w:t>16/1011</w:t>
      </w:r>
      <w:r w:rsidRPr="003534BF">
        <w:rPr>
          <w:rStyle w:val="HideTWBExt"/>
        </w:rPr>
        <w:t>&lt;/DocAmend2&gt;</w:t>
      </w:r>
    </w:p>
    <w:p w:rsidR="001762D4" w:rsidRPr="00E73CE2" w:rsidRDefault="000C3E1A" w:rsidP="001762D4">
      <w:r w:rsidRPr="003534BF">
        <w:rPr>
          <w:rStyle w:val="HideTWBExt"/>
        </w:rPr>
        <w:t>&lt;Article2&gt;</w:t>
      </w:r>
      <w:r>
        <w:t>Artykuł 24 – ustęp 1a (nowy)</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1a.</w:t>
            </w:r>
            <w:r>
              <w:rPr>
                <w:b/>
                <w:i/>
              </w:rPr>
              <w:tab/>
              <w:t xml:space="preserve">Zagregowany wolumen pozaistotnych wskaźników referencyjnych opracowanych przez jednego administratora, wykorzystywany pośrednio lub </w:t>
            </w:r>
            <w:r>
              <w:rPr>
                <w:b/>
                <w:i/>
              </w:rPr>
              <w:t xml:space="preserve">bezpośrednio w zestawie wskaźników referencyjnych stosowanych jako odniesienie dla instrumentów finansowych lub umów finansowych lub do pomiaru wyników funduszy inwestycyjnych o całkowitej uśrednionej wartości wynoszącej co najmniej 50 mld EUR, szacowanej </w:t>
            </w:r>
            <w:r>
              <w:rPr>
                <w:b/>
                <w:i/>
              </w:rPr>
              <w:t>na podstawie wszystkich okresów zapadalności wskaźnika referencyjnego, w stosownych przypadkach, za okres sześciu miesięcy, podlega takim samym obowiązkom jak istotne wskaźniki.</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105</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lastRenderedPageBreak/>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w:t>
      </w:r>
      <w:r>
        <w:t>ł 24 – ustęp 3</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3.</w:t>
            </w:r>
            <w:r>
              <w:rPr>
                <w:b/>
                <w:i/>
              </w:rPr>
              <w:tab/>
              <w:t xml:space="preserve">Właściwy organ może, po konsultacji z ESMA zgodnie z ust. 4 i z uwzględnieniem jego opinii, wyznaczyć wskaźnik referencyjny opracowany przez administratora mającego siedzibę lub </w:t>
            </w:r>
            <w:r>
              <w:rPr>
                <w:b/>
                <w:i/>
              </w:rPr>
              <w:t>miejsce zamieszkania w Unii, który to wskaźnik nie spełnia warunku określonego w ust. 1 lit. a), jako istotny, jeżeli ten wskaźnik referencyjny spełnia wszystkie następujące warunki:</w:t>
            </w:r>
          </w:p>
        </w:tc>
        <w:tc>
          <w:tcPr>
            <w:tcW w:w="4876" w:type="dxa"/>
            <w:hideMark/>
          </w:tcPr>
          <w:p w:rsidR="001762D4" w:rsidRPr="00E73CE2" w:rsidRDefault="000C3E1A">
            <w:pPr>
              <w:pStyle w:val="Normal6"/>
              <w:rPr>
                <w:szCs w:val="24"/>
              </w:rPr>
            </w:pPr>
            <w:r>
              <w:rPr>
                <w:b/>
                <w:i/>
              </w:rPr>
              <w:t>skreśla się</w:t>
            </w:r>
          </w:p>
        </w:tc>
      </w:tr>
      <w:tr w:rsidR="00F707A5" w:rsidTr="001762D4">
        <w:trPr>
          <w:jc w:val="center"/>
        </w:trPr>
        <w:tc>
          <w:tcPr>
            <w:tcW w:w="4876" w:type="dxa"/>
            <w:hideMark/>
          </w:tcPr>
          <w:p w:rsidR="001762D4" w:rsidRPr="00E73CE2" w:rsidRDefault="000C3E1A">
            <w:pPr>
              <w:pStyle w:val="Normal6"/>
            </w:pPr>
            <w:r>
              <w:rPr>
                <w:b/>
                <w:i/>
              </w:rPr>
              <w:t>a)</w:t>
            </w:r>
            <w:r>
              <w:rPr>
                <w:b/>
                <w:i/>
              </w:rPr>
              <w:tab/>
              <w:t>wskaźnik referencyjny nie ma żadnych lub ma bardzo niewie</w:t>
            </w:r>
            <w:r>
              <w:rPr>
                <w:b/>
                <w:i/>
              </w:rPr>
              <w:t>le odpowiednich rynkowych zastępczych wskaźników referencyjnych;</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b)</w:t>
            </w:r>
            <w:r>
              <w:rPr>
                <w:b/>
                <w:i/>
              </w:rPr>
              <w:tab/>
              <w:t>w przypadku gdyby zaprzestano opracowywania wskaźnika referencyjnego lub gdyby był on opracowywany na podstawie danych wejściowych, które przestały być w pełni reprezentatywne dla danego</w:t>
            </w:r>
            <w:r>
              <w:rPr>
                <w:b/>
                <w:i/>
              </w:rPr>
              <w:t xml:space="preserve"> rynku lub danych realiów gospodarczych, lub na podstawie niewiarygodnych danych wejściowych, miałoby to znaczący i negatywny wpływ na integralność rynku, stabilność finansową, konsumentów, gospodarkę realną lub finansowanie gospodarstw domowych i przedsię</w:t>
            </w:r>
            <w:r>
              <w:rPr>
                <w:b/>
                <w:i/>
              </w:rPr>
              <w:t>biorstw w danym państwie członkowskim;</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c)</w:t>
            </w:r>
            <w:r>
              <w:rPr>
                <w:b/>
                <w:i/>
              </w:rPr>
              <w:tab/>
              <w:t>wskaźnik referencyjny nie został wyznaczony przez właściwy organ innego państwa członkowskiego.</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W przypadku gdy właściwy organ stwierdzi, że wskaźnik referencyjny spełnia kryteria określone w akapicie pierwszym</w:t>
            </w:r>
            <w:r>
              <w:rPr>
                <w:b/>
                <w:i/>
              </w:rPr>
              <w:t xml:space="preserve">, właściwy organ przygotowuje projekt decyzji o wyznaczeniu wskaźnika referencyjnego jako istotnego i powiadamia o tym projekcie decyzji danego administratora oraz właściwy organ rodzimego państwa członkowskiego administratora, w stosownych </w:t>
            </w:r>
            <w:r>
              <w:rPr>
                <w:b/>
                <w:i/>
              </w:rPr>
              <w:lastRenderedPageBreak/>
              <w:t>przypadkach. Da</w:t>
            </w:r>
            <w:r>
              <w:rPr>
                <w:b/>
                <w:i/>
              </w:rPr>
              <w:t>ny właściwy organ zasięga również opinii ESMA w sprawie projektu decyzji.</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Dani administratorzy i właściwy organ rodzimego państwa członkowskiego administratora mają 15 dni roboczych od daty powiadomienia o projekcie decyzji danego wyznaczającego właściwe</w:t>
            </w:r>
            <w:r>
              <w:rPr>
                <w:b/>
                <w:i/>
              </w:rPr>
              <w:t>go organu na przedstawienie spostrzeżeń i uwag na piśmie. Dany wyznaczający właściwy organ informuje ESMA o otrzymanych spostrzeżeniach i uwagach oraz należycie uwzględnia te spostrzeżenia i uwagi przed przyjęciem ostatecznej decyzji.</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 xml:space="preserve">Wyznaczający </w:t>
            </w:r>
            <w:r>
              <w:rPr>
                <w:b/>
                <w:i/>
              </w:rPr>
              <w:t>właściwy organ bez zbędnej zwłoki powiadamia ESMA o swojej decyzji i publikuje ją na swojej stronie internetowej, wraz z uzasadnieniem i konsekwencjami tego wyznaczenia.</w:t>
            </w:r>
          </w:p>
        </w:tc>
        <w:tc>
          <w:tcPr>
            <w:tcW w:w="4876" w:type="dxa"/>
          </w:tcPr>
          <w:p w:rsidR="001762D4" w:rsidRPr="003534BF" w:rsidRDefault="001762D4">
            <w:pPr>
              <w:pStyle w:val="Normal6"/>
              <w:rPr>
                <w:szCs w:val="24"/>
              </w:rPr>
            </w:pP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Aby zapewnić spó</w:t>
      </w:r>
      <w:r>
        <w:t>jne stosowanie niniejszego rozporządzenia, ustalenie, czy dany wskaźnik jest istotny, powinno opierać się wyłącznie na kryteriach ilościowych.</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106</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w:t>
      </w:r>
      <w:r>
        <w:rPr>
          <w:rStyle w:val="HideTWBExt"/>
          <w:b w:val="0"/>
        </w:rPr>
        <w: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3534BF" w:rsidRDefault="000C3E1A" w:rsidP="001762D4">
      <w:pPr>
        <w:keepNext/>
        <w:rPr>
          <w:lang w:val="fr-FR"/>
        </w:rPr>
      </w:pPr>
      <w:r>
        <w:rPr>
          <w:rStyle w:val="HideTWBExt"/>
          <w:lang w:val="fr-FR"/>
        </w:rPr>
        <w:t>&lt;DocAmend2&gt;</w:t>
      </w:r>
      <w:r w:rsidRPr="003534BF">
        <w:rPr>
          <w:lang w:val="fr-FR"/>
        </w:rPr>
        <w:t>Rozporządzenie (UE) 2016/1011</w:t>
      </w:r>
      <w:r>
        <w:rPr>
          <w:rStyle w:val="HideTWBExt"/>
          <w:lang w:val="fr-FR"/>
        </w:rPr>
        <w:t>&lt;/DocAmend2&gt;</w:t>
      </w:r>
    </w:p>
    <w:p w:rsidR="001762D4" w:rsidRPr="003534BF" w:rsidRDefault="000C3E1A" w:rsidP="001762D4">
      <w:pPr>
        <w:rPr>
          <w:lang w:val="fr-FR"/>
        </w:rPr>
      </w:pPr>
      <w:r>
        <w:rPr>
          <w:rStyle w:val="HideTWBExt"/>
          <w:lang w:val="fr-FR"/>
        </w:rPr>
        <w:t>&lt;Article2&gt;</w:t>
      </w:r>
      <w:r w:rsidRPr="003534BF">
        <w:rPr>
          <w:lang w:val="fr-FR"/>
        </w:rPr>
        <w:t>Artykuł 24 – ustęp 3 – akapit 1 – litera b</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b)</w:t>
            </w:r>
            <w:r>
              <w:tab/>
              <w:t>w przypadku gdyby zaprzestano opracowywania wskaźnika referencyjnego lub gdyby był on opracowywany na podstawie danych wejściowych, które przestały być w pełni reprezentatywne dla danego rynku lub danych realiów gospodarczych, lub na podstawie</w:t>
            </w:r>
            <w:r>
              <w:t xml:space="preserve"> niewiarygodnych danych wejściowych, </w:t>
            </w:r>
            <w:r>
              <w:lastRenderedPageBreak/>
              <w:t xml:space="preserve">miałoby to znaczący i negatywny wpływ na </w:t>
            </w:r>
            <w:r>
              <w:rPr>
                <w:b/>
                <w:i/>
              </w:rPr>
              <w:t>integralność rynku, stabilność finansową</w:t>
            </w:r>
            <w:r>
              <w:t>, konsumentów, gospodarkę realną lub finansowanie gospodarstw domowych i przedsiębiorstw w </w:t>
            </w:r>
            <w:r>
              <w:rPr>
                <w:b/>
                <w:i/>
              </w:rPr>
              <w:t>danym państwie członkowskim</w:t>
            </w:r>
            <w:r>
              <w:t>;</w:t>
            </w:r>
          </w:p>
        </w:tc>
        <w:tc>
          <w:tcPr>
            <w:tcW w:w="4876" w:type="dxa"/>
            <w:hideMark/>
          </w:tcPr>
          <w:p w:rsidR="001762D4" w:rsidRPr="00E73CE2" w:rsidRDefault="000C3E1A">
            <w:pPr>
              <w:pStyle w:val="Normal6"/>
              <w:rPr>
                <w:szCs w:val="24"/>
              </w:rPr>
            </w:pPr>
            <w:r>
              <w:lastRenderedPageBreak/>
              <w:t>b)</w:t>
            </w:r>
            <w:r>
              <w:tab/>
              <w:t>w przypadku gdy</w:t>
            </w:r>
            <w:r>
              <w:t>by zaprzestano opracowywania wskaźnika referencyjnego lub gdyby był on opracowywany na podstawie danych wejściowych, które przestały być w pełni reprezentatywne dla danego rynku lub danych realiów gospodarczych, lub na podstawie niewiarygodnych danych wejś</w:t>
            </w:r>
            <w:r>
              <w:t xml:space="preserve">ciowych, </w:t>
            </w:r>
            <w:r>
              <w:lastRenderedPageBreak/>
              <w:t xml:space="preserve">miałoby to znaczący i negatywny wpływ na </w:t>
            </w:r>
            <w:r>
              <w:rPr>
                <w:b/>
                <w:i/>
              </w:rPr>
              <w:t>stabilność finansową w Unii</w:t>
            </w:r>
            <w:r>
              <w:t>, konsumentów, gospodarkę realną lub finansowanie gospodarstw domowych i przedsiębiorstw w </w:t>
            </w:r>
            <w:r>
              <w:rPr>
                <w:b/>
                <w:i/>
              </w:rPr>
              <w:t>Unii</w:t>
            </w:r>
            <w:r>
              <w:t>;</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107</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w:t>
      </w:r>
      <w:r w:rsidRPr="003534BF">
        <w:rPr>
          <w:rStyle w:val="HideTWBExt"/>
          <w:b w:val="0"/>
          <w:lang w:val="en-GB"/>
        </w:rPr>
        <w:t>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B56F1B">
      <w:pPr>
        <w:widowControl/>
      </w:pPr>
      <w:r w:rsidRPr="003534BF">
        <w:rPr>
          <w:rStyle w:val="HideTWBExt"/>
        </w:rPr>
        <w:t>&lt;Article2&gt;</w:t>
      </w:r>
      <w:r>
        <w:t xml:space="preserve">Artykuł 24 – ustęp 3 – </w:t>
      </w:r>
      <w:r>
        <w:t>akapit 3</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 xml:space="preserve">Dani administratorzy i właściwy organ rodzimego państwa członkowskiego administratora mają </w:t>
            </w:r>
            <w:r>
              <w:rPr>
                <w:b/>
                <w:i/>
              </w:rPr>
              <w:t>15</w:t>
            </w:r>
            <w:r>
              <w:t xml:space="preserve"> dni roboczych od daty powiadomienia o projekcie decyzji danego wyznaczającego właściwego organu na</w:t>
            </w:r>
            <w:r>
              <w:t xml:space="preserve"> przedstawienie spostrzeżeń i uwag na piśmie. Dany wyznaczający właściwy organ informuje ESMA o otrzymanych spostrzeżeniach i uwagach oraz należycie uwzględnia te spostrzeżenia i uwagi przed przyjęciem ostatecznej decyzji.</w:t>
            </w:r>
          </w:p>
        </w:tc>
        <w:tc>
          <w:tcPr>
            <w:tcW w:w="4876" w:type="dxa"/>
            <w:hideMark/>
          </w:tcPr>
          <w:p w:rsidR="001762D4" w:rsidRPr="00E73CE2" w:rsidRDefault="000C3E1A">
            <w:pPr>
              <w:pStyle w:val="Normal6"/>
              <w:rPr>
                <w:szCs w:val="24"/>
              </w:rPr>
            </w:pPr>
            <w:r>
              <w:t>Dani administratorzy i właściwy o</w:t>
            </w:r>
            <w:r>
              <w:t xml:space="preserve">rgan rodzimego państwa członkowskiego administratora mają </w:t>
            </w:r>
            <w:r>
              <w:rPr>
                <w:b/>
                <w:i/>
              </w:rPr>
              <w:t>30</w:t>
            </w:r>
            <w:r>
              <w:t xml:space="preserve"> dni roboczych od daty powiadomienia o projekcie decyzji danego wyznaczającego właściwego organu na przedstawienie spostrzeżeń i uwag na piśmie. Dany wyznaczający właściwy organ informuje ESMA o o</w:t>
            </w:r>
            <w:r>
              <w:t>trzymanych spostrzeżeniach i uwagach oraz należycie uwzględnia te spostrzeżenia i uwagi przed przyjęciem ostatecznej decyzji.</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108</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 xml:space="preserve">Markus Ferber, Inese </w:t>
      </w:r>
      <w:r w:rsidRPr="003534BF">
        <w:rPr>
          <w:lang w:val="en-GB"/>
        </w:rPr>
        <w:t>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 – ustęp 4</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w:t>
            </w:r>
            <w:r>
              <w:t>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4.</w:t>
            </w:r>
            <w:r>
              <w:rPr>
                <w:b/>
                <w:i/>
              </w:rPr>
              <w:tab/>
              <w:t xml:space="preserve">W przypadku gdy właściwy organ zasięga opinii ESMA w sprawie zamierzonego wyznaczenia wskaźnika referencyjnego jako istotnego zgodnie z ust. 3 akapit pierwszy, ESMA w terminie trzech miesięcy wydaje opinię, w której uwzględnia </w:t>
            </w:r>
            <w:r>
              <w:rPr>
                <w:b/>
                <w:i/>
              </w:rPr>
              <w:t>następujące czynniki w świetle szczególnych cech danego wskaźnika referencyjnego:</w:t>
            </w:r>
          </w:p>
        </w:tc>
        <w:tc>
          <w:tcPr>
            <w:tcW w:w="4876" w:type="dxa"/>
            <w:hideMark/>
          </w:tcPr>
          <w:p w:rsidR="001762D4" w:rsidRPr="00E73CE2" w:rsidRDefault="000C3E1A">
            <w:pPr>
              <w:pStyle w:val="Normal6"/>
              <w:rPr>
                <w:szCs w:val="24"/>
              </w:rPr>
            </w:pPr>
            <w:r>
              <w:rPr>
                <w:b/>
                <w:i/>
              </w:rPr>
              <w:t>skreśla się</w:t>
            </w:r>
          </w:p>
        </w:tc>
      </w:tr>
      <w:tr w:rsidR="00F707A5" w:rsidTr="001762D4">
        <w:trPr>
          <w:jc w:val="center"/>
        </w:trPr>
        <w:tc>
          <w:tcPr>
            <w:tcW w:w="4876" w:type="dxa"/>
            <w:hideMark/>
          </w:tcPr>
          <w:p w:rsidR="001762D4" w:rsidRPr="00E73CE2" w:rsidRDefault="000C3E1A">
            <w:pPr>
              <w:pStyle w:val="Normal6"/>
            </w:pPr>
            <w:r>
              <w:rPr>
                <w:b/>
                <w:i/>
              </w:rPr>
              <w:t>a)</w:t>
            </w:r>
            <w:r>
              <w:rPr>
                <w:b/>
                <w:i/>
              </w:rPr>
              <w:tab/>
              <w:t>czy właściwy organ zasięgający opinii w wystarczającym stopniu uzasadnił swoją ocenę, że warunki, o których mowa w ust. 3 akapit pierwszy, są spełnione;</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b)</w:t>
            </w:r>
            <w:r>
              <w:rPr>
                <w:b/>
                <w:i/>
              </w:rPr>
              <w:tab/>
            </w:r>
            <w:r>
              <w:rPr>
                <w:b/>
                <w:i/>
              </w:rPr>
              <w:t>czy w przypadku gdyby zaprzestano opracowywania wskaźnika referencyjnego lub gdyby był on opracowywany na podstawie danych wejściowych, które przestały być w pełni reprezentatywne dla danego rynku lub danych realiów gospodarczych lub które są niewiarygodne</w:t>
            </w:r>
            <w:r>
              <w:rPr>
                <w:b/>
                <w:i/>
              </w:rPr>
              <w:t>, miałoby to znaczący i negatywny wpływ na integralność rynku, stabilność finansową, konsumentów, gospodarkę realną lub finansowanie gospodarstw domowych i przedsiębiorstw w państwach członkowskich innych niż państwo członkowskie właściwego organu zasięgaj</w:t>
            </w:r>
            <w:r>
              <w:rPr>
                <w:b/>
                <w:i/>
              </w:rPr>
              <w:t>ącego opinii.</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Do celów lit. b) ESMA należycie uwzględnia, w stosownych przypadkach, informacje przekazane na podstawie ust. 3 akapit trzeci przez właściwy organ zasięgający opinii.</w:t>
            </w:r>
          </w:p>
        </w:tc>
        <w:tc>
          <w:tcPr>
            <w:tcW w:w="4876" w:type="dxa"/>
          </w:tcPr>
          <w:p w:rsidR="001762D4" w:rsidRPr="003534BF" w:rsidRDefault="001762D4">
            <w:pPr>
              <w:pStyle w:val="Normal6"/>
              <w:rPr>
                <w:szCs w:val="24"/>
              </w:rPr>
            </w:pP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Aby</w:t>
      </w:r>
      <w:r>
        <w:t xml:space="preserve"> zapewnić spójne stosowanie niniejszego rozporządzenia, ustalenie, czy dany wskaźnik jest istotny, powinno opierać się wyłącznie na kryteriach ilościowych.</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109</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3534BF" w:rsidRDefault="000C3E1A" w:rsidP="001762D4">
      <w:pPr>
        <w:keepNext/>
        <w:rPr>
          <w:lang w:val="fr-FR"/>
        </w:rPr>
      </w:pPr>
      <w:r>
        <w:rPr>
          <w:rStyle w:val="HideTWBExt"/>
          <w:lang w:val="fr-FR"/>
        </w:rPr>
        <w:t>&lt;DocAmend2&gt;</w:t>
      </w:r>
      <w:r w:rsidRPr="003534BF">
        <w:rPr>
          <w:lang w:val="fr-FR"/>
        </w:rPr>
        <w:t>Rozporządzenie (UE) 2016/1011</w:t>
      </w:r>
      <w:r>
        <w:rPr>
          <w:rStyle w:val="HideTWBExt"/>
          <w:lang w:val="fr-FR"/>
        </w:rPr>
        <w:t>&lt;/DocAmend2&gt;</w:t>
      </w:r>
    </w:p>
    <w:p w:rsidR="001762D4" w:rsidRPr="003534BF" w:rsidRDefault="000C3E1A" w:rsidP="001762D4">
      <w:pPr>
        <w:rPr>
          <w:lang w:val="fr-FR"/>
        </w:rPr>
      </w:pPr>
      <w:r>
        <w:rPr>
          <w:rStyle w:val="HideTWBExt"/>
          <w:lang w:val="fr-FR"/>
        </w:rPr>
        <w:t>&lt;Article2&gt;</w:t>
      </w:r>
      <w:r w:rsidRPr="003534BF">
        <w:rPr>
          <w:lang w:val="fr-FR"/>
        </w:rPr>
        <w:t>Artykuł 24 – ustęp 4 – akapit 1 – litera b</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w:t>
            </w:r>
            <w:r>
              <w:t>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b)</w:t>
            </w:r>
            <w:r>
              <w:tab/>
            </w:r>
            <w:r>
              <w:t>czy w przypadku gdyby zaprzestano opracowywania wskaźnika referencyjnego lub gdyby był on opracowywany na podstawie danych wejściowych, które przestały być w pełni reprezentatywne dla danego rynku lub danych realiów gospodarczych lub które są niewiarygodne</w:t>
            </w:r>
            <w:r>
              <w:t xml:space="preserve">, miałoby to znaczący i negatywny wpływ na </w:t>
            </w:r>
            <w:r>
              <w:rPr>
                <w:b/>
                <w:i/>
              </w:rPr>
              <w:t xml:space="preserve">integralność rynku, </w:t>
            </w:r>
            <w:r>
              <w:t>stabilność finansową, konsumentów, gospodarkę realną lub finansowanie gospodarstw domowych i przedsiębiorstw w państwach członkowskich innych niż państwo członkowskie właściwego organu zasięgaj</w:t>
            </w:r>
            <w:r>
              <w:t>ącego opinii.</w:t>
            </w:r>
          </w:p>
        </w:tc>
        <w:tc>
          <w:tcPr>
            <w:tcW w:w="4876" w:type="dxa"/>
            <w:hideMark/>
          </w:tcPr>
          <w:p w:rsidR="001762D4" w:rsidRPr="00E73CE2" w:rsidRDefault="000C3E1A">
            <w:pPr>
              <w:pStyle w:val="Normal6"/>
              <w:rPr>
                <w:szCs w:val="24"/>
              </w:rPr>
            </w:pPr>
            <w:r>
              <w:t>b)</w:t>
            </w:r>
            <w:r>
              <w:tab/>
              <w:t>czy w przypadku gdyby zaprzestano opracowywania wskaźnika referencyjnego lub gdyby był on opracowywany na podstawie danych wejściowych, które przestały być w pełni reprezentatywne dla danego rynku lub danych realiów gospodarczych lub które</w:t>
            </w:r>
            <w:r>
              <w:t xml:space="preserve"> są niewiarygodne, miałoby to znaczący i negatywny wpływ na stabilność finansową, konsumentów, gospodarkę realną lub finansowanie gospodarstw domowych i przedsiębiorstw w państwach członkowskich</w:t>
            </w:r>
            <w:r>
              <w:rPr>
                <w:b/>
                <w:i/>
              </w:rPr>
              <w:t xml:space="preserve"> Unii</w:t>
            </w:r>
            <w:r>
              <w:t xml:space="preserve"> innych niż państwo członkowskie właściwego organu zasięg</w:t>
            </w:r>
            <w:r>
              <w:t>ającego opinii.</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110</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 xml:space="preserve">Artykuł 1 – </w:t>
      </w:r>
      <w:r w:rsidRPr="003534BF">
        <w:rPr>
          <w:lang w:val="fr-FR"/>
        </w:rPr>
        <w:t>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 – ustęp 5</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5.</w:t>
            </w:r>
            <w:r>
              <w:rPr>
                <w:b/>
                <w:i/>
              </w:rPr>
              <w:tab/>
            </w:r>
            <w:r>
              <w:rPr>
                <w:b/>
                <w:bCs/>
                <w:i/>
                <w:iCs/>
              </w:rPr>
              <w:t xml:space="preserve">Jeżeli ESMA stwierdzi, że wskaźnik referencyjny spełnia warunki określone w ust. 3 </w:t>
            </w:r>
            <w:r>
              <w:rPr>
                <w:b/>
                <w:bCs/>
                <w:i/>
                <w:iCs/>
              </w:rPr>
              <w:t>akapit pierwszy lit. a)–c) w więcej niż jednym państwie członkowskim, informuje o tym właściwe organy danych państw członkowskich.</w:t>
            </w:r>
            <w:r>
              <w:rPr>
                <w:b/>
                <w:i/>
              </w:rPr>
              <w:t xml:space="preserve"> Organy te uzgadniają, który z nich wyznacza dany wskaźnik referencyjny </w:t>
            </w:r>
            <w:r>
              <w:rPr>
                <w:b/>
                <w:i/>
              </w:rPr>
              <w:lastRenderedPageBreak/>
              <w:t>jako istotny wskaźnik referencyjny.</w:t>
            </w:r>
          </w:p>
        </w:tc>
        <w:tc>
          <w:tcPr>
            <w:tcW w:w="4876" w:type="dxa"/>
            <w:hideMark/>
          </w:tcPr>
          <w:p w:rsidR="001762D4" w:rsidRPr="00E73CE2" w:rsidRDefault="000C3E1A">
            <w:pPr>
              <w:pStyle w:val="Normal6"/>
              <w:rPr>
                <w:szCs w:val="24"/>
              </w:rPr>
            </w:pPr>
            <w:r>
              <w:rPr>
                <w:b/>
                <w:i/>
              </w:rPr>
              <w:lastRenderedPageBreak/>
              <w:t>skreśla się</w:t>
            </w:r>
          </w:p>
        </w:tc>
      </w:tr>
      <w:tr w:rsidR="00F707A5" w:rsidTr="001762D4">
        <w:trPr>
          <w:jc w:val="center"/>
        </w:trPr>
        <w:tc>
          <w:tcPr>
            <w:tcW w:w="4876" w:type="dxa"/>
            <w:hideMark/>
          </w:tcPr>
          <w:p w:rsidR="001762D4" w:rsidRPr="00E73CE2" w:rsidRDefault="000C3E1A">
            <w:pPr>
              <w:pStyle w:val="Normal6"/>
            </w:pPr>
            <w:r>
              <w:rPr>
                <w:b/>
                <w:i/>
              </w:rPr>
              <w:t>W prz</w:t>
            </w:r>
            <w:r>
              <w:rPr>
                <w:b/>
                <w:i/>
              </w:rPr>
              <w:t>ypadku gdy właściwe organy nie zgadzają się w kwestii, o której mowa w akapicie pierwszym, przekazują sprawę ESMA, a ESMA rozstrzyga ten spór zgodnie z art. 19 rozporządzenia (UE) nr 1095/2010.</w:t>
            </w:r>
          </w:p>
        </w:tc>
        <w:tc>
          <w:tcPr>
            <w:tcW w:w="4876" w:type="dxa"/>
          </w:tcPr>
          <w:p w:rsidR="001762D4" w:rsidRPr="003534BF" w:rsidRDefault="001762D4">
            <w:pPr>
              <w:pStyle w:val="Normal6"/>
              <w:rPr>
                <w:szCs w:val="24"/>
              </w:rPr>
            </w:pP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Aby zapewnić spójne stosowanie niniejszego rozporządzenia, ustalenie, czy dany wskaźnik jest istotny, powinno opierać się wyłącznie na kryteriach ilościowych.</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111</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w:t>
      </w:r>
      <w:r w:rsidRPr="003534BF">
        <w:rPr>
          <w:rStyle w:val="HideTWBExt"/>
          <w:b w:val="0"/>
          <w:lang w:val="en-GB"/>
        </w:rPr>
        <w: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F8078F">
      <w:pPr>
        <w:widowControl/>
      </w:pPr>
      <w:r w:rsidRPr="003534BF">
        <w:rPr>
          <w:rStyle w:val="HideTWBExt"/>
        </w:rPr>
        <w:t>&lt;Article2&gt;</w:t>
      </w:r>
      <w:r>
        <w:t>Artykuł 24 – ustęp 5 – akapit 1</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w:t>
            </w:r>
            <w:r>
              <w:t>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5.</w:t>
            </w:r>
            <w:r>
              <w:tab/>
              <w:t>Jeżeli ESMA stwierdzi, że wskaźnik referencyjny spełnia warunki określone w ust. 3 akapit pierwszy lit. a)–c) w </w:t>
            </w:r>
            <w:r>
              <w:rPr>
                <w:b/>
                <w:i/>
              </w:rPr>
              <w:t>więcej niż jednym państwie członkowskim</w:t>
            </w:r>
            <w:r>
              <w:t xml:space="preserve">, informuje o tym właściwe organy danych państw członkowskich. Organy te </w:t>
            </w:r>
            <w:r>
              <w:t>uzgadniają, który z nich wyznacza dany wskaźnik referencyjny jako istotny wskaźnik referencyjny.</w:t>
            </w:r>
          </w:p>
        </w:tc>
        <w:tc>
          <w:tcPr>
            <w:tcW w:w="4876" w:type="dxa"/>
            <w:hideMark/>
          </w:tcPr>
          <w:p w:rsidR="001762D4" w:rsidRPr="00E73CE2" w:rsidRDefault="000C3E1A">
            <w:pPr>
              <w:pStyle w:val="Normal6"/>
              <w:rPr>
                <w:szCs w:val="24"/>
              </w:rPr>
            </w:pPr>
            <w:r>
              <w:t>5.</w:t>
            </w:r>
            <w:r>
              <w:tab/>
              <w:t>Jeżeli ESMA stwierdzi, że wskaźnik referencyjny spełnia warunki określone w ust. 3 akapit pierwszy lit. a)–c) w </w:t>
            </w:r>
            <w:r>
              <w:rPr>
                <w:b/>
                <w:i/>
              </w:rPr>
              <w:t>Unii</w:t>
            </w:r>
            <w:r>
              <w:t>, informuje o tym właściwe organy danych</w:t>
            </w:r>
            <w:r>
              <w:t xml:space="preserve"> państw członkowskich. Organy te uzgadniają, który z nich wyznacza dany wskaźnik referencyjny jako istotny wskaźnik referencyjny.</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112</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 – ustęp 5 – akapit 2</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przez </w:t>
            </w:r>
            <w:r>
              <w:t>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W przypadku gdy właściwe organy nie zgadzają się w kwestii, o której mowa w akapicie pierwszym, przekazują sprawę ESMA, a ESMA rozstrzyga ten spór zgodnie z art. 19 rozporządzenia (UE) nr 1095/2010.</w:t>
            </w:r>
          </w:p>
        </w:tc>
        <w:tc>
          <w:tcPr>
            <w:tcW w:w="4876" w:type="dxa"/>
            <w:hideMark/>
          </w:tcPr>
          <w:p w:rsidR="001762D4" w:rsidRPr="00E73CE2" w:rsidRDefault="000C3E1A">
            <w:pPr>
              <w:pStyle w:val="Normal6"/>
              <w:rPr>
                <w:szCs w:val="24"/>
              </w:rPr>
            </w:pPr>
            <w:r>
              <w:t>W przypadku gdy właściwe organy nie zga</w:t>
            </w:r>
            <w:r>
              <w:t xml:space="preserve">dzają się w kwestii, o której mowa w akapicie pierwszym, przekazują sprawę ESMA, a ESMA rozstrzyga ten spór </w:t>
            </w:r>
            <w:r>
              <w:rPr>
                <w:b/>
                <w:bCs/>
                <w:i/>
                <w:iCs/>
              </w:rPr>
              <w:t xml:space="preserve">między właściwymi organami w sytuacjach transgranicznych </w:t>
            </w:r>
            <w:r>
              <w:t>zgodnie z art. 19 rozporządzenia (UE) nr 1095/2010.</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w:t>
      </w:r>
      <w:r w:rsidRPr="003534BF">
        <w:rPr>
          <w:rStyle w:val="HideTWBExt"/>
          <w:lang w:val="en-GB"/>
        </w:rPr>
        <w:t>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113</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w:t>
      </w:r>
      <w:r>
        <w:t xml:space="preserve"> 2016/1011</w:t>
      </w:r>
      <w:r w:rsidRPr="003534BF">
        <w:rPr>
          <w:rStyle w:val="HideTWBExt"/>
        </w:rPr>
        <w:t>&lt;/DocAmend2&gt;</w:t>
      </w:r>
    </w:p>
    <w:p w:rsidR="001762D4" w:rsidRPr="00E73CE2" w:rsidRDefault="000C3E1A" w:rsidP="001762D4">
      <w:r w:rsidRPr="003534BF">
        <w:rPr>
          <w:rStyle w:val="HideTWBExt"/>
        </w:rPr>
        <w:t>&lt;Article2&gt;</w:t>
      </w:r>
      <w:r>
        <w:t>Artykuł 24 – ustęp 6</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6.</w:t>
            </w:r>
            <w:r>
              <w:rPr>
                <w:b/>
                <w:i/>
              </w:rPr>
              <w:tab/>
              <w:t>Na wniosek właściwego organu ESMA może wyznaczyć wskaźnik referencyjny opracowywany przez administratora mającego siedzibę lub miejsce zamieszka</w:t>
            </w:r>
            <w:r>
              <w:rPr>
                <w:b/>
                <w:i/>
              </w:rPr>
              <w:t>nia w państwie trzecim, który to wskaźnik nie osiąga progu określonego w ust. 1 lit. a), jako istotny, jeżeli ten wskaźnik referencyjny spełnia wszystkie następujące warunki:</w:t>
            </w:r>
          </w:p>
        </w:tc>
        <w:tc>
          <w:tcPr>
            <w:tcW w:w="4876" w:type="dxa"/>
            <w:hideMark/>
          </w:tcPr>
          <w:p w:rsidR="001762D4" w:rsidRPr="00E73CE2" w:rsidRDefault="000C3E1A">
            <w:pPr>
              <w:pStyle w:val="Normal6"/>
              <w:rPr>
                <w:szCs w:val="24"/>
              </w:rPr>
            </w:pPr>
            <w:r>
              <w:rPr>
                <w:b/>
                <w:i/>
              </w:rPr>
              <w:t>skreśla się</w:t>
            </w:r>
          </w:p>
        </w:tc>
      </w:tr>
      <w:tr w:rsidR="00F707A5" w:rsidTr="001762D4">
        <w:trPr>
          <w:jc w:val="center"/>
        </w:trPr>
        <w:tc>
          <w:tcPr>
            <w:tcW w:w="4876" w:type="dxa"/>
            <w:hideMark/>
          </w:tcPr>
          <w:p w:rsidR="001762D4" w:rsidRPr="00E73CE2" w:rsidRDefault="000C3E1A">
            <w:pPr>
              <w:pStyle w:val="Normal6"/>
            </w:pPr>
            <w:r>
              <w:rPr>
                <w:b/>
                <w:i/>
              </w:rPr>
              <w:t>a)</w:t>
            </w:r>
            <w:r>
              <w:rPr>
                <w:b/>
                <w:i/>
              </w:rPr>
              <w:tab/>
              <w:t>wskaźnik referencyjny nie ma żadnych lub ma bardzo niewiele odpow</w:t>
            </w:r>
            <w:r>
              <w:rPr>
                <w:b/>
                <w:i/>
              </w:rPr>
              <w:t>iednich rynkowych zastępczych wskaźników referencyjnych;</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b)</w:t>
            </w:r>
            <w:r>
              <w:rPr>
                <w:b/>
                <w:i/>
              </w:rPr>
              <w:tab/>
              <w:t xml:space="preserve">w przypadku gdyby zaprzestano opracowywania wskaźnika referencyjnego lub gdyby był on opracowywany na podstawie danych wejściowych, które przestały być w pełni reprezentatywne dla danego rynku </w:t>
            </w:r>
            <w:r>
              <w:rPr>
                <w:b/>
                <w:i/>
              </w:rPr>
              <w:t xml:space="preserve">lub danych realiów gospodarczych lub które są niewiarygodne, miałoby to znaczący </w:t>
            </w:r>
            <w:r>
              <w:rPr>
                <w:b/>
                <w:i/>
              </w:rPr>
              <w:lastRenderedPageBreak/>
              <w:t>i negatywny wpływ na integralność rynku, stabilność finansową, konsumentów, gospodarkę realną lub finansowanie gospodarstw domowych i przedsiębiorstw w co najmniej jednym pańs</w:t>
            </w:r>
            <w:r>
              <w:rPr>
                <w:b/>
                <w:i/>
              </w:rPr>
              <w:t>twie członkowskim.</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Przed podjęciem decyzji o wyznaczeniu i tak szybko, jak to możliwe, ESMA informuje administratora wskaźnika referencyjnego o swoim zamiarze i zwraca się do niego o przedstawienie ESMA w terminie 15 dni roboczych uzasadnionego oświadcze</w:t>
            </w:r>
            <w:r>
              <w:rPr>
                <w:b/>
                <w:i/>
              </w:rPr>
              <w:t>nia zawierającego wszelkie istotne informacje do celów oceny związanej z wyznaczeniem wskaźnika referencyjnego jako istotnego.</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W stosownych przypadkach ESMA zwraca się tak szybko, jak to możliwe, do właściwego organu jurysdykcji, w której administrator m</w:t>
            </w:r>
            <w:r>
              <w:rPr>
                <w:b/>
                <w:i/>
              </w:rPr>
              <w:t>a siedzibę lub miejsce zamieszkania, o przekazanie wszelkich istotnych informacji do celów oceny związanej z wyznaczeniem wskaźnika referencyjnego.</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 xml:space="preserve">ESMA uzasadnia każdą decyzję o wyznaczeniu, biorąc pod uwagę, czy istnieją wystarczające dowody na to, że </w:t>
            </w:r>
            <w:r>
              <w:rPr>
                <w:b/>
                <w:i/>
              </w:rPr>
              <w:t>warunki, o których mowa w akapicie pierwszym niniejszego ustępu, są spełnione, w świetle szczególnych właściwości danego wskaźnika referencyjnego.</w:t>
            </w:r>
          </w:p>
        </w:tc>
        <w:tc>
          <w:tcPr>
            <w:tcW w:w="4876" w:type="dxa"/>
          </w:tcPr>
          <w:p w:rsidR="001762D4" w:rsidRPr="003534BF" w:rsidRDefault="001762D4">
            <w:pPr>
              <w:pStyle w:val="Normal6"/>
              <w:rPr>
                <w:szCs w:val="24"/>
              </w:rPr>
            </w:pPr>
          </w:p>
        </w:tc>
      </w:tr>
      <w:tr w:rsidR="00F707A5" w:rsidTr="001762D4">
        <w:trPr>
          <w:jc w:val="center"/>
        </w:trPr>
        <w:tc>
          <w:tcPr>
            <w:tcW w:w="4876" w:type="dxa"/>
            <w:hideMark/>
          </w:tcPr>
          <w:p w:rsidR="001762D4" w:rsidRPr="00E73CE2" w:rsidRDefault="000C3E1A">
            <w:pPr>
              <w:pStyle w:val="Normal6"/>
            </w:pPr>
            <w:r>
              <w:rPr>
                <w:b/>
                <w:i/>
              </w:rPr>
              <w:t>ESMA publikuje swoją uzasadnioną decyzję na swojej stronie internetowej i bez zbędnej zwłoki powiadamia o n</w:t>
            </w:r>
            <w:r>
              <w:rPr>
                <w:b/>
                <w:i/>
              </w:rPr>
              <w:t>iej wnioskujący właściwy organ lub wnioskujące właściwe organy.</w:t>
            </w:r>
          </w:p>
        </w:tc>
        <w:tc>
          <w:tcPr>
            <w:tcW w:w="4876" w:type="dxa"/>
          </w:tcPr>
          <w:p w:rsidR="001762D4" w:rsidRPr="003534BF" w:rsidRDefault="001762D4">
            <w:pPr>
              <w:pStyle w:val="Normal6"/>
              <w:rPr>
                <w:szCs w:val="24"/>
              </w:rPr>
            </w:pP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Aby zapewnić spójne stosowanie niniejszego rozporządzenia, ustalenie, czy dany wskaźnik jest istotny, powinno opierać się </w:t>
      </w:r>
      <w:r>
        <w:t>wyłącznie na kryteriach ilościowych.</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114</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 – ustęp 6 – akapit 1– wprowadzenie</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6.</w:t>
            </w:r>
            <w:r>
              <w:tab/>
              <w:t>Na wniosek właściwego organu ESMA może wyznaczyć wskaźnik referencyjny opracowywany przez</w:t>
            </w:r>
            <w:r>
              <w:t xml:space="preserve"> administratora mającego siedzibę lub miejsce zamieszkania w państwie trzecim, który to wskaźnik nie osiąga progu określonego w ust. 1 lit. a), jako istotny, jeżeli ten wskaźnik referencyjny spełnia wszystkie następujące warunki:</w:t>
            </w:r>
          </w:p>
        </w:tc>
        <w:tc>
          <w:tcPr>
            <w:tcW w:w="4876" w:type="dxa"/>
            <w:hideMark/>
          </w:tcPr>
          <w:p w:rsidR="001762D4" w:rsidRPr="00E73CE2" w:rsidRDefault="000C3E1A">
            <w:pPr>
              <w:pStyle w:val="Normal6"/>
              <w:rPr>
                <w:szCs w:val="24"/>
              </w:rPr>
            </w:pPr>
            <w:r>
              <w:t>6.</w:t>
            </w:r>
            <w:r>
              <w:tab/>
            </w:r>
            <w:r>
              <w:rPr>
                <w:b/>
                <w:i/>
              </w:rPr>
              <w:t>Tylko</w:t>
            </w:r>
            <w:r>
              <w:t xml:space="preserve"> na wniosek właściwego organu ESMA może wyznaczyć wskaźnik referencyjny opracowywany przez administratora mającego siedzibę lub miejsce zamieszkania w państwie trzecim, który to wskaźnik nie osiąga progu określonego w ust. 1 lit. a), jako istotny, jeżeli t</w:t>
            </w:r>
            <w:r>
              <w:t>en wskaźnik referencyjny spełnia wszystkie następujące warunki:</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115</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w:t>
      </w:r>
      <w:r>
        <w:rPr>
          <w:rStyle w:val="HideTWBExt"/>
          <w:b w:val="0"/>
        </w:rPr>
        <w:t>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3534BF" w:rsidRDefault="000C3E1A" w:rsidP="001762D4">
      <w:pPr>
        <w:keepNext/>
        <w:rPr>
          <w:lang w:val="fr-FR"/>
        </w:rPr>
      </w:pPr>
      <w:r>
        <w:rPr>
          <w:rStyle w:val="HideTWBExt"/>
          <w:lang w:val="fr-FR"/>
        </w:rPr>
        <w:t>&lt;DocAmend2&gt;</w:t>
      </w:r>
      <w:r w:rsidRPr="003534BF">
        <w:rPr>
          <w:lang w:val="fr-FR"/>
        </w:rPr>
        <w:t>Rozporządzenie (UE) 2016/1011</w:t>
      </w:r>
      <w:r>
        <w:rPr>
          <w:rStyle w:val="HideTWBExt"/>
          <w:lang w:val="fr-FR"/>
        </w:rPr>
        <w:t>&lt;/DocAmend2&gt;</w:t>
      </w:r>
    </w:p>
    <w:p w:rsidR="001762D4" w:rsidRPr="003534BF" w:rsidRDefault="000C3E1A" w:rsidP="001762D4">
      <w:pPr>
        <w:rPr>
          <w:lang w:val="fr-FR"/>
        </w:rPr>
      </w:pPr>
      <w:r>
        <w:rPr>
          <w:rStyle w:val="HideTWBExt"/>
          <w:lang w:val="fr-FR"/>
        </w:rPr>
        <w:t>&lt;Article2&gt;</w:t>
      </w:r>
      <w:r w:rsidRPr="003534BF">
        <w:rPr>
          <w:lang w:val="fr-FR"/>
        </w:rPr>
        <w:t>Artykuł 24 – ustęp 6 – akapit 1 – litera b</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b)</w:t>
            </w:r>
            <w:r>
              <w:tab/>
            </w:r>
            <w:r>
              <w:t>w przypadku gdyby zaprzestano opracowywania wskaźnika referencyjnego lub gdyby był on opracowywany na podstawie danych wejściowych, które przestały być w pełni reprezentatywne dla danego rynku lub danych realiów gospodarczych lub które są niewiarygodne, mi</w:t>
            </w:r>
            <w:r>
              <w:t xml:space="preserve">ałoby to znaczący i negatywny wpływ na </w:t>
            </w:r>
            <w:r>
              <w:rPr>
                <w:b/>
                <w:i/>
              </w:rPr>
              <w:t>integralność rynku, stabilność finansową</w:t>
            </w:r>
            <w:r>
              <w:t xml:space="preserve">, konsumentów, gospodarkę realną lub finansowanie gospodarstw domowych i przedsiębiorstw w </w:t>
            </w:r>
            <w:r>
              <w:rPr>
                <w:b/>
                <w:i/>
              </w:rPr>
              <w:t>co najmniej jednym państwie członkowskim</w:t>
            </w:r>
            <w:r>
              <w:t>.</w:t>
            </w:r>
          </w:p>
        </w:tc>
        <w:tc>
          <w:tcPr>
            <w:tcW w:w="4876" w:type="dxa"/>
            <w:hideMark/>
          </w:tcPr>
          <w:p w:rsidR="001762D4" w:rsidRPr="00E73CE2" w:rsidRDefault="000C3E1A">
            <w:pPr>
              <w:pStyle w:val="Normal6"/>
              <w:rPr>
                <w:szCs w:val="24"/>
              </w:rPr>
            </w:pPr>
            <w:r>
              <w:t>b)</w:t>
            </w:r>
            <w:r>
              <w:tab/>
              <w:t>w przypadku gdyby zaprzestano opracowywan</w:t>
            </w:r>
            <w:r>
              <w:t xml:space="preserve">ia wskaźnika referencyjnego lub gdyby był on opracowywany na podstawie danych wejściowych, które przestały być w pełni reprezentatywne dla danego rynku lub danych realiów gospodarczych lub które są niewiarygodne, miałoby to znaczący i negatywny wpływ na </w:t>
            </w:r>
            <w:r>
              <w:rPr>
                <w:b/>
                <w:i/>
              </w:rPr>
              <w:t>st</w:t>
            </w:r>
            <w:r>
              <w:rPr>
                <w:b/>
                <w:i/>
              </w:rPr>
              <w:t>abilność finansową w Unii</w:t>
            </w:r>
            <w:r>
              <w:t xml:space="preserve">, konsumentów, gospodarkę realną lub finansowanie gospodarstw domowych i przedsiębiorstw w </w:t>
            </w:r>
            <w:r>
              <w:rPr>
                <w:b/>
                <w:i/>
              </w:rPr>
              <w:t>Unii</w:t>
            </w:r>
            <w:r>
              <w:t>.</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116</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 – ustęp 6 a (nowy)</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przez </w:t>
            </w:r>
            <w:r>
              <w:t>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6a.</w:t>
            </w:r>
            <w:r>
              <w:tab/>
            </w:r>
            <w:r>
              <w:rPr>
                <w:b/>
                <w:i/>
              </w:rPr>
              <w:t>Administratorzy wskaźników referencyjnych, które nie spełniają wymogów pozwalających uznać je za kluczowe wskaźniki referencyjne, istotne wskaźniki referencyjne, towarowe wskaźniki referencyjne objęte załącznikiem II, unijne wskaźnik</w:t>
            </w:r>
            <w:r>
              <w:rPr>
                <w:b/>
                <w:i/>
              </w:rPr>
              <w:t>i referencyjne transformacji klimatycznej, unijne wskaźniki referencyjne dostosowane do porozumienia paryskiego lub wskaźniki referencyjne ESG, mogą dobrowolnie ubiegać się o dostęp do rejestru, o którym mowa w art. 36, na podstawie zezwolenia, rejestracji</w:t>
            </w:r>
            <w:r>
              <w:rPr>
                <w:b/>
                <w:i/>
              </w:rPr>
              <w:t>, uznania lub zatwierdzenia. Administratorzy, którzy dobrowolnie zdecydują się na stosowanie niniejszego rozporządzenia, przedkładają taką decyzję na piśmie aktualnemu organowi nadzoru, dla każdego wskaźnika referencyjnego, a każdy z tych wskaźników uznaje</w:t>
            </w:r>
            <w:r>
              <w:rPr>
                <w:b/>
                <w:i/>
              </w:rPr>
              <w:t xml:space="preserve"> się za istotny wskaźnik referencyjny na podstawie rozporządzenia (UE) 2016/1011. Administratorzy wskaźników referencyjnych, którzy posiadali zezwolenie, byli zarejestrowani, zatwierdzeni lub uznani na dzień [data rozpoczęcia stosowania niniejszego rozporz</w:t>
            </w:r>
            <w:r>
              <w:rPr>
                <w:b/>
                <w:i/>
              </w:rPr>
              <w:t>ądzenia zmieniającego] r. i którzy dobrowolnie zdecydują się na stosowanie niniejszego rozporządzenia, nie mają obowiązku ponownego ubiegania się o zezwolenie, rejestrację, uznanie lub zatwierdzenie.</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117</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 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 – ustęp 7</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7.</w:t>
            </w:r>
            <w:r>
              <w:tab/>
            </w:r>
            <w:r>
              <w:rPr>
                <w:b/>
                <w:i/>
              </w:rPr>
              <w:t>Komisja jest uprawniona do przyjęcia aktów delegowanych zgodnie z art. 49</w:t>
            </w:r>
            <w:r>
              <w:t xml:space="preserve"> w</w:t>
            </w:r>
            <w:r>
              <w:rPr>
                <w:b/>
                <w:i/>
              </w:rPr>
              <w:t xml:space="preserve"> celu doprecyzowania metody wyliczania stosowanej do ustalania progu, o którym </w:t>
            </w:r>
            <w:r>
              <w:rPr>
                <w:b/>
                <w:i/>
              </w:rPr>
              <w:t>mowa w ust. 1 lit. a) niniejszego artykułu, w świetle zmian rynkowych, rozwoju cen i zmian regulacyjnych.”;</w:t>
            </w:r>
          </w:p>
        </w:tc>
        <w:tc>
          <w:tcPr>
            <w:tcW w:w="4876" w:type="dxa"/>
            <w:hideMark/>
          </w:tcPr>
          <w:p w:rsidR="001762D4" w:rsidRPr="00E73CE2" w:rsidRDefault="000C3E1A">
            <w:pPr>
              <w:pStyle w:val="Normal6"/>
              <w:rPr>
                <w:szCs w:val="24"/>
              </w:rPr>
            </w:pPr>
            <w:r>
              <w:t>7.</w:t>
            </w:r>
            <w:r>
              <w:tab/>
            </w:r>
            <w:r>
              <w:rPr>
                <w:b/>
                <w:i/>
              </w:rPr>
              <w:t>ESMA opracowuje projekty regulacyjnych standardów technicznych</w:t>
            </w:r>
            <w:r>
              <w:t xml:space="preserve"> w</w:t>
            </w:r>
            <w:r>
              <w:rPr>
                <w:b/>
                <w:i/>
              </w:rPr>
              <w:t xml:space="preserve"> celu określenia:</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(i)</w:t>
            </w:r>
            <w:r>
              <w:t xml:space="preserve"> </w:t>
            </w:r>
            <w:r>
              <w:tab/>
            </w:r>
            <w:r>
              <w:rPr>
                <w:b/>
                <w:i/>
              </w:rPr>
              <w:t xml:space="preserve">metody wyliczania stosowanej do ustalania progu, </w:t>
            </w:r>
            <w:r>
              <w:rPr>
                <w:b/>
                <w:i/>
              </w:rPr>
              <w:t>o którym mowa w ust. 1 lit. a) niniejszego artykułu, w tym potencjalnych źródeł danych;</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(ii) </w:t>
            </w:r>
            <w:r>
              <w:tab/>
            </w:r>
            <w:r>
              <w:rPr>
                <w:b/>
                <w:i/>
              </w:rPr>
              <w:t>kryteriów oceny, kiedy wskaźnik referencyjny przekracza próg, o którym mowa w art. 24 ust. 1 lit. a), w jednym państwie członkowskim lub w całej Unii;</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ESMA pr</w:t>
            </w:r>
            <w:r>
              <w:rPr>
                <w:b/>
                <w:i/>
              </w:rPr>
              <w:t>zedstawia Komisji te projekty regulacyjnych standardów technicznych do [12 miesięcy od dnia wejścia w życie niniejszego rozporządzenia] r.</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Komisja jest uprawniona do uzupełnienia niniejszego rozporządzenia przez przyjęcie regulacyjnych standardów technic</w:t>
            </w:r>
            <w:r>
              <w:rPr>
                <w:b/>
                <w:i/>
              </w:rPr>
              <w:t>znych, o których mowa w akapicie pierwszym, zgodnie z art. 10–14 rozporządzenia (UE) nr 1095/2010.</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Aby administratorzy wskaźników referencyjnych mogli odpowiednio monitorować stosowanie </w:t>
      </w:r>
      <w:r>
        <w:t xml:space="preserve">wskaźników referencyjnych, które opracowują, oraz ustalić, czy osiągnięto próg, należy powierzyć ESMA zadanie opracowania projektów standardów regulacyjnych w celu </w:t>
      </w:r>
      <w:r>
        <w:lastRenderedPageBreak/>
        <w:t>doprecyzowania metody obliczania.</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118</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w:t>
      </w:r>
      <w:r w:rsidRPr="003534BF">
        <w:rPr>
          <w:rStyle w:val="HideTWBExt"/>
          <w:b w:val="0"/>
          <w:lang w:val="en-GB"/>
        </w:rPr>
        <w:t>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12</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24a – ustęp 2</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2.</w:t>
            </w:r>
            <w:r>
              <w:tab/>
              <w:t xml:space="preserve">W terminie 60 dni roboczych od wyznaczenia, o którym mowa w art. 24 ust. 3, administrator danego wskaźnika referencyjnego, chyba że administrator ten uzyskał już zezwolenie lub został już zarejestrowany, </w:t>
            </w:r>
            <w:r>
              <w:t>występuje o zezwolenie lub rejestrację do wyznaczającego właściwego organu zgodnie z art. 34.</w:t>
            </w:r>
          </w:p>
        </w:tc>
        <w:tc>
          <w:tcPr>
            <w:tcW w:w="4876" w:type="dxa"/>
            <w:hideMark/>
          </w:tcPr>
          <w:p w:rsidR="001762D4" w:rsidRPr="00E73CE2" w:rsidRDefault="000C3E1A">
            <w:pPr>
              <w:pStyle w:val="Normal6"/>
              <w:rPr>
                <w:szCs w:val="24"/>
              </w:rPr>
            </w:pPr>
            <w:r>
              <w:t>2.</w:t>
            </w:r>
            <w:r>
              <w:tab/>
              <w:t>W terminie 60 dni roboczych od wyznaczenia, o którym mowa w art. 24 ust. 3, administrator danego wskaźnika referencyjnego, chyba że administrator ten uzyskał j</w:t>
            </w:r>
            <w:r>
              <w:t xml:space="preserve">uż zezwolenie </w:t>
            </w:r>
            <w:r>
              <w:rPr>
                <w:b/>
                <w:i/>
              </w:rPr>
              <w:t xml:space="preserve">od właściwego organu krajowego </w:t>
            </w:r>
            <w:r>
              <w:t>lub został już zarejestrowany</w:t>
            </w:r>
            <w:r>
              <w:rPr>
                <w:b/>
                <w:i/>
              </w:rPr>
              <w:t xml:space="preserve"> przez taki organ</w:t>
            </w:r>
            <w:r>
              <w:t>, występuje o zezwolenie lub rejestrację do wyznaczającego właściwego organu zgodnie z art. 34.</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119</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12</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 xml:space="preserve">Artykuł 24a </w:t>
      </w:r>
      <w:r>
        <w:t>– ustęp 3 – litera b</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b)</w:t>
            </w:r>
            <w:r>
              <w:tab/>
              <w:t>zatwierdzenie zgodnie z procedurą określoną w art. 33.</w:t>
            </w:r>
          </w:p>
        </w:tc>
        <w:tc>
          <w:tcPr>
            <w:tcW w:w="4876" w:type="dxa"/>
            <w:hideMark/>
          </w:tcPr>
          <w:p w:rsidR="001762D4" w:rsidRPr="00E73CE2" w:rsidRDefault="000C3E1A">
            <w:pPr>
              <w:pStyle w:val="Normal6"/>
              <w:rPr>
                <w:szCs w:val="24"/>
              </w:rPr>
            </w:pPr>
            <w:r>
              <w:t>b)</w:t>
            </w:r>
            <w:r>
              <w:tab/>
              <w:t xml:space="preserve">zatwierdzenie zgodnie z procedurą określoną w art. 33. </w:t>
            </w:r>
            <w:r>
              <w:rPr>
                <w:b/>
                <w:bCs/>
                <w:i/>
                <w:iCs/>
              </w:rPr>
              <w:t>Administrator wskaźnika referencyjnego z kraju trzeciego wybiera</w:t>
            </w:r>
            <w:r>
              <w:rPr>
                <w:b/>
                <w:bCs/>
                <w:i/>
                <w:iCs/>
              </w:rPr>
              <w:t xml:space="preserve"> podmiot zatwierdzający w Unii.</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120</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Marco Zanni, Valentino Grant, Antonio Maria Rinaldi</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w:t>
      </w:r>
      <w:r>
        <w:t>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14 – litera a</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Pr>
          <w:rStyle w:val="HideTWBExt"/>
          <w:lang w:val="fr-FR"/>
        </w:rPr>
        <w:t>&lt;Article2&gt;</w:t>
      </w:r>
      <w:r>
        <w:t>Artykuł 29 – tytuł</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 xml:space="preserve">„Stosowanie istotnych wskaźników </w:t>
            </w:r>
            <w:r>
              <w:t>referencyjnych, unijnych wskaźników referencyjnych transformacji klimatycznej i unijnych wskaźników referencyjnych dostosowanych do porozumienia paryskiego”;</w:t>
            </w:r>
          </w:p>
        </w:tc>
        <w:tc>
          <w:tcPr>
            <w:tcW w:w="4876" w:type="dxa"/>
            <w:hideMark/>
          </w:tcPr>
          <w:p w:rsidR="001762D4" w:rsidRPr="00E73CE2" w:rsidRDefault="000C3E1A">
            <w:pPr>
              <w:pStyle w:val="Normal6"/>
              <w:rPr>
                <w:szCs w:val="24"/>
              </w:rPr>
            </w:pPr>
            <w:r>
              <w:t xml:space="preserve">„Stosowanie </w:t>
            </w:r>
            <w:r>
              <w:rPr>
                <w:b/>
                <w:i/>
              </w:rPr>
              <w:t xml:space="preserve">kluczowych wskaźników referencyjnych, </w:t>
            </w:r>
            <w:r>
              <w:t>istotnych wskaźników referencyjnych, unijnych ws</w:t>
            </w:r>
            <w:r>
              <w:t>kaźników referencyjnych transformacji klimatycznej i unijnych wskaźników referencyjnych dostosowanych do porozumienia paryskiego”;</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121</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Marco Zanni, Valentino</w:t>
      </w:r>
      <w:r w:rsidRPr="003534BF">
        <w:rPr>
          <w:lang w:val="en-GB"/>
        </w:rPr>
        <w:t xml:space="preserve"> Grant, Antonio Maria Rinaldi</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14 – litera b</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3534BF" w:rsidRDefault="000C3E1A" w:rsidP="001762D4">
      <w:pPr>
        <w:rPr>
          <w:lang w:val="fr-FR"/>
        </w:rPr>
      </w:pPr>
      <w:r>
        <w:rPr>
          <w:rStyle w:val="HideTWBExt"/>
          <w:lang w:val="fr-FR"/>
        </w:rPr>
        <w:t>&lt;Article2&gt;</w:t>
      </w:r>
      <w:r w:rsidRPr="003534BF">
        <w:rPr>
          <w:lang w:val="fr-FR"/>
        </w:rPr>
        <w:t xml:space="preserve">Artykuł 29 – ustęp </w:t>
      </w:r>
      <w:r w:rsidRPr="003534BF">
        <w:rPr>
          <w:lang w:val="fr-FR"/>
        </w:rPr>
        <w:t>1 – akapit 1</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RPr="003534BF" w:rsidTr="001762D4">
        <w:trPr>
          <w:jc w:val="center"/>
        </w:trPr>
        <w:tc>
          <w:tcPr>
            <w:tcW w:w="9752" w:type="dxa"/>
            <w:gridSpan w:val="2"/>
          </w:tcPr>
          <w:p w:rsidR="001762D4" w:rsidRPr="00E73CE2" w:rsidRDefault="001762D4">
            <w:pPr>
              <w:keepNext/>
              <w:rPr>
                <w:lang w:val="fr-FR"/>
              </w:rPr>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1.</w:t>
            </w:r>
            <w:r>
              <w:tab/>
              <w:t xml:space="preserve">Podmiot nadzorowany nie dodaje nowych odniesień do istotnego wskaźnika referencyjnego lub zestawu takich wskaźników referencyjnych w Unii, jeżeli ten wskaźnik referencyjny lub zestaw </w:t>
            </w:r>
            <w:r>
              <w:t>wskaźników referencyjnych są przedmiotem publicznego ogłoszenia wydanego przez ESMA lub właściwy organ zgodnie z art. 24a ust. 5. Podmiot nadzorowany nie dodaje nowych odniesień do unijnego wskaźnika referencyjnego transformacji klimatycznej ani unijnego w</w:t>
            </w:r>
            <w:r>
              <w:t xml:space="preserve">skaźnika referencyjnego dostosowanego do porozumienia paryskiego, ani zestawu </w:t>
            </w:r>
            <w:r>
              <w:lastRenderedPageBreak/>
              <w:t>takich wskaźników referencyjnych w Unii, jeżeli administrator tych wskaźników referencyjnych nie jest wpisany do rejestru, o którym mowa w art. 36.</w:t>
            </w:r>
          </w:p>
        </w:tc>
        <w:tc>
          <w:tcPr>
            <w:tcW w:w="4876" w:type="dxa"/>
            <w:hideMark/>
          </w:tcPr>
          <w:p w:rsidR="001762D4" w:rsidRPr="00E73CE2" w:rsidRDefault="000C3E1A">
            <w:pPr>
              <w:pStyle w:val="Normal6"/>
              <w:rPr>
                <w:szCs w:val="24"/>
              </w:rPr>
            </w:pPr>
            <w:r>
              <w:lastRenderedPageBreak/>
              <w:t>1.</w:t>
            </w:r>
            <w:r>
              <w:tab/>
              <w:t>Podmiot nadzorowany nie dod</w:t>
            </w:r>
            <w:r>
              <w:t>aje nowych odniesień do istotnego wskaźnika referencyjnego lub zestawu takich wskaźników referencyjnych w Unii, jeżeli ten wskaźnik referencyjny lub zestaw wskaźników referencyjnych są przedmiotem publicznego ogłoszenia wydanego przez ESMA lub właściwy org</w:t>
            </w:r>
            <w:r>
              <w:t xml:space="preserve">an zgodnie z art. 24a ust. 5. Podmiot nadzorowany nie dodaje nowych odniesień do </w:t>
            </w:r>
            <w:r>
              <w:rPr>
                <w:b/>
                <w:i/>
              </w:rPr>
              <w:t xml:space="preserve">kluczowego wskaźnika referencyjnego, </w:t>
            </w:r>
            <w:r>
              <w:t xml:space="preserve">unijnego wskaźnika referencyjnego transformacji klimatycznej ani unijnego wskaźnika referencyjnego dostosowanego </w:t>
            </w:r>
            <w:r>
              <w:lastRenderedPageBreak/>
              <w:t>do porozumienia paryskieg</w:t>
            </w:r>
            <w:r>
              <w:t>o, ani zestawu takich wskaźników referencyjnych w Unii, jeżeli administrator tych wskaźników referencyjnych nie jest wpisany do rejestru, o którym mowa w art. 36.</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122</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Irene Tinagli</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E25682" w:rsidRPr="00E73CE2" w:rsidRDefault="000C3E1A" w:rsidP="00E25682">
      <w:pPr>
        <w:pStyle w:val="NormalBold"/>
      </w:pPr>
      <w:r w:rsidRPr="003534BF">
        <w:rPr>
          <w:rStyle w:val="HideTWBExt"/>
          <w:b w:val="0"/>
        </w:rPr>
        <w:t>&lt;Article&gt;</w:t>
      </w:r>
      <w:r>
        <w:t>Artykuł 1 – akapit 1 – punkt 14 – litera c – wprowadzenie</w:t>
      </w:r>
      <w:r w:rsidRPr="003534BF">
        <w:rPr>
          <w:rStyle w:val="HideTWBExt"/>
          <w:b w:val="0"/>
        </w:rPr>
        <w:t>&lt;/Article&gt;</w:t>
      </w:r>
    </w:p>
    <w:p w:rsidR="00E25682" w:rsidRPr="00E73CE2" w:rsidRDefault="000C3E1A" w:rsidP="00E25682">
      <w:pPr>
        <w:keepNext/>
      </w:pPr>
      <w:r w:rsidRPr="003534BF">
        <w:rPr>
          <w:rStyle w:val="HideTWBExt"/>
        </w:rPr>
        <w:t>&lt;DocAmend2&gt;</w:t>
      </w:r>
      <w:r>
        <w:t>Rozporządzenie (UE) 2016/1011</w:t>
      </w:r>
      <w:r w:rsidRPr="003534BF">
        <w:rPr>
          <w:rStyle w:val="HideTWBExt"/>
        </w:rPr>
        <w:t>&lt;/DocAmend2&gt;</w:t>
      </w:r>
    </w:p>
    <w:p w:rsidR="006E4023" w:rsidRPr="00E73CE2" w:rsidRDefault="000C3E1A" w:rsidP="006E4023">
      <w:r w:rsidRPr="003534BF">
        <w:rPr>
          <w:rStyle w:val="HideTWBExt"/>
        </w:rPr>
        <w:t>&lt;Arti</w:t>
      </w:r>
      <w:r w:rsidRPr="003534BF">
        <w:rPr>
          <w:rStyle w:val="HideTWBExt"/>
        </w:rPr>
        <w:t>cle2&gt;</w:t>
      </w:r>
      <w:r>
        <w:t>Artykuł 29 – ustęp 1a</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c)</w:t>
            </w:r>
            <w:r>
              <w:tab/>
              <w:t>dodaje się ust.</w:t>
            </w:r>
            <w:r>
              <w:rPr>
                <w:b/>
                <w:i/>
              </w:rPr>
              <w:t> </w:t>
            </w:r>
            <w:r>
              <w:t>1</w:t>
            </w:r>
            <w:r>
              <w:rPr>
                <w:b/>
                <w:i/>
              </w:rPr>
              <w:t>a</w:t>
            </w:r>
            <w:r>
              <w:t xml:space="preserve"> w</w:t>
            </w:r>
            <w:r>
              <w:rPr>
                <w:b/>
                <w:i/>
              </w:rPr>
              <w:t> </w:t>
            </w:r>
            <w:r>
              <w:t>brzmieniu:</w:t>
            </w:r>
          </w:p>
        </w:tc>
        <w:tc>
          <w:tcPr>
            <w:tcW w:w="4876" w:type="dxa"/>
            <w:hideMark/>
          </w:tcPr>
          <w:p w:rsidR="001762D4" w:rsidRPr="00E73CE2" w:rsidRDefault="000C3E1A">
            <w:pPr>
              <w:pStyle w:val="Normal6"/>
              <w:rPr>
                <w:szCs w:val="24"/>
              </w:rPr>
            </w:pPr>
            <w:r>
              <w:t>c)</w:t>
            </w:r>
            <w:r>
              <w:tab/>
              <w:t>dodaje się ust.</w:t>
            </w:r>
            <w:r>
              <w:rPr>
                <w:b/>
                <w:i/>
              </w:rPr>
              <w:t xml:space="preserve"> </w:t>
            </w:r>
            <w:r>
              <w:t>1</w:t>
            </w:r>
            <w:r>
              <w:rPr>
                <w:b/>
                <w:i/>
              </w:rPr>
              <w:t>b</w:t>
            </w:r>
            <w:r>
              <w:t xml:space="preserve"> w</w:t>
            </w:r>
            <w:r>
              <w:rPr>
                <w:b/>
                <w:i/>
              </w:rPr>
              <w:t xml:space="preserve"> </w:t>
            </w:r>
            <w:r>
              <w:t>brzmieniu:</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5C48C1" w:rsidRPr="003534BF" w:rsidRDefault="000C3E1A" w:rsidP="005C48C1">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123</w:t>
      </w:r>
      <w:r>
        <w:rPr>
          <w:rStyle w:val="HideTWBExt"/>
          <w:b w:val="0"/>
          <w:lang w:val="en-GB"/>
        </w:rPr>
        <w:t>&lt;/NumAm&gt;</w:t>
      </w:r>
    </w:p>
    <w:p w:rsidR="005C48C1" w:rsidRPr="003534BF" w:rsidRDefault="000C3E1A" w:rsidP="005C48C1">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5C48C1" w:rsidRPr="00E73CE2" w:rsidRDefault="000C3E1A" w:rsidP="005C48C1">
      <w:r>
        <w:rPr>
          <w:rStyle w:val="HideTWBExt"/>
        </w:rPr>
        <w:t>&lt;/RepeatBlock-By&gt;</w:t>
      </w:r>
    </w:p>
    <w:p w:rsidR="005C48C1" w:rsidRPr="00E73CE2" w:rsidRDefault="000C3E1A" w:rsidP="005C48C1">
      <w:pPr>
        <w:pStyle w:val="NormalBold"/>
        <w:keepNext/>
      </w:pPr>
      <w:r>
        <w:rPr>
          <w:rStyle w:val="HideTWBExt"/>
          <w:b w:val="0"/>
        </w:rPr>
        <w:t>&lt;DocAmend&gt;</w:t>
      </w:r>
      <w:r>
        <w:t>Wniosek dotyczący rozporządzenia</w:t>
      </w:r>
      <w:r>
        <w:rPr>
          <w:rStyle w:val="HideTWBExt"/>
          <w:b w:val="0"/>
        </w:rPr>
        <w:t>&lt;/DocAmend&gt;</w:t>
      </w:r>
    </w:p>
    <w:p w:rsidR="005C48C1" w:rsidRPr="003534BF" w:rsidRDefault="000C3E1A" w:rsidP="005C48C1">
      <w:pPr>
        <w:pStyle w:val="NormalBold"/>
        <w:rPr>
          <w:lang w:val="fr-FR"/>
        </w:rPr>
      </w:pPr>
      <w:r>
        <w:rPr>
          <w:rStyle w:val="HideTWBExt"/>
          <w:b w:val="0"/>
          <w:lang w:val="fr-FR"/>
        </w:rPr>
        <w:t>&lt;Article&gt;</w:t>
      </w:r>
      <w:r w:rsidRPr="003534BF">
        <w:rPr>
          <w:lang w:val="fr-FR"/>
        </w:rPr>
        <w:t>Artykuł 1 – akapit 1 – punkt 14 – litera c</w:t>
      </w:r>
      <w:r>
        <w:rPr>
          <w:rStyle w:val="HideTWBExt"/>
          <w:b w:val="0"/>
          <w:lang w:val="fr-FR"/>
        </w:rPr>
        <w:t>&lt;/Article&gt;</w:t>
      </w:r>
    </w:p>
    <w:p w:rsidR="005C48C1" w:rsidRPr="00E73CE2" w:rsidRDefault="000C3E1A" w:rsidP="005C48C1">
      <w:pPr>
        <w:keepNext/>
      </w:pPr>
      <w:r w:rsidRPr="003534BF">
        <w:rPr>
          <w:rStyle w:val="HideTWBExt"/>
        </w:rPr>
        <w:t>&lt;DocAmend2&gt;</w:t>
      </w:r>
      <w:r>
        <w:t>Rozporządzenie (UE) 2016/1011</w:t>
      </w:r>
      <w:r w:rsidRPr="003534BF">
        <w:rPr>
          <w:rStyle w:val="HideTWBExt"/>
        </w:rPr>
        <w:t>&lt;/DocAmend2&gt;</w:t>
      </w:r>
    </w:p>
    <w:p w:rsidR="005C48C1" w:rsidRPr="00E73CE2" w:rsidRDefault="000C3E1A" w:rsidP="005C48C1">
      <w:r w:rsidRPr="003534BF">
        <w:rPr>
          <w:rStyle w:val="HideTWBExt"/>
        </w:rPr>
        <w:t>&lt;Article2&gt;</w:t>
      </w:r>
      <w:r>
        <w:t>Artykuł 29 – ustęp 1a</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EC2D82">
        <w:trPr>
          <w:jc w:val="center"/>
        </w:trPr>
        <w:tc>
          <w:tcPr>
            <w:tcW w:w="9752" w:type="dxa"/>
            <w:gridSpan w:val="2"/>
          </w:tcPr>
          <w:p w:rsidR="005C48C1" w:rsidRPr="003534BF" w:rsidRDefault="005C48C1" w:rsidP="00EC2D82">
            <w:pPr>
              <w:keepNext/>
            </w:pPr>
          </w:p>
        </w:tc>
      </w:tr>
      <w:tr w:rsidR="00F707A5" w:rsidTr="00EC2D82">
        <w:trPr>
          <w:jc w:val="center"/>
        </w:trPr>
        <w:tc>
          <w:tcPr>
            <w:tcW w:w="4876" w:type="dxa"/>
            <w:hideMark/>
          </w:tcPr>
          <w:p w:rsidR="005C48C1" w:rsidRPr="00E73CE2" w:rsidRDefault="000C3E1A" w:rsidP="00EC2D82">
            <w:pPr>
              <w:pStyle w:val="ColumnHeading"/>
              <w:keepNext/>
            </w:pPr>
            <w:r>
              <w:t>Tekst proponowany przez Komisję</w:t>
            </w:r>
          </w:p>
        </w:tc>
        <w:tc>
          <w:tcPr>
            <w:tcW w:w="4876" w:type="dxa"/>
            <w:hideMark/>
          </w:tcPr>
          <w:p w:rsidR="005C48C1" w:rsidRPr="00E73CE2" w:rsidRDefault="000C3E1A" w:rsidP="00EC2D82">
            <w:pPr>
              <w:pStyle w:val="ColumnHeading"/>
              <w:keepNext/>
            </w:pPr>
            <w:r>
              <w:t>Poprawka</w:t>
            </w:r>
          </w:p>
        </w:tc>
      </w:tr>
      <w:tr w:rsidR="00F707A5" w:rsidTr="00EC2D82">
        <w:trPr>
          <w:jc w:val="center"/>
        </w:trPr>
        <w:tc>
          <w:tcPr>
            <w:tcW w:w="4876" w:type="dxa"/>
            <w:hideMark/>
          </w:tcPr>
          <w:p w:rsidR="005C48C1" w:rsidRPr="00E73CE2" w:rsidRDefault="000C3E1A" w:rsidP="00EC2D82">
            <w:pPr>
              <w:pStyle w:val="Normal6"/>
            </w:pPr>
            <w:r>
              <w:rPr>
                <w:b/>
                <w:i/>
              </w:rPr>
              <w:t>1a.</w:t>
            </w:r>
            <w:r>
              <w:tab/>
            </w:r>
            <w:r>
              <w:t>Podmiot nadzorowany, który w istniejących umowach finansowych lub instrumentach finansowych stosuje wskaźnik referencyjny będący przedmiotem publicznego ogłoszenia na podstawie art. 24a ust. 5, zastępuje ten wskaźnik referencyjny odpowiednim wskaźnikiem al</w:t>
            </w:r>
            <w:r>
              <w:t xml:space="preserve">ternatywnym w terminie </w:t>
            </w:r>
            <w:r>
              <w:rPr>
                <w:b/>
                <w:i/>
              </w:rPr>
              <w:t>sześciu</w:t>
            </w:r>
            <w:r>
              <w:t xml:space="preserve"> miesięcy od publikacji tego ogłoszenia lub </w:t>
            </w:r>
            <w:r>
              <w:rPr>
                <w:b/>
                <w:i/>
              </w:rPr>
              <w:t xml:space="preserve">wydaje i publikuje na swojej stronie internetowej oświadczenie informujące klientów o braku odpowiedniego wskaźnika </w:t>
            </w:r>
            <w:r>
              <w:rPr>
                <w:b/>
                <w:i/>
              </w:rPr>
              <w:lastRenderedPageBreak/>
              <w:t>alternatywnego</w:t>
            </w:r>
            <w:r>
              <w:t>.</w:t>
            </w:r>
            <w:r>
              <w:rPr>
                <w:b/>
                <w:i/>
              </w:rPr>
              <w:t>”;</w:t>
            </w:r>
          </w:p>
        </w:tc>
        <w:tc>
          <w:tcPr>
            <w:tcW w:w="4876" w:type="dxa"/>
            <w:hideMark/>
          </w:tcPr>
          <w:p w:rsidR="005C48C1" w:rsidRPr="00E73CE2" w:rsidRDefault="000C3E1A" w:rsidP="00EC2D82">
            <w:pPr>
              <w:pStyle w:val="Normal6"/>
              <w:rPr>
                <w:szCs w:val="24"/>
              </w:rPr>
            </w:pPr>
            <w:r>
              <w:rPr>
                <w:b/>
                <w:i/>
              </w:rPr>
              <w:lastRenderedPageBreak/>
              <w:t>1b.</w:t>
            </w:r>
            <w:r>
              <w:tab/>
              <w:t>Podmiot nadzorowany, który w istniejących um</w:t>
            </w:r>
            <w:r>
              <w:t xml:space="preserve">owach finansowych lub instrumentach finansowych stosuje wskaźnik referencyjny będący przedmiotem publicznego ogłoszenia na podstawie art. 24a ust. 5, zastępuje ten wskaźnik referencyjny odpowiednim wskaźnikiem alternatywnym w terminie </w:t>
            </w:r>
            <w:r>
              <w:rPr>
                <w:b/>
                <w:i/>
              </w:rPr>
              <w:t>12</w:t>
            </w:r>
            <w:r>
              <w:t xml:space="preserve"> miesięcy od publik</w:t>
            </w:r>
            <w:r>
              <w:t xml:space="preserve">acji tego ogłoszenia lub </w:t>
            </w:r>
            <w:r>
              <w:rPr>
                <w:b/>
                <w:i/>
              </w:rPr>
              <w:t>przedstawia uzasadnione wyjaśnienie, dlaczego nie może tego zrobić</w:t>
            </w:r>
            <w:r>
              <w:t>.</w:t>
            </w:r>
          </w:p>
        </w:tc>
      </w:tr>
    </w:tbl>
    <w:p w:rsidR="005C48C1" w:rsidRPr="00E73CE2" w:rsidRDefault="000C3E1A" w:rsidP="005C48C1">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5C48C1" w:rsidRPr="003534BF" w:rsidRDefault="000C3E1A" w:rsidP="005C48C1">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124</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Marco Zanni, Valentino Grant, Antonio Maria Rinaldi</w:t>
      </w:r>
      <w:r w:rsidRPr="003534BF">
        <w:rPr>
          <w:rStyle w:val="HideTWBExt"/>
          <w:b w:val="0"/>
          <w:lang w:val="en-GB"/>
        </w:rPr>
        <w:t>&lt;/Members</w:t>
      </w:r>
      <w:r w:rsidRPr="003534BF">
        <w:rPr>
          <w:rStyle w:val="HideTWBExt"/>
          <w:b w:val="0"/>
          <w:lang w:val="en-GB"/>
        </w:rPr>
        <w:t>&gt;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14 – litera c</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29 – ustęp 1a</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proponowany </w:t>
            </w:r>
            <w:r>
              <w:t>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1a.</w:t>
            </w:r>
            <w:r>
              <w:tab/>
              <w:t xml:space="preserve">Podmiot nadzorowany, który w istniejących umowach finansowych lub </w:t>
            </w:r>
            <w:r>
              <w:rPr>
                <w:b/>
                <w:i/>
              </w:rPr>
              <w:t>instrumentach</w:t>
            </w:r>
            <w:r>
              <w:t xml:space="preserve"> finansowych stosuje wskaźnik referencyjny będący przedmiotem publicznego ogłoszenia na podstawie art. 24a ust. 5, zastępuje ten wskaźnik referencyjn</w:t>
            </w:r>
            <w:r>
              <w:t>y odpowiednim wskaźnikiem alternatywnym w terminie sześciu miesięcy od publikacji tego ogłoszenia lub wydaje i publikuje na swojej stronie internetowej oświadczenie informujące klientów o braku odpowiedniego wskaźnika alternatywnego.”;</w:t>
            </w:r>
          </w:p>
        </w:tc>
        <w:tc>
          <w:tcPr>
            <w:tcW w:w="4876" w:type="dxa"/>
            <w:hideMark/>
          </w:tcPr>
          <w:p w:rsidR="001762D4" w:rsidRPr="00E73CE2" w:rsidRDefault="000C3E1A">
            <w:pPr>
              <w:pStyle w:val="Normal6"/>
              <w:rPr>
                <w:szCs w:val="24"/>
              </w:rPr>
            </w:pPr>
            <w:r>
              <w:rPr>
                <w:b/>
                <w:i/>
              </w:rPr>
              <w:t>1b.</w:t>
            </w:r>
            <w:r>
              <w:tab/>
              <w:t>Podmiot nadzorow</w:t>
            </w:r>
            <w:r>
              <w:t>any, który w istniejących umowach finansowych</w:t>
            </w:r>
            <w:r>
              <w:rPr>
                <w:b/>
                <w:i/>
              </w:rPr>
              <w:t>, w celu pomiaru wyników funduszy inwestycyjnych</w:t>
            </w:r>
            <w:r>
              <w:t xml:space="preserve"> lub </w:t>
            </w:r>
            <w:r>
              <w:rPr>
                <w:b/>
                <w:i/>
              </w:rPr>
              <w:t>instrumentów</w:t>
            </w:r>
            <w:r>
              <w:t xml:space="preserve"> finansowych</w:t>
            </w:r>
            <w:r>
              <w:rPr>
                <w:b/>
                <w:i/>
              </w:rPr>
              <w:t>,</w:t>
            </w:r>
            <w:r>
              <w:t xml:space="preserve"> stosuje wskaźnik referencyjny będący przedmiotem publicznego ogłoszenia na podstawie art. 24a ust. 5, zastępuje ten wskaźnik referen</w:t>
            </w:r>
            <w:r>
              <w:t>cyjny odpowiednim wskaźnikiem alternatywnym w terminie sześciu miesięcy od publikacji tego ogłoszenia lub wydaje i publikuje na swojej stronie internetowej oświadczenie informujące klientów o braku odpowiedniego wskaźnika alternatywnego.”;</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125</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Irene Tinagli</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14 – litera c</w:t>
      </w:r>
      <w:r>
        <w:rPr>
          <w:rStyle w:val="HideTWBExt"/>
          <w:b w:val="0"/>
          <w:lang w:val="fr-FR"/>
        </w:rPr>
        <w:t>&lt;/Article&gt;</w:t>
      </w:r>
    </w:p>
    <w:p w:rsidR="001762D4" w:rsidRPr="00E73CE2" w:rsidRDefault="000C3E1A" w:rsidP="001762D4">
      <w:pPr>
        <w:keepNext/>
      </w:pPr>
      <w:r w:rsidRPr="003534BF">
        <w:rPr>
          <w:rStyle w:val="HideTWBExt"/>
        </w:rPr>
        <w:t>&lt;DocAmend2</w:t>
      </w:r>
      <w:r w:rsidRPr="003534BF">
        <w:rPr>
          <w:rStyle w:val="HideTWBExt"/>
        </w:rPr>
        <w:t>&gt;</w:t>
      </w:r>
      <w:r>
        <w:t xml:space="preserve"> Rozporządzenie (UE) 2016/1011</w:t>
      </w:r>
      <w:r w:rsidRPr="003534BF">
        <w:rPr>
          <w:rStyle w:val="HideTWBExt"/>
        </w:rPr>
        <w:t>&lt;/DocAmend2&gt;</w:t>
      </w:r>
    </w:p>
    <w:p w:rsidR="001762D4" w:rsidRPr="00E73CE2" w:rsidRDefault="000C3E1A" w:rsidP="001762D4">
      <w:r w:rsidRPr="003534BF">
        <w:rPr>
          <w:rStyle w:val="HideTWBExt"/>
        </w:rPr>
        <w:t>&lt;Article2&gt;</w:t>
      </w:r>
      <w:r>
        <w:t>Artykuł 29 – ustęp 1a</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rPr>
                <w:b/>
                <w:i/>
              </w:rPr>
              <w:t>1a.</w:t>
            </w:r>
            <w:r>
              <w:tab/>
              <w:t xml:space="preserve">Podmiot nadzorowany, który w istniejących umowach finansowych lub </w:t>
            </w:r>
            <w:r>
              <w:lastRenderedPageBreak/>
              <w:t>instrumentach finansowych stosuje wskaźnik referencyjny</w:t>
            </w:r>
            <w:r>
              <w:t xml:space="preserve"> będący przedmiotem publicznego ogłoszenia na podstawie art. 24a ust. 5, zastępuje ten wskaźnik referencyjny odpowiednim wskaźnikiem alternatywnym w terminie sześciu miesięcy od publikacji tego ogłoszenia lub wydaje i publikuje na swojej stronie internetow</w:t>
            </w:r>
            <w:r>
              <w:t>ej oświadczenie informujące klientów o braku odpowiedniego wskaźnika alternatywnego.”;</w:t>
            </w:r>
          </w:p>
        </w:tc>
        <w:tc>
          <w:tcPr>
            <w:tcW w:w="4876" w:type="dxa"/>
            <w:hideMark/>
          </w:tcPr>
          <w:p w:rsidR="001762D4" w:rsidRPr="00E73CE2" w:rsidRDefault="000C3E1A">
            <w:pPr>
              <w:pStyle w:val="Normal6"/>
              <w:rPr>
                <w:szCs w:val="24"/>
              </w:rPr>
            </w:pPr>
            <w:r>
              <w:rPr>
                <w:b/>
                <w:i/>
              </w:rPr>
              <w:lastRenderedPageBreak/>
              <w:t>1b.</w:t>
            </w:r>
            <w:r>
              <w:rPr>
                <w:b/>
                <w:i/>
              </w:rPr>
              <w:tab/>
            </w:r>
            <w:r>
              <w:t xml:space="preserve">Podmiot nadzorowany, który w istniejących umowach finansowych lub </w:t>
            </w:r>
            <w:r>
              <w:lastRenderedPageBreak/>
              <w:t xml:space="preserve">instrumentach finansowych </w:t>
            </w:r>
            <w:r>
              <w:rPr>
                <w:b/>
                <w:i/>
              </w:rPr>
              <w:t xml:space="preserve">lub w celu pomiaru wyników funduszy inwestycyjnych </w:t>
            </w:r>
            <w:r>
              <w:t>stosuje wskaźnik refer</w:t>
            </w:r>
            <w:r>
              <w:t>encyjny będący przedmiotem publicznego ogłoszenia na podstawie art. 24a ust. 5, zastępuje ten wskaźnik referencyjny odpowiednim wskaźnikiem alternatywnym w terminie sześciu miesięcy od publikacji tego ogłoszenia lub wydaje i publikuje na swojej stronie int</w:t>
            </w:r>
            <w:r>
              <w:t>ernetowej oświadczenie informujące klientów o braku odpowiedniego wskaźnika alternatywnego.”;</w:t>
            </w:r>
          </w:p>
        </w:tc>
      </w:tr>
    </w:tbl>
    <w:p w:rsidR="001762D4" w:rsidRPr="00E73CE2" w:rsidRDefault="000C3E1A" w:rsidP="001762D4">
      <w:pPr>
        <w:pStyle w:val="Olang"/>
        <w:rPr>
          <w:lang w:val="en-GB"/>
        </w:rPr>
      </w:pPr>
      <w:r w:rsidRPr="00E73CE2">
        <w:rPr>
          <w:noProof w:val="0"/>
          <w:lang w:val="en-GB"/>
        </w:rPr>
        <w:lastRenderedPageBreak/>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126</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w:t>
      </w:r>
      <w:r>
        <w:t>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14 – litera c a (nowa)</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29 – ustęp 1 b a (nowy)</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877C23" w:rsidRPr="00E73CE2" w:rsidRDefault="000C3E1A">
            <w:pPr>
              <w:pStyle w:val="Normal6"/>
              <w:rPr>
                <w:b/>
                <w:i/>
              </w:rPr>
            </w:pPr>
            <w:r>
              <w:rPr>
                <w:b/>
                <w:i/>
              </w:rPr>
              <w:t>1ba.</w:t>
            </w:r>
            <w:r>
              <w:rPr>
                <w:b/>
                <w:i/>
              </w:rPr>
              <w:tab/>
              <w:t>Zakaz, o którym mowa w ust. 1 niniejszego artykułu, nie obejmuje następujących przypadków:</w:t>
            </w:r>
          </w:p>
          <w:p w:rsidR="001762D4" w:rsidRPr="00E73CE2" w:rsidRDefault="000C3E1A" w:rsidP="00877C23">
            <w:pPr>
              <w:pStyle w:val="Normal6"/>
              <w:rPr>
                <w:szCs w:val="24"/>
              </w:rPr>
            </w:pPr>
            <w:r>
              <w:rPr>
                <w:b/>
                <w:i/>
              </w:rPr>
              <w:t>a) pełnienia funkcji animatora rynku w celu wsparcia działalności klienta związanej z transakcjami zrealizowanymi przed datą wejścia w życie zakazu;</w:t>
            </w:r>
            <w:r>
              <w:rPr>
                <w:b/>
                <w:i/>
              </w:rPr>
              <w:br/>
            </w:r>
            <w:r>
              <w:rPr>
                <w:b/>
                <w:i/>
              </w:rPr>
              <w:t>b) transakcji lub innych rodzajów działalności, które zmniejszają lub zabezpieczają ekspozycję nadzorowanego podmiotu lub jakiegokolwiek klienta nadzorowanego podmiotu na zakazany wskaźnik referencyjny;</w:t>
            </w:r>
            <w:r>
              <w:rPr>
                <w:b/>
                <w:i/>
              </w:rPr>
              <w:br/>
              <w:t>c) nowacji transakcji;</w:t>
            </w:r>
            <w:r>
              <w:rPr>
                <w:b/>
                <w:i/>
              </w:rPr>
              <w:br/>
              <w:t>d) transakcji realizowanych do</w:t>
            </w:r>
            <w:r>
              <w:rPr>
                <w:b/>
                <w:i/>
              </w:rPr>
              <w:t xml:space="preserve"> celów udziału w procedurze aukcyjnej kontrahenta centralnego w przypadku niewykonania zobowiązania przez członka, w tym transakcji mających na celu zabezpieczenie powstałej ekspozycji;</w:t>
            </w:r>
            <w:r>
              <w:rPr>
                <w:b/>
                <w:i/>
              </w:rPr>
              <w:br/>
            </w:r>
            <w:r>
              <w:rPr>
                <w:b/>
                <w:i/>
              </w:rPr>
              <w:lastRenderedPageBreak/>
              <w:t>e) interpolacji lub innego wykorzystania przewidzianego w umownych ust</w:t>
            </w:r>
            <w:r>
              <w:rPr>
                <w:b/>
                <w:i/>
              </w:rPr>
              <w:t>aleniach awaryjnych w związku z zakazanym wskaźnikiem referencyjnym.</w:t>
            </w:r>
          </w:p>
        </w:tc>
      </w:tr>
    </w:tbl>
    <w:p w:rsidR="001762D4" w:rsidRPr="003534BF" w:rsidRDefault="000C3E1A" w:rsidP="001762D4">
      <w:pPr>
        <w:pStyle w:val="Olang"/>
      </w:pPr>
      <w:r w:rsidRPr="003534BF">
        <w:rPr>
          <w:noProof w:val="0"/>
        </w:rPr>
        <w:lastRenderedPageBreak/>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6 miesięcy to zbyt krótko, aby podmiot nadzorowany mógł odpowiednio opracować i wdrożyć alternatywny wskaźnik. </w:t>
      </w:r>
      <w:r>
        <w:t>Transformacja może być złożonym procesem.</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127</w:t>
      </w:r>
      <w:r w:rsidRPr="003534BF">
        <w:rPr>
          <w:rStyle w:val="HideTWBExt"/>
          <w:b w:val="0"/>
        </w:rPr>
        <w:t>&lt;/NumAm&gt;</w:t>
      </w:r>
    </w:p>
    <w:p w:rsidR="001762D4" w:rsidRPr="003534BF" w:rsidRDefault="000C3E1A" w:rsidP="001762D4">
      <w:pPr>
        <w:pStyle w:val="NormalBold"/>
        <w:rPr>
          <w:lang w:val="it-IT"/>
        </w:rPr>
      </w:pPr>
      <w:r>
        <w:rPr>
          <w:rStyle w:val="HideTWBExt"/>
          <w:b w:val="0"/>
          <w:lang w:val="it-IT"/>
        </w:rPr>
        <w:t>&lt;RepeatBlock-By&gt;&lt;Members&gt;</w:t>
      </w:r>
      <w:r w:rsidRPr="003534BF">
        <w:rPr>
          <w:lang w:val="it-IT"/>
        </w:rPr>
        <w:t>Marco Zanni, Valentino Grant, Antonio Maria Rinaldi</w:t>
      </w:r>
      <w:r>
        <w:rPr>
          <w:rStyle w:val="HideTWBExt"/>
          <w:b w:val="0"/>
          <w:lang w:val="it-IT"/>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E73CE2" w:rsidRDefault="000C3E1A" w:rsidP="001762D4">
      <w:pPr>
        <w:pStyle w:val="NormalBold"/>
      </w:pPr>
      <w:r w:rsidRPr="003534BF">
        <w:rPr>
          <w:rStyle w:val="HideTWBExt"/>
          <w:b w:val="0"/>
        </w:rPr>
        <w:t>&lt;Article&gt;</w:t>
      </w:r>
      <w:r>
        <w:t>A</w:t>
      </w:r>
      <w:r>
        <w:t>rtykuł 1 – akapit 1 – punkt 14 – litera c a (nowa)</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29 – ustęp 2</w:t>
      </w:r>
      <w:r w:rsidRPr="0035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07A5" w:rsidTr="00B85361">
        <w:trPr>
          <w:jc w:val="center"/>
        </w:trPr>
        <w:tc>
          <w:tcPr>
            <w:tcW w:w="9752" w:type="dxa"/>
            <w:gridSpan w:val="2"/>
          </w:tcPr>
          <w:p w:rsidR="001762D4" w:rsidRPr="003534BF" w:rsidRDefault="001762D4">
            <w:pPr>
              <w:keepNext/>
            </w:pPr>
          </w:p>
        </w:tc>
      </w:tr>
      <w:tr w:rsidR="00F707A5" w:rsidTr="00B85361">
        <w:trPr>
          <w:jc w:val="center"/>
        </w:trPr>
        <w:tc>
          <w:tcPr>
            <w:tcW w:w="4876" w:type="dxa"/>
            <w:hideMark/>
          </w:tcPr>
          <w:p w:rsidR="001762D4" w:rsidRPr="00E73CE2" w:rsidRDefault="000C3E1A">
            <w:pPr>
              <w:pStyle w:val="ColumnHeading"/>
              <w:keepNext/>
            </w:pPr>
            <w:r>
              <w:t>Tekst obowiązujący</w:t>
            </w:r>
          </w:p>
        </w:tc>
        <w:tc>
          <w:tcPr>
            <w:tcW w:w="4876" w:type="dxa"/>
            <w:hideMark/>
          </w:tcPr>
          <w:p w:rsidR="001762D4" w:rsidRPr="00E73CE2" w:rsidRDefault="000C3E1A">
            <w:pPr>
              <w:pStyle w:val="ColumnHeading"/>
              <w:keepNext/>
            </w:pPr>
            <w:r>
              <w:t>Poprawka</w:t>
            </w:r>
          </w:p>
        </w:tc>
      </w:tr>
      <w:tr w:rsidR="00F707A5" w:rsidTr="00B85361">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rsidP="002959F4">
            <w:pPr>
              <w:pStyle w:val="Normal6"/>
              <w:rPr>
                <w:szCs w:val="24"/>
              </w:rPr>
            </w:pPr>
            <w:r>
              <w:rPr>
                <w:b/>
                <w:i/>
              </w:rPr>
              <w:t>ca)</w:t>
            </w:r>
            <w:r>
              <w:rPr>
                <w:b/>
                <w:i/>
              </w:rPr>
              <w:tab/>
              <w:t>w ust. 2 wprowadza się następujące zmiany:</w:t>
            </w:r>
          </w:p>
        </w:tc>
      </w:tr>
      <w:tr w:rsidR="00F707A5" w:rsidTr="00B85361">
        <w:trPr>
          <w:jc w:val="center"/>
        </w:trPr>
        <w:tc>
          <w:tcPr>
            <w:tcW w:w="4876" w:type="dxa"/>
          </w:tcPr>
          <w:p w:rsidR="002959F4" w:rsidRPr="00E73CE2" w:rsidRDefault="000C3E1A" w:rsidP="002959F4">
            <w:pPr>
              <w:rPr>
                <w:color w:val="333333"/>
              </w:rPr>
            </w:pPr>
            <w:r>
              <w:rPr>
                <w:rStyle w:val="no-parag"/>
                <w:shd w:val="clear" w:color="auto" w:fill="FFFFFF"/>
              </w:rPr>
              <w:t>2.</w:t>
            </w:r>
            <w:r>
              <w:rPr>
                <w:b/>
                <w:i/>
              </w:rPr>
              <w:tab/>
            </w:r>
            <w:r>
              <w:t>W przypadku gdy przedmiotem prospektu, który ma zostać opublikowany zgodnie z dyrektywą 2003/71/WE lub dyrektywą 2009/65/WE, są zbywalne papiery wartościowe lub inne produkty inwestycyjne, które stosują wskaźnik referencyjny jako odniesienie, emitent, ofer</w:t>
            </w:r>
            <w:r>
              <w:t xml:space="preserve">ent lub osoba ubiegająca się o zezwolenie na prowadzenie działalności handlowej na regulowanym rynku zapewniają, aby </w:t>
            </w:r>
            <w:r>
              <w:rPr>
                <w:b/>
                <w:i/>
              </w:rPr>
              <w:t>prospekt zawierał również jasną i widoczną informację o tym</w:t>
            </w:r>
            <w:r>
              <w:t xml:space="preserve">, </w:t>
            </w:r>
            <w:r>
              <w:rPr>
                <w:b/>
                <w:i/>
              </w:rPr>
              <w:t xml:space="preserve">czy wskaźnik referencyjny jest opracowywany przez administratora wpisanego do </w:t>
            </w:r>
            <w:r>
              <w:rPr>
                <w:b/>
                <w:i/>
              </w:rPr>
              <w:t>rejestru</w:t>
            </w:r>
            <w:r>
              <w:t>, o którym mowa w art. 36 niniejszego rozporządzenia.</w:t>
            </w:r>
          </w:p>
          <w:p w:rsidR="001762D4" w:rsidRPr="003534BF" w:rsidRDefault="001762D4">
            <w:pPr>
              <w:pStyle w:val="Normal6"/>
            </w:pPr>
          </w:p>
        </w:tc>
        <w:tc>
          <w:tcPr>
            <w:tcW w:w="4876" w:type="dxa"/>
            <w:hideMark/>
          </w:tcPr>
          <w:p w:rsidR="001762D4" w:rsidRPr="00E73CE2" w:rsidRDefault="000C3E1A">
            <w:pPr>
              <w:pStyle w:val="Normal6"/>
              <w:rPr>
                <w:szCs w:val="24"/>
              </w:rPr>
            </w:pPr>
            <w:r>
              <w:t>2.</w:t>
            </w:r>
            <w:r>
              <w:rPr>
                <w:b/>
                <w:i/>
              </w:rPr>
              <w:tab/>
            </w:r>
            <w:r>
              <w:t>W przypadku gdy przedmiotem prospektu, który ma zostać opublikowany zgodnie z dyrektywą 2003/71/WE lub dyrektywą 2009/65/WE, są zbywalne papiery wartościowe lub inne produkty inwestycyjne, k</w:t>
            </w:r>
            <w:r>
              <w:t xml:space="preserve">tóre stosują wskaźnik referencyjny jako odniesienie, emitent, oferent lub osoba ubiegająca się o zezwolenie na prowadzenie działalności handlowej na regulowanym rynku zapewniają, aby </w:t>
            </w:r>
            <w:r>
              <w:rPr>
                <w:b/>
                <w:i/>
              </w:rPr>
              <w:t>w przypadku</w:t>
            </w:r>
            <w:r>
              <w:t xml:space="preserve">, </w:t>
            </w:r>
            <w:r>
              <w:rPr>
                <w:b/>
                <w:i/>
              </w:rPr>
              <w:t>gdy publiczne ogłoszenie dotyczące wykorzystywanego wskaźnik</w:t>
            </w:r>
            <w:r>
              <w:rPr>
                <w:b/>
                <w:i/>
              </w:rPr>
              <w:t>a referencyjnego zostaje umieszczone w rejestrze</w:t>
            </w:r>
            <w:r>
              <w:t>, o którym mowa w art. 36 niniejszego rozporządzenia</w:t>
            </w:r>
            <w:r>
              <w:rPr>
                <w:b/>
                <w:i/>
              </w:rPr>
              <w:t xml:space="preserve">, w terminie 6 miesięcy </w:t>
            </w:r>
            <w:r w:rsidR="003534BF">
              <w:rPr>
                <w:b/>
                <w:i/>
              </w:rPr>
              <w:t xml:space="preserve">od publikacji tego ogłoszenia, </w:t>
            </w:r>
            <w:r>
              <w:rPr>
                <w:b/>
                <w:i/>
              </w:rPr>
              <w:t>prospekt zawierał również tę informację w sposób jasny i widoczny</w:t>
            </w:r>
            <w:r>
              <w:t>.</w:t>
            </w:r>
          </w:p>
        </w:tc>
      </w:tr>
    </w:tbl>
    <w:p w:rsidR="00B85361" w:rsidRPr="00E73CE2" w:rsidRDefault="000C3E1A" w:rsidP="00B85361">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B85361" w:rsidRPr="003534BF" w:rsidRDefault="000C3E1A" w:rsidP="00B85361">
      <w:pPr>
        <w:pStyle w:val="CrossRef"/>
        <w:rPr>
          <w:lang w:val="en-GB"/>
        </w:rPr>
      </w:pPr>
      <w:r w:rsidRPr="003534BF">
        <w:rPr>
          <w:lang w:val="en-GB"/>
        </w:rPr>
        <w:lastRenderedPageBreak/>
        <w:t>(https://eur-lex.europa.eu/legal-content/PL/TXT/?uri=CELEX%3A02016R1011-20240109)</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128</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 xml:space="preserve">Wniosek </w:t>
      </w:r>
      <w:r>
        <w:t>dotyczący rozporządzenia</w:t>
      </w:r>
      <w:r>
        <w:rPr>
          <w:rStyle w:val="HideTWBExt"/>
          <w:b w:val="0"/>
        </w:rPr>
        <w:t>&lt;/DocAmend&gt;</w:t>
      </w:r>
    </w:p>
    <w:p w:rsidR="00877C23" w:rsidRPr="00E73CE2" w:rsidRDefault="000C3E1A" w:rsidP="00877C23">
      <w:pPr>
        <w:pStyle w:val="NormalBold"/>
      </w:pPr>
      <w:r w:rsidRPr="003534BF">
        <w:rPr>
          <w:rStyle w:val="HideTWBExt"/>
          <w:b w:val="0"/>
        </w:rPr>
        <w:t>&lt;Article&gt;</w:t>
      </w:r>
      <w:r>
        <w:t>Artykuł 1 – akapit 1 – punkt 14 – litera c a (nowa)</w:t>
      </w:r>
      <w:r w:rsidRPr="003534BF">
        <w:rPr>
          <w:rStyle w:val="HideTWBExt"/>
          <w:b w:val="0"/>
        </w:rPr>
        <w:t>&lt;/Article&gt;</w:t>
      </w:r>
    </w:p>
    <w:p w:rsidR="00877C23" w:rsidRPr="00E73CE2" w:rsidRDefault="000C3E1A" w:rsidP="00877C23">
      <w:pPr>
        <w:keepNext/>
      </w:pPr>
      <w:r w:rsidRPr="003534BF">
        <w:rPr>
          <w:rStyle w:val="HideTWBExt"/>
        </w:rPr>
        <w:t>&lt;DocAmend2&gt;</w:t>
      </w:r>
      <w:r>
        <w:t>Rozporządzenie (UE) 2016/1011</w:t>
      </w:r>
      <w:r w:rsidRPr="003534BF">
        <w:rPr>
          <w:rStyle w:val="HideTWBExt"/>
        </w:rPr>
        <w:t>&lt;/DocAmend2&gt;</w:t>
      </w:r>
    </w:p>
    <w:p w:rsidR="00877C23" w:rsidRPr="00E73CE2" w:rsidRDefault="000C3E1A" w:rsidP="00877C23">
      <w:r w:rsidRPr="003534BF">
        <w:rPr>
          <w:rStyle w:val="HideTWBExt"/>
        </w:rPr>
        <w:t>&lt;Article2&gt;</w:t>
      </w:r>
      <w:r>
        <w:t>Artykuł 29 – ustęp 1 b a (nowy)</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ca)</w:t>
            </w:r>
            <w:r>
              <w:rPr>
                <w:b/>
                <w:i/>
              </w:rPr>
              <w:tab/>
              <w:t>dodaje się ustęp w brzmieniu:</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1ba.</w:t>
            </w:r>
            <w:r>
              <w:rPr>
                <w:b/>
                <w:i/>
              </w:rPr>
              <w:tab/>
              <w:t xml:space="preserve">Podmiot nadzorowany może stosować wskaźnik referencyjny, który w dokumentacji prawnej, marketingowej lub nazwie zawiera informację o uwzględnieniu czynników ESG w metodzie jego obliczania, tylko wtedy, gdy jego </w:t>
            </w:r>
            <w:r>
              <w:rPr>
                <w:b/>
                <w:i/>
              </w:rPr>
              <w:t>administrator ujawni informacje, o których mowa w art. 13 ust. 1 lit. d) oraz w art. 27 ust. 2a. Wszystkie wymogi dotyczące ujawniania informacji na temat metody obliczania muszą być spójne z rozporządzeniem (UE) 2019/2088, dyrektywą 2011/61/UE i dyrektywą</w:t>
            </w:r>
            <w:r>
              <w:rPr>
                <w:b/>
                <w:i/>
              </w:rPr>
              <w:t xml:space="preserve"> 2009/65/WE. Niniejszy ustęp ma zastosowanie zarówno do wskaźników referencyjnych z UE, jak i do wskaźników referencyjnych spoza UE.</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 xml:space="preserve">Niezbędne jest dostosowanie przepisów dotyczących </w:t>
      </w:r>
      <w:r>
        <w:t xml:space="preserve">obowiązku ujawniania informacji związanych z ESG w kontekście wskaźników referencyjnych ESG do przepisów unijnego rozporządzenia w sprawie ujawniania informacji związanych ze zrównoważonym rozwojem w sektorze usług finansowych, a także uspójnienie wymogów </w:t>
      </w:r>
      <w:r>
        <w:t>dotyczących nazw wskaźników referencyjnych z wymogami dotyczącymi nazw funduszy, zwłaszcza ETF (których nazwy odzwierciedlają nazwy ich indeksów bazowych), określonymi w dyrektywie w sprawie UCITS i dyrektywie w sprawie ZAFI).</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lastRenderedPageBreak/>
        <w:t>&lt;Amend&gt;</w:t>
      </w:r>
      <w:r w:rsidRPr="003534BF">
        <w:rPr>
          <w:lang w:val="en-GB"/>
        </w:rPr>
        <w:t>Poprawka</w:t>
      </w:r>
      <w:r w:rsidRPr="003534BF">
        <w:rPr>
          <w:lang w:val="en-GB"/>
        </w:rPr>
        <w:tab/>
      </w:r>
      <w:r w:rsidRPr="003534BF">
        <w:rPr>
          <w:lang w:val="en-GB"/>
        </w:rPr>
        <w:tab/>
      </w:r>
      <w:r>
        <w:rPr>
          <w:rStyle w:val="HideTWBExt"/>
          <w:b w:val="0"/>
          <w:lang w:val="en-GB"/>
        </w:rPr>
        <w:t>&lt;Nu</w:t>
      </w:r>
      <w:r>
        <w:rPr>
          <w:rStyle w:val="HideTWBExt"/>
          <w:b w:val="0"/>
          <w:lang w:val="en-GB"/>
        </w:rPr>
        <w:t>mAm&gt;</w:t>
      </w:r>
      <w:r w:rsidRPr="003534BF">
        <w:rPr>
          <w:lang w:val="en-GB"/>
        </w:rPr>
        <w:t>129</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Irene Tinagli</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877C23" w:rsidRPr="00E73CE2" w:rsidRDefault="000C3E1A" w:rsidP="00877C23">
      <w:pPr>
        <w:pStyle w:val="NormalBold"/>
      </w:pPr>
      <w:r w:rsidRPr="003534BF">
        <w:rPr>
          <w:rStyle w:val="HideTWBExt"/>
          <w:b w:val="0"/>
        </w:rPr>
        <w:t>&lt;Article&gt;</w:t>
      </w:r>
      <w:r>
        <w:t>Artykuł 1 – akapit 1 – punkt 14 – litera c a (nowa)</w:t>
      </w:r>
      <w:r w:rsidRPr="003534BF">
        <w:rPr>
          <w:rStyle w:val="HideTWBExt"/>
          <w:b w:val="0"/>
        </w:rPr>
        <w:t>&lt;/Article&gt;</w:t>
      </w:r>
    </w:p>
    <w:p w:rsidR="00F70312" w:rsidRPr="00E73CE2" w:rsidRDefault="000C3E1A" w:rsidP="00F70312">
      <w:pPr>
        <w:keepNext/>
      </w:pPr>
      <w:r w:rsidRPr="003534BF">
        <w:rPr>
          <w:rStyle w:val="HideTWBExt"/>
        </w:rPr>
        <w:t>&lt;DocAmend2&gt;</w:t>
      </w:r>
      <w:r>
        <w:t>Rozporządzenie (UE) 2016/1011</w:t>
      </w:r>
      <w:r w:rsidRPr="003534BF">
        <w:rPr>
          <w:rStyle w:val="HideTWBExt"/>
        </w:rPr>
        <w:t>&lt;/DocAme</w:t>
      </w:r>
      <w:r w:rsidRPr="003534BF">
        <w:rPr>
          <w:rStyle w:val="HideTWBExt"/>
        </w:rPr>
        <w:t>nd2&gt;</w:t>
      </w:r>
    </w:p>
    <w:p w:rsidR="00F70312" w:rsidRPr="00E73CE2" w:rsidRDefault="000C3E1A" w:rsidP="00F70312">
      <w:r w:rsidRPr="003534BF">
        <w:rPr>
          <w:rStyle w:val="HideTWBExt"/>
        </w:rPr>
        <w:t>&lt;Article2&gt;</w:t>
      </w:r>
      <w:r>
        <w:t>Artykuł 29 – ustęp 2</w:t>
      </w:r>
      <w:r w:rsidRPr="0035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07A5" w:rsidTr="00F70312">
        <w:trPr>
          <w:jc w:val="center"/>
        </w:trPr>
        <w:tc>
          <w:tcPr>
            <w:tcW w:w="9752" w:type="dxa"/>
            <w:gridSpan w:val="2"/>
          </w:tcPr>
          <w:p w:rsidR="001762D4" w:rsidRPr="003534BF" w:rsidRDefault="001762D4">
            <w:pPr>
              <w:keepNext/>
            </w:pPr>
          </w:p>
        </w:tc>
      </w:tr>
      <w:tr w:rsidR="00F707A5" w:rsidTr="00F70312">
        <w:trPr>
          <w:jc w:val="center"/>
        </w:trPr>
        <w:tc>
          <w:tcPr>
            <w:tcW w:w="4876" w:type="dxa"/>
            <w:hideMark/>
          </w:tcPr>
          <w:p w:rsidR="001762D4" w:rsidRPr="00E73CE2" w:rsidRDefault="000C3E1A">
            <w:pPr>
              <w:pStyle w:val="ColumnHeading"/>
              <w:keepNext/>
            </w:pPr>
            <w:r>
              <w:t>Tekst obowiązujący</w:t>
            </w:r>
          </w:p>
        </w:tc>
        <w:tc>
          <w:tcPr>
            <w:tcW w:w="4876" w:type="dxa"/>
            <w:hideMark/>
          </w:tcPr>
          <w:p w:rsidR="001762D4" w:rsidRPr="00E73CE2" w:rsidRDefault="000C3E1A">
            <w:pPr>
              <w:pStyle w:val="ColumnHeading"/>
              <w:keepNext/>
            </w:pPr>
            <w:r>
              <w:t>Poprawka</w:t>
            </w:r>
          </w:p>
        </w:tc>
      </w:tr>
      <w:tr w:rsidR="00F707A5" w:rsidTr="00F70312">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rsidP="00F70312">
            <w:pPr>
              <w:pStyle w:val="Normal6"/>
              <w:rPr>
                <w:szCs w:val="24"/>
              </w:rPr>
            </w:pPr>
            <w:r>
              <w:rPr>
                <w:b/>
                <w:i/>
              </w:rPr>
              <w:t>ca)</w:t>
            </w:r>
            <w:r>
              <w:rPr>
                <w:b/>
                <w:i/>
              </w:rPr>
              <w:tab/>
              <w:t>w ust. 2 wprowadza się następujące zmiany:</w:t>
            </w:r>
          </w:p>
        </w:tc>
      </w:tr>
      <w:tr w:rsidR="00F707A5" w:rsidTr="00F70312">
        <w:trPr>
          <w:jc w:val="center"/>
        </w:trPr>
        <w:tc>
          <w:tcPr>
            <w:tcW w:w="4876" w:type="dxa"/>
          </w:tcPr>
          <w:p w:rsidR="00F70312" w:rsidRPr="00E73CE2" w:rsidRDefault="000C3E1A" w:rsidP="00F70312">
            <w:pPr>
              <w:rPr>
                <w:color w:val="333333"/>
              </w:rPr>
            </w:pPr>
            <w:r>
              <w:rPr>
                <w:rStyle w:val="no-parag"/>
                <w:shd w:val="clear" w:color="auto" w:fill="FFFFFF"/>
              </w:rPr>
              <w:t>2.</w:t>
            </w:r>
            <w:r>
              <w:rPr>
                <w:b/>
                <w:i/>
              </w:rPr>
              <w:tab/>
            </w:r>
            <w:r>
              <w:t>W przypadku gdy przedmiotem prospektu, który ma zostać opublikowany zgodnie z dyrektywą 2003/71/WE lub dyrektywą 2009/65/WE, są zbywalne papiery wartościowe lub inne produkty inwestycyjne, które stosują wskaźnik referencyjny jako odniesienie, emitent, ofer</w:t>
            </w:r>
            <w:r>
              <w:t xml:space="preserve">ent lub osoba ubiegająca się o zezwolenie na prowadzenie działalności handlowej na regulowanym rynku zapewniają, aby prospekt zawierał również jasną i widoczną informację o tym, czy </w:t>
            </w:r>
            <w:r>
              <w:rPr>
                <w:b/>
                <w:i/>
              </w:rPr>
              <w:t>wskaźnik referencyjny jest opracowywany przez administratora wpisanego</w:t>
            </w:r>
            <w:r>
              <w:t xml:space="preserve"> do </w:t>
            </w:r>
            <w:r>
              <w:t>rejestru, o którym mowa w art. 36 niniejszego rozporządzenia.</w:t>
            </w:r>
          </w:p>
          <w:p w:rsidR="001762D4" w:rsidRPr="003534BF" w:rsidRDefault="001762D4">
            <w:pPr>
              <w:pStyle w:val="Normal6"/>
            </w:pPr>
          </w:p>
        </w:tc>
        <w:tc>
          <w:tcPr>
            <w:tcW w:w="4876" w:type="dxa"/>
            <w:hideMark/>
          </w:tcPr>
          <w:p w:rsidR="001762D4" w:rsidRPr="00E73CE2" w:rsidRDefault="000C3E1A">
            <w:pPr>
              <w:pStyle w:val="Normal6"/>
              <w:rPr>
                <w:szCs w:val="24"/>
              </w:rPr>
            </w:pPr>
            <w:r>
              <w:t>2.</w:t>
            </w:r>
            <w:r>
              <w:rPr>
                <w:b/>
                <w:i/>
              </w:rPr>
              <w:tab/>
            </w:r>
            <w:r>
              <w:t>W przypadku gdy przedmiotem prospektu, który ma zostać opublikowany zgodnie z dyrektywą 2003/71/WE lub dyrektywą 2009/65/WE, są zbywalne papiery wartościowe lub inne produkty inwestycyjne, k</w:t>
            </w:r>
            <w:r>
              <w:t xml:space="preserve">tóre stosują wskaźnik referencyjny jako odniesienie, emitent, oferent lub osoba ubiegająca się o zezwolenie na prowadzenie działalności handlowej na regulowanym rynku zapewniają, aby prospekt zawierał również jasną i widoczną informację o tym, czy </w:t>
            </w:r>
            <w:r>
              <w:rPr>
                <w:b/>
                <w:i/>
              </w:rPr>
              <w:t>publiczn</w:t>
            </w:r>
            <w:r>
              <w:rPr>
                <w:b/>
                <w:i/>
              </w:rPr>
              <w:t>e ogłoszenie dotyczące wykorzystanego wskaźnika referencyjnego zostało wpisane</w:t>
            </w:r>
            <w:r>
              <w:t xml:space="preserve"> do rejestru, o którym mowa w art. 36 niniejszego rozporządzenia</w:t>
            </w:r>
            <w:r>
              <w:rPr>
                <w:b/>
                <w:i/>
              </w:rPr>
              <w:t>, w terminie 6 miesięcy od publikacji tego ogłoszenia publicznego</w:t>
            </w:r>
            <w:r>
              <w:t>.</w:t>
            </w:r>
          </w:p>
        </w:tc>
      </w:tr>
    </w:tbl>
    <w:p w:rsidR="00B85361" w:rsidRPr="00E73CE2" w:rsidRDefault="000C3E1A" w:rsidP="00B85361">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B85361" w:rsidRPr="003534BF" w:rsidRDefault="000C3E1A" w:rsidP="00B85361">
      <w:pPr>
        <w:pStyle w:val="CrossRef"/>
        <w:rPr>
          <w:lang w:val="en-GB"/>
        </w:rPr>
      </w:pPr>
      <w:r w:rsidRPr="003534BF">
        <w:rPr>
          <w:lang w:val="en-GB"/>
        </w:rPr>
        <w:t>(https://eur-l</w:t>
      </w:r>
      <w:r w:rsidRPr="003534BF">
        <w:rPr>
          <w:lang w:val="en-GB"/>
        </w:rPr>
        <w:t>ex.europa.eu/legal-content/PL/TXT/?uri=CELEX%3A02016R1011-20240109)</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130</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Gilles Boyer, Stéphanie Yon-Courtin, Olivier Chastel</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w:t>
      </w:r>
      <w:r>
        <w:t>zenia</w:t>
      </w:r>
      <w:r>
        <w:rPr>
          <w:rStyle w:val="HideTWBExt"/>
          <w:b w:val="0"/>
        </w:rPr>
        <w:t>&lt;/DocAmend&gt;</w:t>
      </w:r>
    </w:p>
    <w:p w:rsidR="001762D4" w:rsidRPr="00E73CE2" w:rsidRDefault="000C3E1A" w:rsidP="001762D4">
      <w:pPr>
        <w:pStyle w:val="NormalBold"/>
      </w:pPr>
      <w:r w:rsidRPr="003534BF">
        <w:rPr>
          <w:rStyle w:val="HideTWBExt"/>
          <w:b w:val="0"/>
        </w:rPr>
        <w:t>&lt;Article&gt;</w:t>
      </w:r>
      <w:r>
        <w:t>Artykuł 1 – akapit 1 – punkt 17 a (nowy)</w:t>
      </w:r>
      <w:r w:rsidRPr="003534BF">
        <w:rPr>
          <w:rStyle w:val="HideTWBExt"/>
          <w:b w:val="0"/>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40 – ustęp 1 – akapit 1</w:t>
      </w:r>
      <w:r w:rsidRPr="0035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07A5" w:rsidTr="00B85361">
        <w:trPr>
          <w:jc w:val="center"/>
        </w:trPr>
        <w:tc>
          <w:tcPr>
            <w:tcW w:w="9752" w:type="dxa"/>
            <w:gridSpan w:val="2"/>
          </w:tcPr>
          <w:p w:rsidR="001762D4" w:rsidRPr="003534BF" w:rsidRDefault="001762D4">
            <w:pPr>
              <w:keepNext/>
            </w:pPr>
          </w:p>
        </w:tc>
      </w:tr>
      <w:tr w:rsidR="00F707A5" w:rsidTr="00B85361">
        <w:trPr>
          <w:jc w:val="center"/>
        </w:trPr>
        <w:tc>
          <w:tcPr>
            <w:tcW w:w="4876" w:type="dxa"/>
            <w:hideMark/>
          </w:tcPr>
          <w:p w:rsidR="001762D4" w:rsidRPr="00E73CE2" w:rsidRDefault="000C3E1A">
            <w:pPr>
              <w:pStyle w:val="ColumnHeading"/>
              <w:keepNext/>
            </w:pPr>
            <w:r>
              <w:t>Tekst obowiązujący</w:t>
            </w:r>
          </w:p>
        </w:tc>
        <w:tc>
          <w:tcPr>
            <w:tcW w:w="4876" w:type="dxa"/>
            <w:hideMark/>
          </w:tcPr>
          <w:p w:rsidR="001762D4" w:rsidRPr="00E73CE2" w:rsidRDefault="000C3E1A">
            <w:pPr>
              <w:pStyle w:val="ColumnHeading"/>
              <w:keepNext/>
            </w:pPr>
            <w:r>
              <w:t>Poprawka</w:t>
            </w:r>
          </w:p>
        </w:tc>
      </w:tr>
      <w:tr w:rsidR="00F707A5" w:rsidTr="00B85361">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(17a)</w:t>
            </w:r>
            <w:r>
              <w:rPr>
                <w:b/>
                <w:i/>
              </w:rPr>
              <w:tab/>
              <w:t xml:space="preserve">w art. 40 ust. 1 akapit pierwszy </w:t>
            </w:r>
            <w:r>
              <w:rPr>
                <w:b/>
                <w:i/>
              </w:rPr>
              <w:lastRenderedPageBreak/>
              <w:t>otrzymuje brzmienie:</w:t>
            </w:r>
          </w:p>
        </w:tc>
      </w:tr>
      <w:tr w:rsidR="00F707A5" w:rsidTr="00B85361">
        <w:trPr>
          <w:jc w:val="center"/>
        </w:trPr>
        <w:tc>
          <w:tcPr>
            <w:tcW w:w="4876" w:type="dxa"/>
            <w:hideMark/>
          </w:tcPr>
          <w:p w:rsidR="001762D4" w:rsidRPr="00E73CE2" w:rsidRDefault="000C3E1A">
            <w:pPr>
              <w:pStyle w:val="Normal6"/>
            </w:pPr>
            <w:r>
              <w:lastRenderedPageBreak/>
              <w:t>1. Do celów niniejszego rozporządzenia ESMA jest właściwym organem właściwym dla:</w:t>
            </w:r>
          </w:p>
        </w:tc>
        <w:tc>
          <w:tcPr>
            <w:tcW w:w="4876" w:type="dxa"/>
            <w:hideMark/>
          </w:tcPr>
          <w:p w:rsidR="001762D4" w:rsidRPr="00E73CE2" w:rsidRDefault="000C3E1A">
            <w:pPr>
              <w:pStyle w:val="Normal6"/>
              <w:rPr>
                <w:szCs w:val="24"/>
              </w:rPr>
            </w:pPr>
            <w:r>
              <w:t>„1. Do celów niniejszego rozporządzenia ESMA jest właściwym organem właściwym dla:</w:t>
            </w:r>
          </w:p>
        </w:tc>
      </w:tr>
      <w:tr w:rsidR="00F707A5" w:rsidTr="00B85361">
        <w:trPr>
          <w:jc w:val="center"/>
        </w:trPr>
        <w:tc>
          <w:tcPr>
            <w:tcW w:w="4876" w:type="dxa"/>
            <w:hideMark/>
          </w:tcPr>
          <w:p w:rsidR="001762D4" w:rsidRPr="00E73CE2" w:rsidRDefault="000C3E1A">
            <w:pPr>
              <w:pStyle w:val="Normal6"/>
            </w:pPr>
            <w:r>
              <w:t>a) administratorów kluczowych wskaźników referencyjnych, o których m</w:t>
            </w:r>
            <w:r>
              <w:t>owa w art. 20 ust. 1 lit. a) i c);</w:t>
            </w:r>
          </w:p>
        </w:tc>
        <w:tc>
          <w:tcPr>
            <w:tcW w:w="4876" w:type="dxa"/>
            <w:hideMark/>
          </w:tcPr>
          <w:p w:rsidR="001762D4" w:rsidRPr="00E73CE2" w:rsidRDefault="000C3E1A">
            <w:pPr>
              <w:pStyle w:val="Normal6"/>
              <w:rPr>
                <w:szCs w:val="24"/>
              </w:rPr>
            </w:pPr>
            <w:r>
              <w:t>a)</w:t>
            </w:r>
            <w:r>
              <w:rPr>
                <w:b/>
                <w:i/>
              </w:rPr>
              <w:tab/>
            </w:r>
            <w:r>
              <w:t xml:space="preserve"> administratorów kluczowych wskaźników referencyjnych, o których mowa w art. 20 ust. 1 lit. a) i c);</w:t>
            </w:r>
          </w:p>
        </w:tc>
      </w:tr>
      <w:tr w:rsidR="00F707A5" w:rsidTr="00B85361">
        <w:trPr>
          <w:jc w:val="center"/>
        </w:trPr>
        <w:tc>
          <w:tcPr>
            <w:tcW w:w="4876" w:type="dxa"/>
            <w:hideMark/>
          </w:tcPr>
          <w:p w:rsidR="001762D4" w:rsidRPr="00E73CE2" w:rsidRDefault="000C3E1A">
            <w:pPr>
              <w:pStyle w:val="Normal6"/>
            </w:pPr>
            <w:r>
              <w:t>b) administratorów wskaźników referencyjnych, o których mowa w art. 32.</w:t>
            </w:r>
          </w:p>
        </w:tc>
        <w:tc>
          <w:tcPr>
            <w:tcW w:w="4876" w:type="dxa"/>
            <w:hideMark/>
          </w:tcPr>
          <w:p w:rsidR="001762D4" w:rsidRPr="00E73CE2" w:rsidRDefault="000C3E1A">
            <w:pPr>
              <w:pStyle w:val="Normal6"/>
              <w:rPr>
                <w:szCs w:val="24"/>
              </w:rPr>
            </w:pPr>
            <w:r>
              <w:t xml:space="preserve">b) </w:t>
            </w:r>
            <w:r>
              <w:rPr>
                <w:b/>
                <w:i/>
              </w:rPr>
              <w:tab/>
            </w:r>
            <w:r>
              <w:t xml:space="preserve">administratorów wskaźników </w:t>
            </w:r>
            <w:r>
              <w:t>referencyjnych, o których mowa w art. 32;</w:t>
            </w:r>
          </w:p>
        </w:tc>
      </w:tr>
      <w:tr w:rsidR="00F707A5" w:rsidTr="00B85361">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c) </w:t>
            </w:r>
            <w:r>
              <w:rPr>
                <w:b/>
                <w:i/>
              </w:rPr>
              <w:tab/>
              <w:t>administratorów wskaźników referencyjnych uznanych za istotne w Unii, o których mowa w art. 24 ust. 1, 2, 5 i 6;</w:t>
            </w:r>
          </w:p>
        </w:tc>
      </w:tr>
      <w:tr w:rsidR="00F707A5" w:rsidTr="00B85361">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d) </w:t>
            </w:r>
            <w:r>
              <w:rPr>
                <w:b/>
                <w:i/>
              </w:rPr>
              <w:tab/>
              <w:t>administratorów zatwierdzających wskaźniki referencyjne opracowane w państwie trzecim zgo</w:t>
            </w:r>
            <w:r>
              <w:rPr>
                <w:b/>
                <w:i/>
              </w:rPr>
              <w:t>dnie z art. 33;</w:t>
            </w:r>
          </w:p>
        </w:tc>
      </w:tr>
      <w:tr w:rsidR="00F707A5" w:rsidTr="00B85361">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e) </w:t>
            </w:r>
            <w:r>
              <w:rPr>
                <w:b/>
                <w:i/>
              </w:rPr>
              <w:tab/>
            </w:r>
            <w:r>
              <w:rPr>
                <w:b/>
                <w:bCs/>
                <w:i/>
                <w:iCs/>
              </w:rPr>
              <w:t>administratorów unijnych wskaźników referencyjnych transformacji klimatycznej i unijnych wskaźników referencyjnych dostosowanych do porozumienia paryskiego, o których mowa w art. 3 ust. 23a i 23b.</w:t>
            </w:r>
          </w:p>
        </w:tc>
      </w:tr>
      <w:tr w:rsidR="00F707A5" w:rsidTr="00B85361">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w:t>
            </w:r>
          </w:p>
        </w:tc>
      </w:tr>
    </w:tbl>
    <w:p w:rsidR="00B85361" w:rsidRPr="00E73CE2" w:rsidRDefault="000C3E1A" w:rsidP="00B85361">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B85361" w:rsidRPr="003534BF" w:rsidRDefault="000C3E1A" w:rsidP="00B85361">
      <w:pPr>
        <w:pStyle w:val="CrossRef"/>
        <w:rPr>
          <w:lang w:val="en-GB"/>
        </w:rPr>
      </w:pPr>
      <w:r w:rsidRPr="003534BF">
        <w:rPr>
          <w:lang w:val="en-GB"/>
        </w:rPr>
        <w:t>(https://eur-lex.europa.eu/legal-content/PL/TXT/?uri=CELEX%3A02016R1011-20240109)</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ESMA powinien być również odpowiedzialny za nadzór nad administratorami wszystkich istotnych wskaźników referencyjnych i administratorami</w:t>
      </w:r>
      <w:r>
        <w:t xml:space="preserve"> unijnych wskaźników referencyjnych transformacji klimatycznej i unijnych wskaźników referencyjnych dostosowanych do porozumienia paryskiego.</w:t>
      </w:r>
    </w:p>
    <w:p w:rsidR="001762D4" w:rsidRPr="00E73CE2" w:rsidRDefault="000C3E1A" w:rsidP="001762D4">
      <w:r>
        <w:rPr>
          <w:rStyle w:val="HideTWBExt"/>
        </w:rPr>
        <w:t>&lt;/Amend&gt;</w:t>
      </w:r>
    </w:p>
    <w:p w:rsidR="001762D4" w:rsidRPr="00E73CE2" w:rsidRDefault="000C3E1A" w:rsidP="001762D4">
      <w:pPr>
        <w:pStyle w:val="AMNumberTabs0"/>
        <w:keepNext/>
      </w:pPr>
      <w:r w:rsidRPr="003534BF">
        <w:rPr>
          <w:rStyle w:val="HideTWBExt"/>
          <w:b w:val="0"/>
        </w:rPr>
        <w:t>&lt;Amend&gt;</w:t>
      </w:r>
      <w:r>
        <w:t>Poprawka</w:t>
      </w:r>
      <w:r>
        <w:tab/>
      </w:r>
      <w:r>
        <w:tab/>
      </w:r>
      <w:r w:rsidRPr="003534BF">
        <w:rPr>
          <w:rStyle w:val="HideTWBExt"/>
          <w:b w:val="0"/>
        </w:rPr>
        <w:t>&lt;NumAm&gt;</w:t>
      </w:r>
      <w:r>
        <w:t>131</w:t>
      </w:r>
      <w:r w:rsidRPr="003534BF">
        <w:rPr>
          <w:rStyle w:val="HideTWBExt"/>
          <w:b w:val="0"/>
        </w:rPr>
        <w:t>&lt;/NumAm&gt;</w:t>
      </w:r>
    </w:p>
    <w:p w:rsidR="001762D4" w:rsidRPr="00E73CE2" w:rsidRDefault="000C3E1A" w:rsidP="001762D4">
      <w:pPr>
        <w:pStyle w:val="NormalBold"/>
      </w:pPr>
      <w:r>
        <w:rPr>
          <w:rStyle w:val="HideTWBExt"/>
          <w:b w:val="0"/>
        </w:rPr>
        <w:t>&lt;RepeatBlock-By&gt;&lt;Members&gt;</w:t>
      </w:r>
      <w:r>
        <w:t>Gilles Boyer, Stéphanie Yon-Courtin, Olivier</w:t>
      </w:r>
      <w:r>
        <w:t xml:space="preserve"> Chastel</w:t>
      </w:r>
      <w:r>
        <w:rPr>
          <w:rStyle w:val="HideTWBExt"/>
          <w:b w:val="0"/>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877C23" w:rsidRPr="00E73CE2" w:rsidRDefault="000C3E1A" w:rsidP="00877C23">
      <w:pPr>
        <w:pStyle w:val="NormalBold"/>
      </w:pPr>
      <w:r w:rsidRPr="003534BF">
        <w:rPr>
          <w:rStyle w:val="HideTWBExt"/>
          <w:b w:val="0"/>
        </w:rPr>
        <w:t>&lt;Article&gt;</w:t>
      </w:r>
      <w:r>
        <w:t>Artykuł 1 – akapit 1 – punkt 17 b (nowy)</w:t>
      </w:r>
      <w:r w:rsidRPr="003534BF">
        <w:rPr>
          <w:rStyle w:val="HideTWBExt"/>
          <w:b w:val="0"/>
        </w:rPr>
        <w:t>&lt;/Article&gt;</w:t>
      </w:r>
    </w:p>
    <w:p w:rsidR="00F70312" w:rsidRPr="00E73CE2" w:rsidRDefault="000C3E1A" w:rsidP="00F70312">
      <w:pPr>
        <w:keepNext/>
      </w:pPr>
      <w:r w:rsidRPr="003534BF">
        <w:rPr>
          <w:rStyle w:val="HideTWBExt"/>
        </w:rPr>
        <w:t>&lt;DocAmend2&gt;</w:t>
      </w:r>
      <w:r>
        <w:t>Rozporządzenie (UE) 2016/1011</w:t>
      </w:r>
      <w:r w:rsidRPr="003534BF">
        <w:rPr>
          <w:rStyle w:val="HideTWBExt"/>
        </w:rPr>
        <w:t>&lt;/DocAmend2&gt;</w:t>
      </w:r>
    </w:p>
    <w:p w:rsidR="00F70312" w:rsidRPr="00E73CE2" w:rsidRDefault="000C3E1A" w:rsidP="00F70312">
      <w:r w:rsidRPr="003534BF">
        <w:rPr>
          <w:rStyle w:val="HideTWBExt"/>
        </w:rPr>
        <w:t>&lt;Article2&gt;</w:t>
      </w:r>
      <w:r>
        <w:t>Artykuł 40 – ustęp 1 – akapit 1 a (nowy)</w:t>
      </w:r>
      <w:r w:rsidRPr="003534BF">
        <w:rPr>
          <w:rStyle w:val="HideTWBExt"/>
        </w:rPr>
        <w:t>&lt;/</w:t>
      </w:r>
      <w:r w:rsidRPr="003534BF">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17b)</w:t>
            </w:r>
            <w:r>
              <w:rPr>
                <w:b/>
                <w:i/>
              </w:rPr>
              <w:tab/>
              <w:t>w art. 40 ust. 1 dodaje się akapit w brzmieniu:</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Administratorzy nieobjęci zakresem ust. 1 mogą wybrać ESMA jako właściwy organ odpowiedzialny za nadzór nad nimi.</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132</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Markus Ferber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21</w:t>
      </w:r>
      <w:r>
        <w:rPr>
          <w:rStyle w:val="HideTWBExt"/>
          <w:b w:val="0"/>
          <w:lang w:val="fr-FR"/>
        </w:rPr>
        <w:t>&lt;/Article&gt;</w:t>
      </w:r>
    </w:p>
    <w:p w:rsidR="001762D4" w:rsidRPr="00E73CE2" w:rsidRDefault="000C3E1A" w:rsidP="001762D4">
      <w:pPr>
        <w:keepNext/>
      </w:pPr>
      <w:r w:rsidRPr="003534BF">
        <w:rPr>
          <w:rStyle w:val="HideTWBExt"/>
        </w:rPr>
        <w:t>&lt;DocAmend2&gt;</w:t>
      </w:r>
      <w:r>
        <w:t xml:space="preserve">Rozporządzenie (UE) </w:t>
      </w:r>
      <w:r>
        <w:t>2016/1011</w:t>
      </w:r>
      <w:r w:rsidRPr="003534BF">
        <w:rPr>
          <w:rStyle w:val="HideTWBExt"/>
        </w:rPr>
        <w:t>&lt;/DocAmend2&gt;</w:t>
      </w:r>
    </w:p>
    <w:p w:rsidR="001762D4" w:rsidRPr="00E73CE2" w:rsidRDefault="000C3E1A" w:rsidP="001762D4">
      <w:r w:rsidRPr="003534BF">
        <w:rPr>
          <w:rStyle w:val="HideTWBExt"/>
        </w:rPr>
        <w:t>&lt;Article2&gt;</w:t>
      </w:r>
      <w:r>
        <w:t>Artykuł 51 – ustęp 4c</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4c.</w:t>
            </w:r>
            <w:r>
              <w:tab/>
              <w:t xml:space="preserve">Właściwe organy </w:t>
            </w:r>
            <w:r>
              <w:rPr>
                <w:b/>
                <w:i/>
              </w:rPr>
              <w:t>i ESMA zapewniają, aby administratorzy wskaźników referencyjnych, którzy posiadali zezwolenie, byli zarejestrowani, zatwierdzen</w:t>
            </w:r>
            <w:r>
              <w:rPr>
                <w:b/>
                <w:i/>
              </w:rPr>
              <w:t>i lub uznani</w:t>
            </w:r>
            <w:r>
              <w:t xml:space="preserve"> na </w:t>
            </w:r>
            <w:r>
              <w:rPr>
                <w:b/>
                <w:i/>
              </w:rPr>
              <w:t xml:space="preserve">dzień [Urząd Publikacji: proszę wstawić datę = datę rozpoczęcia stosowania niniejszego rozporządzenia zmieniającego] r., mogli korzystać z procedury uproszczonej, jeżeli występują z wnioskiem o udzielenie zezwolenia, o rejestrację, uznanie </w:t>
            </w:r>
            <w:r>
              <w:rPr>
                <w:b/>
                <w:i/>
              </w:rPr>
              <w:t>lub zatwierdzenie zgodnie z art. 24a ust. 1, 2 lub 3, stosownie do przypadku, do dnia ..</w:t>
            </w:r>
            <w:r>
              <w:t xml:space="preserve">. </w:t>
            </w:r>
            <w:r>
              <w:rPr>
                <w:b/>
                <w:i/>
              </w:rPr>
              <w:t>[Urząd Publikacji: proszę wstawić datę = datę</w:t>
            </w:r>
            <w:r>
              <w:t xml:space="preserve"> rozpoczęcia stosowania niniejszego rozporządzenia </w:t>
            </w:r>
            <w:r>
              <w:rPr>
                <w:b/>
                <w:i/>
              </w:rPr>
              <w:t>zmieniającego + dwa lata]</w:t>
            </w:r>
            <w:r>
              <w:t xml:space="preserve"> r.</w:t>
            </w:r>
          </w:p>
        </w:tc>
        <w:tc>
          <w:tcPr>
            <w:tcW w:w="4876" w:type="dxa"/>
            <w:hideMark/>
          </w:tcPr>
          <w:p w:rsidR="001762D4" w:rsidRPr="00E73CE2" w:rsidRDefault="000C3E1A">
            <w:pPr>
              <w:pStyle w:val="Normal6"/>
              <w:rPr>
                <w:szCs w:val="24"/>
              </w:rPr>
            </w:pPr>
            <w:r>
              <w:t>4c.</w:t>
            </w:r>
            <w:r>
              <w:tab/>
              <w:t xml:space="preserve">Właściwe organy </w:t>
            </w:r>
            <w:r>
              <w:rPr>
                <w:b/>
                <w:i/>
              </w:rPr>
              <w:t xml:space="preserve">krajowe zamierzające </w:t>
            </w:r>
            <w:r>
              <w:rPr>
                <w:b/>
                <w:i/>
              </w:rPr>
              <w:t>wyznaczyć wskaźnik referencyjny opracowany przez administratora wpisanego do rejestru ESMA</w:t>
            </w:r>
            <w:r>
              <w:t xml:space="preserve"> na dzień </w:t>
            </w:r>
            <w:r>
              <w:rPr>
                <w:b/>
                <w:i/>
              </w:rPr>
              <w:t>…[data rozpoczęcia stosowania niniejszego rozporządzenia zmieniającego – 1 dzień] r. lub ESMA zamierzający wyznaczyć wskaźnik referencyjny, który był wpisan</w:t>
            </w:r>
            <w:r>
              <w:rPr>
                <w:b/>
                <w:i/>
              </w:rPr>
              <w:t>y do rejestru ESMA lub którego administrator był wpisany do rejestru ESMA na dzień …[data rozpoczęcia stosowania niniejszego rozporządzenia zmieniającego – 1 dzień] r</w:t>
            </w:r>
            <w:r>
              <w:t xml:space="preserve">., </w:t>
            </w:r>
            <w:r>
              <w:rPr>
                <w:b/>
                <w:i/>
              </w:rPr>
              <w:t>wyznaczają je do dnia … [12 miesięcy od daty rozpoczęcia stosowania niniejszego rozporz</w:t>
            </w:r>
            <w:r>
              <w:rPr>
                <w:b/>
                <w:i/>
              </w:rPr>
              <w:t>ądzenia zmieniającego] r.</w:t>
            </w:r>
          </w:p>
        </w:tc>
      </w:tr>
      <w:tr w:rsidR="00F707A5" w:rsidTr="001762D4">
        <w:trPr>
          <w:jc w:val="center"/>
        </w:trPr>
        <w:tc>
          <w:tcPr>
            <w:tcW w:w="4876" w:type="dxa"/>
          </w:tcPr>
          <w:p w:rsidR="001762D4" w:rsidRPr="00E73CE2" w:rsidRDefault="001762D4">
            <w:pPr>
              <w:pStyle w:val="Normal6"/>
              <w:rPr>
                <w:lang w:val="en-GB"/>
              </w:rPr>
            </w:pPr>
          </w:p>
        </w:tc>
        <w:tc>
          <w:tcPr>
            <w:tcW w:w="4876" w:type="dxa"/>
            <w:hideMark/>
          </w:tcPr>
          <w:p w:rsidR="001762D4" w:rsidRPr="00E73CE2" w:rsidRDefault="000C3E1A">
            <w:pPr>
              <w:pStyle w:val="Normal6"/>
              <w:rPr>
                <w:szCs w:val="24"/>
              </w:rPr>
            </w:pPr>
            <w:r>
              <w:rPr>
                <w:b/>
                <w:i/>
              </w:rPr>
              <w:t>Administratorzy wskaźników referencyjnych, którzy posiadali zezwolenie, byli zarejestrowani, zatwierdzeni lub uznani na dzień ... [Urząd Publikacji: proszę wstawić datę = datę rozpoczęcia stosowania niniejszego rozporządzenia zm</w:t>
            </w:r>
            <w:r>
              <w:rPr>
                <w:b/>
                <w:i/>
              </w:rPr>
              <w:t xml:space="preserve">ieniającego] r., </w:t>
            </w:r>
            <w:r>
              <w:rPr>
                <w:b/>
                <w:i/>
              </w:rPr>
              <w:lastRenderedPageBreak/>
              <w:t>zachowują ten status przez okres 12 miesięcy po rozpoczęciu stosowania niniejszego rozporządzenia zmieniającego.</w:t>
            </w:r>
            <w:r>
              <w:t xml:space="preserve"> </w:t>
            </w:r>
            <w:r>
              <w:rPr>
                <w:b/>
                <w:i/>
              </w:rPr>
              <w:t>Jeżeli ich wskaźnik referencyjny lub wskaźniki referencyjne zostają wyznaczone do ... [w ciągu 12 miesięcy od daty rozpoczęcia</w:t>
            </w:r>
            <w:r>
              <w:rPr>
                <w:b/>
                <w:i/>
              </w:rPr>
              <w:t xml:space="preserve"> stosowania niniejszego rozporządzenia zmieniającego], wyznaczeni administratorzy nie są zobowiązani do ponownego wystąpienia z wnioskiem o udzielenie zezwolenia, o rejestrację, uznanie lub zatwierdzenie zgodnie z art. 24a ust. 1, 2 lub 3, stosownie do prz</w:t>
            </w:r>
            <w:r>
              <w:rPr>
                <w:b/>
                <w:i/>
              </w:rPr>
              <w:t>ypadku.</w:t>
            </w:r>
          </w:p>
        </w:tc>
      </w:tr>
      <w:tr w:rsidR="00F707A5" w:rsidTr="001762D4">
        <w:trPr>
          <w:jc w:val="center"/>
        </w:trPr>
        <w:tc>
          <w:tcPr>
            <w:tcW w:w="4876" w:type="dxa"/>
          </w:tcPr>
          <w:p w:rsidR="001762D4" w:rsidRPr="003534BF" w:rsidRDefault="001762D4">
            <w:pPr>
              <w:pStyle w:val="Normal6"/>
            </w:pPr>
          </w:p>
        </w:tc>
        <w:tc>
          <w:tcPr>
            <w:tcW w:w="4876" w:type="dxa"/>
            <w:hideMark/>
          </w:tcPr>
          <w:p w:rsidR="001762D4" w:rsidRPr="00E73CE2" w:rsidRDefault="000C3E1A">
            <w:pPr>
              <w:pStyle w:val="Normal6"/>
              <w:rPr>
                <w:szCs w:val="24"/>
              </w:rPr>
            </w:pPr>
            <w:r>
              <w:rPr>
                <w:b/>
                <w:i/>
              </w:rPr>
              <w:t xml:space="preserve">Administratorzy istotnych wskaźników referencyjnych, którzy posiadali zezwolenie, byli zarejestrowani, zatwierdzeni lub uznani na dzień … [Urząd Publikacji: proszę wstawić datę = datę rozpoczęcia stosowania niniejszego rozporządzenia </w:t>
            </w:r>
            <w:r>
              <w:rPr>
                <w:b/>
                <w:i/>
              </w:rPr>
              <w:t>zmieniającego] r., nie są zobowiązani do ponownego wystąpienia z wnioskiem o udzielenie zezwolenia, o rejestrację, uznanie lub zatwierdzenie zgodnie z art. 24a ust. 1, jeżeli ich wskaźnik referencyjny lub wskaźniki referencyjne są istotne w rozumieniu art.</w:t>
            </w:r>
            <w:r>
              <w:rPr>
                <w:b/>
                <w:i/>
              </w:rPr>
              <w:t> 24 ust. 1 lit. a).</w:t>
            </w:r>
          </w:p>
        </w:tc>
      </w:tr>
    </w:tbl>
    <w:p w:rsidR="001762D4" w:rsidRPr="003534BF" w:rsidRDefault="000C3E1A" w:rsidP="001762D4">
      <w:pPr>
        <w:pStyle w:val="Olang"/>
      </w:pPr>
      <w:r w:rsidRPr="003534BF">
        <w:rPr>
          <w:noProof w:val="0"/>
        </w:rPr>
        <w:t xml:space="preserve">Or. </w:t>
      </w:r>
      <w:r w:rsidRPr="003534BF">
        <w:rPr>
          <w:rStyle w:val="HideTWBExt"/>
          <w:noProof w:val="0"/>
        </w:rPr>
        <w:t>&lt;Original&gt;</w:t>
      </w:r>
      <w:r w:rsidRPr="003534BF">
        <w:rPr>
          <w:rStyle w:val="HideTWBInt"/>
          <w:noProof w:val="0"/>
        </w:rPr>
        <w:t>{EN}</w:t>
      </w:r>
      <w:r w:rsidRPr="003534BF">
        <w:rPr>
          <w:noProof w:val="0"/>
        </w:rPr>
        <w:t>en</w:t>
      </w:r>
      <w:r w:rsidRPr="003534BF">
        <w:rPr>
          <w:rStyle w:val="HideTWBExt"/>
          <w:noProof w:val="0"/>
        </w:rPr>
        <w:t>&lt;/Original&gt;</w:t>
      </w:r>
    </w:p>
    <w:p w:rsidR="001762D4" w:rsidRPr="00E73CE2" w:rsidRDefault="000C3E1A" w:rsidP="001762D4">
      <w:pPr>
        <w:pStyle w:val="JustificationTitle"/>
        <w:rPr>
          <w:noProof w:val="0"/>
        </w:rPr>
      </w:pPr>
      <w:r w:rsidRPr="003534BF">
        <w:rPr>
          <w:rStyle w:val="HideTWBExt"/>
          <w:i w:val="0"/>
        </w:rPr>
        <w:t>&lt;TitreJust&gt;</w:t>
      </w:r>
      <w:r>
        <w:t>Uzasadnienie</w:t>
      </w:r>
      <w:r w:rsidRPr="003534BF">
        <w:rPr>
          <w:rStyle w:val="HideTWBExt"/>
          <w:i w:val="0"/>
        </w:rPr>
        <w:t>&lt;/TitreJust&gt;</w:t>
      </w:r>
    </w:p>
    <w:p w:rsidR="001762D4" w:rsidRPr="00E73CE2" w:rsidRDefault="000C3E1A" w:rsidP="001762D4">
      <w:pPr>
        <w:pStyle w:val="Normal12Italic"/>
        <w:rPr>
          <w:noProof w:val="0"/>
        </w:rPr>
      </w:pPr>
      <w:r>
        <w:t>Wymaganie od obecnych administratorów ponownego składania wniosków mogłoby skutkować zbędnymi obciążeniami i kosztami administracyjnymi. Umożliwienie im dalszego dział</w:t>
      </w:r>
      <w:r>
        <w:t>ania na podstawie zmienionego rozporządzenia o wskaźnikach referencyjnych pozwala uniknąć takiej nieefektywności.</w:t>
      </w:r>
    </w:p>
    <w:p w:rsidR="001762D4" w:rsidRPr="003534BF" w:rsidRDefault="000C3E1A" w:rsidP="001762D4">
      <w:pPr>
        <w:rPr>
          <w:lang w:val="en-GB"/>
        </w:rPr>
      </w:pPr>
      <w:r w:rsidRPr="003534BF">
        <w:rPr>
          <w:rStyle w:val="HideTWBExt"/>
          <w:lang w:val="en-GB"/>
        </w:rPr>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133</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&lt;RepeatBlock-By&gt;&lt;Members&gt;</w:t>
      </w:r>
      <w:r w:rsidRPr="003534BF">
        <w:rPr>
          <w:lang w:val="en-GB"/>
        </w:rPr>
        <w:t>Dorien Rookmaker</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w:t>
      </w:r>
      <w:r>
        <w:t xml:space="preserve">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21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51 – ustęp 4c</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Tekst 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4c.</w:t>
            </w:r>
            <w:r>
              <w:tab/>
            </w:r>
            <w:r>
              <w:t xml:space="preserve">Właściwe organy i ESMA zapewniają, aby administratorzy wskaźników referencyjnych, którzy posiadali zezwolenie, byli zarejestrowani, zatwierdzeni lub uznani </w:t>
            </w:r>
            <w:r>
              <w:rPr>
                <w:b/>
                <w:i/>
              </w:rPr>
              <w:t>na dzień</w:t>
            </w:r>
            <w:r>
              <w:t xml:space="preserve"> [Urząd Publikacji: proszę wstawić datę = datę rozpoczęcia stosowania niniejszego rozporządz</w:t>
            </w:r>
            <w:r>
              <w:t xml:space="preserve">enia zmieniającego] r., </w:t>
            </w:r>
            <w:r>
              <w:rPr>
                <w:b/>
                <w:i/>
              </w:rPr>
              <w:t>mogli</w:t>
            </w:r>
            <w:r>
              <w:t xml:space="preserve"> korzystać z procedury uproszczonej, jeżeli występują z wnioskiem o udzielenie zezwolenia, o rejestrację, uznanie lub zatwierdzenie zgodnie z art. 24a ust. 1, 2 lub 3, stosownie do przypadku, do dnia ... [Urząd Publikacji: pros</w:t>
            </w:r>
            <w:r>
              <w:t>zę wstawić datę = datę rozpoczęcia stosowania niniejszego rozporządzenia zmieniającego + dwa lata] r.”.</w:t>
            </w:r>
          </w:p>
        </w:tc>
        <w:tc>
          <w:tcPr>
            <w:tcW w:w="4876" w:type="dxa"/>
            <w:hideMark/>
          </w:tcPr>
          <w:p w:rsidR="001762D4" w:rsidRPr="00E73CE2" w:rsidRDefault="000C3E1A" w:rsidP="00F70312">
            <w:pPr>
              <w:pStyle w:val="Normal6"/>
              <w:rPr>
                <w:szCs w:val="24"/>
              </w:rPr>
            </w:pPr>
            <w:r>
              <w:t>4c.</w:t>
            </w:r>
            <w:r>
              <w:tab/>
              <w:t xml:space="preserve">Właściwe organy i ESMA zapewniają, aby </w:t>
            </w:r>
            <w:r>
              <w:rPr>
                <w:b/>
                <w:i/>
              </w:rPr>
              <w:t>administrator wskaźnika referencyjnego, który uzyskał zezwolenie, został zarejestrowany, zatwierdzony lub uzn</w:t>
            </w:r>
            <w:r>
              <w:rPr>
                <w:b/>
                <w:i/>
              </w:rPr>
              <w:t>any przez właściwy organ na mocy niniejszego rozporządzenia przed dniem [Urząd Publikacji: proszę wstawić datę = datę rozpoczęcia stosowania niniejszego rozporządzenia zmieniającego] r., zachował taki status na mocy niniejszego rozporządzenia, jeżeli co na</w:t>
            </w:r>
            <w:r>
              <w:rPr>
                <w:b/>
                <w:i/>
              </w:rPr>
              <w:t>jmniej jeden wskaźnik referencyjny tego administratora przekracza próg istotnego wskaźnika referencyjnego, o którym mowa w art. 24, lub taki administrator dobrowolnie zdecyduje się utrzymać takie zezwolenie, rejestrację, zatwierdzenie lub uznanie na mocy n</w:t>
            </w:r>
            <w:r>
              <w:rPr>
                <w:b/>
                <w:i/>
              </w:rPr>
              <w:t xml:space="preserve">iniejszego rozporządzenia. </w:t>
            </w:r>
            <w:r>
              <w:t xml:space="preserve">Administratorzy wskaźników referencyjnych, którzy posiadali zezwolenie, byli zarejestrowani, zatwierdzeni lub uznani </w:t>
            </w:r>
            <w:r>
              <w:rPr>
                <w:b/>
                <w:i/>
              </w:rPr>
              <w:t>przed dniem</w:t>
            </w:r>
            <w:r>
              <w:t xml:space="preserve"> [Urząd Publikacji: proszę wstawić datę = datę rozpoczęcia stosowania niniejszego rozporządzenia zmie</w:t>
            </w:r>
            <w:r>
              <w:t>niającego] r.</w:t>
            </w:r>
            <w:r>
              <w:rPr>
                <w:b/>
                <w:i/>
              </w:rPr>
              <w:t xml:space="preserve"> i którzy administrują co najmniej jednym wskaźnikiem referencyjnym przekraczającym próg istotnego wskaźnika referencyjnego</w:t>
            </w:r>
            <w:r>
              <w:t xml:space="preserve">, </w:t>
            </w:r>
            <w:r>
              <w:rPr>
                <w:b/>
                <w:i/>
              </w:rPr>
              <w:t>o którym mowa w art. 24 lub dobrowolnie zdecydują się utrzymać takie zezwolenie, rejestrację, zatwierdzenie lub uznani</w:t>
            </w:r>
            <w:r>
              <w:rPr>
                <w:b/>
                <w:i/>
              </w:rPr>
              <w:t>e na mocy niniejszego rozporządzenia, biorąc pod uwagę jego zmieniony zakres, mogą</w:t>
            </w:r>
            <w:r>
              <w:t xml:space="preserve"> korzystać z procedury uproszczonej, jeżeli występują z wnioskiem o udzielenie zezwolenia, o rejestrację, uznanie lub zatwierdzenie zgodnie z art. 24a ust. 1, 2 lub 3, stosow</w:t>
            </w:r>
            <w:r>
              <w:t>nie do przypadku, do dnia ... [Urząd Publikacji: proszę wstawić datę = datę rozpoczęcia stosowania niniejszego rozporządzenia zmieniającego + dwa lata] r.”.</w:t>
            </w:r>
          </w:p>
        </w:tc>
      </w:tr>
    </w:tbl>
    <w:p w:rsidR="001762D4" w:rsidRPr="00E73CE2" w:rsidRDefault="000C3E1A" w:rsidP="001762D4">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1762D4" w:rsidRPr="003534BF" w:rsidRDefault="000C3E1A" w:rsidP="001762D4">
      <w:pPr>
        <w:rPr>
          <w:lang w:val="en-GB"/>
        </w:rPr>
      </w:pPr>
      <w:r w:rsidRPr="003534BF">
        <w:rPr>
          <w:rStyle w:val="HideTWBExt"/>
          <w:lang w:val="en-GB"/>
        </w:rPr>
        <w:lastRenderedPageBreak/>
        <w:t>&lt;/Amend&gt;</w:t>
      </w:r>
    </w:p>
    <w:p w:rsidR="001762D4" w:rsidRPr="003534BF" w:rsidRDefault="000C3E1A" w:rsidP="001762D4">
      <w:pPr>
        <w:pStyle w:val="AMNumberTabs0"/>
        <w:keepNext/>
        <w:rPr>
          <w:lang w:val="en-GB"/>
        </w:rPr>
      </w:pPr>
      <w:r>
        <w:rPr>
          <w:rStyle w:val="HideTWBExt"/>
          <w:b w:val="0"/>
          <w:lang w:val="en-GB"/>
        </w:rPr>
        <w:t>&lt;Amend&gt;</w:t>
      </w:r>
      <w:r w:rsidRPr="003534BF">
        <w:rPr>
          <w:lang w:val="en-GB"/>
        </w:rPr>
        <w:t>Poprawka</w:t>
      </w:r>
      <w:r w:rsidRPr="003534BF">
        <w:rPr>
          <w:lang w:val="en-GB"/>
        </w:rPr>
        <w:tab/>
      </w:r>
      <w:r w:rsidRPr="003534BF">
        <w:rPr>
          <w:lang w:val="en-GB"/>
        </w:rPr>
        <w:tab/>
      </w:r>
      <w:r>
        <w:rPr>
          <w:rStyle w:val="HideTWBExt"/>
          <w:b w:val="0"/>
          <w:lang w:val="en-GB"/>
        </w:rPr>
        <w:t>&lt;NumAm&gt;</w:t>
      </w:r>
      <w:r w:rsidRPr="003534BF">
        <w:rPr>
          <w:lang w:val="en-GB"/>
        </w:rPr>
        <w:t>134</w:t>
      </w:r>
      <w:r>
        <w:rPr>
          <w:rStyle w:val="HideTWBExt"/>
          <w:b w:val="0"/>
          <w:lang w:val="en-GB"/>
        </w:rPr>
        <w:t>&lt;/NumAm&gt;</w:t>
      </w:r>
    </w:p>
    <w:p w:rsidR="001762D4" w:rsidRPr="003534BF" w:rsidRDefault="000C3E1A" w:rsidP="001762D4">
      <w:pPr>
        <w:pStyle w:val="NormalBold"/>
        <w:rPr>
          <w:lang w:val="en-GB"/>
        </w:rPr>
      </w:pPr>
      <w:r w:rsidRPr="003534BF">
        <w:rPr>
          <w:rStyle w:val="HideTWBExt"/>
          <w:b w:val="0"/>
          <w:lang w:val="en-GB"/>
        </w:rPr>
        <w:t>&lt;RepeatBlock-By&gt;&lt;Memb</w:t>
      </w:r>
      <w:r w:rsidRPr="003534BF">
        <w:rPr>
          <w:rStyle w:val="HideTWBExt"/>
          <w:b w:val="0"/>
          <w:lang w:val="en-GB"/>
        </w:rPr>
        <w:t>ers&gt;</w:t>
      </w:r>
      <w:r w:rsidRPr="003534BF">
        <w:rPr>
          <w:lang w:val="en-GB"/>
        </w:rPr>
        <w:t>Inese Vaidere</w:t>
      </w:r>
      <w:r w:rsidRPr="003534BF">
        <w:rPr>
          <w:rStyle w:val="HideTWBExt"/>
          <w:b w:val="0"/>
          <w:lang w:val="en-GB"/>
        </w:rPr>
        <w:t>&lt;/Members&gt;</w:t>
      </w:r>
    </w:p>
    <w:p w:rsidR="001762D4" w:rsidRPr="00E73CE2" w:rsidRDefault="000C3E1A" w:rsidP="001762D4">
      <w:r>
        <w:rPr>
          <w:rStyle w:val="HideTWBExt"/>
        </w:rPr>
        <w:t>&lt;/RepeatBlock-By&gt;</w:t>
      </w:r>
    </w:p>
    <w:p w:rsidR="001762D4" w:rsidRPr="00E73CE2" w:rsidRDefault="000C3E1A" w:rsidP="001762D4">
      <w:pPr>
        <w:pStyle w:val="NormalBold"/>
        <w:keepNext/>
      </w:pPr>
      <w:r>
        <w:rPr>
          <w:rStyle w:val="HideTWBExt"/>
          <w:b w:val="0"/>
        </w:rPr>
        <w:t>&lt;DocAmend&gt;</w:t>
      </w:r>
      <w:r>
        <w:t>Wniosek dotyczący rozporządzenia</w:t>
      </w:r>
      <w:r>
        <w:rPr>
          <w:rStyle w:val="HideTWBExt"/>
          <w:b w:val="0"/>
        </w:rPr>
        <w:t>&lt;/DocAmend&gt;</w:t>
      </w:r>
    </w:p>
    <w:p w:rsidR="001762D4" w:rsidRPr="003534BF" w:rsidRDefault="000C3E1A" w:rsidP="001762D4">
      <w:pPr>
        <w:pStyle w:val="NormalBold"/>
        <w:rPr>
          <w:lang w:val="fr-FR"/>
        </w:rPr>
      </w:pPr>
      <w:r>
        <w:rPr>
          <w:rStyle w:val="HideTWBExt"/>
          <w:b w:val="0"/>
          <w:lang w:val="fr-FR"/>
        </w:rPr>
        <w:t>&lt;Article&gt;</w:t>
      </w:r>
      <w:r w:rsidRPr="003534BF">
        <w:rPr>
          <w:lang w:val="fr-FR"/>
        </w:rPr>
        <w:t>Artykuł 1 – akapit 1 – punkt 21</w:t>
      </w:r>
      <w:r>
        <w:rPr>
          <w:rStyle w:val="HideTWBExt"/>
          <w:b w:val="0"/>
          <w:lang w:val="fr-FR"/>
        </w:rPr>
        <w:t>&lt;/Article&gt;</w:t>
      </w:r>
    </w:p>
    <w:p w:rsidR="001762D4" w:rsidRPr="00E73CE2" w:rsidRDefault="000C3E1A" w:rsidP="001762D4">
      <w:pPr>
        <w:keepNext/>
      </w:pPr>
      <w:r w:rsidRPr="003534BF">
        <w:rPr>
          <w:rStyle w:val="HideTWBExt"/>
        </w:rPr>
        <w:t>&lt;DocAmend2&gt;</w:t>
      </w:r>
      <w:r>
        <w:t>Rozporządzenie (UE) 2016/1011</w:t>
      </w:r>
      <w:r w:rsidRPr="003534BF">
        <w:rPr>
          <w:rStyle w:val="HideTWBExt"/>
        </w:rPr>
        <w:t>&lt;/DocAmend2&gt;</w:t>
      </w:r>
    </w:p>
    <w:p w:rsidR="001762D4" w:rsidRPr="00E73CE2" w:rsidRDefault="000C3E1A" w:rsidP="001762D4">
      <w:r w:rsidRPr="003534BF">
        <w:rPr>
          <w:rStyle w:val="HideTWBExt"/>
        </w:rPr>
        <w:t>&lt;Article2&gt;</w:t>
      </w:r>
      <w:r>
        <w:t>Artykuł 51 – ustęp 4c</w:t>
      </w:r>
      <w:r w:rsidRPr="0035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07A5" w:rsidTr="001762D4">
        <w:trPr>
          <w:jc w:val="center"/>
        </w:trPr>
        <w:tc>
          <w:tcPr>
            <w:tcW w:w="9752" w:type="dxa"/>
            <w:gridSpan w:val="2"/>
          </w:tcPr>
          <w:p w:rsidR="001762D4" w:rsidRPr="003534BF" w:rsidRDefault="001762D4">
            <w:pPr>
              <w:keepNext/>
            </w:pPr>
          </w:p>
        </w:tc>
      </w:tr>
      <w:tr w:rsidR="00F707A5" w:rsidTr="001762D4">
        <w:trPr>
          <w:jc w:val="center"/>
        </w:trPr>
        <w:tc>
          <w:tcPr>
            <w:tcW w:w="4876" w:type="dxa"/>
            <w:hideMark/>
          </w:tcPr>
          <w:p w:rsidR="001762D4" w:rsidRPr="00E73CE2" w:rsidRDefault="000C3E1A">
            <w:pPr>
              <w:pStyle w:val="ColumnHeading"/>
              <w:keepNext/>
            </w:pPr>
            <w:r>
              <w:t xml:space="preserve">Tekst </w:t>
            </w:r>
            <w:r>
              <w:t>proponowany przez Komisję</w:t>
            </w:r>
          </w:p>
        </w:tc>
        <w:tc>
          <w:tcPr>
            <w:tcW w:w="4876" w:type="dxa"/>
            <w:hideMark/>
          </w:tcPr>
          <w:p w:rsidR="001762D4" w:rsidRPr="00E73CE2" w:rsidRDefault="000C3E1A">
            <w:pPr>
              <w:pStyle w:val="ColumnHeading"/>
              <w:keepNext/>
            </w:pPr>
            <w:r>
              <w:t>Poprawka</w:t>
            </w:r>
          </w:p>
        </w:tc>
      </w:tr>
      <w:tr w:rsidR="00F707A5" w:rsidTr="001762D4">
        <w:trPr>
          <w:jc w:val="center"/>
        </w:trPr>
        <w:tc>
          <w:tcPr>
            <w:tcW w:w="4876" w:type="dxa"/>
            <w:hideMark/>
          </w:tcPr>
          <w:p w:rsidR="001762D4" w:rsidRPr="00E73CE2" w:rsidRDefault="000C3E1A">
            <w:pPr>
              <w:pStyle w:val="Normal6"/>
            </w:pPr>
            <w:r>
              <w:t>4c.</w:t>
            </w:r>
            <w:r>
              <w:tab/>
              <w:t xml:space="preserve">Właściwe organy i ESMA zapewniają, aby administratorzy wskaźników referencyjnych, którzy </w:t>
            </w:r>
            <w:r>
              <w:rPr>
                <w:b/>
                <w:i/>
              </w:rPr>
              <w:t>posiadali zezwolenie, byli</w:t>
            </w:r>
            <w:r>
              <w:t xml:space="preserve"> zarejestrowani, zatwierdzeni lub uznani na dzień [Urząd Publikacji: proszę wstawić datę = datę rozpo</w:t>
            </w:r>
            <w:r>
              <w:t>częcia stosowania niniejszego rozporządzenia zmieniającego] r., mogli korzystać z procedury uproszczonej, jeżeli występują z wnioskiem o udzielenie zezwolenia, o rejestrację, uznanie lub zatwierdzenie zgodnie z art. 24a ust. 1, 2 lub 3, stosownie do przypa</w:t>
            </w:r>
            <w:r>
              <w:t>dku, do dnia ... [Urząd Publikacji: proszę wstawić datę = datę rozpoczęcia stosowania niniejszego rozporządzenia zmieniającego + dwa lata] r.”.</w:t>
            </w:r>
          </w:p>
        </w:tc>
        <w:tc>
          <w:tcPr>
            <w:tcW w:w="4876" w:type="dxa"/>
            <w:hideMark/>
          </w:tcPr>
          <w:p w:rsidR="001762D4" w:rsidRPr="00E73CE2" w:rsidRDefault="000C3E1A">
            <w:pPr>
              <w:pStyle w:val="Normal6"/>
              <w:rPr>
                <w:szCs w:val="24"/>
              </w:rPr>
            </w:pPr>
            <w:r>
              <w:t>4c.</w:t>
            </w:r>
            <w:r>
              <w:tab/>
              <w:t xml:space="preserve">Właściwe organy i ESMA zapewniają, aby administratorzy wskaźników referencyjnych, którzy </w:t>
            </w:r>
            <w:r>
              <w:rPr>
                <w:b/>
                <w:i/>
              </w:rPr>
              <w:t xml:space="preserve">w wyniku wejścia w </w:t>
            </w:r>
            <w:r>
              <w:rPr>
                <w:b/>
                <w:i/>
              </w:rPr>
              <w:t>życie [niniejszego rozporządzenia zmieniającego] nie będą już</w:t>
            </w:r>
            <w:r>
              <w:t xml:space="preserve"> zarejestrowani, zatwierdzeni lub uznani na dzień [Urząd Publikacji: proszę wstawić datę = datę rozpoczęcia stosowania niniejszego rozporządzenia zmieniającego] r., mogli korzystać z procedury up</w:t>
            </w:r>
            <w:r>
              <w:t>roszczonej, jeżeli występują z wnioskiem o udzielenie zezwolenia, o rejestrację, uznanie lub zatwierdzenie zgodnie z art. 24a ust. 1, 2 lub 3, stosownie do przypadku, do dnia ... [Urząd Publikacji: proszę wstawić datę = datę rozpoczęcia stosowania niniejsz</w:t>
            </w:r>
            <w:r>
              <w:t>ego rozporządzenia zmieniającego + dwa lata] r.”.</w:t>
            </w:r>
          </w:p>
        </w:tc>
      </w:tr>
    </w:tbl>
    <w:p w:rsidR="000C3E1A" w:rsidRPr="00E73CE2" w:rsidRDefault="000C3E1A" w:rsidP="000C3E1A">
      <w:pPr>
        <w:pStyle w:val="Olang"/>
        <w:rPr>
          <w:lang w:val="en-GB"/>
        </w:rPr>
      </w:pPr>
      <w:r w:rsidRPr="00E73CE2">
        <w:rPr>
          <w:noProof w:val="0"/>
          <w:lang w:val="en-GB"/>
        </w:rPr>
        <w:t xml:space="preserve">Or. </w:t>
      </w:r>
      <w:r w:rsidRPr="00E73CE2">
        <w:rPr>
          <w:rStyle w:val="HideTWBExt"/>
          <w:noProof w:val="0"/>
          <w:lang w:val="en-GB"/>
        </w:rPr>
        <w:t>&lt;Original&gt;</w:t>
      </w:r>
      <w:r w:rsidRPr="00E73CE2">
        <w:rPr>
          <w:rStyle w:val="HideTWBInt"/>
          <w:noProof w:val="0"/>
          <w:lang w:val="en-GB"/>
        </w:rPr>
        <w:t>{EN}</w:t>
      </w:r>
      <w:r w:rsidRPr="00E73CE2">
        <w:rPr>
          <w:noProof w:val="0"/>
          <w:lang w:val="en-GB"/>
        </w:rPr>
        <w:t>en</w:t>
      </w:r>
      <w:r w:rsidRPr="00E73CE2">
        <w:rPr>
          <w:rStyle w:val="HideTWBExt"/>
          <w:noProof w:val="0"/>
          <w:lang w:val="en-GB"/>
        </w:rPr>
        <w:t>&lt;/Original&gt;</w:t>
      </w:r>
    </w:p>
    <w:p w:rsidR="000C3E1A" w:rsidRDefault="000C3E1A" w:rsidP="001762D4">
      <w:pPr>
        <w:pStyle w:val="Olang"/>
        <w:rPr>
          <w:noProof w:val="0"/>
          <w:lang w:val="en-GB"/>
        </w:rPr>
      </w:pPr>
    </w:p>
    <w:p w:rsidR="000C3E1A" w:rsidRPr="00731C9D" w:rsidRDefault="000C3E1A" w:rsidP="000C3E1A">
      <w:pPr>
        <w:pStyle w:val="AmNumberTabs"/>
        <w:keepNext/>
      </w:pPr>
      <w:r w:rsidRPr="00731C9D">
        <w:rPr>
          <w:rStyle w:val="HideTWBExt"/>
        </w:rPr>
        <w:t>&lt;/Amend&gt;&lt;/RepeatBlock-Amend&gt;</w:t>
      </w:r>
      <w:bookmarkStart w:id="2" w:name="_GoBack"/>
      <w:bookmarkEnd w:id="2"/>
    </w:p>
    <w:sectPr w:rsidR="000C3E1A" w:rsidRPr="00731C9D" w:rsidSect="003534B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C3E1A">
      <w:r>
        <w:separator/>
      </w:r>
    </w:p>
  </w:endnote>
  <w:endnote w:type="continuationSeparator" w:id="0">
    <w:p w:rsidR="00000000" w:rsidRDefault="000C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BF" w:rsidRDefault="003534BF" w:rsidP="003534BF">
    <w:pPr>
      <w:pStyle w:val="EPFooter"/>
    </w:pPr>
    <w:r>
      <w:t>PE</w:t>
    </w:r>
    <w:r w:rsidRPr="003534BF">
      <w:rPr>
        <w:rStyle w:val="HideTWBExt"/>
      </w:rPr>
      <w:t>&lt;NoPE&gt;</w:t>
    </w:r>
    <w:r>
      <w:t>758.780</w:t>
    </w:r>
    <w:r w:rsidRPr="003534BF">
      <w:rPr>
        <w:rStyle w:val="HideTWBExt"/>
      </w:rPr>
      <w:t>&lt;/NoPE&gt;&lt;Version&gt;</w:t>
    </w:r>
    <w:r>
      <w:t>v01-00</w:t>
    </w:r>
    <w:r w:rsidRPr="003534BF">
      <w:rPr>
        <w:rStyle w:val="HideTWBExt"/>
      </w:rPr>
      <w:t>&lt;/Version&gt;</w:t>
    </w:r>
    <w:r>
      <w:tab/>
    </w:r>
    <w:r>
      <w:fldChar w:fldCharType="begin"/>
    </w:r>
    <w:r>
      <w:instrText xml:space="preserve"> PAGE  \* MERGEFORMAT </w:instrText>
    </w:r>
    <w:r>
      <w:fldChar w:fldCharType="separate"/>
    </w:r>
    <w:r w:rsidR="000C3E1A">
      <w:rPr>
        <w:noProof/>
      </w:rPr>
      <w:t>48</w:t>
    </w:r>
    <w:r>
      <w:fldChar w:fldCharType="end"/>
    </w:r>
    <w:r>
      <w:t>/</w:t>
    </w:r>
    <w:fldSimple w:instr=" NUMPAGES  \* MERGEFORMAT ">
      <w:r w:rsidR="000C3E1A">
        <w:rPr>
          <w:noProof/>
        </w:rPr>
        <w:t>48</w:t>
      </w:r>
    </w:fldSimple>
    <w:r>
      <w:tab/>
    </w:r>
    <w:r w:rsidRPr="003534BF">
      <w:rPr>
        <w:rStyle w:val="HideTWBExt"/>
      </w:rPr>
      <w:t>&lt;PathFdR&gt;</w:t>
    </w:r>
    <w:r>
      <w:t>AM\1295538PL.docx</w:t>
    </w:r>
    <w:r w:rsidRPr="003534BF">
      <w:rPr>
        <w:rStyle w:val="HideTWBExt"/>
      </w:rPr>
      <w:t>&lt;/PathFdR&gt;</w:t>
    </w:r>
  </w:p>
  <w:p w:rsidR="00EC2D82" w:rsidRPr="00DD73C5" w:rsidRDefault="003534BF" w:rsidP="003534BF">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BF" w:rsidRDefault="003534BF" w:rsidP="003534BF">
    <w:pPr>
      <w:pStyle w:val="EPFooter"/>
    </w:pPr>
    <w:r w:rsidRPr="003534BF">
      <w:rPr>
        <w:rStyle w:val="HideTWBExt"/>
      </w:rPr>
      <w:t>&lt;PathFdR&gt;</w:t>
    </w:r>
    <w:r>
      <w:t>AM\1295538PL.docx</w:t>
    </w:r>
    <w:r w:rsidRPr="003534BF">
      <w:rPr>
        <w:rStyle w:val="HideTWBExt"/>
      </w:rPr>
      <w:t>&lt;/PathFdR&gt;</w:t>
    </w:r>
    <w:r>
      <w:tab/>
    </w:r>
    <w:r>
      <w:fldChar w:fldCharType="begin"/>
    </w:r>
    <w:r>
      <w:instrText xml:space="preserve"> PAGE  \* MERGEFORMAT </w:instrText>
    </w:r>
    <w:r>
      <w:fldChar w:fldCharType="separate"/>
    </w:r>
    <w:r w:rsidR="000C3E1A">
      <w:rPr>
        <w:noProof/>
      </w:rPr>
      <w:t>47</w:t>
    </w:r>
    <w:r>
      <w:fldChar w:fldCharType="end"/>
    </w:r>
    <w:r>
      <w:t>/</w:t>
    </w:r>
    <w:fldSimple w:instr=" NUMPAGES  \* MERGEFORMAT ">
      <w:r w:rsidR="000C3E1A">
        <w:rPr>
          <w:noProof/>
        </w:rPr>
        <w:t>48</w:t>
      </w:r>
    </w:fldSimple>
    <w:r>
      <w:tab/>
      <w:t>PE</w:t>
    </w:r>
    <w:r w:rsidRPr="003534BF">
      <w:rPr>
        <w:rStyle w:val="HideTWBExt"/>
      </w:rPr>
      <w:t>&lt;NoPE&gt;</w:t>
    </w:r>
    <w:r>
      <w:t>758.780</w:t>
    </w:r>
    <w:r w:rsidRPr="003534BF">
      <w:rPr>
        <w:rStyle w:val="HideTWBExt"/>
      </w:rPr>
      <w:t>&lt;/NoPE&gt;&lt;Version&gt;</w:t>
    </w:r>
    <w:r>
      <w:t>v01-00</w:t>
    </w:r>
    <w:r w:rsidRPr="003534BF">
      <w:rPr>
        <w:rStyle w:val="HideTWBExt"/>
      </w:rPr>
      <w:t>&lt;/Version&gt;</w:t>
    </w:r>
  </w:p>
  <w:p w:rsidR="00EC2D82" w:rsidRPr="00DD73C5" w:rsidRDefault="003534BF" w:rsidP="003534BF">
    <w:pPr>
      <w:pStyle w:val="EPFooter2"/>
    </w:pPr>
    <w:r>
      <w:tab/>
    </w:r>
    <w:r>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BF" w:rsidRDefault="003534BF" w:rsidP="003534BF">
    <w:pPr>
      <w:pStyle w:val="EPFooter"/>
    </w:pPr>
    <w:r w:rsidRPr="003534BF">
      <w:rPr>
        <w:rStyle w:val="HideTWBExt"/>
      </w:rPr>
      <w:t>&lt;PathFdR&gt;</w:t>
    </w:r>
    <w:r>
      <w:t>AM\1295538PL.docx</w:t>
    </w:r>
    <w:r w:rsidRPr="003534BF">
      <w:rPr>
        <w:rStyle w:val="HideTWBExt"/>
      </w:rPr>
      <w:t>&lt;/PathFdR&gt;</w:t>
    </w:r>
    <w:r>
      <w:tab/>
    </w:r>
    <w:r>
      <w:tab/>
      <w:t>PE</w:t>
    </w:r>
    <w:r w:rsidRPr="003534BF">
      <w:rPr>
        <w:rStyle w:val="HideTWBExt"/>
      </w:rPr>
      <w:t>&lt;NoPE&gt;</w:t>
    </w:r>
    <w:r>
      <w:t>758.780</w:t>
    </w:r>
    <w:r w:rsidRPr="003534BF">
      <w:rPr>
        <w:rStyle w:val="HideTWBExt"/>
      </w:rPr>
      <w:t>&lt;/NoPE&gt;&lt;Version&gt;</w:t>
    </w:r>
    <w:r>
      <w:t>v01-00</w:t>
    </w:r>
    <w:r w:rsidRPr="003534BF">
      <w:rPr>
        <w:rStyle w:val="HideTWBExt"/>
      </w:rPr>
      <w:t>&lt;/Version&gt;</w:t>
    </w:r>
  </w:p>
  <w:p w:rsidR="00EC2D82" w:rsidRPr="00DD73C5" w:rsidRDefault="003534BF" w:rsidP="003534BF">
    <w:pPr>
      <w:pStyle w:val="EPFooter2"/>
    </w:pPr>
    <w:r>
      <w:t>PL</w:t>
    </w:r>
    <w:r>
      <w:tab/>
    </w:r>
    <w:r w:rsidRPr="003534BF">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C3E1A">
      <w:r>
        <w:separator/>
      </w:r>
    </w:p>
  </w:footnote>
  <w:footnote w:type="continuationSeparator" w:id="0">
    <w:p w:rsidR="00000000" w:rsidRDefault="000C3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BF" w:rsidRDefault="00353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BF" w:rsidRDefault="003534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BF" w:rsidRDefault="00353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EN"/>
    <w:docVar w:name="TXTLANGUEMIN" w:val="en"/>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EN.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B0781"/>
    <w:rsid w:val="000B3BE8"/>
    <w:rsid w:val="000C3E1A"/>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6619"/>
    <w:rsid w:val="002574CB"/>
    <w:rsid w:val="00257823"/>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534BF"/>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95E20"/>
    <w:rsid w:val="004E0AAC"/>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D4294"/>
    <w:rsid w:val="008D6D06"/>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707A5"/>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5853B"/>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pl-PL"/>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48</Pages>
  <Words>9372</Words>
  <Characters>63474</Characters>
  <Application>Microsoft Office Word</Application>
  <DocSecurity>0</DocSecurity>
  <Lines>2454</Lines>
  <Paragraphs>768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SUCIU Monica-Elena</dc:creator>
  <cp:lastModifiedBy>KOSYCARZ Kinga</cp:lastModifiedBy>
  <cp:revision>2</cp:revision>
  <cp:lastPrinted>2007-06-22T14:02:00Z</cp:lastPrinted>
  <dcterms:created xsi:type="dcterms:W3CDTF">2024-02-15T09:08:00Z</dcterms:created>
  <dcterms:modified xsi:type="dcterms:W3CDTF">2024-02-15T09:08:00Z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NOK(PBTAG) - 2024/02/01 15:22</vt:lpwstr>
  </property>
  <property fmtid="{D5CDD505-2E9C-101B-9397-08002B2CF9AE}" pid="9" name="Created with">
    <vt:lpwstr>9.17.1 Build [20240101]</vt:lpwstr>
  </property>
  <property fmtid="{D5CDD505-2E9C-101B-9397-08002B2CF9AE}" pid="10" name="FooterPath">
    <vt:lpwstr>AM\1295538EN.docx</vt:lpwstr>
  </property>
  <property fmtid="{D5CDD505-2E9C-101B-9397-08002B2CF9AE}" pid="11" name="LastEdited with">
    <vt:lpwstr>9.17.1 Build [20240110]</vt:lpwstr>
  </property>
  <property fmtid="{D5CDD505-2E9C-101B-9397-08002B2CF9AE}" pid="12" name="PE number">
    <vt:lpwstr>758.780</vt:lpwstr>
  </property>
  <property fmtid="{D5CDD505-2E9C-101B-9397-08002B2CF9AE}" pid="13" name="SDLStudio">
    <vt:lpwstr/>
  </property>
  <property fmtid="{D5CDD505-2E9C-101B-9397-08002B2CF9AE}" pid="14" name="SendToEpades">
    <vt:lpwstr>OK(AMNUM) - 2024/02/01 12:14</vt:lpwstr>
  </property>
  <property fmtid="{D5CDD505-2E9C-101B-9397-08002B2CF9AE}" pid="15" name="Bookout">
    <vt:lpwstr>OK - 2024/02/15 10:08</vt:lpwstr>
  </property>
</Properties>
</file>