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Evropský parlament</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Hospodářský a měnový výbor</w:t>
      </w:r>
      <w:r>
        <w:rPr>
          <w:rStyle w:val="HideTWBExt"/>
        </w:rPr>
        <w:t>&lt;/Commission&gt;</w:t>
      </w:r>
    </w:p>
    <w:p>
      <w:pPr>
        <w:pStyle w:val="LineBottom"/>
      </w:pPr>
      <w:r>
        <w:t xml:space="preserve"> </w:t>
      </w:r>
    </w:p>
    <w:p>
      <w:pPr>
        <w:pStyle w:val="CoverReference"/>
      </w:pPr>
      <w:r>
        <w:rPr>
          <w:rStyle w:val="HideTWBExt"/>
        </w:rPr>
        <w:t>&lt;RefProc&gt;</w:t>
      </w:r>
      <w:r>
        <w:t>2023/0205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{02/02/2024}</w:t>
      </w:r>
      <w:r>
        <w:t>2.2.2024</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156</w:t>
      </w:r>
      <w:r>
        <w:t xml:space="preserve"> - </w:t>
      </w:r>
      <w:r>
        <w:t>364</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Michiel Hoogeveen</w:t>
      </w:r>
      <w:r>
        <w:rPr>
          <w:rStyle w:val="HideTWBExt"/>
        </w:rPr>
        <w:t>&lt;/Rapporteur&gt;</w:t>
      </w:r>
    </w:p>
    <w:p>
      <w:pPr>
        <w:pStyle w:val="CoverNormal24a"/>
      </w:pPr>
      <w:r>
        <w:rPr>
          <w:rStyle w:val="HideTWBExt"/>
        </w:rPr>
        <w:t>&lt;DocRefPE&gt;</w:t>
      </w:r>
      <w:r>
        <w:t>(PE757.355v01-00)</w:t>
      </w:r>
      <w:r>
        <w:rPr>
          <w:rStyle w:val="HideTWBExt"/>
        </w:rPr>
        <w:t>&lt;/DocRefPE&gt;</w:t>
      </w:r>
    </w:p>
    <w:p>
      <w:pPr>
        <w:pStyle w:val="CoverNormal24a"/>
      </w:pPr>
      <w:r>
        <w:rPr>
          <w:rStyle w:val="HideTWBExt"/>
        </w:rPr>
        <w:t>&lt;Titre&gt;</w:t>
      </w:r>
      <w:r>
        <w:t>Rámec pro přístup k finančním údajům a o změně nařízení (EU) č. 1093/2010, (EU) č. 1094/2010, (EU) č. 1095/2010 a (EU) 2022/2554</w:t>
      </w:r>
      <w:r>
        <w:rPr>
          <w:rStyle w:val="HideTWBExt"/>
        </w:rPr>
        <w:t>&lt;/Titre&gt;</w:t>
      </w:r>
    </w:p>
    <w:p>
      <w:pPr>
        <w:pStyle w:val="CoverNormal"/>
      </w:pPr>
      <w:r>
        <w:rPr>
          <w:rStyle w:val="HideTWBExt"/>
        </w:rPr>
        <w:t>&lt;DocAmend&gt;</w:t>
      </w:r>
      <w:r>
        <w:t>Návrh nařízení</w:t>
      </w:r>
      <w:r>
        <w:rPr>
          <w:rStyle w:val="HideTWBExt"/>
        </w:rPr>
        <w:t>&lt;/DocAmend&gt;</w:t>
      </w:r>
    </w:p>
    <w:p>
      <w:pPr>
        <w:pStyle w:val="CoverNormal24a"/>
      </w:pPr>
      <w:r>
        <w:rPr>
          <w:rStyle w:val="HideTWBExt"/>
        </w:rPr>
        <w:t>&lt;DocRef&gt;</w:t>
      </w:r>
      <w:r>
        <w:t>(COM(2023)0360 – C9-0215/2023 – 2023/0205(COD))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156</w:t>
      </w:r>
      <w:r>
        <w:rPr>
          <w:rStyle w:val="HideTWBExt"/>
        </w:rPr>
        <w:t>&lt;/NumAm&gt;</w:t>
      </w:r>
    </w:p>
    <w:p>
      <w:pPr>
        <w:pStyle w:val="NormalBold"/>
      </w:pPr>
      <w:r>
        <w:rPr>
          <w:rStyle w:val="HideTWBExt"/>
        </w:rPr>
        <w:t>&lt;RepeatBlock-By&gt;</w:t>
      </w:r>
      <w:r>
        <w:rPr>
          <w:rStyle w:val="HideTWBExt"/>
        </w:rPr>
        <w:t>&lt;Members&gt;</w:t>
      </w:r>
      <w:r>
        <w:t>Ondřej Kovařík, Martin Hlaváček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Odpovědná datová ekonomika, která se opírá o vytváření a využívání dat, je nedílnou součástí vnitřního trhu Unie a může přinést výhody jak občanům Unie, tak i celému hospodářství Digitální technologie založené na datech jsou stále častěji hnací silou změn na finančních trzích, protože vytvářejí nové obchodní modely, produkty a způsoby, jak mohou firmy vstupovat do interakce se zákazníky.</w:t>
            </w:r>
          </w:p>
        </w:tc>
        <w:tc>
          <w:tcPr>
            <w:tcW w:w="4876" w:type="dxa"/>
          </w:tcPr>
          <w:p>
            <w:pPr>
              <w:pStyle w:val="Normal6a"/>
            </w:pPr>
            <w:r>
              <w:t>(1)</w:t>
            </w:r>
            <w:r>
              <w:tab/>
            </w:r>
            <w:r>
              <w:t xml:space="preserve">Odpovědná datová ekonomika, která se opírá o vytváření a využívání dat, je nedílnou součástí vnitřního trhu Unie a může přinést výhody jak občanům Unie, tak i celému hospodářství Digitální technologie založené na datech jsou stále častěji hnací silou změn na finančních trzích, protože </w:t>
            </w:r>
            <w:r>
              <w:rPr>
                <w:b/>
                <w:i/>
              </w:rPr>
              <w:t>vedou k inovacím,</w:t>
            </w:r>
            <w:r>
              <w:t xml:space="preserve"> vytvářejí nové obchodní modely, produkty a způsoby, jak mohou firmy vstupovat do interakce se zákazníky.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Unie deklarovala v rámci své politiky zájem na tom, aby zákazníci finančních institucí měli ke svým finančním údajům přístup. Komise ve svém sdělení o strategii v oblasti digitálních financí a sdělení o unii kapitálových trhů přijatém v roce 2021 potvrdila záměr zavést rámec pro přístup k finančním údajům, aby mohli zákazníci využívat výhod </w:t>
            </w:r>
            <w:r>
              <w:rPr>
                <w:b/>
                <w:i/>
              </w:rPr>
              <w:t>sdílení</w:t>
            </w:r>
            <w:r>
              <w:t xml:space="preserve"> údajů ve finančním sektoru. Mezi tyto výhody patří vývoj a poskytování finančních produktů a finančních služeb založených na datech, což je možné díky </w:t>
            </w:r>
            <w:r>
              <w:rPr>
                <w:b/>
                <w:i/>
              </w:rPr>
              <w:t>sdílení</w:t>
            </w:r>
            <w:r>
              <w:t xml:space="preserve"> zákaznických údajů.</w:t>
            </w:r>
          </w:p>
        </w:tc>
        <w:tc>
          <w:tcPr>
            <w:tcW w:w="4876" w:type="dxa"/>
          </w:tcPr>
          <w:p>
            <w:pPr>
              <w:pStyle w:val="Normal6a"/>
            </w:pPr>
            <w:r>
              <w:t>(3)</w:t>
            </w:r>
            <w:r>
              <w:tab/>
            </w:r>
            <w:r>
              <w:t xml:space="preserve">Unie deklarovala v rámci své politiky zájem na tom, aby zákazníci finančních institucí měli ke svým finančním údajům přístup. Komise ve svém sdělení o strategii v oblasti digitálních financí a sdělení o unii kapitálových trhů přijatém v roce 2021 potvrdila záměr zavést rámec pro přístup k finančním údajům, aby mohli zákazníci využívat výhod </w:t>
            </w:r>
            <w:r>
              <w:rPr>
                <w:b/>
                <w:i/>
              </w:rPr>
              <w:t>uvolnění jejich</w:t>
            </w:r>
            <w:r>
              <w:t xml:space="preserve"> údajů ve finančním sektoru. Mezi tyto výhody patří vývoj a poskytování finančních produktů a finančních služeb založených na datech </w:t>
            </w:r>
            <w:r>
              <w:rPr>
                <w:b/>
                <w:i/>
              </w:rPr>
              <w:t>finančním sektorem</w:t>
            </w:r>
            <w:r>
              <w:t xml:space="preserve">, což je možné díky </w:t>
            </w:r>
            <w:r>
              <w:rPr>
                <w:b/>
                <w:i/>
              </w:rPr>
              <w:t>opakovanému použití</w:t>
            </w:r>
            <w:r>
              <w:t xml:space="preserve"> zákaznických údajů. </w:t>
            </w:r>
            <w:r>
              <w:rPr>
                <w:b/>
                <w:i/>
              </w:rPr>
              <w:t>Vytvořením součinnosti s daty z jiných relevantních odvětví by se mohl dále zvýšit inovační potenciál těchto finančních produktů a finančních služeb ve prospěch zákazníků a celé datové ekonomiky.</w:t>
            </w:r>
            <w:r>
              <w:t xml:space="preserve"> </w:t>
            </w:r>
            <w:r>
              <w:rPr>
                <w:b/>
                <w:i/>
              </w:rPr>
              <w:t>Cílem Evropské komise by mělo být sdílení dat napříč odvětvími, jak prosazuje její strategie pro data.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Unie deklarovala v rámci své politiky zájem na tom, aby zákazníci finančních institucí měli ke svým finančním údajům přístup. Komise ve svém sdělení o strategii v oblasti digitálních financí a sdělení o unii kapitálových trhů přijatém v roce 2021 potvrdila záměr zavést rámec pro přístup k finančním údajům, aby mohli zákazníci využívat výhod sdílení údajů ve finančním sektoru. Mezi tyto výhody patří vývoj a poskytování finančních produktů a finančních služeb založených na datech, což je možné díky sdílení zákaznických údajů.</w:t>
            </w:r>
          </w:p>
        </w:tc>
        <w:tc>
          <w:tcPr>
            <w:tcW w:w="4876" w:type="dxa"/>
          </w:tcPr>
          <w:p>
            <w:pPr>
              <w:pStyle w:val="Normal6a"/>
            </w:pPr>
            <w:r>
              <w:t>(3)</w:t>
            </w:r>
            <w:r>
              <w:tab/>
            </w:r>
            <w:r>
              <w:t xml:space="preserve">Unie deklarovala v rámci své politiky zájem na tom, aby zákazníci finančních institucí měli ke svým finančním údajům přístup. Komise ve svém sdělení o strategii v oblasti digitálních financí a sdělení o unii kapitálových trhů přijatém v roce 2021 potvrdila záměr zavést rámec pro přístup k finančním údajům, aby mohli zákazníci využívat výhod sdílení údajů ve finančním sektoru. Mezi tyto výhody patří vývoj a poskytování finančních produktů a finančních služeb založených na datech, což je možné díky sdílení zákaznických údajů. </w:t>
            </w:r>
            <w:r>
              <w:rPr>
                <w:b/>
                <w:i/>
              </w:rPr>
              <w:t>Aby bylo možné tyto přínosy zrealizovat, měly by mít finanční instituce možnost vytvářet a poskytovat zákazníkům individuálně upravené finanční produkty a služby založené na datech na základě sdílení údajů o zákaznících s jejich souhlasem.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w:t>
      </w:r>
      <w:r>
        <w:rPr>
          <w:rStyle w:val="HideTWBExt"/>
        </w:rPr>
        <w:t>&lt;/NumAm&gt;</w:t>
      </w:r>
    </w:p>
    <w:p>
      <w:pPr>
        <w:pStyle w:val="NormalBold"/>
      </w:pPr>
      <w:r>
        <w:rPr>
          <w:rStyle w:val="HideTWBExt"/>
        </w:rPr>
        <w:t>&lt;RepeatBlock-By&gt;</w:t>
      </w:r>
      <w:r>
        <w:rPr>
          <w:rStyle w:val="HideTWBExt"/>
        </w:rPr>
        <w:t>&lt;Members&gt;</w:t>
      </w:r>
      <w:r>
        <w:t>Markus Ferber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V rámci finančních služeb a v důsledku revidované směrnice Evropského parlamentu a Rady (EU) 2015/2366</w:t>
            </w:r>
            <w:r>
              <w:rPr>
                <w:vertAlign w:val="superscript"/>
              </w:rPr>
              <w:t>7</w:t>
            </w:r>
            <w:r>
              <w:t>začalo sdílení údajů o platebních účtech v Unii na základě povolení zákazníka měnit způsob, jakým spotřebitelé a podniky využívají bankovní služby. V návaznosti na opatření uvedené směrnice by měl být vytvořen regulační rámec pro sdílení zákaznických údajů v celém finančním sektoru nad rámec údajů o platebních účtech. To by mělo být také základním kamenem pro plné začlenění finančního sektoru do strategie Komise pro data</w:t>
            </w:r>
            <w:r>
              <w:rPr>
                <w:vertAlign w:val="superscript"/>
              </w:rPr>
              <w:t>8</w:t>
            </w:r>
            <w:r>
              <w:t>, která podporuje sdílení údajů napříč odvětvími.</w:t>
            </w:r>
          </w:p>
        </w:tc>
        <w:tc>
          <w:tcPr>
            <w:tcW w:w="4876" w:type="dxa"/>
          </w:tcPr>
          <w:p>
            <w:pPr>
              <w:pStyle w:val="Normal6a"/>
            </w:pPr>
            <w:r>
              <w:t>(4)</w:t>
            </w:r>
            <w:r>
              <w:tab/>
            </w:r>
            <w:r>
              <w:t>V rámci finančních služeb a v důsledku revidované směrnice Evropského parlamentu a Rady (EU) 2015/2366</w:t>
            </w:r>
            <w:r>
              <w:rPr>
                <w:vertAlign w:val="superscript"/>
              </w:rPr>
              <w:t>7</w:t>
            </w:r>
            <w:r>
              <w:t xml:space="preserve"> začalo sdílení údajů o platebních účtech v Unii na základě povolení zákazníka měnit způsob, jakým spotřebitelé a podniky využívají bankovní služby. V návaznosti na opatření uvedené směrnice by měl být vytvořen regulační rámec pro sdílení zákaznických údajů</w:t>
            </w:r>
            <w:r>
              <w:rPr>
                <w:b/>
                <w:i/>
              </w:rPr>
              <w:t>, které jsou výsledkem finančních služeb poskytovaných v Unii,</w:t>
            </w:r>
            <w:r>
              <w:t xml:space="preserve"> v celém finančním sektoru nad rámec údajů o platebních účtech. To by mělo být také základním kamenem pro plné začlenění finančního sektoru do strategie Komise pro data</w:t>
            </w:r>
            <w:r>
              <w:rPr>
                <w:vertAlign w:val="superscript"/>
              </w:rPr>
              <w:t>8</w:t>
            </w:r>
            <w:r>
              <w:t>, která podporuje sdílení údajů napříč odvětvími.</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w:t>
            </w:r>
            <w:r>
              <w:t xml:space="preserve"> </w:t>
            </w:r>
            <w:r>
              <w:t>Směrnice Evropského parlamentu a Rady (EU) 2015/2366 ze dne 25. listopadu 2015 o platebních službách na vnitřním trhu, o změně směrnice 2002/65/ES, 2009/110/ES, 2013/36/EU a nařízení (EU) č. 1093/2010 a o zrušení směrnice 2007/64/ES (Úř. věst. L 337, 23.12.2015, s. 35).</w:t>
            </w:r>
          </w:p>
        </w:tc>
        <w:tc>
          <w:tcPr>
            <w:tcW w:w="4876" w:type="dxa"/>
          </w:tcPr>
          <w:p>
            <w:pPr>
              <w:pStyle w:val="Normal6a"/>
            </w:pPr>
            <w:r>
              <w:rPr>
                <w:vertAlign w:val="superscript"/>
              </w:rPr>
              <w:t>7</w:t>
            </w:r>
            <w:r>
              <w:t xml:space="preserve"> </w:t>
            </w:r>
            <w:r>
              <w:t>Směrnice Evropského parlamentu a Rady (EU) 2015/2366 ze dne 25. listopadu 2015 o platebních službách na vnitřním trhu, o změně směrnice 2002/65/ES, 2009/110/ES, 2013/36/EU a nařízení (EU) č. 1093/2010 a o zrušení směrnice 2007/64/ES (Úř. věst. L 337, 23.12.2015, s. 35).</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8</w:t>
            </w:r>
            <w:r>
              <w:t xml:space="preserve"> </w:t>
            </w:r>
            <w:r>
              <w:t>https://eur-lex.europa.eu/legal-content/CS/TXT/?qid=1593073685620&amp;uri=CELEX%3A52020DC0066</w:t>
            </w:r>
          </w:p>
        </w:tc>
        <w:tc>
          <w:tcPr>
            <w:tcW w:w="4876" w:type="dxa"/>
          </w:tcPr>
          <w:p>
            <w:pPr>
              <w:pStyle w:val="Normal6a"/>
            </w:pPr>
            <w:r>
              <w:rPr>
                <w:vertAlign w:val="superscript"/>
              </w:rPr>
              <w:t>8</w:t>
            </w:r>
            <w:r>
              <w:t xml:space="preserve"> </w:t>
            </w:r>
            <w:r>
              <w:t>https://eur-lex.europa.eu/legal-content/CS/TXT/?qid=1593073685620&amp;uri=CELEX%3A52020DC0066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w:t>
      </w:r>
      <w:r>
        <w:rPr>
          <w:rStyle w:val="HideTWBExt"/>
        </w:rPr>
        <w:t>&lt;/NumAm&gt;</w:t>
      </w:r>
    </w:p>
    <w:p>
      <w:pPr>
        <w:pStyle w:val="NormalBold"/>
      </w:pPr>
      <w:r>
        <w:rPr>
          <w:rStyle w:val="HideTWBExt"/>
        </w:rPr>
        <w:t>&lt;RepeatBlock-By&gt;</w:t>
      </w:r>
      <w:r>
        <w:rPr>
          <w:rStyle w:val="HideTWBExt"/>
        </w:rPr>
        <w:t>&lt;Members&gt;</w:t>
      </w:r>
      <w:r>
        <w:t>Ondřej Kovařík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Je třeba poznamenat, že náklady na provádění ustanovení umožňujících otevřené bankovnictví prostřednictvím druhé směrnice o platebních službách byly pro toto odvětví, zejména menší subjekty, vysoké.</w:t>
            </w:r>
            <w:r>
              <w:t xml:space="preserve"> </w:t>
            </w:r>
            <w:r>
              <w:rPr>
                <w:b/>
                <w:i/>
              </w:rPr>
              <w:t>Tato směrnice sice umožnila rozvoj nových a inovativních nabídek zákazníkům, avšak aby rozšíření otevřeného bankovnictví na otevřené financování nebylo pro podniky, zejména pro menší podniky, neúnosné, je naprosto nezbytné provádět analýzu nákladů a přínosů.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Toto nařízení by se mělo vztahovat pouze na finanční údaje, které nespadají do oblasti působnosti ustanovení o „otevřeném bankovnictví“ podle nařízení Evropského parlamentu a Rady (EU) [XXXX/XXXX] (nařízení o platebních službách / třetí směrnice o platebních službách).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w:t>
      </w:r>
      <w:r>
        <w:rPr>
          <w:rStyle w:val="HideTWBExt"/>
        </w:rPr>
        <w:t>&lt;/NumAm&gt;</w:t>
      </w:r>
    </w:p>
    <w:p>
      <w:pPr>
        <w:pStyle w:val="NormalBold"/>
      </w:pPr>
      <w:r>
        <w:rPr>
          <w:rStyle w:val="HideTWBExt"/>
        </w:rPr>
        <w:t>&lt;RepeatBlock-By&gt;</w:t>
      </w:r>
      <w:r>
        <w:rPr>
          <w:rStyle w:val="HideTWBExt"/>
        </w:rPr>
        <w:t>&lt;Members&gt;</w:t>
      </w:r>
      <w:r>
        <w:t>Ondřej Kovařík, Martin Hlaváček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Pro vytvoření dobře fungujícího a účinného rámce pro sdílení údajů ve finančním sektoru je nezbytné zajistit kontrolu ze strany zákazníků a jejich důvěru. Zajištění účinné kontroly ze strany zákazníků nad sdílením údajů přispívá k inovacím i k důvěře zákazníků v toto sdílení. Účinná kontrola tak </w:t>
            </w:r>
            <w:r>
              <w:rPr>
                <w:b/>
                <w:i/>
              </w:rPr>
              <w:t>pomáhá</w:t>
            </w:r>
            <w:r>
              <w:t xml:space="preserve"> překonat neochotu zákazníků sdílet své údaje. Podle stávajícího unijního rámce je právo subjektu údajů na přenositelnost údajů v souladu s nařízením Evropského parlamentu a Rady (EU) 2016/679</w:t>
            </w:r>
            <w:r>
              <w:rPr>
                <w:vertAlign w:val="superscript"/>
              </w:rPr>
              <w:t>9</w:t>
            </w:r>
            <w:r>
              <w:t>omezeno na osobní údaje a lze se na něj odvolat pouze v případě, že je přenos údajů technicky proveditelný. Zákaznické údaje a technická rozhraní ve finančním sektoru nad rámec platebních účtů nejsou standardizována, což prodražuje sdílení údajů. Finanční instituce mají dále pouze zákonnou povinnost zpřístupnit údaje o platbách svých zákazníků.</w:t>
            </w:r>
          </w:p>
        </w:tc>
        <w:tc>
          <w:tcPr>
            <w:tcW w:w="4876" w:type="dxa"/>
          </w:tcPr>
          <w:p>
            <w:pPr>
              <w:pStyle w:val="Normal6a"/>
            </w:pPr>
            <w:r>
              <w:t>(5)</w:t>
            </w:r>
            <w:r>
              <w:tab/>
            </w:r>
            <w:r>
              <w:t xml:space="preserve">Pro vytvoření dobře fungujícího a účinného rámce pro sdílení údajů ve finančním sektoru je nezbytné zajistit kontrolu ze strany zákazníků a jejich důvěru. Zajištění účinné kontroly ze strany zákazníků nad sdílením údajů přispívá k inovacím i k důvěře zákazníků v toto sdílení. Účinná kontrola tak </w:t>
            </w:r>
            <w:r>
              <w:rPr>
                <w:b/>
                <w:i/>
              </w:rPr>
              <w:t>může pomoci</w:t>
            </w:r>
            <w:r>
              <w:t xml:space="preserve"> překonat neochotu zákazníků sdílet své údaje. Podle stávajícího unijního rámce je právo subjektu údajů na přenositelnost údajů v souladu s nařízením Evropského parlamentu a Rady (EU) 2016/679</w:t>
            </w:r>
            <w:r>
              <w:rPr>
                <w:vertAlign w:val="superscript"/>
              </w:rPr>
              <w:t>9</w:t>
            </w:r>
            <w:r>
              <w:t xml:space="preserve"> omezeno na osobní údaje a lze se na něj odvolat pouze v případě, že je přenos údajů technicky proveditelný. Zákaznické údaje a technická rozhraní ve finančním sektoru nad rámec platebních účtů nejsou standardizována, což </w:t>
            </w:r>
            <w:r>
              <w:rPr>
                <w:b/>
                <w:i/>
              </w:rPr>
              <w:t>podnikům</w:t>
            </w:r>
            <w:r>
              <w:t xml:space="preserve"> prodražuje sdílení údajů. Finanční instituce mají dále pouze zákonnou povinnost zpřístupnit údaje o platbách svých zákazníků.</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9</w:t>
            </w:r>
            <w:r>
              <w:t xml:space="preserve"> </w:t>
            </w:r>
            <w:r>
              <w:t>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tc>
        <w:tc>
          <w:tcPr>
            <w:tcW w:w="4876" w:type="dxa"/>
          </w:tcPr>
          <w:p>
            <w:pPr>
              <w:pStyle w:val="Normal6a"/>
            </w:pPr>
            <w:r>
              <w:rPr>
                <w:vertAlign w:val="superscript"/>
              </w:rPr>
              <w:t>9</w:t>
            </w:r>
            <w:r>
              <w:t xml:space="preserve"> </w:t>
            </w:r>
            <w:r>
              <w:t>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Ekonomika finančních údajů v Unii proto zůstává roztříštěná a vyznačuje se nerovnoměrným sdílením údajů, překážkami a velkou neochotou zúčastněných stran zapojit se do sdílení údajů nad rámec platebních účtů. Zákazníci proto nemají prospěch z individualizovaných produktů a služeb založených na datech, které by mohly vyhovovat jejich specifickým potřebám. Neexistence personalizovaných finančních produktů omezuje možnost inovací prostřednictvím nabídky více možností výběru a většího rozsahu finančních produktů a služeb pro spotřebitele, kteří o to mají zájem a kteří by jinak mohli využívat nástroje založené na datech, jež by jim umožnily přijímat informovaná rozhodnutí, porovnávat uživatelsky vstřícným způsobem jednotlivé nabídky a přecházet na výhodnější produkty, které na základě jejich údajů odpovídají jejich preferencím. Stávající překážky sdílení obchodních údajů brání podnikům, zejména malým a středním, využívat lepší, pohodlnější a automatizované finanční služby.</w:t>
            </w:r>
          </w:p>
        </w:tc>
        <w:tc>
          <w:tcPr>
            <w:tcW w:w="4876" w:type="dxa"/>
          </w:tcPr>
          <w:p>
            <w:pPr>
              <w:pStyle w:val="Normal6a"/>
            </w:pPr>
            <w:r>
              <w:t>(Netýká se českého znění.)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(6a)</w:t>
            </w:r>
            <w:r>
              <w:tab/>
            </w:r>
            <w:r>
              <w:rPr>
                <w:b/>
                <w:i/>
              </w:rPr>
              <w:t>Sdílením údajů by se mělo usilovat o zajištění širších inovací, o prospěch zákazníkům a poskytování inovativních personalizovaných finančních produktů nebo služeb založených případně na jasných případech použití.</w:t>
            </w:r>
            <w:r>
              <w:t xml:space="preserve"> </w:t>
            </w:r>
            <w:r>
              <w:rPr>
                <w:b/>
                <w:i/>
              </w:rPr>
              <w:t>Mezi příklady může patřit</w:t>
            </w:r>
            <w:r>
              <w:t xml:space="preserve"> </w:t>
            </w:r>
            <w:r>
              <w:rPr>
                <w:b/>
                <w:i/>
              </w:rPr>
              <w:t>zlepšení trhu s hypotečními úvěry pro spotřebitele zajištěním možností, které lépe vyhovují potřebám nebo osobní situaci spotřebitele,</w:t>
            </w:r>
            <w:r>
              <w:t xml:space="preserve"> </w:t>
            </w:r>
            <w:r>
              <w:rPr>
                <w:b/>
                <w:i/>
              </w:rPr>
              <w:t>snadnější poskytování kvalitního finančního poradenství zákazníkům,</w:t>
            </w:r>
            <w:r>
              <w:t xml:space="preserve"> </w:t>
            </w:r>
            <w:r>
              <w:rPr>
                <w:b/>
                <w:i/>
              </w:rPr>
              <w:t>využívání údajů o energetické účinnosti, spotřebě energie a klimatu k poskytování nových finančních služeb spotřebitelům,</w:t>
            </w:r>
            <w:r>
              <w:t xml:space="preserve"> </w:t>
            </w:r>
            <w:r>
              <w:rPr>
                <w:b/>
                <w:i/>
              </w:rPr>
              <w:t>rozvoj rámců pro sdílení údajů o vozidlech, aby mohli pojistitelé i jiné zúčastněné strany nabízet inovativní produkty, snižovat škody, přispívat ke zlepšení bezpečnosti silničního provozu a ekologické mobility a stimulovat budoucí technický vývoj.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Pro usnadnění bezproblémového a účinného přístupu k údajům je nezbytné </w:t>
            </w:r>
            <w:r>
              <w:rPr>
                <w:b/>
                <w:i/>
              </w:rPr>
              <w:t>zpřístupnění údajů</w:t>
            </w:r>
            <w:r>
              <w:t xml:space="preserve"> prostřednictvím kvalitních </w:t>
            </w:r>
            <w:r>
              <w:rPr>
                <w:b/>
                <w:i/>
              </w:rPr>
              <w:t>aplikačních programovacích</w:t>
            </w:r>
            <w:r>
              <w:t xml:space="preserve"> rozhraní (API). Mimo oblast platebních účtů však pouze menšina finančních institucí, které jsou držiteli údajů, uvádí, že údaje zpřístupňují prostřednictvím technických rozhraní, jako jsou aplikační programovací rozhraní (API). Vzhledem k tomu, že pobídky k rozvoji takových inovativních služeb chybí, zůstává poptávka po přístupu k údajům na trhu omezená.</w:t>
            </w:r>
          </w:p>
        </w:tc>
        <w:tc>
          <w:tcPr>
            <w:tcW w:w="4876" w:type="dxa"/>
          </w:tcPr>
          <w:p>
            <w:pPr>
              <w:pStyle w:val="Normal6a"/>
            </w:pPr>
            <w:r>
              <w:t>(7)</w:t>
            </w:r>
            <w:r>
              <w:tab/>
            </w:r>
            <w:r>
              <w:t xml:space="preserve">Pro usnadnění bezproblémového a účinného přístupu k údajům je nezbytné </w:t>
            </w:r>
            <w:r>
              <w:rPr>
                <w:b/>
                <w:i/>
              </w:rPr>
              <w:t>zpřístupnit údaje</w:t>
            </w:r>
            <w:r>
              <w:t xml:space="preserve"> prostřednictvím kvalitních </w:t>
            </w:r>
            <w:r>
              <w:rPr>
                <w:b/>
                <w:i/>
              </w:rPr>
              <w:t>technických rozhraní, jako jsou aplikační programovací</w:t>
            </w:r>
            <w:r>
              <w:t xml:space="preserve"> rozhraní (API). Mimo oblast platebních účtů však pouze menšina finančních institucí, které jsou držiteli údajů, uvádí, že údaje zpřístupňují prostřednictvím technických rozhraní, jako jsou aplikační programovací rozhraní (API). Vzhledem k tomu, že pobídky k rozvoji takových inovativních služeb chybí, zůstává poptávka po přístupu k údajům na trhu omezená. </w:t>
            </w:r>
            <w:r>
              <w:rPr>
                <w:b/>
                <w:i/>
              </w:rPr>
              <w:t>V zájmu podpory účinného sdílení dat by držitelé dat a uživatelé dat měli využívat stávající infrastrukturu rozhraní pro programování aplikací a společné normy, jak stanovuje směrnice (EU) 2015/2366 a nařízení Komise v přenesené pravomoci (EU) 2018/389.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166</w:t>
      </w:r>
      <w:r>
        <w:rPr>
          <w:rStyle w:val="HideTWBExt"/>
        </w:rPr>
        <w:t>&lt;/NumAm&gt;</w:t>
      </w:r>
    </w:p>
    <w:p>
      <w:pPr>
        <w:pStyle w:val="NormalBold"/>
      </w:pPr>
      <w:r>
        <w:rPr>
          <w:rStyle w:val="HideTWBExt"/>
        </w:rPr>
        <w:t>&lt;RepeatBlock-By&gt;</w:t>
      </w:r>
      <w:r>
        <w:rPr>
          <w:rStyle w:val="HideTWBExt"/>
        </w:rPr>
        <w:t>&lt;Members&gt;</w:t>
      </w:r>
      <w:r>
        <w:t>Ondřej Kovařík, Martin Hlaváček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 xml:space="preserve">Na úrovni Unie je proto </w:t>
            </w:r>
            <w:r>
              <w:rPr>
                <w:b/>
                <w:i/>
              </w:rPr>
              <w:t>nutné</w:t>
            </w:r>
            <w:r>
              <w:t xml:space="preserve"> vytvořit specializovaný a harmonizovaný rámec pro přístup k finančním údajům, aby bylo možné reagovat na potřeby digitální ekonomiky a odstranit překážky bránící dobrému fungování vnitřního trhu s daty. K odstranění těchto překážek jsou zapotřebí zvláštní pravidla, která by podpořila lepší přístup k zákaznickým údajům a umožnila tak spotřebitelům a podnikům využívat výhod plynoucích z lepších finančních produktů a služeb. Finance založené na datech by </w:t>
            </w:r>
            <w:r>
              <w:rPr>
                <w:b/>
                <w:i/>
              </w:rPr>
              <w:t>usnadnily</w:t>
            </w:r>
            <w:r>
              <w:t xml:space="preserve"> přechod odvětví od tradičního poskytování standardizovaných produktů k řešením na míru, která lépe vyhovují specifickým potřebám zákazníků, včetně vylepšených rozhraní pro zákazníky, která zvýší konkurenci, zlepší komfort pro uživatele a zajistí finanční služby zaměřené na zákazníka jako koncového uživatele.</w:t>
            </w:r>
          </w:p>
        </w:tc>
        <w:tc>
          <w:tcPr>
            <w:tcW w:w="4876" w:type="dxa"/>
          </w:tcPr>
          <w:p>
            <w:pPr>
              <w:pStyle w:val="Normal6a"/>
            </w:pPr>
            <w:r>
              <w:t>(8)</w:t>
            </w:r>
            <w:r>
              <w:tab/>
            </w:r>
            <w:r>
              <w:t xml:space="preserve">Na úrovni Unie je proto </w:t>
            </w:r>
            <w:r>
              <w:rPr>
                <w:b/>
                <w:i/>
              </w:rPr>
              <w:t>vhodné</w:t>
            </w:r>
            <w:r>
              <w:t xml:space="preserve"> vytvořit specializovaný a harmonizovaný rámec pro přístup k finančním údajům, aby bylo možné reagovat na potřeby digitální ekonomiky a odstranit překážky bránící dobrému fungování vnitřního trhu s daty. K odstranění těchto překážek jsou zapotřebí zvláštní pravidla, která by podpořila lepší přístup k zákaznickým údajům a umožnila tak spotřebitelům a podnikům využívat výhod plynoucích z lepších finančních produktů a služeb. Finance založené na datech by </w:t>
            </w:r>
            <w:r>
              <w:rPr>
                <w:b/>
                <w:i/>
              </w:rPr>
              <w:t>mohly usnadnit</w:t>
            </w:r>
            <w:r>
              <w:t xml:space="preserve"> přechod odvětví od tradičního poskytování standardizovaných produktů k řešením na míru, která lépe vyhovují specifickým potřebám zákazníků, včetně vylepšených rozhraní pro zákazníky, která zvýší konkurenci, zlepší komfort pro uživatele a zajistí finanční služby zaměřené na zákazníka jako koncového uživatele.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167</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Údaje zahrnuté do oblasti působnosti tohoto nařízení by měly vykazovat vysokou přidanou hodnotu pro finanční inovace a nízké riziko finančního vyloučení pro spotřebitele. Toto nařízení by se proto nemělo vztahovat na údaje týkající se zdravotního a nemocenského pojištění spotřebitele v souladu se směrnicí Evropského parlamentu a Rady 2009/138/ES</w:t>
            </w:r>
            <w:r>
              <w:rPr>
                <w:vertAlign w:val="superscript"/>
              </w:rPr>
              <w:t>10</w:t>
            </w:r>
            <w:r>
              <w:t xml:space="preserve">ani na údaje o produktech životního pojištění spotřebitele v souladu se směrnicí 2009/138/ES, které nejsou smlouvami týkajícími se životního pojištění krytými pojistnými produkty s investiční složkou. Toto nařízení by se rovněž nemělo vztahovat na údaje shromažďované při posuzování úvěruschopnosti </w:t>
            </w:r>
            <w:r>
              <w:rPr>
                <w:b/>
                <w:i/>
              </w:rPr>
              <w:t>spotřebitele</w:t>
            </w:r>
            <w:r>
              <w:t xml:space="preserve">. Sdílení zákaznických údajů v oblasti působnosti tohoto nařízení </w:t>
            </w:r>
            <w:r>
              <w:rPr>
                <w:b/>
                <w:i/>
              </w:rPr>
              <w:t>by mělo</w:t>
            </w:r>
            <w:r>
              <w:t xml:space="preserve"> respektovat ochranu důvěrných obchodních údajů </w:t>
            </w:r>
            <w:r>
              <w:rPr>
                <w:b/>
                <w:i/>
              </w:rPr>
              <w:t>a obchodních</w:t>
            </w:r>
            <w:r>
              <w:t xml:space="preserve"> tajemství.</w:t>
            </w:r>
          </w:p>
        </w:tc>
        <w:tc>
          <w:tcPr>
            <w:tcW w:w="4876" w:type="dxa"/>
          </w:tcPr>
          <w:p>
            <w:pPr>
              <w:pStyle w:val="Normal6a"/>
            </w:pPr>
            <w:r>
              <w:t>(9)</w:t>
            </w:r>
            <w:r>
              <w:tab/>
            </w:r>
            <w:r>
              <w:t>Údaje zahrnuté do oblasti působnosti tohoto nařízení by měly vykazovat vysokou přidanou hodnotu pro finanční inovace a nízké riziko finančního vyloučení pro spotřebitele. Toto nařízení by se proto nemělo vztahovat na údaje týkající se zdravotního a nemocenského pojištění spotřebitele v souladu se směrnicí Evropského parlamentu a Rady 2009/138/ES</w:t>
            </w:r>
            <w:r>
              <w:rPr>
                <w:vertAlign w:val="superscript"/>
              </w:rPr>
              <w:t>10</w:t>
            </w:r>
            <w:r>
              <w:t xml:space="preserve"> ani na údaje o produktech životního pojištění spotřebitele v souladu se směrnicí 2009/138/ES, které nejsou smlouvami týkajícími se životního pojištění krytými pojistnými produkty s investiční složkou. Toto nařízení by se rovněž nemělo vztahovat na údaje shromažďované při posuzování úvěruschopnosti. </w:t>
            </w:r>
            <w:r>
              <w:rPr>
                <w:b/>
                <w:i/>
              </w:rPr>
              <w:t>Při</w:t>
            </w:r>
            <w:r>
              <w:t xml:space="preserve"> sdílení zákaznických údajů v oblasti působnosti tohoto nařízení </w:t>
            </w:r>
            <w:r>
              <w:rPr>
                <w:b/>
                <w:i/>
              </w:rPr>
              <w:t>je nutné</w:t>
            </w:r>
            <w:r>
              <w:t xml:space="preserve"> respektovat ochranu důvěrných obchodních údajů </w:t>
            </w:r>
            <w:r>
              <w:rPr>
                <w:b/>
                <w:i/>
              </w:rPr>
              <w:t>zákazníků i držitelů údajů.</w:t>
            </w:r>
            <w:r>
              <w:t xml:space="preserve"> </w:t>
            </w:r>
            <w:r>
              <w:rPr>
                <w:b/>
                <w:i/>
              </w:rPr>
              <w:t>Povinnost zpřístupnit data uživateli dat neukládá povinnost zveřejnit obchodní</w:t>
            </w:r>
            <w:r>
              <w:t xml:space="preserve"> tajemství </w:t>
            </w:r>
            <w:r>
              <w:rPr>
                <w:b/>
                <w:i/>
              </w:rPr>
              <w:t>ve smyslu směrnice (EU) 2016/943, mimo jiné matematických a metodických přístupů</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10</w:t>
            </w:r>
            <w:r>
              <w:t xml:space="preserve"> </w:t>
            </w:r>
            <w:r>
              <w:t>Směrnice Evropského parlamentu a Rady 2009/138/ES ze dne 25. listopadu 2009 o přístupu k pojišťovací a zajišťovací činnosti a jejím výkonu (Solventnost II) (přepracované znění) (Úř. věst. L 335, 17.12.2009, s. 1).</w:t>
            </w:r>
          </w:p>
        </w:tc>
        <w:tc>
          <w:tcPr>
            <w:tcW w:w="4876" w:type="dxa"/>
          </w:tcPr>
          <w:p>
            <w:pPr>
              <w:pStyle w:val="Normal6a"/>
            </w:pPr>
            <w:r>
              <w:rPr>
                <w:vertAlign w:val="superscript"/>
              </w:rPr>
              <w:t>10</w:t>
            </w:r>
            <w:r>
              <w:t xml:space="preserve"> </w:t>
            </w:r>
            <w:r>
              <w:t>Směrnice Evropského parlamentu a Rady 2009/138/ES ze dne 25. listopadu 2009 o přístupu k pojišťovací a zajišťovací činnosti a jejím výkonu (Solventnost II) (přepracované znění) (Úř. věst. L 335, 17.12.2009, s.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168</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Údaje zahrnuté do oblasti působnosti tohoto nařízení by měly vykazovat vysokou přidanou hodnotu pro finanční inovace a nízké riziko finančního vyloučení pro spotřebitele. Toto nařízení by se proto nemělo vztahovat na údaje týkající se zdravotního a nemocenského pojištění spotřebitele v souladu se směrnicí Evropského parlamentu a Rady 2009/138/ES</w:t>
            </w:r>
            <w:r>
              <w:rPr>
                <w:vertAlign w:val="superscript"/>
              </w:rPr>
              <w:t>10</w:t>
            </w:r>
            <w:r>
              <w:t xml:space="preserve">ani na údaje o produktech životního pojištění spotřebitele v souladu se směrnicí 2009/138/ES, které nejsou smlouvami týkajícími se životního pojištění krytými pojistnými produkty s investiční složkou. Toto nařízení by se rovněž nemělo vztahovat na údaje shromažďované při posuzování úvěruschopnosti spotřebitele. Sdílení zákaznických údajů v oblasti působnosti tohoto nařízení </w:t>
            </w:r>
            <w:r>
              <w:rPr>
                <w:b/>
                <w:i/>
              </w:rPr>
              <w:t>by mělo</w:t>
            </w:r>
            <w:r>
              <w:t xml:space="preserve"> respektovat ochranu důvěrných obchodních údajů </w:t>
            </w:r>
            <w:r>
              <w:rPr>
                <w:b/>
                <w:i/>
              </w:rPr>
              <w:t>a obchodních</w:t>
            </w:r>
            <w:r>
              <w:t xml:space="preserve"> tajemství.</w:t>
            </w:r>
          </w:p>
        </w:tc>
        <w:tc>
          <w:tcPr>
            <w:tcW w:w="4876" w:type="dxa"/>
          </w:tcPr>
          <w:p>
            <w:pPr>
              <w:pStyle w:val="Normal6a"/>
            </w:pPr>
            <w:r>
              <w:t>(9)</w:t>
            </w:r>
            <w:r>
              <w:tab/>
            </w:r>
            <w:r>
              <w:t>Údaje zahrnuté do oblasti působnosti tohoto nařízení by měly vykazovat vysokou přidanou hodnotu pro finanční inovace a nízké riziko finančního vyloučení pro spotřebitele. Toto nařízení by se proto nemělo vztahovat na údaje týkající se zdravotního a nemocenského pojištění spotřebitele v souladu se směrnicí Evropského parlamentu a Rady 2009/138/ES</w:t>
            </w:r>
            <w:r>
              <w:rPr>
                <w:vertAlign w:val="superscript"/>
              </w:rPr>
              <w:t>10</w:t>
            </w:r>
            <w:r>
              <w:t xml:space="preserve"> ani na údaje o produktech životního pojištění spotřebitele v souladu se směrnicí 2009/138/ES, které nejsou smlouvami týkajícími se životního pojištění krytými pojistnými produkty s investiční složkou. Toto nařízení by se rovněž nemělo vztahovat na údaje shromažďované při posuzování úvěruschopnosti spotřebitele. </w:t>
            </w:r>
            <w:r>
              <w:rPr>
                <w:b/>
                <w:i/>
              </w:rPr>
              <w:t>Při</w:t>
            </w:r>
            <w:r>
              <w:t xml:space="preserve"> sdílení zákaznických údajů v oblasti působnosti tohoto nařízení </w:t>
            </w:r>
            <w:r>
              <w:rPr>
                <w:b/>
                <w:i/>
              </w:rPr>
              <w:t>je nutné</w:t>
            </w:r>
            <w:r>
              <w:t xml:space="preserve"> respektovat ochranu důvěrných obchodních údajů </w:t>
            </w:r>
            <w:r>
              <w:rPr>
                <w:b/>
                <w:i/>
              </w:rPr>
              <w:t>zákazníků i držitelů údajů.</w:t>
            </w:r>
            <w:r>
              <w:t xml:space="preserve"> </w:t>
            </w:r>
            <w:r>
              <w:rPr>
                <w:b/>
                <w:i/>
              </w:rPr>
              <w:t>Údaje, které je nutné sdílet, nezahrnují obchodní</w:t>
            </w:r>
            <w:r>
              <w:t xml:space="preserve"> tajemství </w:t>
            </w:r>
            <w:r>
              <w:rPr>
                <w:b/>
                <w:i/>
              </w:rPr>
              <w:t>ve smyslu směrnice (EU) 2016/943, mimo jiné metodické přístupy</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10</w:t>
            </w:r>
            <w:r>
              <w:t xml:space="preserve"> </w:t>
            </w:r>
            <w:r>
              <w:t>Směrnice Evropského parlamentu a Rady 2009/138/ES ze dne 25. listopadu 2009 o přístupu k pojišťovací a zajišťovací činnosti a jejím výkonu (Solventnost II) (přepracované znění) (Úř. věst. L 335, 17.12.2009, s. 1).</w:t>
            </w:r>
          </w:p>
        </w:tc>
        <w:tc>
          <w:tcPr>
            <w:tcW w:w="4876" w:type="dxa"/>
          </w:tcPr>
          <w:p>
            <w:pPr>
              <w:pStyle w:val="Normal6a"/>
            </w:pPr>
            <w:r>
              <w:rPr>
                <w:vertAlign w:val="superscript"/>
              </w:rPr>
              <w:t>10</w:t>
            </w:r>
            <w:r>
              <w:t xml:space="preserve"> </w:t>
            </w:r>
            <w:r>
              <w:t>Směrnice Evropského parlamentu a Rady 2009/138/ES ze dne 25. listopadu 2009 o přístupu k pojišťovací a zajišťovací činnosti a jejím výkonu (Solventnost II) (přepracované znění) (Úř. věst. L 335, 17.12.2009, s.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169</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(9a)</w:t>
            </w:r>
            <w:r>
              <w:tab/>
            </w:r>
            <w:r>
              <w:rPr>
                <w:b/>
                <w:i/>
              </w:rPr>
              <w:t>Pro účely poskytování finančních služeb a produktů v oblasti působnosti tohoto nařízení by měli držitelé a uživatelé údajů dodržovat stávající pravidla a pokyny Unie týkající se přístupu k osobním údajům a jejich používání.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170</w:t>
      </w:r>
      <w:r>
        <w:rPr>
          <w:rStyle w:val="HideTWBExt"/>
        </w:rPr>
        <w:t>&lt;/NumAm&gt;</w:t>
      </w:r>
    </w:p>
    <w:p>
      <w:pPr>
        <w:pStyle w:val="NormalBold"/>
      </w:pPr>
      <w:r>
        <w:rPr>
          <w:rStyle w:val="HideTWBExt"/>
        </w:rPr>
        <w:t>&lt;RepeatBlock-By&gt;</w:t>
      </w:r>
      <w:r>
        <w:rPr>
          <w:rStyle w:val="HideTWBExt"/>
        </w:rPr>
        <w:t>&lt;Members&gt;</w:t>
      </w:r>
      <w:r>
        <w:t>Stéphanie Yon-Courtin, Gilles Boyer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rPr>
                <w:b/>
                <w:i/>
              </w:rPr>
              <w:t>Sdílení zákaznických údajů</w:t>
            </w:r>
            <w:r>
              <w:t xml:space="preserve"> v oblasti působnosti tohoto nařízení by mělo být </w:t>
            </w:r>
            <w:r>
              <w:rPr>
                <w:b/>
                <w:i/>
              </w:rPr>
              <w:t>založeno na</w:t>
            </w:r>
            <w:r>
              <w:t xml:space="preserve"> povolení zákazníka. Právní povinnost držitelů údajů sdílet zákaznické údaje by měla vzniknout v okamžiku, kdy zákazník požádá o sdílení svých údajů s uživatelem údajů. </w:t>
            </w:r>
            <w:r>
              <w:rPr>
                <w:b/>
                <w:i/>
              </w:rPr>
              <w:t>Tuto žádost může podat</w:t>
            </w:r>
            <w:r>
              <w:t xml:space="preserve"> uživatel údajů </w:t>
            </w:r>
            <w:r>
              <w:rPr>
                <w:b/>
                <w:i/>
              </w:rPr>
              <w:t>jednající jménem zákazníka</w:t>
            </w:r>
            <w:r>
              <w:t xml:space="preserve">. Pokud se jedná o zpracování osobních údajů, měl by mít uživatel údajů platný právní základ pro zpracování podle nařízení (EU) 2016/679. Údaje o zákaznících mohou být zpracovávány pro dohodnuté účely </w:t>
            </w:r>
            <w:r>
              <w:rPr>
                <w:b/>
                <w:i/>
              </w:rPr>
              <w:t>v rámci poskytované</w:t>
            </w:r>
            <w:r>
              <w:t xml:space="preserve"> služby. Zpracování osobních údajů musí respektovat zásady ochrany osobních údajů, včetně zákonnosti, korektnosti a transparentnosti, účelového omezení a minimalizace údajů. Zákazník má právo povolení udělené uživateli údajů odejmout. Pokud je zpracování údajů nezbytné pro plnění smlouvy, měl by mít zákazník možnost odejmout povolení v souladu se smluvními závazky, kde je subjekt údajů jednou ze stran. Pokud je zpracování osobních údajů založeno na souhlasu, </w:t>
            </w:r>
            <w:r>
              <w:rPr>
                <w:b/>
                <w:i/>
              </w:rPr>
              <w:t>má</w:t>
            </w:r>
            <w:r>
              <w:t xml:space="preserve"> subjekt údajů </w:t>
            </w:r>
            <w:r>
              <w:rPr>
                <w:b/>
                <w:i/>
              </w:rPr>
              <w:t>právo</w:t>
            </w:r>
            <w:r>
              <w:t xml:space="preserve"> svůj souhlas kdykoli odvolat, jak </w:t>
            </w:r>
            <w:r>
              <w:rPr>
                <w:b/>
                <w:i/>
              </w:rPr>
              <w:t>stanoví</w:t>
            </w:r>
            <w:r>
              <w:t xml:space="preserve"> nařízení (EU) 2016/679.</w:t>
            </w:r>
          </w:p>
        </w:tc>
        <w:tc>
          <w:tcPr>
            <w:tcW w:w="4876" w:type="dxa"/>
          </w:tcPr>
          <w:p>
            <w:pPr>
              <w:pStyle w:val="Normal6a"/>
            </w:pPr>
            <w:r>
              <w:t>(10)</w:t>
            </w:r>
            <w:r>
              <w:tab/>
            </w:r>
            <w:r>
              <w:rPr>
                <w:b/>
                <w:i/>
              </w:rPr>
              <w:t>Přístup k zákaznickým údajům</w:t>
            </w:r>
            <w:r>
              <w:t xml:space="preserve"> v oblasti působnosti tohoto nařízení by </w:t>
            </w:r>
            <w:r>
              <w:rPr>
                <w:b/>
                <w:i/>
              </w:rPr>
              <w:t>měl být založen na výslovném povolení zákazníka.</w:t>
            </w:r>
            <w:r>
              <w:t xml:space="preserve"> </w:t>
            </w:r>
            <w:r>
              <w:rPr>
                <w:b/>
                <w:i/>
              </w:rPr>
              <w:t>Povolení klienta k poskytnutí přístupu ke svým údajům by</w:t>
            </w:r>
            <w:r>
              <w:t xml:space="preserve"> mělo být </w:t>
            </w:r>
            <w:r>
              <w:rPr>
                <w:b/>
                <w:i/>
              </w:rPr>
              <w:t>získáno na základě výslovného souhlasu, který by se neměl zakládat pouze na „zaškrtnutí políčka“ či na použití zobecňujících vět.</w:t>
            </w:r>
            <w:r>
              <w:t xml:space="preserve"> </w:t>
            </w:r>
            <w:r>
              <w:rPr>
                <w:b/>
                <w:i/>
              </w:rPr>
              <w:t>Při žádosti o výslovné</w:t>
            </w:r>
            <w:r>
              <w:t xml:space="preserve"> povolení zákazníka </w:t>
            </w:r>
            <w:r>
              <w:rPr>
                <w:b/>
                <w:i/>
              </w:rPr>
              <w:t>k použití jeho údajů by uživatelé údajů měli upřesnit, k jakému účelu hodlají údaje zákazníka použít, pokud jim zákazník toto povolení udělí</w:t>
            </w:r>
            <w:r>
              <w:t xml:space="preserve">. Právní povinnost držitelů údajů sdílet zákaznické údaje by měla vzniknout v okamžiku, kdy zákazník </w:t>
            </w:r>
            <w:r>
              <w:rPr>
                <w:b/>
                <w:i/>
              </w:rPr>
              <w:t>výslovně</w:t>
            </w:r>
            <w:r>
              <w:t xml:space="preserve"> požádá o sdílení svých údajů s uživatelem údajů. </w:t>
            </w:r>
            <w:r>
              <w:rPr>
                <w:b/>
                <w:i/>
              </w:rPr>
              <w:t>Uživatel údajů by měl být schopen prokázat, jakým způsobem bude zajištěn a zachován nejlepší zájem zákazníka.</w:t>
            </w:r>
            <w:r>
              <w:t xml:space="preserve"> </w:t>
            </w:r>
            <w:r>
              <w:rPr>
                <w:b/>
                <w:i/>
              </w:rPr>
              <w:t>V souladu s nařízením Evropského parlamentu a Rady (EU) [XXXX/XXXX] (akt o datech) nemůže být podnik poskytující hlavní služby platformy, který byl určen jako strážce přístupu podle nařízení (EU )2022/19251), způsobilý jako</w:t>
            </w:r>
            <w:r>
              <w:t xml:space="preserve"> uživatel údajů </w:t>
            </w:r>
            <w:r>
              <w:rPr>
                <w:b/>
                <w:i/>
              </w:rPr>
              <w:t>podle tohoto nařízení.</w:t>
            </w:r>
            <w:r>
              <w:t xml:space="preserve"> </w:t>
            </w:r>
            <w:r>
              <w:rPr>
                <w:b/>
                <w:i/>
              </w:rPr>
              <w:t>Omezení poskytování přístupu strážcům přístupu by je nevyloučilo z trhu a nezabránilo jim nabízet své služby, protože dobrovolné dohody mezi nimi a držiteli dat zůstávají nedotčeny</w:t>
            </w:r>
            <w:r>
              <w:t xml:space="preserve">. Pokud se jedná o zpracování osobních údajů, měl by mít uživatel údajů platný právní základ pro zpracování podle nařízení (EU) 2016/679. Údaje o zákaznících mohou být zpracovávány </w:t>
            </w:r>
            <w:r>
              <w:rPr>
                <w:b/>
                <w:i/>
              </w:rPr>
              <w:t>v rámci poskytované služby zpracovávány pouze</w:t>
            </w:r>
            <w:r>
              <w:t xml:space="preserve"> pro dohodnuté účely</w:t>
            </w:r>
            <w:r>
              <w:rPr>
                <w:b/>
                <w:i/>
              </w:rPr>
              <w:t>.</w:t>
            </w:r>
            <w:r>
              <w:t xml:space="preserve"> </w:t>
            </w:r>
            <w:r>
              <w:rPr>
                <w:b/>
                <w:i/>
              </w:rPr>
              <w:t>Podle tohoto nařízení by tyto účely měly být přísně omezeny na poskytování finančního produktu, finanční služby nebo</w:t>
            </w:r>
            <w:r>
              <w:t xml:space="preserve"> služby </w:t>
            </w:r>
            <w:r>
              <w:rPr>
                <w:b/>
                <w:i/>
              </w:rPr>
              <w:t>v oblasti poskytování finančních informací</w:t>
            </w:r>
            <w:r>
              <w:t xml:space="preserve">. Zpracování osobních údajů musí respektovat zásady ochrany osobních údajů, včetně zákonnosti, korektnosti a transparentnosti, účelového omezení a minimalizace údajů. Zákazník má právo povolení udělené uživateli údajů </w:t>
            </w:r>
            <w:r>
              <w:rPr>
                <w:b/>
                <w:i/>
              </w:rPr>
              <w:t>kdykoli bezplatně</w:t>
            </w:r>
            <w:r>
              <w:t xml:space="preserve"> odejmout. </w:t>
            </w:r>
            <w:r>
              <w:rPr>
                <w:b/>
                <w:i/>
              </w:rPr>
              <w:t>Například</w:t>
            </w:r>
            <w:r>
              <w:t xml:space="preserve"> pokud je zpracování údajů nezbytné pro plnění smlouvy, měl by mít zákazník možnost odejmout povolení v souladu se smluvními závazky, kde je subjekt údajů jednou ze stran. </w:t>
            </w:r>
            <w:r>
              <w:rPr>
                <w:b/>
                <w:i/>
              </w:rPr>
              <w:t>Podobně,</w:t>
            </w:r>
            <w:r>
              <w:t xml:space="preserve"> pokud je zpracování osobních údajů založeno na souhlasu, </w:t>
            </w:r>
            <w:r>
              <w:rPr>
                <w:b/>
                <w:i/>
              </w:rPr>
              <w:t>měl by mít</w:t>
            </w:r>
            <w:r>
              <w:t xml:space="preserve"> subjekt údajů </w:t>
            </w:r>
            <w:r>
              <w:rPr>
                <w:b/>
                <w:i/>
              </w:rPr>
              <w:t>možnost</w:t>
            </w:r>
            <w:r>
              <w:t xml:space="preserve"> svůj souhlas kdykoli odvolat, jak </w:t>
            </w:r>
            <w:r>
              <w:rPr>
                <w:b/>
                <w:i/>
              </w:rPr>
              <w:t>je stanoveno v</w:t>
            </w:r>
            <w:r>
              <w:t xml:space="preserve"> nařízení (EU) 2016/679. </w:t>
            </w:r>
            <w:r>
              <w:rPr>
                <w:b/>
                <w:i/>
              </w:rPr>
              <w:t>Uživatel údajů by neměl mít možnost předat údaje o zákazníkovi třetí straně nebo dokonce jinému subjektu v rámci stejné skupiny bez jeho výslovného souhlasu.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Customer consent is at the heart of the Commission's proposal.</w:t>
      </w:r>
      <w:r>
        <w:t xml:space="preserve"> </w:t>
      </w:r>
      <w:r>
        <w:t>In this respect, the provisions governing this consent should be strengthened.</w:t>
      </w:r>
      <w:r>
        <w:t xml:space="preserve"> </w:t>
      </w:r>
      <w:r>
        <w:t>When a client gives his or her permission to share his or her data, it should not be as simple as ticking a box.</w:t>
      </w:r>
      <w:r>
        <w:t xml:space="preserve"> </w:t>
      </w:r>
      <w:r>
        <w:t>Customers need to understand what data they are sharing and for what service.</w:t>
      </w:r>
      <w:r>
        <w:t xml:space="preserve"> </w:t>
      </w:r>
      <w:r>
        <w:t>The access to consumer data held by data holders should be conditional on the provision of a financial service by data users.</w:t>
      </w:r>
      <w:r>
        <w:t xml:space="preserve"> </w:t>
      </w:r>
      <w:r>
        <w:t>The users will have to demonstrate they have obtained the permission to access customer data.</w:t>
      </w:r>
      <w:r>
        <w:t xml:space="preserve"> </w:t>
      </w:r>
      <w:r>
        <w:t>It could be useful to introduce rules on how the permission should be granted to make sure that the customer is aware of the extent of the permission avoiding that they allow something unintentionally.</w:t>
      </w:r>
      <w:r>
        <w:t xml:space="preserve"> </w:t>
      </w:r>
      <w:r>
        <w:t>The customer should have no difficulty whatsoever in withdrawing their consent.</w:t>
      </w:r>
      <w:r>
        <w:t xml:space="preserve"> </w:t>
      </w:r>
      <w:r>
        <w:t>Customers shall be able to withdraw their permission at any time, free of charge.</w:t>
      </w:r>
    </w:p>
    <w:p>
      <w:r>
        <w:rPr>
          <w:rStyle w:val="HideTWBExt"/>
        </w:rPr>
        <w:t>&lt;/Amend&gt;</w:t>
      </w:r>
    </w:p>
    <w:p>
      <w:pPr>
        <w:pStyle w:val="AmNumberTabs"/>
      </w:pPr>
      <w:r>
        <w:rPr>
          <w:rStyle w:val="HideTWBExt"/>
        </w:rPr>
        <w:t>&lt;Amend&gt;</w:t>
      </w:r>
      <w:r>
        <w:t>Pozměňovací návrh</w:t>
      </w:r>
      <w:r>
        <w:tab/>
      </w:r>
      <w:r>
        <w:tab/>
      </w:r>
      <w:r>
        <w:rPr>
          <w:rStyle w:val="HideTWBExt"/>
        </w:rPr>
        <w:t>&lt;NumAm&gt;</w:t>
      </w:r>
      <w:r>
        <w:t>171</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rPr>
                <w:b/>
                <w:i/>
              </w:rPr>
              <w:t>Sdílení zákaznických údajů</w:t>
            </w:r>
            <w:r>
              <w:t xml:space="preserve"> v oblasti působnosti tohoto nařízení by </w:t>
            </w:r>
            <w:r>
              <w:rPr>
                <w:b/>
                <w:i/>
              </w:rPr>
              <w:t>mělo být založeno na</w:t>
            </w:r>
            <w:r>
              <w:t xml:space="preserve"> povolení zákazníka. Právní povinnost držitelů údajů </w:t>
            </w:r>
            <w:r>
              <w:rPr>
                <w:b/>
                <w:i/>
              </w:rPr>
              <w:t>sdílet zákaznické údaje</w:t>
            </w:r>
            <w:r>
              <w:t xml:space="preserve"> by měla vzniknout v okamžiku, kdy zákazník požádá o </w:t>
            </w:r>
            <w:r>
              <w:rPr>
                <w:b/>
                <w:i/>
              </w:rPr>
              <w:t>sdílení</w:t>
            </w:r>
            <w:r>
              <w:t xml:space="preserve"> svých údajů </w:t>
            </w:r>
            <w:r>
              <w:rPr>
                <w:b/>
                <w:i/>
              </w:rPr>
              <w:t>s uživatelem</w:t>
            </w:r>
            <w:r>
              <w:t xml:space="preserve"> údajů</w:t>
            </w:r>
            <w:r>
              <w:rPr>
                <w:b/>
                <w:i/>
              </w:rPr>
              <w:t>.</w:t>
            </w:r>
            <w:r>
              <w:t xml:space="preserve"> </w:t>
            </w:r>
            <w:r>
              <w:rPr>
                <w:b/>
                <w:i/>
              </w:rPr>
              <w:t>Tuto žádost může podat uživatel údajů jednající jménem zákazníka</w:t>
            </w:r>
            <w:r>
              <w:t xml:space="preserve">. Pokud se jedná o zpracování osobních údajů, měl by </w:t>
            </w:r>
            <w:r>
              <w:rPr>
                <w:b/>
                <w:i/>
              </w:rPr>
              <w:t>mít</w:t>
            </w:r>
            <w:r>
              <w:t xml:space="preserve"> uživatel údajů </w:t>
            </w:r>
            <w:r>
              <w:rPr>
                <w:b/>
                <w:i/>
              </w:rPr>
              <w:t>platný právní základ</w:t>
            </w:r>
            <w:r>
              <w:t xml:space="preserve"> pro zpracování podle nařízení (EU) 2016/679. Údaje o zákaznících mohou být zpracovávány pro dohodnuté účely </w:t>
            </w:r>
            <w:r>
              <w:rPr>
                <w:b/>
                <w:i/>
              </w:rPr>
              <w:t>v rámci poskytované</w:t>
            </w:r>
            <w:r>
              <w:t xml:space="preserve"> služby. Zpracování osobních údajů musí respektovat zásady ochrany osobních údajů, včetně zákonnosti, korektnosti a transparentnosti, účelového omezení a minimalizace údajů. Zákazník má právo povolení udělené uživateli údajů odejmout. Pokud je zpracování údajů nezbytné pro plnění smlouvy, měl by mít zákazník možnost odejmout povolení v souladu se smluvními závazky, kde je subjekt údajů jednou ze stran. Pokud je zpracování osobních údajů založeno na souhlasu, </w:t>
            </w:r>
            <w:r>
              <w:rPr>
                <w:b/>
                <w:i/>
              </w:rPr>
              <w:t>má</w:t>
            </w:r>
            <w:r>
              <w:t xml:space="preserve"> subjekt údajů </w:t>
            </w:r>
            <w:r>
              <w:rPr>
                <w:b/>
                <w:i/>
              </w:rPr>
              <w:t>právo</w:t>
            </w:r>
            <w:r>
              <w:t xml:space="preserve"> svůj souhlas kdykoli odvolat, jak </w:t>
            </w:r>
            <w:r>
              <w:rPr>
                <w:b/>
                <w:i/>
              </w:rPr>
              <w:t>stanoví</w:t>
            </w:r>
            <w:r>
              <w:t xml:space="preserve"> nařízení (EU) 2016/679.</w:t>
            </w:r>
          </w:p>
        </w:tc>
        <w:tc>
          <w:tcPr>
            <w:tcW w:w="4876" w:type="dxa"/>
          </w:tcPr>
          <w:p>
            <w:pPr>
              <w:pStyle w:val="Normal6a"/>
            </w:pPr>
            <w:r>
              <w:t>(10)</w:t>
            </w:r>
            <w:r>
              <w:tab/>
            </w:r>
            <w:r>
              <w:rPr>
                <w:b/>
                <w:i/>
              </w:rPr>
              <w:t>Přístup k zákaznickým údajům</w:t>
            </w:r>
            <w:r>
              <w:t xml:space="preserve"> v oblasti působnosti tohoto nařízení by </w:t>
            </w:r>
            <w:r>
              <w:rPr>
                <w:b/>
                <w:i/>
              </w:rPr>
              <w:t>měl být založen na výslovném</w:t>
            </w:r>
            <w:r>
              <w:t xml:space="preserve"> povolení zákazníka. </w:t>
            </w:r>
            <w:r>
              <w:rPr>
                <w:b/>
                <w:i/>
              </w:rPr>
              <w:t>Při žádosti o výslovné povolení zákazníka k použití jeho údajů by uživatelé údajů měli upřesnit, k jakému účelu hodlají údaje zákazníka použít, pokud jim zákazník toto povolení udělí.</w:t>
            </w:r>
            <w:r>
              <w:t xml:space="preserve"> Právní povinnost držitelů údajů </w:t>
            </w:r>
            <w:r>
              <w:rPr>
                <w:b/>
                <w:i/>
              </w:rPr>
              <w:t>umožnit přístup k zákaznickým údajům</w:t>
            </w:r>
            <w:r>
              <w:t xml:space="preserve"> by měla vzniknout v okamžiku, kdy zákazník </w:t>
            </w:r>
            <w:r>
              <w:rPr>
                <w:b/>
                <w:i/>
              </w:rPr>
              <w:t>výslovně</w:t>
            </w:r>
            <w:r>
              <w:t xml:space="preserve"> požádá o </w:t>
            </w:r>
            <w:r>
              <w:rPr>
                <w:b/>
                <w:i/>
              </w:rPr>
              <w:t>zpřístupnění</w:t>
            </w:r>
            <w:r>
              <w:t xml:space="preserve"> svých údajů </w:t>
            </w:r>
            <w:r>
              <w:rPr>
                <w:b/>
                <w:i/>
              </w:rPr>
              <w:t>uživateli údajů.</w:t>
            </w:r>
            <w:r>
              <w:t xml:space="preserve"> </w:t>
            </w:r>
            <w:r>
              <w:rPr>
                <w:b/>
                <w:i/>
              </w:rPr>
              <w:t>V souladu s nařízením Evropského parlamentu a Rady (EU) [2023/2854] (akt o datech) nemůže být podnik poskytující hlavní služby platformy, který byl určen jako strážce přístupu podle nařízení (EU) 2022/1925, způsobilý jako uživatel</w:t>
            </w:r>
            <w:r>
              <w:t xml:space="preserve"> údajů </w:t>
            </w:r>
            <w:r>
              <w:rPr>
                <w:b/>
                <w:i/>
              </w:rPr>
              <w:t>podle tohoto nařízení.</w:t>
            </w:r>
            <w:r>
              <w:t xml:space="preserve"> </w:t>
            </w:r>
            <w:r>
              <w:rPr>
                <w:b/>
                <w:i/>
              </w:rPr>
              <w:t>Omezení poskytování přístupu strážcům přístupu by je nevyloučilo z trhu a nezabránilo jim nabízet své služby, protože dobrovolné dohody mezi nimi a držiteli dat zůstávají nedotčeny</w:t>
            </w:r>
            <w:r>
              <w:t xml:space="preserve">. Pokud se jedná o zpracování osobních údajů, měl by </w:t>
            </w:r>
            <w:r>
              <w:rPr>
                <w:b/>
                <w:i/>
              </w:rPr>
              <w:t>se</w:t>
            </w:r>
            <w:r>
              <w:t xml:space="preserve"> uživatel údajů </w:t>
            </w:r>
            <w:r>
              <w:rPr>
                <w:b/>
                <w:i/>
              </w:rPr>
              <w:t>opírat o jeden z platných právních základů</w:t>
            </w:r>
            <w:r>
              <w:t xml:space="preserve"> pro zpracování podle </w:t>
            </w:r>
            <w:r>
              <w:rPr>
                <w:b/>
                <w:i/>
              </w:rPr>
              <w:t>článku 6</w:t>
            </w:r>
            <w:r>
              <w:t xml:space="preserve"> nařízení (EU) 2016/679. Údaje o zákaznících mohou být zpracovávány </w:t>
            </w:r>
            <w:r>
              <w:rPr>
                <w:b/>
                <w:i/>
              </w:rPr>
              <w:t>v rámci poskytované služby zpracovávány pouze</w:t>
            </w:r>
            <w:r>
              <w:t xml:space="preserve"> pro dohodnuté účely</w:t>
            </w:r>
            <w:r>
              <w:rPr>
                <w:b/>
                <w:i/>
              </w:rPr>
              <w:t>.</w:t>
            </w:r>
            <w:r>
              <w:t xml:space="preserve"> </w:t>
            </w:r>
            <w:r>
              <w:rPr>
                <w:b/>
                <w:i/>
              </w:rPr>
              <w:t>Podle tohoto nařízení by tyto účely měly být přísně omezeny na poskytování finančního produktu, finanční</w:t>
            </w:r>
            <w:r>
              <w:t xml:space="preserve"> služby </w:t>
            </w:r>
            <w:r>
              <w:rPr>
                <w:b/>
                <w:i/>
              </w:rPr>
              <w:t>nebo služby v oblasti poskytování finančních informací</w:t>
            </w:r>
            <w:r>
              <w:t xml:space="preserve">. Zpracování osobních údajů musí respektovat zásady ochrany osobních údajů, včetně zákonnosti, korektnosti a transparentnosti, účelového omezení a minimalizace údajů. Zákazník má právo povolení udělené uživateli údajů </w:t>
            </w:r>
            <w:r>
              <w:rPr>
                <w:b/>
                <w:i/>
              </w:rPr>
              <w:t>kdykoli </w:t>
            </w:r>
            <w:r>
              <w:t xml:space="preserve">odejmout. </w:t>
            </w:r>
            <w:r>
              <w:rPr>
                <w:b/>
                <w:i/>
              </w:rPr>
              <w:t>Například</w:t>
            </w:r>
            <w:r>
              <w:t xml:space="preserve"> pokud je zpracování údajů nezbytné pro plnění smlouvy, měl by mít zákazník možnost odejmout povolení v souladu se smluvními závazky, kde je subjekt údajů jednou ze stran. </w:t>
            </w:r>
            <w:r>
              <w:rPr>
                <w:b/>
                <w:i/>
              </w:rPr>
              <w:t>Podobně,</w:t>
            </w:r>
            <w:r>
              <w:t xml:space="preserve"> pokud je zpracování osobních údajů založeno na souhlasu, </w:t>
            </w:r>
            <w:r>
              <w:rPr>
                <w:b/>
                <w:i/>
              </w:rPr>
              <w:t>měl by mít</w:t>
            </w:r>
            <w:r>
              <w:t xml:space="preserve"> subjekt údajů </w:t>
            </w:r>
            <w:r>
              <w:rPr>
                <w:b/>
                <w:i/>
              </w:rPr>
              <w:t>možnost</w:t>
            </w:r>
            <w:r>
              <w:t xml:space="preserve"> svůj souhlas kdykoli odvolat, jak </w:t>
            </w:r>
            <w:r>
              <w:rPr>
                <w:b/>
                <w:i/>
              </w:rPr>
              <w:t>je stanoveno v</w:t>
            </w:r>
            <w:r>
              <w:t xml:space="preserve"> nařízení (EU) 2016/679. </w:t>
            </w:r>
            <w:r>
              <w:rPr>
                <w:b/>
                <w:i/>
              </w:rPr>
              <w:t>Uživatel údajů by neměl mít možnost předat údaje o zákazníkovi třetí straně nebo dokonce jinému subjektu v rámci stejné skupiny bez jeho výslovného souhlasu.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172</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rPr>
                <w:b/>
                <w:i/>
              </w:rPr>
              <w:t>Sdílení zákaznických údajů</w:t>
            </w:r>
            <w:r>
              <w:t xml:space="preserve"> v oblasti působnosti tohoto nařízení by </w:t>
            </w:r>
            <w:r>
              <w:rPr>
                <w:b/>
                <w:i/>
              </w:rPr>
              <w:t>mělo být založeno na</w:t>
            </w:r>
            <w:r>
              <w:t xml:space="preserve"> povolení zákazníka. Právní povinnost držitelů údajů </w:t>
            </w:r>
            <w:r>
              <w:rPr>
                <w:b/>
                <w:i/>
              </w:rPr>
              <w:t>sdílet zákaznické údaje</w:t>
            </w:r>
            <w:r>
              <w:t xml:space="preserve"> by měla vzniknout v okamžiku, kdy zákazník požádá o </w:t>
            </w:r>
            <w:r>
              <w:rPr>
                <w:b/>
                <w:i/>
              </w:rPr>
              <w:t>sdílení</w:t>
            </w:r>
            <w:r>
              <w:t xml:space="preserve"> svých údajů </w:t>
            </w:r>
            <w:r>
              <w:rPr>
                <w:b/>
                <w:i/>
              </w:rPr>
              <w:t>s uživatelem údajů.</w:t>
            </w:r>
            <w:r>
              <w:t xml:space="preserve"> </w:t>
            </w:r>
            <w:r>
              <w:rPr>
                <w:b/>
                <w:i/>
              </w:rPr>
              <w:t>Tuto žádost může podat</w:t>
            </w:r>
            <w:r>
              <w:t xml:space="preserve"> uživatel údajů </w:t>
            </w:r>
            <w:r>
              <w:rPr>
                <w:b/>
                <w:i/>
              </w:rPr>
              <w:t>jednající jménem zákazníka</w:t>
            </w:r>
            <w:r>
              <w:t xml:space="preserve">. Pokud se jedná o zpracování osobních údajů, měl by </w:t>
            </w:r>
            <w:r>
              <w:rPr>
                <w:b/>
                <w:i/>
              </w:rPr>
              <w:t>mít</w:t>
            </w:r>
            <w:r>
              <w:t xml:space="preserve"> uživatel údajů </w:t>
            </w:r>
            <w:r>
              <w:rPr>
                <w:b/>
                <w:i/>
              </w:rPr>
              <w:t>platný právní základ</w:t>
            </w:r>
            <w:r>
              <w:t xml:space="preserve"> pro zpracování podle nařízení (EU) 2016/679. Údaje o zákaznících mohou být zpracovávány pro dohodnuté účely </w:t>
            </w:r>
            <w:r>
              <w:rPr>
                <w:b/>
                <w:i/>
              </w:rPr>
              <w:t>v rámci poskytované</w:t>
            </w:r>
            <w:r>
              <w:t xml:space="preserve"> služby. Zpracování osobních údajů musí respektovat zásady ochrany osobních údajů, včetně zákonnosti, korektnosti a transparentnosti, účelového omezení a minimalizace údajů. Zákazník má právo povolení udělené uživateli údajů odejmout. Pokud je zpracování údajů nezbytné pro plnění smlouvy, měl by mít zákazník možnost odejmout povolení v souladu se smluvními závazky, kde je subjekt údajů jednou ze stran. Pokud je zpracování osobních údajů založeno na souhlasu, </w:t>
            </w:r>
            <w:r>
              <w:rPr>
                <w:b/>
                <w:i/>
              </w:rPr>
              <w:t>má</w:t>
            </w:r>
            <w:r>
              <w:t xml:space="preserve"> subjekt údajů </w:t>
            </w:r>
            <w:r>
              <w:rPr>
                <w:b/>
                <w:i/>
              </w:rPr>
              <w:t>právo</w:t>
            </w:r>
            <w:r>
              <w:t xml:space="preserve"> svůj souhlas kdykoli odvolat, jak </w:t>
            </w:r>
            <w:r>
              <w:rPr>
                <w:b/>
                <w:i/>
              </w:rPr>
              <w:t>stanoví</w:t>
            </w:r>
            <w:r>
              <w:t xml:space="preserve"> nařízení (EU) 2016/679.</w:t>
            </w:r>
          </w:p>
        </w:tc>
        <w:tc>
          <w:tcPr>
            <w:tcW w:w="4876" w:type="dxa"/>
          </w:tcPr>
          <w:p>
            <w:pPr>
              <w:pStyle w:val="Normal6a"/>
            </w:pPr>
            <w:r>
              <w:t>(10)</w:t>
            </w:r>
            <w:r>
              <w:tab/>
            </w:r>
            <w:r>
              <w:rPr>
                <w:b/>
                <w:i/>
              </w:rPr>
              <w:t>Přístup k zákaznickým údajům</w:t>
            </w:r>
            <w:r>
              <w:t xml:space="preserve"> v oblasti působnosti tohoto nařízení by </w:t>
            </w:r>
            <w:r>
              <w:rPr>
                <w:b/>
                <w:i/>
              </w:rPr>
              <w:t>měl být založen na výslovném</w:t>
            </w:r>
            <w:r>
              <w:t xml:space="preserve"> povolení zákazníka. </w:t>
            </w:r>
            <w:r>
              <w:rPr>
                <w:b/>
                <w:i/>
              </w:rPr>
              <w:t>Při žádosti o výslovné povolení zákazníka k použití jeho údajů by uživatelé údajů měli upřesnit, k jakému účelu hodlají údaje zákazníka použít, pokud jim zákazník toto povolení udělí.</w:t>
            </w:r>
            <w:r>
              <w:t xml:space="preserve"> Právní povinnost držitelů údajů </w:t>
            </w:r>
            <w:r>
              <w:rPr>
                <w:b/>
                <w:i/>
              </w:rPr>
              <w:t>umožnit přístup k zákaznickým údajům</w:t>
            </w:r>
            <w:r>
              <w:t xml:space="preserve"> by měla vzniknout v okamžiku, kdy zákazník </w:t>
            </w:r>
            <w:r>
              <w:rPr>
                <w:b/>
                <w:i/>
              </w:rPr>
              <w:t>výslovně</w:t>
            </w:r>
            <w:r>
              <w:t xml:space="preserve"> požádá o </w:t>
            </w:r>
            <w:r>
              <w:rPr>
                <w:b/>
                <w:i/>
              </w:rPr>
              <w:t>zpřístupnění</w:t>
            </w:r>
            <w:r>
              <w:t xml:space="preserve"> svých údajů </w:t>
            </w:r>
            <w:r>
              <w:rPr>
                <w:b/>
                <w:i/>
              </w:rPr>
              <w:t>uživateli údajů.</w:t>
            </w:r>
            <w:r>
              <w:t xml:space="preserve"> </w:t>
            </w:r>
            <w:r>
              <w:rPr>
                <w:b/>
                <w:i/>
              </w:rPr>
              <w:t>V souladu s nařízením Evropského parlamentu a Rady (EU) [XXXX/XXXX] (akt o datech) nemůže být podnik poskytující hlavní služby platformy, který byl určen jako strážce přístupu podle nařízení (EU ) 2022/1925, způsobilý jako</w:t>
            </w:r>
            <w:r>
              <w:t xml:space="preserve"> uživatel údajů </w:t>
            </w:r>
            <w:r>
              <w:rPr>
                <w:b/>
                <w:i/>
              </w:rPr>
              <w:t>podle tohoto nařízení.</w:t>
            </w:r>
            <w:r>
              <w:t xml:space="preserve"> </w:t>
            </w:r>
            <w:r>
              <w:rPr>
                <w:b/>
                <w:i/>
              </w:rPr>
              <w:t>Omezení poskytování přístupu strážcům přístupu by je nevyloučilo z trhu a nezabránilo jim nabízet své služby, protože dobrovolné dohody mezi nimi a držiteli dat zůstávají nedotčeny</w:t>
            </w:r>
            <w:r>
              <w:t xml:space="preserve">. Pokud se jedná o zpracování osobních údajů, měl by </w:t>
            </w:r>
            <w:r>
              <w:rPr>
                <w:b/>
                <w:i/>
              </w:rPr>
              <w:t>se</w:t>
            </w:r>
            <w:r>
              <w:t xml:space="preserve"> uživatel údajů </w:t>
            </w:r>
            <w:r>
              <w:rPr>
                <w:b/>
                <w:i/>
              </w:rPr>
              <w:t>opírat o jeden z platných právních základů</w:t>
            </w:r>
            <w:r>
              <w:t xml:space="preserve"> pro zpracování podle </w:t>
            </w:r>
            <w:r>
              <w:rPr>
                <w:b/>
                <w:i/>
              </w:rPr>
              <w:t>článku 6</w:t>
            </w:r>
            <w:r>
              <w:t xml:space="preserve"> nařízení (EU) 2016/679. Údaje o zákaznících mohou být zpracovávány </w:t>
            </w:r>
            <w:r>
              <w:rPr>
                <w:b/>
                <w:i/>
              </w:rPr>
              <w:t>v rámci poskytované služby zpracovávány pouze</w:t>
            </w:r>
            <w:r>
              <w:t xml:space="preserve"> pro dohodnuté účely</w:t>
            </w:r>
            <w:r>
              <w:rPr>
                <w:b/>
                <w:i/>
              </w:rPr>
              <w:t>.</w:t>
            </w:r>
            <w:r>
              <w:t xml:space="preserve"> </w:t>
            </w:r>
            <w:r>
              <w:rPr>
                <w:b/>
                <w:i/>
              </w:rPr>
              <w:t>Podle tohoto nařízení by tyto účely měly být přísně omezeny na poskytování finančního produktu, finanční</w:t>
            </w:r>
            <w:r>
              <w:t xml:space="preserve"> služby </w:t>
            </w:r>
            <w:r>
              <w:rPr>
                <w:b/>
                <w:i/>
              </w:rPr>
              <w:t>nebo služby v oblasti poskytování finančních informací</w:t>
            </w:r>
            <w:r>
              <w:t xml:space="preserve">. Zpracování osobních údajů musí respektovat zásady ochrany osobních údajů, včetně zákonnosti, korektnosti a transparentnosti, účelového omezení a minimalizace údajů. Zákazník má právo povolení udělené uživateli údajů </w:t>
            </w:r>
            <w:r>
              <w:rPr>
                <w:b/>
                <w:i/>
              </w:rPr>
              <w:t>kdykoli </w:t>
            </w:r>
            <w:r>
              <w:t xml:space="preserve">odejmout. </w:t>
            </w:r>
            <w:r>
              <w:rPr>
                <w:b/>
                <w:i/>
              </w:rPr>
              <w:t>Například</w:t>
            </w:r>
            <w:r>
              <w:t xml:space="preserve"> pokud je zpracování údajů nezbytné pro plnění smlouvy, měl by mít zákazník možnost odejmout povolení v souladu se smluvními závazky, kde je subjekt údajů jednou ze stran. </w:t>
            </w:r>
            <w:r>
              <w:rPr>
                <w:b/>
                <w:i/>
              </w:rPr>
              <w:t>Podobně,</w:t>
            </w:r>
            <w:r>
              <w:t xml:space="preserve"> pokud je zpracování osobních údajů založeno na souhlasu, </w:t>
            </w:r>
            <w:r>
              <w:rPr>
                <w:b/>
                <w:i/>
              </w:rPr>
              <w:t>měl by mít</w:t>
            </w:r>
            <w:r>
              <w:t xml:space="preserve"> subjekt údajů </w:t>
            </w:r>
            <w:r>
              <w:rPr>
                <w:b/>
                <w:i/>
              </w:rPr>
              <w:t>možnost</w:t>
            </w:r>
            <w:r>
              <w:t xml:space="preserve"> svůj souhlas kdykoli odvolat, jak </w:t>
            </w:r>
            <w:r>
              <w:rPr>
                <w:b/>
                <w:i/>
              </w:rPr>
              <w:t>je stanoveno v</w:t>
            </w:r>
            <w:r>
              <w:t xml:space="preserve"> nařízení (EU) 2016/679. </w:t>
            </w:r>
            <w:r>
              <w:rPr>
                <w:b/>
                <w:i/>
              </w:rPr>
              <w:t>Uživatel údajů by neměl mít možnost předat údaje o zákazníkovi třetí straně nebo dokonce jinému subjektu v rámci stejné skupiny bez jeho výslovného souhlasu.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173</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Sdílení zákaznických údajů v oblasti působnosti tohoto nařízení by mělo být založeno na povolení zákazníka. Právní povinnost držitelů údajů sdílet zákaznické údaje by měla vzniknout v okamžiku, kdy zákazník požádá o sdílení svých údajů s uživatelem údajů. </w:t>
            </w:r>
            <w:r>
              <w:rPr>
                <w:b/>
                <w:i/>
              </w:rPr>
              <w:t>Tuto žádost může podat uživatel údajů jednající jménem zákazníka.</w:t>
            </w:r>
            <w:r>
              <w:t xml:space="preserve"> Pokud se jedná o zpracování osobních údajů, měl by </w:t>
            </w:r>
            <w:r>
              <w:rPr>
                <w:b/>
                <w:i/>
              </w:rPr>
              <w:t>mít</w:t>
            </w:r>
            <w:r>
              <w:t xml:space="preserve"> uživatel údajů </w:t>
            </w:r>
            <w:r>
              <w:rPr>
                <w:b/>
                <w:i/>
              </w:rPr>
              <w:t>platný právní základ pro</w:t>
            </w:r>
            <w:r>
              <w:t xml:space="preserve"> zpracování podle nařízení (EU) 2016/679. Údaje o zákaznících mohou být zpracovávány pro dohodnuté účely v rámci poskytované služby. Zpracování osobních údajů musí respektovat zásady ochrany osobních údajů, včetně zákonnosti, korektnosti a transparentnosti, účelového omezení a minimalizace údajů. Zákazník má právo povolení udělené uživateli údajů odejmout. Pokud je zpracování údajů nezbytné pro plnění smlouvy, měl by mít zákazník možnost odejmout povolení v souladu se smluvními závazky, kde je subjekt údajů jednou ze stran. Pokud je zpracování osobních údajů založeno na souhlasu, má subjekt údajů právo svůj souhlas kdykoli odvolat, jak </w:t>
            </w:r>
            <w:r>
              <w:rPr>
                <w:b/>
                <w:i/>
              </w:rPr>
              <w:t>stanoví</w:t>
            </w:r>
            <w:r>
              <w:t xml:space="preserve"> nařízení (EU) 2016/679.</w:t>
            </w:r>
          </w:p>
        </w:tc>
        <w:tc>
          <w:tcPr>
            <w:tcW w:w="4876" w:type="dxa"/>
          </w:tcPr>
          <w:p>
            <w:pPr>
              <w:pStyle w:val="Normal6a"/>
            </w:pPr>
            <w:r>
              <w:t>(10)</w:t>
            </w:r>
            <w:r>
              <w:tab/>
            </w:r>
            <w:r>
              <w:t xml:space="preserve">Sdílení zákaznických údajů v oblasti působnosti tohoto nařízení by mělo být založeno na povolení zákazníka. Právní povinnost držitelů údajů sdílet zákaznické údaje by měla vzniknout v okamžiku, kdy zákazník požádá o sdílení svých údajů s uživatelem údajů. Pokud se jedná o zpracování osobních údajů, měl by </w:t>
            </w:r>
            <w:r>
              <w:rPr>
                <w:b/>
                <w:i/>
              </w:rPr>
              <w:t>být</w:t>
            </w:r>
            <w:r>
              <w:t xml:space="preserve"> uživatel údajů </w:t>
            </w:r>
            <w:r>
              <w:rPr>
                <w:b/>
                <w:i/>
              </w:rPr>
              <w:t>schopen doložit, že má pro jejich</w:t>
            </w:r>
            <w:r>
              <w:t xml:space="preserve"> zpracování podle </w:t>
            </w:r>
            <w:r>
              <w:rPr>
                <w:b/>
                <w:i/>
              </w:rPr>
              <w:t>čl. 6 odst. 1 písm. a) nebo b)</w:t>
            </w:r>
            <w:r>
              <w:t xml:space="preserve"> nařízení (EU) 2016/679 </w:t>
            </w:r>
            <w:r>
              <w:rPr>
                <w:b/>
                <w:i/>
              </w:rPr>
              <w:t>platný právní základ</w:t>
            </w:r>
            <w:r>
              <w:t xml:space="preserve">. Údaje o zákaznících mohou být zpracovávány pro dohodnuté účely v rámci poskytované služby. Zpracování osobních údajů musí respektovat zásady ochrany osobních údajů, včetně zákonnosti, korektnosti a transparentnosti, účelového omezení a minimalizace údajů. Zákazník má právo povolení udělené uživateli údajů </w:t>
            </w:r>
            <w:r>
              <w:rPr>
                <w:b/>
                <w:i/>
              </w:rPr>
              <w:t>kdykoliv</w:t>
            </w:r>
            <w:r>
              <w:t xml:space="preserve"> odejmout. Pokud je zpracování údajů nezbytné pro plnění smlouvy, měl by mít zákazník možnost odejmout povolení v souladu se smluvními závazky, kde je subjekt údajů jednou ze stran. Pokud je zpracování osobních údajů založeno na souhlasu, má subjekt údajů právo svůj souhlas kdykoli odvolat, jak </w:t>
            </w:r>
            <w:r>
              <w:rPr>
                <w:b/>
                <w:i/>
              </w:rPr>
              <w:t>stanovuje</w:t>
            </w:r>
            <w:r>
              <w:t xml:space="preserve">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174</w:t>
      </w:r>
      <w:r>
        <w:rPr>
          <w:rStyle w:val="HideTWBExt"/>
        </w:rPr>
        <w:t>&lt;/NumAm&gt;</w:t>
      </w:r>
    </w:p>
    <w:p>
      <w:pPr>
        <w:pStyle w:val="NormalBold"/>
      </w:pPr>
      <w:r>
        <w:rPr>
          <w:rStyle w:val="HideTWBExt"/>
        </w:rPr>
        <w:t>&lt;RepeatBlock-By&gt;</w:t>
      </w:r>
      <w:r>
        <w:rPr>
          <w:rStyle w:val="HideTWBExt"/>
        </w:rPr>
        <w:t>&lt;Members&gt;</w:t>
      </w:r>
      <w:r>
        <w:t>Ondřej Kovařík, Martin Hlaváček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Sdílení zákaznických údajů v oblasti působnosti tohoto nařízení by mělo být založeno na povolení zákazníka. Právní povinnost držitelů údajů sdílet zákaznické údaje by měla vzniknout v okamžiku, kdy zákazník požádá o sdílení svých údajů s uživatelem údajů. Tuto žádost může podat uživatel </w:t>
            </w:r>
            <w:r>
              <w:rPr>
                <w:b/>
                <w:i/>
              </w:rPr>
              <w:t>údajů</w:t>
            </w:r>
            <w:r>
              <w:t xml:space="preserve"> jednající jménem zákazníka. Pokud se jedná o zpracování osobních údajů, měl by mít uživatel údajů platný právní základ pro zpracování podle nařízení (EU) 2016/679. Údaje o zákaznících mohou být zpracovávány pro dohodnuté účely v rámci poskytované služby. Zpracování osobních údajů musí respektovat zásady ochrany osobních údajů, včetně zákonnosti, korektnosti a transparentnosti, účelového omezení a minimalizace údajů. Zákazník má právo povolení udělené uživateli údajů odejmout. Pokud je zpracování údajů nezbytné pro plnění smlouvy, měl by mít zákazník možnost odejmout povolení v souladu se smluvními závazky, kde je subjekt údajů jednou ze stran. Pokud je zpracování osobních údajů založeno na souhlasu, má subjekt údajů právo svůj souhlas kdykoli odvolat, jak stanoví nařízení (EU) 2016/679.</w:t>
            </w:r>
          </w:p>
        </w:tc>
        <w:tc>
          <w:tcPr>
            <w:tcW w:w="4876" w:type="dxa"/>
          </w:tcPr>
          <w:p>
            <w:pPr>
              <w:pStyle w:val="Normal6a"/>
            </w:pPr>
            <w:r>
              <w:t>(10)</w:t>
            </w:r>
            <w:r>
              <w:tab/>
            </w:r>
            <w:r>
              <w:t xml:space="preserve">Sdílení zákaznických údajů v oblasti působnosti tohoto nařízení by mělo být založeno na povolení zákazníka. Právní povinnost držitelů údajů sdílet zákaznické údaje by měla vzniknout v okamžiku, kdy zákazník požádá o sdílení svých údajů s uživatelem údajů. Tuto žádost může podat uživatel </w:t>
            </w:r>
            <w:r>
              <w:rPr>
                <w:b/>
                <w:i/>
              </w:rPr>
              <w:t>dat</w:t>
            </w:r>
            <w:r>
              <w:t xml:space="preserve"> jednající jménem zákazníka</w:t>
            </w:r>
            <w:r>
              <w:rPr>
                <w:b/>
                <w:i/>
              </w:rPr>
              <w:t>, pokud k tomu získal udělené povolení</w:t>
            </w:r>
            <w:r>
              <w:t xml:space="preserve">. Pokud se jedná o zpracování osobních údajů, měl by mít uživatel údajů platný právní základ pro zpracování podle nařízení (EU) 2016/679. Údaje o zákaznících mohou být zpracovávány pro dohodnuté účely v rámci poskytované služby. Zpracování osobních údajů musí respektovat zásady ochrany osobních údajů, včetně zákonnosti, korektnosti a transparentnosti, účelového omezení a minimalizace údajů. Zákazník má právo povolení udělené uživateli údajů </w:t>
            </w:r>
            <w:r>
              <w:rPr>
                <w:b/>
                <w:i/>
              </w:rPr>
              <w:t>kdykoliv</w:t>
            </w:r>
            <w:r>
              <w:t xml:space="preserve"> odejmout. Pokud je zpracování údajů nezbytné pro plnění smlouvy, měl by mít zákazník možnost odejmout povolení v souladu se smluvními závazky, kde je subjekt údajů jednou ze stran. Pokud je zpracování osobních údajů založeno na souhlasu, má subjekt údajů právo svůj souhlas kdykoli odvolat, jak stanoví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175</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(10a)</w:t>
            </w:r>
            <w:r>
              <w:tab/>
            </w:r>
            <w:r>
              <w:rPr>
                <w:b/>
                <w:i/>
              </w:rPr>
              <w:t>Sdílení údajů o zákaznících na základě souhlasu zákazníka by zákazníkovi umožnilo zejména přístup k širší škále zboží a služeb v oblasti finančních služeb.</w:t>
            </w:r>
            <w:r>
              <w:t xml:space="preserve"> </w:t>
            </w:r>
            <w:r>
              <w:rPr>
                <w:b/>
                <w:i/>
              </w:rPr>
              <w:t>Spotřebitelům by to umožnilo využívat výhod plynoucích z otevření jednotného trhu k získání širšího přístupu k retailovým finančním službám z jiných členských států.</w:t>
            </w:r>
            <w:r>
              <w:t xml:space="preserve"> </w:t>
            </w:r>
            <w:r>
              <w:rPr>
                <w:b/>
                <w:i/>
              </w:rPr>
              <w:t>To by pak mělo vést k dostupnosti konkurenceschopnějších a levnějších finančních služeb a produktů zaměřených na spotřebitele.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176</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(10b)</w:t>
            </w:r>
            <w:r>
              <w:tab/>
            </w:r>
            <w:r>
              <w:rPr>
                <w:b/>
                <w:i/>
              </w:rPr>
              <w:t>Toto nařízení by mělo být uplatňováno v souladu s normami stávajících a budoucích právních předpisů EU v oblasti soukromí a ochrany údajů i s hodnotami jednotného trhu.</w:t>
            </w:r>
            <w:r>
              <w:t xml:space="preserve"> </w:t>
            </w:r>
            <w:r>
              <w:rPr>
                <w:b/>
                <w:i/>
              </w:rPr>
              <w:t>Podniky označené za strážce přístupu podle nařízení Evropského parlamentu a Rady (EU) 2022/1925 by proto neměly být nezpůsobilými uživateli údajů podle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177</w:t>
      </w:r>
      <w:r>
        <w:rPr>
          <w:rStyle w:val="HideTWBExt"/>
        </w:rPr>
        <w:t>&lt;/NumAm&gt;</w:t>
      </w:r>
    </w:p>
    <w:p>
      <w:pPr>
        <w:pStyle w:val="NormalBold"/>
      </w:pPr>
      <w:r>
        <w:rPr>
          <w:rStyle w:val="HideTWBExt"/>
        </w:rPr>
        <w:t>&lt;RepeatBlock-By&gt;</w:t>
      </w:r>
      <w:r>
        <w:rPr>
          <w:rStyle w:val="HideTWBExt"/>
        </w:rPr>
        <w:t>&lt;Members&gt;</w:t>
      </w:r>
      <w:r>
        <w:t>Markus Ferber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(11)</w:t>
            </w:r>
            <w:r>
              <w:tab/>
            </w:r>
            <w:r>
              <w:t xml:space="preserve">To, že se zákazníkům umožní sdílet údaje o jejich současných investicích, může podpořit inovace v oblasti poskytování retailových investičních služeb. Shromažďování primárních údajů pro posouzení vhodnosti a přiměřenosti retailového investora je pro zákazníka časově náročné a pro poradce a distributory investičních a penzijních produktů a pojistných produktů s investiční složkou představuje významný nákladový faktor. </w:t>
            </w:r>
            <w:r>
              <w:rPr>
                <w:b/>
                <w:i/>
              </w:rPr>
              <w:t>Sdílení zákaznických údajů týkajících se objemu úspor a investic do finančních nástrojů, včetně pojistných produktů s investiční složkou, a</w:t>
            </w:r>
            <w:r>
              <w:t xml:space="preserve"> údajů </w:t>
            </w:r>
            <w:r>
              <w:rPr>
                <w:b/>
                <w:i/>
              </w:rPr>
              <w:t>shromážděných za účelem posouzení vhodnosti a přiměřenosti může zlepšit investiční poradenství pro spotřebitele a má silný inovační potenciál, včetně vývoje nástrojů personalizovaného investičního poradenství a správy investic, které mohou zvýšit účinnost poradenství v oblasti retailových investic.</w:t>
            </w:r>
            <w:r>
              <w:t xml:space="preserve"> </w:t>
            </w:r>
            <w:r>
              <w:rPr>
                <w:b/>
                <w:i/>
              </w:rPr>
              <w:t>Takové nástroje pro správu již na trhu vznikají a mohou se efektivněji rozvíjet v kontextu, kdy zákazník může sdílet své údaje týkající se investic</w:t>
            </w:r>
            <w:r>
              <w:t>.</w:t>
            </w:r>
          </w:p>
        </w:tc>
        <w:tc>
          <w:tcPr>
            <w:tcW w:w="4876" w:type="dxa"/>
          </w:tcPr>
          <w:p>
            <w:pPr>
              <w:pStyle w:val="Normal6a"/>
            </w:pPr>
            <w:r>
              <w:t>(11)</w:t>
            </w:r>
            <w:r>
              <w:tab/>
            </w:r>
            <w:r>
              <w:t xml:space="preserve">To, že se zákazníkům umožní sdílet údaje o jejich současných investicích, může podpořit inovace v oblasti poskytování retailových investičních služeb. Shromažďování primárních údajů pro posouzení vhodnosti a přiměřenosti retailového investora je pro zákazníka časově náročné a pro poradce a distributory investičních a penzijních produktů a pojistných produktů s investiční složkou představuje významný nákladový faktor. </w:t>
            </w:r>
            <w:r>
              <w:rPr>
                <w:b/>
                <w:i/>
              </w:rPr>
              <w:t>Proto je nutné pečlivě posoudit zahrnutí tohoto typu</w:t>
            </w:r>
            <w:r>
              <w:t xml:space="preserve"> údajů </w:t>
            </w:r>
            <w:r>
              <w:rPr>
                <w:b/>
                <w:i/>
              </w:rPr>
              <w:t>a nezbytných předpokladů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178</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(11)</w:t>
            </w:r>
            <w:r>
              <w:tab/>
            </w:r>
            <w:r>
              <w:t xml:space="preserve">To, že se zákazníkům umožní sdílet údaje o jejich současných investicích, může podpořit inovace v oblasti poskytování retailových investičních služeb. </w:t>
            </w:r>
            <w:r>
              <w:rPr>
                <w:b/>
                <w:i/>
              </w:rPr>
              <w:t>Shromažďování primárních údajů pro posouzení vhodnosti a přiměřenosti retailového investora je pro zákazníka časově náročné a pro poradce a distributory investičních a penzijních produktů a pojistných produktů s investiční složkou představuje významný nákladový faktor.</w:t>
            </w:r>
            <w:r>
              <w:t xml:space="preserve"> Sdílení zákaznických údajů týkajících se objemu úspor a investic do finančních nástrojů, včetně pojistných produktů s investiční složkou, </w:t>
            </w:r>
            <w:r>
              <w:rPr>
                <w:b/>
                <w:i/>
              </w:rPr>
              <w:t>a údajů shromážděných za účelem posouzení vhodnosti a přiměřenosti</w:t>
            </w:r>
            <w:r>
              <w:t xml:space="preserve"> může zlepšit investiční poradenství pro spotřebitele a má silný inovační potenciál, včetně vývoje nástrojů personalizovaného investičního poradenství a správy investic, které mohou zvýšit účinnost poradenství v oblasti retailových investic. Takové nástroje pro správu již na trhu vznikají a mohou se efektivněji rozvíjet v kontextu, kdy zákazník může sdílet své údaje týkající se investic.</w:t>
            </w:r>
          </w:p>
        </w:tc>
        <w:tc>
          <w:tcPr>
            <w:tcW w:w="4876" w:type="dxa"/>
          </w:tcPr>
          <w:p>
            <w:pPr>
              <w:pStyle w:val="Normal6a"/>
            </w:pPr>
            <w:r>
              <w:t>(11)</w:t>
            </w:r>
            <w:r>
              <w:tab/>
            </w:r>
            <w:r>
              <w:t>To, že se zákazníkům umožní sdílet údaje o jejich současných investicích, může podpořit inovace v oblasti poskytování retailových investičních služeb. Sdílení zákaznických údajů týkajících se objemu úspor a investic do finančních nástrojů, včetně pojistných produktů s investiční složkou, může zlepšit investiční poradenství pro spotřebitele a má silný inovační potenciál, včetně vývoje nástrojů personalizovaného investičního poradenství a správy investic, které mohou zvýšit účinnost poradenství v oblasti retailových investic. Takové nástroje pro správu již na trhu vznikají a mohou se efektivněji rozvíjet v kontextu, kdy zákazník může sdílet své údaje týkající se investic.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179</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(12)</w:t>
            </w:r>
            <w:r>
              <w:tab/>
            </w:r>
            <w:r>
              <w:t>Zákaznické údaje týkající se podrobností o zůstatku, podmínkách nebo transakcích v oblasti hypoték, úvěrů a spoření mohou zákazníkům umožnit získání lepšího přehledu o jejich vkladech a lépe uspokojit jejich potřeby v oblasti úspor na základě údajů o úvěrech. Toto nařízení by se mělo vztahovat na zákaznické údaje nad rámec platebních účtů ve smyslu směrnice (EU) 2015/2366</w:t>
            </w:r>
            <w:r>
              <w:rPr>
                <w:b/>
                <w:i/>
              </w:rPr>
              <w:t>.</w:t>
            </w:r>
            <w:r>
              <w:t xml:space="preserve"> </w:t>
            </w:r>
            <w:r>
              <w:rPr>
                <w:b/>
                <w:i/>
              </w:rPr>
              <w:t>Úvěrové účty kryté úvěrovou linkou, které nelze použít k provádění platebních transakcí třetím stranám, by měly spadat do oblasti působnosti tohoto nařízení.</w:t>
            </w:r>
            <w:r>
              <w:t xml:space="preserve"> </w:t>
            </w:r>
            <w:r>
              <w:rPr>
                <w:b/>
                <w:i/>
              </w:rPr>
              <w:t>Je proto třeba vycházet ze skutečnosti, že toto nařízení se vztahuje na přístup k podrobnostem o zůstatku, podmínkách nebo transakcích souvisejících se smlouvami o hypotečním úvěru, úvěry a spořícími účty, jakož i na typy účtů, které nespadají do oblasti působnosti směrnice (EU</w:t>
            </w:r>
            <w:r>
              <w:t xml:space="preserve">) </w:t>
            </w:r>
            <w:r>
              <w:rPr>
                <w:b/>
                <w:i/>
              </w:rPr>
              <w:t>2015/2366</w:t>
            </w:r>
            <w:r>
              <w:rPr>
                <w:vertAlign w:val="superscript"/>
              </w:rPr>
              <w:t>11</w:t>
            </w:r>
            <w:r>
              <w:t>.</w:t>
            </w:r>
          </w:p>
        </w:tc>
        <w:tc>
          <w:tcPr>
            <w:tcW w:w="4876" w:type="dxa"/>
          </w:tcPr>
          <w:p>
            <w:pPr>
              <w:pStyle w:val="Normal6a"/>
            </w:pPr>
            <w:r>
              <w:t>(12)</w:t>
            </w:r>
            <w:r>
              <w:tab/>
            </w:r>
            <w:r>
              <w:t>Zákaznické údaje týkající se podrobností o zůstatku, podmínkách nebo transakcích v oblasti hypoték, úvěrů a spoření mohou zákazníkům umožnit získání lepšího přehledu o jejich vkladech a lépe uspokojit jejich potřeby v oblasti úspor na základě údajů o úvěrech. Toto nařízení by se mělo vztahovat na zákaznické údaje nad rámec platebních účtů ve smyslu směrnice (EU) 2015/2366</w:t>
            </w:r>
            <w:r>
              <w:rPr>
                <w:vertAlign w:val="superscript"/>
              </w:rPr>
              <w:t>11</w:t>
            </w:r>
            <w:r>
              <w:rPr>
                <w:b/>
                <w:i/>
              </w:rPr>
              <w:t>. Toto nařízení by se nemělo vztahovat na přístup k údajům o zůstatku ani o podmínkách nebo transakcích souvisejících se platebními účty, jak jsou vymezeny ve směrnici (EU) / nařízení Evropského parlamentu a Rady (EU) [XXXX/XXXX] (nařízení o platebních službách / třetí směrnice o platebních službách</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11</w:t>
            </w:r>
            <w:r>
              <w:t xml:space="preserve"> </w:t>
            </w:r>
            <w:r>
              <w:t>Směrnice Evropského parlamentu a Rady (EU) 2015/2366 ze dne 25. listopadu 2015 o platebních službách na vnitřním trhu, o změně směrnice 2002/65/ES, 2009/110/ES, 2013/36/EU a nařízení (EU) č. 1093/2010 a o zrušení směrnice 2007/64/ES (Úř. věst. L 337, 23.12.2015, s. 35).</w:t>
            </w:r>
          </w:p>
        </w:tc>
        <w:tc>
          <w:tcPr>
            <w:tcW w:w="4876" w:type="dxa"/>
          </w:tcPr>
          <w:p>
            <w:pPr>
              <w:pStyle w:val="Normal6a"/>
            </w:pPr>
            <w:r>
              <w:rPr>
                <w:vertAlign w:val="superscript"/>
              </w:rPr>
              <w:t>11</w:t>
            </w:r>
            <w:r>
              <w:t xml:space="preserve"> </w:t>
            </w:r>
            <w:r>
              <w:t>Směrnice Evropského parlamentu a Rady (EU) 2015/2366 ze dne 25. listopadu 2015 o platebních službách na vnitřním trhu, o změně směrnice 2002/65/ES, 2009/110/ES, 2013/36/EU a nařízení (EU) č. 1093/2010 a o zrušení směrnice 2007/64/ES (Úř. věst. L 337, 23.12.2015, s. 35).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180</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(13)</w:t>
            </w:r>
            <w:r>
              <w:tab/>
            </w:r>
            <w:r>
              <w:rPr>
                <w:b/>
                <w:i/>
              </w:rPr>
              <w:t>Zákaznické údaje zahrnuté do oblasti působnosti tohoto nařízení by měly zahrnovat informace týkající se udržitelnosti, které by měly zákazníkům umožnit snazší přístup k finančním službám, jež odpovídají jejich preferencím v oblasti udržitelnosti a potřebám udržitelného financování, v souladu se strategií Komise pro financování přechodu k udržitelnému hospodářství</w:t>
            </w:r>
            <w:r>
              <w:rPr>
                <w:b/>
                <w:i/>
                <w:vertAlign w:val="superscript"/>
              </w:rPr>
              <w:t>12</w:t>
            </w:r>
            <w:r>
              <w:rPr>
                <w:b/>
                <w:i/>
              </w:rPr>
              <w:t>.</w:t>
            </w:r>
            <w:r>
              <w:t xml:space="preserve"> </w:t>
            </w:r>
            <w:r>
              <w:rPr>
                <w:b/>
                <w:i/>
              </w:rPr>
              <w:t>Přístup k údajům týkajícím se udržitelnosti, která mohou být obsažena v podrobnostech o zůstatku nebo o transakcích na hypotečním, úvěrovém či spořícím účtu, jakož i přístup k zákaznickým údajům týkajícím se udržitelnosti, kterými disponují investiční podniky, může přispět k usnadnění přístupu k údajům potřebným pro přístup k udržitelnému financování nebo pro realizaci investic do zelené transformace.</w:t>
            </w:r>
            <w:r>
              <w:t xml:space="preserve"> </w:t>
            </w:r>
            <w:r>
              <w:rPr>
                <w:b/>
                <w:i/>
              </w:rPr>
              <w:t>Kromě toho by zákaznické údaje v oblasti působnosti tohoto nařízení měly zahrnovat i údaje, které jsou součástí posouzení úvěruschopnosti podniků, včetně malých a středních, a které mohou poskytnout lepší vhled do cílů udržitelnosti malých podniků.</w:t>
            </w:r>
            <w:r>
              <w:t xml:space="preserve"> </w:t>
            </w:r>
            <w:r>
              <w:rPr>
                <w:b/>
                <w:i/>
              </w:rPr>
              <w:t>Zahrnutí údajů používaných pro posouzení úvěruschopnosti podniků by mělo zlepšit přístup k financování a zjednodušit podávání žádostí o úvěry.</w:t>
            </w:r>
            <w:r>
              <w:t xml:space="preserve"> </w:t>
            </w:r>
            <w:r>
              <w:rPr>
                <w:b/>
                <w:i/>
              </w:rPr>
              <w:t>Tyto údaje by se měly omezit na údaje o podnicích a neměly by porušovat práva duševního vlastnictví.</w:t>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12</w:t>
            </w:r>
            <w:r>
              <w:t xml:space="preserve"> </w:t>
            </w:r>
            <w:r>
              <w:rPr>
                <w:b/>
                <w:i/>
              </w:rPr>
              <w:t>Sdělení Komise Evropskému parlamentu, Radě, Evropskému hospodářskému a sociálnímu výboru a Výboru regionů, Strategie financování přechodu k udržitelnému hospodářství, COM/2021/390 final.</w:t>
            </w:r>
          </w:p>
        </w:tc>
        <w:tc>
          <w:tcPr>
            <w:tcW w:w="4876" w:type="dxa"/>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181</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(13)</w:t>
            </w:r>
            <w:r>
              <w:tab/>
            </w:r>
            <w:r>
              <w:t>Zákaznické údaje zahrnuté do oblasti působnosti tohoto nařízení by měly zahrnovat informace týkající se udržitelnosti, které by měly zákazníkům umožnit snazší přístup k finančním službám, jež odpovídají jejich preferencím v oblasti udržitelnosti a potřebám udržitelného financování, v souladu se strategií Komise pro financování přechodu k udržitelnému hospodářství</w:t>
            </w:r>
            <w:r>
              <w:rPr>
                <w:vertAlign w:val="superscript"/>
              </w:rPr>
              <w:t>12</w:t>
            </w:r>
            <w:r>
              <w:t xml:space="preserve">. Přístup k údajům týkajícím se udržitelnosti, která mohou být obsažena v podrobnostech o zůstatku nebo o transakcích na hypotečním, úvěrovém či spořícím účtu, jakož i přístup k zákaznickým údajům týkajícím se udržitelnosti, kterými disponují investiční podniky, může přispět k usnadnění přístupu k údajům potřebným pro přístup k udržitelnému financování nebo pro realizaci investic do zelené transformace. </w:t>
            </w:r>
            <w:r>
              <w:rPr>
                <w:b/>
                <w:i/>
              </w:rPr>
              <w:t>Kromě toho by zákaznické údaje v oblasti působnosti tohoto nařízení měly zahrnovat i údaje, které jsou součástí posouzení úvěruschopnosti podniků, včetně malých a středních, a které mohou poskytnout lepší vhled do cílů udržitelnosti malých podniků.</w:t>
            </w:r>
            <w:r>
              <w:t xml:space="preserve"> </w:t>
            </w:r>
            <w:r>
              <w:rPr>
                <w:b/>
                <w:i/>
              </w:rPr>
              <w:t>Zahrnutí údajů používaných pro posouzení úvěruschopnosti podniků by mělo zlepšit přístup k financování a zjednodušit podávání žádostí o úvěry.</w:t>
            </w:r>
            <w:r>
              <w:t xml:space="preserve"> </w:t>
            </w:r>
            <w:r>
              <w:rPr>
                <w:b/>
                <w:i/>
              </w:rPr>
              <w:t>Tyto údaje by se měly omezit na údaje o podnicích a neměly by porušovat práva duševního vlastnictví.</w:t>
            </w:r>
          </w:p>
        </w:tc>
        <w:tc>
          <w:tcPr>
            <w:tcW w:w="4876" w:type="dxa"/>
          </w:tcPr>
          <w:p>
            <w:pPr>
              <w:pStyle w:val="Normal6a"/>
            </w:pPr>
            <w:r>
              <w:t>(13)</w:t>
            </w:r>
            <w:r>
              <w:tab/>
            </w:r>
            <w:r>
              <w:t>Zákaznické údaje zahrnuté do oblasti působnosti tohoto nařízení by měly zahrnovat informace týkající se udržitelnosti, které by měly zákazníkům umožnit snazší přístup k finančním službám, jež odpovídají jejich preferencím v oblasti udržitelnosti a potřebám udržitelného financování, v souladu se strategií Komise pro financování přechodu k udržitelnému hospodářství</w:t>
            </w:r>
            <w:r>
              <w:rPr>
                <w:vertAlign w:val="superscript"/>
              </w:rPr>
              <w:t>12</w:t>
            </w:r>
            <w:r>
              <w:t>. Přístup k údajům týkajícím se udržitelnosti, která mohou být obsažena v podrobnostech o zůstatku nebo o transakcích na hypotečním, úvěrovém či spořícím účtu, jakož i přístup k zákaznickým údajům týkajícím se udržitelnosti, kterými disponují investiční podniky, může přispět k usnadnění přístupu k údajům potřebným pro přístup k udržitelnému financování nebo pro realizaci investic do zelené transformace.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12</w:t>
            </w:r>
            <w:r>
              <w:t xml:space="preserve"> </w:t>
            </w:r>
            <w:r>
              <w:t>Sdělení Komise Evropskému parlamentu, Radě, Evropskému hospodářskému a sociálnímu výboru a Výboru regionů, Strategie financování přechodu k udržitelnému hospodářství, COM/2021/390 final.</w:t>
            </w:r>
          </w:p>
        </w:tc>
        <w:tc>
          <w:tcPr>
            <w:tcW w:w="4876" w:type="dxa"/>
          </w:tcPr>
          <w:p>
            <w:pPr>
              <w:pStyle w:val="Normal6a"/>
            </w:pPr>
            <w:r>
              <w:rPr>
                <w:vertAlign w:val="superscript"/>
              </w:rPr>
              <w:t>12</w:t>
            </w:r>
            <w:r>
              <w:t xml:space="preserve"> </w:t>
            </w:r>
            <w:r>
              <w:t>Sdělení Komise Evropskému parlamentu, Radě, Evropskému hospodářskému a sociálnímu výboru a Výboru regionů, Strategie financování přechodu k udržitelnému hospodářství, COM/2021/390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182</w:t>
      </w:r>
      <w:r>
        <w:rPr>
          <w:rStyle w:val="HideTWBExt"/>
        </w:rPr>
        <w:t>&lt;/NumAm&gt;</w:t>
      </w:r>
    </w:p>
    <w:p>
      <w:pPr>
        <w:pStyle w:val="NormalBold"/>
      </w:pPr>
      <w:r>
        <w:rPr>
          <w:rStyle w:val="HideTWBExt"/>
        </w:rPr>
        <w:t>&lt;RepeatBlock-By&gt;</w:t>
      </w:r>
      <w:r>
        <w:rPr>
          <w:rStyle w:val="HideTWBExt"/>
        </w:rPr>
        <w:t>&lt;Members&gt;</w:t>
      </w:r>
      <w:r>
        <w:t>Ondřej Kovařík, Martin Hlaváček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(13)</w:t>
            </w:r>
            <w:r>
              <w:tab/>
            </w:r>
            <w:r>
              <w:t>Zákaznické údaje zahrnuté do oblasti působnosti tohoto nařízení by měly zahrnovat informace týkající se udržitelnosti, které by měly zákazníkům umožnit snazší přístup k finančním službám, jež odpovídají jejich preferencím v oblasti udržitelnosti a potřebám udržitelného financování, v souladu se strategií Komise pro financování přechodu k udržitelnému hospodářství</w:t>
            </w:r>
            <w:r>
              <w:rPr>
                <w:vertAlign w:val="superscript"/>
              </w:rPr>
              <w:t>12</w:t>
            </w:r>
            <w:r>
              <w:t>. Přístup k údajům týkajícím se udržitelnosti, která mohou být obsažena v podrobnostech o zůstatku nebo o transakcích na hypotečním, úvěrovém či spořícím účtu, jakož i přístup k zákaznickým údajům týkajícím se udržitelnosti, kterými disponují investiční podniky, může přispět k usnadnění přístupu k údajům potřebným pro přístup k udržitelnému financování nebo pro realizaci investic do zelené transformace. Kromě toho by zákaznické údaje v oblasti působnosti tohoto nařízení měly zahrnovat i údaje, které jsou součástí posouzení úvěruschopnosti podniků, včetně malých a středních, a které mohou poskytnout lepší vhled do cílů udržitelnosti malých podniků. Zahrnutí údajů používaných pro posouzení úvěruschopnosti podniků by mělo zlepšit přístup k financování a zjednodušit podávání žádostí o úvěry. Tyto údaje by se měly omezit na údaje o podnicích a neměly by porušovat práva duševního vlastnictví.</w:t>
            </w:r>
          </w:p>
        </w:tc>
        <w:tc>
          <w:tcPr>
            <w:tcW w:w="4876" w:type="dxa"/>
          </w:tcPr>
          <w:p>
            <w:pPr>
              <w:pStyle w:val="Normal6a"/>
            </w:pPr>
            <w:r>
              <w:t>(13)</w:t>
            </w:r>
            <w:r>
              <w:tab/>
            </w:r>
            <w:r>
              <w:t xml:space="preserve">Zákaznické údaje zahrnuté do oblasti působnosti tohoto nařízení by měly </w:t>
            </w:r>
            <w:r>
              <w:rPr>
                <w:b/>
                <w:i/>
              </w:rPr>
              <w:t>případně</w:t>
            </w:r>
            <w:r>
              <w:t xml:space="preserve"> zahrnovat informace týkající se udržitelnosti, které by měly zákazníkům umožnit snazší přístup k finančním službám, jež odpovídají jejich preferencím v oblasti udržitelnosti a potřebám udržitelného financování, v souladu se strategií Komise pro financování přechodu k udržitelnému hospodářství</w:t>
            </w:r>
            <w:r>
              <w:rPr>
                <w:vertAlign w:val="superscript"/>
              </w:rPr>
              <w:t>12</w:t>
            </w:r>
            <w:r>
              <w:t>. Přístup k údajům týkajícím se udržitelnosti, která mohou být obsažena v podrobnostech o zůstatku nebo o transakcích na hypotečním, úvěrovém či spořícím účtu, jakož i přístup k zákaznickým údajům týkajícím se udržitelnosti, kterými disponují investiční podniky, může přispět k usnadnění přístupu k údajům potřebným pro přístup k udržitelnému financování nebo pro realizaci investic do zelené transformace. Kromě toho by zákaznické údaje v oblasti působnosti tohoto nařízení měly zahrnovat i údaje, které jsou součástí posouzení úvěruschopnosti podniků, včetně malých a středních, a které mohou poskytnout lepší vhled do cílů udržitelnosti malých podniků. Zahrnutí údajů používaných pro posouzení úvěruschopnosti podniků by mělo zlepšit přístup k financování a zjednodušit podávání žádostí o úvěry. Tyto údaje by se měly omezit na údaje o podnicích a neměly by porušovat práva duševního vlastnictví.</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12</w:t>
            </w:r>
            <w:r>
              <w:t xml:space="preserve"> </w:t>
            </w:r>
            <w:r>
              <w:t>Sdělení Komise Evropskému parlamentu, Radě, Evropskému hospodářskému a sociálnímu výboru a Výboru regionů, Strategie financování přechodu k udržitelnému hospodářství, COM/2021/390 final.</w:t>
            </w:r>
          </w:p>
        </w:tc>
        <w:tc>
          <w:tcPr>
            <w:tcW w:w="4876" w:type="dxa"/>
          </w:tcPr>
          <w:p>
            <w:pPr>
              <w:pStyle w:val="Normal6a"/>
            </w:pPr>
            <w:r>
              <w:rPr>
                <w:vertAlign w:val="superscript"/>
              </w:rPr>
              <w:t>12</w:t>
            </w:r>
            <w:r>
              <w:t xml:space="preserve"> </w:t>
            </w:r>
            <w:r>
              <w:t>Sdělení Komise Evropskému parlamentu, Radě, Evropskému hospodářskému a sociálnímu výboru a Výboru regionů, Strategie financování přechodu k udržitelnému hospodářství, COM/2021/390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183</w:t>
      </w:r>
      <w:r>
        <w:rPr>
          <w:rStyle w:val="HideTWBExt"/>
        </w:rPr>
        <w:t>&lt;/NumAm&gt;</w:t>
      </w:r>
    </w:p>
    <w:p>
      <w:pPr>
        <w:pStyle w:val="NormalBold"/>
      </w:pPr>
      <w:r>
        <w:rPr>
          <w:rStyle w:val="HideTWBExt"/>
        </w:rPr>
        <w:t>&lt;RepeatBlock-By&gt;</w:t>
      </w:r>
      <w:r>
        <w:rPr>
          <w:rStyle w:val="HideTWBExt"/>
        </w:rPr>
        <w:t>&lt;Members&gt;</w:t>
      </w:r>
      <w:r>
        <w:t>Laurence Sailliet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 xml:space="preserve">Zákaznické údaje související s poskytováním neživotního pojištění jsou nezbytné k tomu, aby bylo možné vytvářet pojistné produkty a služby důležité pro naplnění potřeb zákazníků, jako je ochrana domácností, vozidel a dalšího majetku. Zároveň je shromažďování těchto údajů </w:t>
            </w:r>
            <w:r>
              <w:rPr>
                <w:b/>
                <w:i/>
              </w:rPr>
              <w:t>často zatěžující a</w:t>
            </w:r>
            <w:r>
              <w:t xml:space="preserve"> nákladné a </w:t>
            </w:r>
            <w:r>
              <w:rPr>
                <w:b/>
                <w:i/>
              </w:rPr>
              <w:t>může</w:t>
            </w:r>
            <w:r>
              <w:t xml:space="preserve"> zákazníky odrazovat od </w:t>
            </w:r>
            <w:r>
              <w:rPr>
                <w:b/>
                <w:i/>
              </w:rPr>
              <w:t>hledání optimálního pojistného</w:t>
            </w:r>
            <w:r>
              <w:t xml:space="preserve"> krytí. Pro řešení tohoto problému je proto nezbytné zahrnout tyto finanční služby do oblasti působnosti tohoto nařízení. Zákaznické údaje týkající se pojistných produktů v oblasti působnosti tohoto nařízení by měly zahrnovat jak informace o pojistném produktu, jako jsou podrobnosti o pojistném krytí, tak údaje specifické pro pojištěný majetek spotřebitele, které se shromažďují pro účely posouzení požadavků a potřeb. Sdílení těchto údajů by mělo umožnit vývoj personalizovaných nástrojů pro zákazníky, jako jsou například přehledy pojištění, které by mohly spotřebitelům pomoci lépe řídit jejich rizika. Sdílení údajů by také mohlo pomoci zákazníkům získat produkty, které jsou lépe zaměřené na jejich požadavky a potřeby, a to i prostřednictvím přínosnějšího poradenství. To může přispět k vhodnějšímu pojistnému krytí pro zákazníky a k většímu finančnímu začlenění spotřebitelů s jinak nedostatečnou dostupností služeb tím, že bude nabídnuto nové nebo rozšířené krytí. Sdílení údajů o pojištění může být navíc přínosné pro efektivnější poskytování pojištění, zejména ve fázích navrhování produktů, upisování, uzavírání smluv, včetně likvidace pojistných událostí, a zmírňování rizik.</w:t>
            </w:r>
          </w:p>
        </w:tc>
        <w:tc>
          <w:tcPr>
            <w:tcW w:w="4876" w:type="dxa"/>
          </w:tcPr>
          <w:p>
            <w:pPr>
              <w:pStyle w:val="Normal6a"/>
            </w:pPr>
            <w:r>
              <w:t>(14)</w:t>
            </w:r>
            <w:r>
              <w:tab/>
            </w:r>
            <w:r>
              <w:t xml:space="preserve">Zákaznické údaje související s poskytováním neživotního pojištění jsou nezbytné k tomu, aby bylo možné vytvářet pojistné produkty a služby důležité pro naplnění potřeb zákazníků, jako je ochrana domácností, vozidel a dalšího majetku. Zároveň je shromažďování těchto údajů </w:t>
            </w:r>
            <w:r>
              <w:rPr>
                <w:b/>
                <w:i/>
              </w:rPr>
              <w:t>pro poradce, distributory investičních produktů, penzijních produktů, pojistných produktů s investiční složkou a produktů neživotního pojištění</w:t>
            </w:r>
            <w:r>
              <w:t xml:space="preserve"> nákladné a </w:t>
            </w:r>
            <w:r>
              <w:rPr>
                <w:b/>
                <w:i/>
              </w:rPr>
              <w:t>často je pro</w:t>
            </w:r>
            <w:r>
              <w:t xml:space="preserve"> zákazníky </w:t>
            </w:r>
            <w:r>
              <w:rPr>
                <w:b/>
                <w:i/>
              </w:rPr>
              <w:t>zatěžující a může je</w:t>
            </w:r>
            <w:r>
              <w:t xml:space="preserve"> odrazovat od </w:t>
            </w:r>
            <w:r>
              <w:rPr>
                <w:b/>
                <w:i/>
              </w:rPr>
              <w:t>toho, aby usilovali o optimální pojistné</w:t>
            </w:r>
            <w:r>
              <w:t xml:space="preserve"> krytí. Pro řešení tohoto problému je proto nezbytné zahrnout tyto finanční služby do oblasti působnosti tohoto nařízení. Zákaznické údaje týkající se pojistných produktů v oblasti působnosti tohoto nařízení by měly zahrnovat jak informace o pojistném produktu, jako jsou podrobnosti o pojistném krytí, tak údaje specifické pro pojištěný majetek spotřebitele, které se shromažďují pro účely posouzení požadavků a potřeb. Sdílení těchto údajů by mělo umožnit vývoj personalizovaných nástrojů pro zákazníky, jako jsou například přehledy pojištění, které by mohly spotřebitelům pomoci lépe řídit jejich rizika. Sdílení údajů by také mohlo pomoci zákazníkům získat produkty, které jsou lépe zaměřené na jejich požadavky a potřeby, a to i prostřednictvím přínosnějšího poradenství. To může přispět k vhodnějšímu pojistnému krytí pro zákazníky a k většímu finančnímu začlenění spotřebitelů s jinak nedostatečnou dostupností služeb tím, že bude nabídnuto nové nebo rozšířené krytí. Sdílení údajů o pojištění může být navíc přínosné pro efektivnější poskytování pojištění, zejména ve fázích navrhování produktů, upisování, uzavírání smluv, včetně likvidace pojistných událostí, a zmírňování rizik.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184</w:t>
      </w:r>
      <w:r>
        <w:rPr>
          <w:rStyle w:val="HideTWBExt"/>
        </w:rPr>
        <w:t>&lt;/NumAm&gt;</w:t>
      </w:r>
    </w:p>
    <w:p>
      <w:pPr>
        <w:pStyle w:val="NormalBold"/>
      </w:pPr>
      <w:r>
        <w:rPr>
          <w:rStyle w:val="HideTWBExt"/>
        </w:rPr>
        <w:t>&lt;RepeatBlock-By&gt;</w:t>
      </w:r>
      <w:r>
        <w:rPr>
          <w:rStyle w:val="HideTWBExt"/>
        </w:rPr>
        <w:t>&lt;Members&gt;</w:t>
      </w:r>
      <w:r>
        <w:t>Engin Eroglu</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rPr>
                <w:b/>
                <w:i/>
              </w:rPr>
              <w:t>Sdílení údajů</w:t>
            </w:r>
            <w:r>
              <w:t xml:space="preserve"> o zaměstnaneckém a osobním penzijním spoření </w:t>
            </w:r>
            <w:r>
              <w:rPr>
                <w:b/>
                <w:i/>
              </w:rPr>
              <w:t>má</w:t>
            </w:r>
            <w:r>
              <w:t xml:space="preserve"> pro spotřebitele </w:t>
            </w:r>
            <w:r>
              <w:rPr>
                <w:b/>
                <w:i/>
              </w:rPr>
              <w:t>velký inovační potenciál</w:t>
            </w:r>
            <w:r>
              <w:t xml:space="preserve">. Osoby, které si spoří na důchod, často nemají </w:t>
            </w:r>
            <w:r>
              <w:rPr>
                <w:b/>
                <w:i/>
              </w:rPr>
              <w:t>dostatečné</w:t>
            </w:r>
            <w:r>
              <w:t xml:space="preserve"> znalosti o svých důchodových právech, což souvisí se skutečností, že informace o těchto právech jsou často rozptýleny mezi různými držiteli údajů. Sdílení údajů týkajících se zaměstnaneckého a osobního penzijního spoření by mělo </w:t>
            </w:r>
            <w:r>
              <w:rPr>
                <w:b/>
                <w:i/>
              </w:rPr>
              <w:t>přispět k vývoji nástrojů pro sledování</w:t>
            </w:r>
            <w:r>
              <w:t xml:space="preserve"> důchodů</w:t>
            </w:r>
            <w:r>
              <w:rPr>
                <w:b/>
                <w:i/>
              </w:rPr>
              <w:t>, které střadatelům poskytnou</w:t>
            </w:r>
            <w:r>
              <w:t xml:space="preserve"> komplexní přehled </w:t>
            </w:r>
            <w:r>
              <w:rPr>
                <w:b/>
                <w:i/>
              </w:rPr>
              <w:t>o jejich nárocích a důchodových příjmech jak v rámci jednotlivých členských států, tak i přeshraničně v Unii</w:t>
            </w:r>
            <w:r>
              <w:t xml:space="preserve">. Údaje o důchodových právech se týkají zejména nabytých důchodových nároků, předpokládané výše důchodových dávek, rizik a záruk účastníků a příjemců plánů zaměstnaneckého penzijního pojištění. </w:t>
            </w:r>
            <w:r>
              <w:rPr>
                <w:b/>
                <w:i/>
              </w:rPr>
              <w:t>Přístupem k údajům týkajícím se zaměstnaneckých důchodů nejsou dotčeny vnitrostátní sociální a pracovněprávní předpisy o organizaci důchodových systémů, včetně účasti v jednotlivých plánech a výsledků kolektivních smluv.</w:t>
            </w:r>
          </w:p>
        </w:tc>
        <w:tc>
          <w:tcPr>
            <w:tcW w:w="4876" w:type="dxa"/>
          </w:tcPr>
          <w:p>
            <w:pPr>
              <w:pStyle w:val="Normal6a"/>
            </w:pPr>
            <w:r>
              <w:t>(15)</w:t>
            </w:r>
            <w:r>
              <w:tab/>
            </w:r>
            <w:r>
              <w:rPr>
                <w:b/>
                <w:i/>
              </w:rPr>
              <w:t>Sdělování</w:t>
            </w:r>
            <w:r>
              <w:t xml:space="preserve"> o zaměstnaneckém a osobním penzijním spoření </w:t>
            </w:r>
            <w:r>
              <w:rPr>
                <w:b/>
                <w:i/>
              </w:rPr>
              <w:t>může být</w:t>
            </w:r>
            <w:r>
              <w:t xml:space="preserve"> pro spotřebitele </w:t>
            </w:r>
            <w:r>
              <w:rPr>
                <w:b/>
                <w:i/>
              </w:rPr>
              <w:t>přínosem v případě, že si mohou vybrat poskytovatele a penzijní plán</w:t>
            </w:r>
            <w:r>
              <w:t xml:space="preserve">. Osoby, které si spoří na důchod, často nemají </w:t>
            </w:r>
            <w:r>
              <w:rPr>
                <w:b/>
                <w:i/>
              </w:rPr>
              <w:t>zejména vzhledem k tomu, že neexistuje vnitrostátní evidence, ucelené</w:t>
            </w:r>
            <w:r>
              <w:t xml:space="preserve"> znalosti o svých důchodových právech, což souvisí se skutečností, že informace o těchto právech jsou často rozptýleny mezi různými držiteli údajů. Sdílení údajů týkajících se zaměstnaneckého a osobního penzijního spoření </w:t>
            </w:r>
            <w:r>
              <w:rPr>
                <w:b/>
                <w:i/>
              </w:rPr>
              <w:t>podle tohoto nařízení</w:t>
            </w:r>
            <w:r>
              <w:t xml:space="preserve"> by mělo </w:t>
            </w:r>
            <w:r>
              <w:rPr>
                <w:b/>
                <w:i/>
              </w:rPr>
              <w:t>být sladěno s vnitrostátními systémy evidence důchodů, pokud jde o obsah, přístup k údajům a datové formáty.</w:t>
            </w:r>
            <w:r>
              <w:t xml:space="preserve"> </w:t>
            </w:r>
            <w:r>
              <w:rPr>
                <w:b/>
                <w:i/>
              </w:rPr>
              <w:t>Vnitrostátní systémy evidence</w:t>
            </w:r>
            <w:r>
              <w:t xml:space="preserve"> důchodů </w:t>
            </w:r>
            <w:r>
              <w:rPr>
                <w:b/>
                <w:i/>
              </w:rPr>
              <w:t>mohou nejúčinněji zajistit</w:t>
            </w:r>
            <w:r>
              <w:t xml:space="preserve"> komplexní přehled </w:t>
            </w:r>
            <w:r>
              <w:rPr>
                <w:b/>
                <w:i/>
              </w:rPr>
              <w:t>zahrnutím nároků z prvního a druhého pilíře (veřejné a zaměstnanecké penzijní systémy) a v některých případech také z osobních systémů třetího pilíře.</w:t>
            </w:r>
            <w:r>
              <w:t xml:space="preserve"> </w:t>
            </w:r>
            <w:r>
              <w:rPr>
                <w:b/>
                <w:i/>
              </w:rPr>
              <w:t>Sladění je rovněž žádoucí, pokud jde o nové formy výměny údajů mezi vnitrostátními systémy evidence důchodů, které jsou nejvýznamnějším evropským systémem sledování</w:t>
            </w:r>
            <w:r>
              <w:t>. Údaje o důchodových právech se týkají zejména nabytých důchodových nároků, předpokládané výše důchodových dávek, rizik a záruk účastníků a příjemců plánů zaměstnaneckého penzijního pojištění.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Pension tracking itself is not a “new” or “innovative” service.</w:t>
      </w:r>
      <w:r>
        <w:t xml:space="preserve"> </w:t>
      </w:r>
      <w:r>
        <w:t>We therefore recommend a more guarded wording for the added value of tracking services based on the FIDA regulation.</w:t>
      </w:r>
      <w:r>
        <w:t xml:space="preserve"> </w:t>
      </w:r>
      <w:r>
        <w:t>Especially national pension tracking systems that regularly include first pillar entitlements and also include entitlements of pillar 2 and or pillar 3 are generally more holistic than and offer a more reliable projection of retirement benefits in comparison to any conceivable FIDA-based tracking service.</w:t>
      </w:r>
    </w:p>
    <w:p>
      <w:pPr>
        <w:pStyle w:val="AmJustText"/>
      </w:pPr>
      <w:r>
        <w:t>Ultimately, the recital should also deal with the potential effect of FIDA-based tracking-services on already existing or emerging national tracking services.</w:t>
      </w:r>
      <w:r>
        <w:t xml:space="preserve"> </w:t>
      </w:r>
      <w:r>
        <w:t>Due to the competence of Member States for “national social and labour law on the organisation of pension systems” we propose to delete the paragraph starting with “Access to data ….”.</w:t>
      </w:r>
    </w:p>
    <w:p>
      <w:r>
        <w:rPr>
          <w:rStyle w:val="HideTWBExt"/>
        </w:rPr>
        <w:t>&lt;/Amend&gt;</w:t>
      </w:r>
    </w:p>
    <w:p>
      <w:pPr>
        <w:pStyle w:val="AmNumberTabs"/>
      </w:pPr>
      <w:r>
        <w:rPr>
          <w:rStyle w:val="HideTWBExt"/>
        </w:rPr>
        <w:t>&lt;Amend&gt;</w:t>
      </w:r>
      <w:r>
        <w:t>Pozměňovací návrh</w:t>
      </w:r>
      <w:r>
        <w:tab/>
      </w:r>
      <w:r>
        <w:tab/>
      </w:r>
      <w:r>
        <w:rPr>
          <w:rStyle w:val="HideTWBExt"/>
        </w:rPr>
        <w:t>&lt;NumAm&gt;</w:t>
      </w:r>
      <w:r>
        <w:t>185</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(16)</w:t>
            </w:r>
            <w:r>
              <w:tab/>
            </w:r>
            <w:r>
              <w:rPr>
                <w:b/>
                <w:i/>
              </w:rPr>
              <w:t>Údaje, které jsou součástí posouzení úvěruschopnosti podniku v oblasti působnosti tohoto nařízení, by měly sestávat z informací, které podnik poskytuje institucím a věřitelům během procesu žádosti o úvěr nebo žádosti o úvěrový rating.</w:t>
            </w:r>
            <w:r>
              <w:t xml:space="preserve"> </w:t>
            </w:r>
            <w:r>
              <w:rPr>
                <w:b/>
                <w:i/>
              </w:rPr>
              <w:t>Jedná se o žádosti o úvěry mikropodniků, malých, středních a velkých podniků.</w:t>
            </w:r>
            <w:r>
              <w:t xml:space="preserve"> </w:t>
            </w:r>
            <w:r>
              <w:rPr>
                <w:b/>
                <w:i/>
              </w:rPr>
              <w:t>Mohou zahrnovat údaje shromážděné institucemi a věřiteli, jak je uvedeno v příloze II obecných pokynů Evropského orgánu pro bankovnictví k poskytování a sledování úvěrů</w:t>
            </w:r>
            <w:r>
              <w:rPr>
                <w:b/>
                <w:i/>
                <w:vertAlign w:val="superscript"/>
              </w:rPr>
              <w:t>13</w:t>
            </w:r>
            <w:r>
              <w:rPr>
                <w:b/>
                <w:i/>
              </w:rPr>
              <w:t>.</w:t>
            </w:r>
            <w:r>
              <w:t xml:space="preserve"> </w:t>
            </w:r>
            <w:r>
              <w:rPr>
                <w:b/>
                <w:i/>
              </w:rPr>
              <w:t>Tyto údaje mohou zahrnovat finanční výkazy a prognózy, informace o finančních závazcích a nedoplatcích, doklady o vlastnictví kolaterálu, doklady o pojištění kolaterálu a informace o zárukách.</w:t>
            </w:r>
            <w:r>
              <w:t xml:space="preserve"> </w:t>
            </w:r>
            <w:r>
              <w:rPr>
                <w:b/>
                <w:i/>
              </w:rPr>
              <w:t>Další údaje mohou být relevantní v případě, kdy se účel žádosti o úvěr týká nákupu komerční nemovitosti nebo rozvoje nemovitosti.</w:t>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13</w:t>
            </w:r>
            <w:r>
              <w:t xml:space="preserve"> </w:t>
            </w:r>
            <w:r>
              <w:rPr>
                <w:b/>
                <w:i/>
              </w:rPr>
              <w:t>Závěrečná zpráva EBA – Obecné pokyny k poskytování a sledování úvěrů.pdf (europa.eu), 29.</w:t>
            </w:r>
            <w:r>
              <w:t xml:space="preserve"> </w:t>
            </w:r>
            <w:r>
              <w:rPr>
                <w:b/>
                <w:i/>
              </w:rPr>
              <w:t>5. 2020.</w:t>
            </w:r>
          </w:p>
        </w:tc>
        <w:tc>
          <w:tcPr>
            <w:tcW w:w="4876" w:type="dxa"/>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Údaje shromážděné v rámci žádosti o úvěr nebo žádosti o úvěrový rating pro společnosti by neměly spadat do oblasti působnosti tohoto nařízení.</w:t>
      </w:r>
    </w:p>
    <w:p>
      <w:r>
        <w:rPr>
          <w:rStyle w:val="HideTWBExt"/>
        </w:rPr>
        <w:t>&lt;/Amend&gt;</w:t>
      </w:r>
    </w:p>
    <w:p>
      <w:pPr>
        <w:pStyle w:val="AmNumberTabs"/>
      </w:pPr>
      <w:r>
        <w:rPr>
          <w:rStyle w:val="HideTWBExt"/>
        </w:rPr>
        <w:t>&lt;Amend&gt;</w:t>
      </w:r>
      <w:r>
        <w:t>Pozměňovací návrh</w:t>
      </w:r>
      <w:r>
        <w:tab/>
      </w:r>
      <w:r>
        <w:tab/>
      </w:r>
      <w:r>
        <w:rPr>
          <w:rStyle w:val="HideTWBExt"/>
        </w:rPr>
        <w:t>&lt;NumAm&gt;</w:t>
      </w:r>
      <w:r>
        <w:t>186</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(16)</w:t>
            </w:r>
            <w:r>
              <w:tab/>
            </w:r>
            <w:r>
              <w:rPr>
                <w:b/>
                <w:i/>
              </w:rPr>
              <w:t>Údaje, které jsou součástí posouzení úvěruschopnosti podniku v oblasti působnosti tohoto nařízení, by měly sestávat z informací, které podnik poskytuje institucím a věřitelům během procesu žádosti o úvěr nebo žádosti o úvěrový rating.</w:t>
            </w:r>
            <w:r>
              <w:t xml:space="preserve"> </w:t>
            </w:r>
            <w:r>
              <w:rPr>
                <w:b/>
                <w:i/>
              </w:rPr>
              <w:t>Jedná se o žádosti o úvěry mikropodniků, malých, středních a velkých podniků.</w:t>
            </w:r>
            <w:r>
              <w:t xml:space="preserve"> </w:t>
            </w:r>
            <w:r>
              <w:rPr>
                <w:b/>
                <w:i/>
              </w:rPr>
              <w:t>Mohou zahrnovat údaje shromážděné institucemi a věřiteli, jak je uvedeno v příloze II obecných pokynů Evropského orgánu pro bankovnictví k poskytování a sledování úvěrů</w:t>
            </w:r>
            <w:r>
              <w:rPr>
                <w:b/>
                <w:i/>
                <w:vertAlign w:val="superscript"/>
              </w:rPr>
              <w:t>13</w:t>
            </w:r>
            <w:r>
              <w:rPr>
                <w:b/>
                <w:i/>
              </w:rPr>
              <w:t>.</w:t>
            </w:r>
            <w:r>
              <w:t xml:space="preserve"> </w:t>
            </w:r>
            <w:r>
              <w:rPr>
                <w:b/>
                <w:i/>
              </w:rPr>
              <w:t>Tyto údaje mohou zahrnovat finanční výkazy a prognózy, informace o finančních závazcích a nedoplatcích, doklady o vlastnictví kolaterálu, doklady o pojištění kolaterálu a informace o zárukách.</w:t>
            </w:r>
            <w:r>
              <w:t xml:space="preserve"> </w:t>
            </w:r>
            <w:r>
              <w:rPr>
                <w:b/>
                <w:i/>
              </w:rPr>
              <w:t>Další údaje mohou být relevantní v případě, kdy se účel žádosti o úvěr týká nákupu komerční nemovitosti nebo rozvoje nemovitosti.</w:t>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13</w:t>
            </w:r>
            <w:r>
              <w:t xml:space="preserve"> </w:t>
            </w:r>
            <w:r>
              <w:rPr>
                <w:b/>
                <w:i/>
              </w:rPr>
              <w:t>Závěrečná zpráva EBA – Obecné pokyny k poskytování a sledování úvěrů.pdf (europa.eu), 29.</w:t>
            </w:r>
            <w:r>
              <w:t xml:space="preserve"> </w:t>
            </w:r>
            <w:r>
              <w:rPr>
                <w:b/>
                <w:i/>
              </w:rPr>
              <w:t>5. 2020.</w:t>
            </w:r>
          </w:p>
        </w:tc>
        <w:tc>
          <w:tcPr>
            <w:tcW w:w="4876" w:type="dxa"/>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187</w:t>
      </w:r>
      <w:r>
        <w:rPr>
          <w:rStyle w:val="HideTWBExt"/>
        </w:rPr>
        <w:t>&lt;/NumAm&gt;</w:t>
      </w:r>
    </w:p>
    <w:p>
      <w:pPr>
        <w:pStyle w:val="NormalBold"/>
      </w:pPr>
      <w:r>
        <w:rPr>
          <w:rStyle w:val="HideTWBExt"/>
        </w:rPr>
        <w:t>&lt;RepeatBlock-By&gt;</w:t>
      </w:r>
      <w:r>
        <w:rPr>
          <w:rStyle w:val="HideTWBExt"/>
        </w:rPr>
        <w:t>&lt;Members&gt;</w:t>
      </w:r>
      <w:r>
        <w:t>Markus Ferber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(16)</w:t>
            </w:r>
            <w:r>
              <w:tab/>
            </w:r>
            <w:r>
              <w:t xml:space="preserve">Údaje, které jsou součástí posouzení úvěruschopnosti podniku v oblasti působnosti tohoto nařízení, by měly sestávat z informací, které podnik poskytuje institucím a věřitelům během procesu žádosti o úvěr </w:t>
            </w:r>
            <w:r>
              <w:rPr>
                <w:b/>
                <w:i/>
              </w:rPr>
              <w:t>nebo žádosti o úvěrový rating</w:t>
            </w:r>
            <w:r>
              <w:t>. Jedná se o žádosti o úvěry mikropodniků, malých, středních a velkých podniků. Mohou zahrnovat údaje shromážděné institucemi a věřiteli, jak je uvedeno v příloze II obecných pokynů Evropského orgánu pro bankovnictví k poskytování a sledování úvěrů</w:t>
            </w:r>
            <w:r>
              <w:rPr>
                <w:vertAlign w:val="superscript"/>
              </w:rPr>
              <w:t>13</w:t>
            </w:r>
            <w:r>
              <w:t>. Tyto údaje mohou zahrnovat finanční výkazy a prognózy, informace o finančních závazcích a nedoplatcích, doklady o vlastnictví kolaterálu, doklady o pojištění kolaterálu a informace o zárukách. Další údaje mohou být relevantní v případě, kdy se účel žádosti o úvěr týká nákupu komerční nemovitosti nebo rozvoje nemovitosti.</w:t>
            </w:r>
          </w:p>
        </w:tc>
        <w:tc>
          <w:tcPr>
            <w:tcW w:w="4876" w:type="dxa"/>
          </w:tcPr>
          <w:p>
            <w:pPr>
              <w:pStyle w:val="Normal6a"/>
            </w:pPr>
            <w:r>
              <w:t>(16)</w:t>
            </w:r>
            <w:r>
              <w:tab/>
            </w:r>
            <w:r>
              <w:t>Údaje, které jsou součástí posouzení úvěruschopnosti podniku v oblasti působnosti tohoto nařízení, by měly sestávat z informací, které podnik poskytuje institucím a věřitelům během procesu žádosti o úvěr. Jedná se o žádosti o úvěry mikropodniků, malých, středních a velkých podniků. Mohou zahrnovat údaje shromážděné institucemi a věřiteli, jak je uvedeno v příloze II obecných pokynů Evropského orgánu pro bankovnictví k poskytování a sledování úvěrů</w:t>
            </w:r>
            <w:r>
              <w:rPr>
                <w:vertAlign w:val="superscript"/>
              </w:rPr>
              <w:t>13</w:t>
            </w:r>
            <w:r>
              <w:t>. Tyto údaje mohou zahrnovat finanční výkazy a prognózy, informace o finančních závazcích a nedoplatcích, doklady o vlastnictví kolaterálu, doklady o pojištění kolaterálu a informace o zárukách. Další údaje mohou být relevantní v případě, kdy se účel žádosti o úvěr týká nákupu komerční nemovitosti nebo rozvoje nemovitosti.</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13</w:t>
            </w:r>
            <w:r>
              <w:t xml:space="preserve"> </w:t>
            </w:r>
            <w:r>
              <w:t xml:space="preserve">Závěrečná zpráva EBA – Obecné pokyny k poskytování a sledování úvěrů.pdf (europa.eu), 29. </w:t>
            </w:r>
            <w:r>
              <w:rPr>
                <w:b/>
                <w:i/>
              </w:rPr>
              <w:t>5.</w:t>
            </w:r>
            <w:r>
              <w:t xml:space="preserve"> 2020.</w:t>
            </w:r>
          </w:p>
        </w:tc>
        <w:tc>
          <w:tcPr>
            <w:tcW w:w="4876" w:type="dxa"/>
          </w:tcPr>
          <w:p>
            <w:pPr>
              <w:pStyle w:val="Normal6a"/>
            </w:pPr>
            <w:r>
              <w:rPr>
                <w:vertAlign w:val="superscript"/>
              </w:rPr>
              <w:t>13</w:t>
            </w:r>
            <w:r>
              <w:t xml:space="preserve"> </w:t>
            </w:r>
            <w:r>
              <w:t>Závěrečná zpráva EBA – Obecné pokyny k poskytování a sledování úvěrů.pdf (europa.eu), 29. 2020.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Sdílení údajů má v případě ratingových agentur omezené využití.</w:t>
      </w:r>
      <w:r>
        <w:t xml:space="preserve"> </w:t>
      </w:r>
      <w:r>
        <w:t>Údaje používané ratingovými agenturami jsou většinou údaje, které jim poskytl přímo klient.</w:t>
      </w:r>
      <w:r>
        <w:t xml:space="preserve"> </w:t>
      </w:r>
      <w:r>
        <w:t>Většina ostatních údajů je obchodně citlivé povahy a neměla by být sdělována konkurentům.</w:t>
      </w:r>
    </w:p>
    <w:p>
      <w:r>
        <w:rPr>
          <w:rStyle w:val="HideTWBExt"/>
        </w:rPr>
        <w:t>&lt;/Amend&gt;</w:t>
      </w:r>
    </w:p>
    <w:p>
      <w:pPr>
        <w:pStyle w:val="AmNumberTabs"/>
      </w:pPr>
      <w:r>
        <w:rPr>
          <w:rStyle w:val="HideTWBExt"/>
        </w:rPr>
        <w:t>&lt;Amend&gt;</w:t>
      </w:r>
      <w:r>
        <w:t>Pozměňovací návrh</w:t>
      </w:r>
      <w:r>
        <w:tab/>
      </w:r>
      <w:r>
        <w:tab/>
      </w:r>
      <w:r>
        <w:rPr>
          <w:rStyle w:val="HideTWBExt"/>
        </w:rPr>
        <w:t>&lt;NumAm&gt;</w:t>
      </w:r>
      <w:r>
        <w:t>188</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(16a)</w:t>
            </w:r>
            <w:r>
              <w:tab/>
            </w:r>
            <w:r>
              <w:rPr>
                <w:b/>
                <w:i/>
              </w:rPr>
              <w:t>Údaje potřebné k tomu, aby finanční firmy, včetně malých a středních podniků, mohly realizovat procesy v rámci zásady „poznej svého klienta“, mohou být cenné při uzavírání smluv s novými zákazníky.</w:t>
            </w:r>
            <w:r>
              <w:t xml:space="preserve"> </w:t>
            </w:r>
            <w:r>
              <w:rPr>
                <w:b/>
                <w:i/>
              </w:rPr>
              <w:t>Sdílení těchto údajů by proto mělo významně přispět ke snížení překážek bránících změně poskytovatele, a vést tak k větší hospodářské soutěži a inovacím v oblasti finančních produktů a služeb ve prospěch zákazníků.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189</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(17)</w:t>
            </w:r>
            <w:r>
              <w:tab/>
            </w:r>
            <w:r>
              <w:t>Vzhledem k tomu, že cílem tohoto nařízení je uložit finančním institucím povinnost poskytovat na žádost zákazníka přístup k vymezeným kategoriím údajů, pokud vystupují jako držitelé údajů, a umožnit na základě povolení zákazníka sdílení údajů, pokud vystupují jako uživatelé údajů, mělo by obsahovat seznam finančních institucí, které mohou vystupovat buď jako držitelé údajů, uživatelé údajů, nebo jako obojí. Finančními institucemi by se proto měly rozumět subjekty, které poskytují finanční produkty a finanční služby nebo nabízejí příslušné služby informací zákazníkům ve finančním sektoru.</w:t>
            </w:r>
          </w:p>
        </w:tc>
        <w:tc>
          <w:tcPr>
            <w:tcW w:w="4876" w:type="dxa"/>
          </w:tcPr>
          <w:p>
            <w:pPr>
              <w:pStyle w:val="Normal6a"/>
            </w:pPr>
            <w:r>
              <w:t>(17)</w:t>
            </w:r>
            <w:r>
              <w:tab/>
            </w:r>
            <w:r>
              <w:t xml:space="preserve">Vzhledem k tomu, že cílem tohoto nařízení je uložit finančním institucím povinnost poskytovat na žádost zákazníka přístup k vymezeným kategoriím údajů, pokud vystupují jako držitelé údajů, a umožnit na základě povolení zákazníka sdílení údajů, pokud vystupují jako uživatelé údajů, mělo by obsahovat seznam finančních institucí, které mohou vystupovat buď jako držitelé údajů, uživatelé údajů, nebo jako obojí. Finančními institucemi by se proto měly rozumět subjekty, které poskytují finanční produkty a finanční služby nebo nabízejí příslušné služby informací zákazníkům ve finančním sektoru. </w:t>
            </w:r>
            <w:r>
              <w:rPr>
                <w:b/>
                <w:i/>
              </w:rPr>
              <w:t>Data získaná od třetí strany, pokud držitel dat není původním držitelem dat, by neměla spadat do oblasti působnosti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190</w:t>
      </w:r>
      <w:r>
        <w:rPr>
          <w:rStyle w:val="HideTWBExt"/>
        </w:rPr>
        <w:t>&lt;/NumAm&gt;</w:t>
      </w:r>
    </w:p>
    <w:p>
      <w:pPr>
        <w:pStyle w:val="NormalBold"/>
      </w:pPr>
      <w:r>
        <w:rPr>
          <w:rStyle w:val="HideTWBExt"/>
        </w:rPr>
        <w:t>&lt;RepeatBlock-By&gt;</w:t>
      </w:r>
      <w:r>
        <w:rPr>
          <w:rStyle w:val="HideTWBExt"/>
        </w:rPr>
        <w:t>&lt;Members&gt;</w:t>
      </w:r>
      <w:r>
        <w:t>Eero Heinäluoma, Jonás Fernández, Costas Mavrides, Alfred Sant, Aurore Lalucq</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(19)</w:t>
            </w:r>
            <w:r>
              <w:tab/>
            </w:r>
            <w:r>
              <w:t xml:space="preserve">Rozsah použití údajů stanovený v tomto nařízení a v doprovodných </w:t>
            </w:r>
            <w:r>
              <w:rPr>
                <w:b/>
                <w:i/>
              </w:rPr>
              <w:t>obecných pokynech (dále jen „obecné pokyny“)</w:t>
            </w:r>
            <w:r>
              <w:t xml:space="preserve">, které vypracují Evropský orgán pro bankovnictví (EBA) a Evropský orgán pro pojišťovnictví a zaměstnanecké penzijní pojištění (EIOPA), by měl poskytnout přiměřený rámec pro to, jak by měly být používány osobní údaje týkající se spotřebitele, které spadají do oblasti působnosti tohoto nařízení. Rozsah použití údajů zajišťuje soulad mezi oblastí působnosti tohoto nařízení, z níž jsou vyloučeny údaje, jež jsou součástí posouzení úvěruschopnosti spotřebitele, a údaje týkající se životního, zdravotního a nemocenského pojištění spotřebitele, a oblastí působnosti obecných </w:t>
            </w:r>
            <w:r>
              <w:rPr>
                <w:b/>
                <w:i/>
              </w:rPr>
              <w:t>pokynů, které stanoví</w:t>
            </w:r>
            <w:r>
              <w:t xml:space="preserve"> doporučení, jak lze k poskytování těchto produktů a služeb využívat typy údajů pocházející z jiných oblastí finančního sektoru, které spadají do oblasti působnosti tohoto nařízení. </w:t>
            </w:r>
            <w:r>
              <w:rPr>
                <w:b/>
                <w:i/>
              </w:rPr>
              <w:t>Obecné pokyny vypracované EBA by měly stanovit, jakým způsobem lze k provedení úvěrového ohodnocení spotřebitele použít další typy údajů, které spadají do oblasti působnosti tohoto nařízení.</w:t>
            </w:r>
            <w:r>
              <w:t xml:space="preserve"> </w:t>
            </w:r>
            <w:r>
              <w:rPr>
                <w:b/>
                <w:i/>
              </w:rPr>
              <w:t>Obecné pokyny vypracované EIOPA by měly stanovit, jak lze údaje spadající do oblasti působnosti tohoto nařízení využívat v rámci produktů a služeb souvisejících s posuzováním rizik a stanovováním cen v případě produktů životního, zdravotního a nemocenského pojištění.</w:t>
            </w:r>
            <w:r>
              <w:t xml:space="preserve"> </w:t>
            </w:r>
            <w:r>
              <w:rPr>
                <w:b/>
                <w:i/>
              </w:rPr>
              <w:t>Obecné pokyny by měly být vypracovány tak, aby odpovídaly potřebám spotřebitelů a byly přiměřené poskytování těchto produktů a služeb.</w:t>
            </w:r>
          </w:p>
        </w:tc>
        <w:tc>
          <w:tcPr>
            <w:tcW w:w="4876" w:type="dxa"/>
          </w:tcPr>
          <w:p>
            <w:pPr>
              <w:pStyle w:val="Normal6a"/>
            </w:pPr>
            <w:r>
              <w:t>(19)</w:t>
            </w:r>
            <w:r>
              <w:tab/>
            </w:r>
            <w:r>
              <w:t xml:space="preserve">Rozsah použití údajů stanovený v tomto nařízení a v doprovodných </w:t>
            </w:r>
            <w:r>
              <w:rPr>
                <w:b/>
                <w:i/>
              </w:rPr>
              <w:t>regulačních technických normách</w:t>
            </w:r>
            <w:r>
              <w:t xml:space="preserve">, které vypracují Evropský orgán pro bankovnictví (EBA) a Evropský orgán pro pojišťovnictví a zaměstnanecké penzijní pojištění (EIOPA), by měl poskytnout přiměřený rámec pro to, jak by měly být používány osobní údaje týkající se spotřebitele, které spadají do oblasti působnosti tohoto nařízení. Rozsah použití údajů zajišťuje soulad mezi oblastí působnosti tohoto nařízení, z níž jsou vyloučeny údaje, jež jsou součástí posouzení úvěruschopnosti spotřebitele, a údaje týkající se životního, zdravotního a nemocenského pojištění spotřebitele, a oblastí působnosti obecných </w:t>
            </w:r>
            <w:r>
              <w:rPr>
                <w:b/>
                <w:i/>
              </w:rPr>
              <w:t>regulačních technických norem, v nichž je stanoveno</w:t>
            </w:r>
            <w:r>
              <w:t xml:space="preserve"> doporučení, jak lze k poskytování těchto produktů a služeb využívat typy údajů pocházející z jiných oblastí finančního sektoru, které spadají do oblasti působnosti tohoto nařízení.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Regulační technické normy vypracované orgánem EBA by měly stanovit, jakým způsobem lze k provedení úvěrového ohodnocení spotřebitele použít další typy údajů, které spadají do oblasti působnosti tohoto nařízení.</w:t>
            </w:r>
            <w:r>
              <w:t xml:space="preserve"> </w:t>
            </w:r>
            <w:r>
              <w:rPr>
                <w:b/>
                <w:i/>
              </w:rPr>
              <w:t>Regulační technické normy vypracované orgánem EIOPA by měly stanovit, jak lze údaje spadající do oblasti působnosti tohoto nařízení využívat v rámci produktů a služeb souvisejících s posuzováním rizik a stanovováním cen v případě produktů životního, zdravotního a nemocenského pojištění.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Regulační technické normy by měly být vypracovány tak, aby odpovídaly potřebám spotřebitelů a byly přiměřené poskytování těchto produktů a služeb.</w:t>
            </w:r>
            <w:r>
              <w:t xml:space="preserve"> </w:t>
            </w:r>
            <w:r>
              <w:rPr>
                <w:b/>
                <w:i/>
              </w:rPr>
              <w:t>V regulačních technických normách vypracovaných orgánem EIOPA a orgánem EBA by měly být rovněž rozpracovány limity pro kombinování „údajů o zákaznících“ s jinými druhy osobních údajů, jako jsou osobní údaje získané ze zdrojů třetích stran, např. sociálních sítí nebo zprostředkovatelů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191</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(22)</w:t>
            </w:r>
            <w:r>
              <w:tab/>
            </w:r>
            <w:r>
              <w:t xml:space="preserve">V přehledu o povoleních by se měla zobrazovat povolení udělená zákazníkem, včetně případů, kdy jsou osobní údaje sdíleny na základě souhlasu nebo jsou nezbytné pro plnění smlouvy. Přehled </w:t>
            </w:r>
            <w:r>
              <w:rPr>
                <w:b/>
                <w:i/>
              </w:rPr>
              <w:t>o povoleních</w:t>
            </w:r>
            <w:r>
              <w:t xml:space="preserve"> by měl zákazníka standardním způsobem </w:t>
            </w:r>
            <w:r>
              <w:rPr>
                <w:b/>
                <w:i/>
              </w:rPr>
              <w:t>upozornit na riziko</w:t>
            </w:r>
            <w:r>
              <w:t xml:space="preserve"> možných smluvních důsledků </w:t>
            </w:r>
            <w:r>
              <w:rPr>
                <w:b/>
                <w:i/>
              </w:rPr>
              <w:t>odejmutí</w:t>
            </w:r>
            <w:r>
              <w:t xml:space="preserve"> povolení </w:t>
            </w:r>
            <w:r>
              <w:rPr>
                <w:b/>
                <w:i/>
              </w:rPr>
              <w:t>s tím, že</w:t>
            </w:r>
            <w:r>
              <w:t xml:space="preserve"> za řízení tohoto rizika by </w:t>
            </w:r>
            <w:r>
              <w:rPr>
                <w:b/>
                <w:i/>
              </w:rPr>
              <w:t>však měl zůstat odpovědný</w:t>
            </w:r>
            <w:r>
              <w:t xml:space="preserve"> zákazník. </w:t>
            </w:r>
            <w:r>
              <w:rPr>
                <w:b/>
                <w:i/>
              </w:rPr>
              <w:t>Přehled o povoleních by měl sloužit</w:t>
            </w:r>
            <w:r>
              <w:t xml:space="preserve"> ke správě stávajících povolení. Držitelé údajů by měli v reálném čase informovat uživatele údajů o každém odejmutí povolení. Přehled o povoleních by měl po dobu až dvou let obsahovat záznamy o povoleních, která byla odňata nebo jejichž platnost vypršela, aby zákazník svá povolení mohl informovaně a nestranně sledovat. Uživatelé údajů by měli v reálném čase informovat držitele údajů o nových a obnovených povoleních udělených zákazníky, včetně doby platnosti jednotlivých povolení a krátkého shrnutí jejich účelu. Informacemi uvedenými v přehledu o povoleních nejsou dotčeny požadavky na informace podle nařízení (EU) 2016/679.</w:t>
            </w:r>
          </w:p>
        </w:tc>
        <w:tc>
          <w:tcPr>
            <w:tcW w:w="4876" w:type="dxa"/>
          </w:tcPr>
          <w:p>
            <w:pPr>
              <w:pStyle w:val="Normal6a"/>
            </w:pPr>
            <w:r>
              <w:t>(22)</w:t>
            </w:r>
            <w:r>
              <w:tab/>
            </w:r>
            <w:r>
              <w:t xml:space="preserve">V přehledu o povoleních by se měla zobrazovat povolení udělená zákazníkem, včetně případů, kdy jsou osobní údaje sdíleny na základě souhlasu nebo jsou nezbytné pro plnění smlouvy. Přehled </w:t>
            </w:r>
            <w:r>
              <w:rPr>
                <w:b/>
                <w:i/>
              </w:rPr>
              <w:t>údajů o povolení</w:t>
            </w:r>
            <w:r>
              <w:t xml:space="preserve"> by měl zákazníka standardním způsobem </w:t>
            </w:r>
            <w:r>
              <w:rPr>
                <w:b/>
                <w:i/>
              </w:rPr>
              <w:t>varovat před rizikem</w:t>
            </w:r>
            <w:r>
              <w:t xml:space="preserve"> možných smluvních důsledků </w:t>
            </w:r>
            <w:r>
              <w:rPr>
                <w:b/>
                <w:i/>
              </w:rPr>
              <w:t>odnětí</w:t>
            </w:r>
            <w:r>
              <w:t xml:space="preserve"> povolení</w:t>
            </w:r>
            <w:r>
              <w:rPr>
                <w:b/>
                <w:i/>
              </w:rPr>
              <w:t>, ale neměl by spotřebitele ovlivňovat ani vybízet k tomu, aby poskytl přístup takovým způsobem, který podstatně narušuje nebo omezuje jeho schopnost učinit svobodné a informované rozhodnutí, neboť odpovědnost</w:t>
            </w:r>
            <w:r>
              <w:t xml:space="preserve"> za řízení tohoto rizika by </w:t>
            </w:r>
            <w:r>
              <w:rPr>
                <w:b/>
                <w:i/>
              </w:rPr>
              <w:t>měl nést i nadále</w:t>
            </w:r>
            <w:r>
              <w:t xml:space="preserve"> zákazník. </w:t>
            </w:r>
            <w:r>
              <w:rPr>
                <w:b/>
                <w:i/>
              </w:rPr>
              <w:t>Je nezbytné, aby spotřebitelé přesně věděli, k čemu udělují souhlas, a že se uplatní jejich práva podle obecného nařízení o ochraně osobních údajů.</w:t>
            </w:r>
            <w:r>
              <w:t xml:space="preserve"> </w:t>
            </w:r>
            <w:r>
              <w:rPr>
                <w:b/>
                <w:i/>
              </w:rPr>
              <w:t>Tyto informace by měly být spotřebitelům poskytovány jasným a srozumitelným jazykem.</w:t>
            </w:r>
            <w:r>
              <w:t xml:space="preserve"> </w:t>
            </w:r>
            <w:r>
              <w:rPr>
                <w:b/>
                <w:i/>
              </w:rPr>
              <w:t>Aby si spotřebitelé mohli účinně udržet kontrolu nad svými údaji, je v přehledech pro účely udělování povolení ke sdílení údajů zakázáno zavádění temných vzorců a předem zaškrtnutých políček.</w:t>
            </w:r>
            <w:r>
              <w:t xml:space="preserve"> Ke správě stávajících </w:t>
            </w:r>
            <w:r>
              <w:rPr>
                <w:b/>
                <w:i/>
              </w:rPr>
              <w:t>povolení by měl být používán přehled</w:t>
            </w:r>
            <w:r>
              <w:t xml:space="preserve"> povolení. Držitelé údajů by měli v reálném čase informovat uživatele údajů o každém odejmutí povolení. Přehled o povoleních by měl po dobu až dvou let obsahovat záznamy o povoleních, která byla odňata nebo jejichž platnost vypršela, aby zákazník svá povolení mohl informovaně a nestranně sledovat. Uživatelé údajů by měli v reálném čase informovat držitele údajů o nových a obnovených povoleních udělených zákazníky, včetně doby platnosti jednotlivých povolení a krátkého shrnutí jejich účelu. Informacemi uvedenými v přehledu o povoleních nejsou dotčeny požadavky na informace podle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192</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(22)</w:t>
            </w:r>
            <w:r>
              <w:tab/>
            </w:r>
            <w:r>
              <w:t xml:space="preserve">V přehledu o povoleních by se měla zobrazovat povolení udělená zákazníkem, včetně případů, kdy jsou osobní údaje sdíleny na základě souhlasu nebo jsou nezbytné pro plnění smlouvy. Přehled o povoleních by měl zákazníka standardním způsobem upozornit na riziko možných smluvních důsledků odejmutí povolení s tím, že za řízení tohoto rizika by však měl zůstat odpovědný zákazník. Přehled o povoleních by měl sloužit ke správě stávajících povolení. Držitelé údajů by měli </w:t>
            </w:r>
            <w:r>
              <w:rPr>
                <w:b/>
                <w:i/>
              </w:rPr>
              <w:t>v reálném čase</w:t>
            </w:r>
            <w:r>
              <w:t xml:space="preserve"> informovat uživatele údajů o každém odejmutí povolení. Přehled o povoleních by měl po dobu až dvou let obsahovat záznamy o povoleních, která byla odňata nebo jejichž platnost vypršela, aby zákazník svá povolení mohl informovaně a nestranně sledovat. Uživatelé údajů by měli </w:t>
            </w:r>
            <w:r>
              <w:rPr>
                <w:b/>
                <w:i/>
              </w:rPr>
              <w:t>v reálném čase</w:t>
            </w:r>
            <w:r>
              <w:t xml:space="preserve"> informovat držitele údajů o nových a obnovených povoleních udělených zákazníky, včetně doby platnosti jednotlivých povolení a krátkého shrnutí jejich účelu. Informacemi uvedenými v přehledu o povoleních nejsou dotčeny požadavky na informace podle nařízení (EU) 2016/679.</w:t>
            </w:r>
          </w:p>
        </w:tc>
        <w:tc>
          <w:tcPr>
            <w:tcW w:w="4876" w:type="dxa"/>
          </w:tcPr>
          <w:p>
            <w:pPr>
              <w:pStyle w:val="Normal6a"/>
            </w:pPr>
            <w:r>
              <w:t>(22)</w:t>
            </w:r>
            <w:r>
              <w:tab/>
            </w:r>
            <w:r>
              <w:t xml:space="preserve">V přehledu o povoleních by se měla zobrazovat povolení udělená zákazníkem, včetně případů, kdy jsou osobní údaje sdíleny na základě souhlasu nebo jsou nezbytné pro plnění smlouvy. Přehled o povoleních by měl zákazníka standardním způsobem upozornit na riziko možných smluvních důsledků odejmutí povolení s tím, že za řízení tohoto rizika by však měl zůstat odpovědný zákazník. Přehled o povoleních by měl sloužit ke správě stávajících povolení. Držitelé údajů by měli </w:t>
            </w:r>
            <w:r>
              <w:rPr>
                <w:b/>
                <w:i/>
              </w:rPr>
              <w:t>okamžitě</w:t>
            </w:r>
            <w:r>
              <w:t xml:space="preserve"> informovat uživatele údajů o každém odejmutí povolení. Přehled o povoleních by měl po dobu až dvou let obsahovat záznamy o povoleních, která byla odňata nebo jejichž platnost vypršela, aby zákazník svá povolení mohl informovaně a nestranně sledovat. Uživatelé údajů by měli </w:t>
            </w:r>
            <w:r>
              <w:rPr>
                <w:b/>
                <w:i/>
              </w:rPr>
              <w:t>okamžitě</w:t>
            </w:r>
            <w:r>
              <w:t xml:space="preserve"> informovat držitele údajů o nových a obnovených povoleních udělených zákazníky, včetně doby platnosti jednotlivých povolení a krátkého shrnutí jejich účelu. Informacemi uvedenými v přehledu o povoleních nejsou dotčeny požadavky na informace podle nařízení (EU) 2016/679. </w:t>
            </w:r>
            <w:r>
              <w:rPr>
                <w:b/>
                <w:i/>
              </w:rPr>
              <w:t>Přehled o povoleních lze kombinovat s přehledem o povoleních zřízeným podle nařízení o platebních službách.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193</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(22)</w:t>
            </w:r>
            <w:r>
              <w:tab/>
            </w:r>
            <w:r>
              <w:t>V přehledu o povoleních by se měla zobrazovat povolení udělená zákazníkem</w:t>
            </w:r>
            <w:r>
              <w:rPr>
                <w:b/>
                <w:i/>
              </w:rPr>
              <w:t>, včetně případů, kdy jsou osobní údaje sdíleny na základě souhlasu nebo jsou nezbytné pro plnění smlouvy</w:t>
            </w:r>
            <w:r>
              <w:t xml:space="preserve">. Přehled o povoleních by měl zákazníka standardním způsobem upozornit na riziko možných smluvních důsledků odejmutí povolení s tím, že za řízení tohoto rizika by však měl zůstat odpovědný zákazník. Přehled o povoleních by měl sloužit ke správě stávajících povolení. </w:t>
            </w:r>
            <w:r>
              <w:rPr>
                <w:b/>
                <w:i/>
              </w:rPr>
              <w:t>Držitelé</w:t>
            </w:r>
            <w:r>
              <w:t xml:space="preserve"> údajů by měli </w:t>
            </w:r>
            <w:r>
              <w:rPr>
                <w:b/>
                <w:i/>
              </w:rPr>
              <w:t>v reálném čase</w:t>
            </w:r>
            <w:r>
              <w:t xml:space="preserve"> informovat </w:t>
            </w:r>
            <w:r>
              <w:rPr>
                <w:b/>
                <w:i/>
              </w:rPr>
              <w:t>uživatele</w:t>
            </w:r>
            <w:r>
              <w:t xml:space="preserve"> údajů o každém odejmutí povolení. Přehled o povoleních by měl po dobu až dvou let obsahovat záznamy o povoleních, která byla odňata nebo jejichž platnost vypršela, aby zákazník svá povolení mohl informovaně a nestranně sledovat. Uživatelé údajů by měli </w:t>
            </w:r>
            <w:r>
              <w:rPr>
                <w:b/>
                <w:i/>
              </w:rPr>
              <w:t>v reálném čase</w:t>
            </w:r>
            <w:r>
              <w:t xml:space="preserve"> informovat držitele údajů o nových </w:t>
            </w:r>
            <w:r>
              <w:rPr>
                <w:b/>
                <w:i/>
              </w:rPr>
              <w:t>a obnovených</w:t>
            </w:r>
            <w:r>
              <w:t xml:space="preserve"> povoleních udělených zákazníky, včetně doby platnosti jednotlivých povolení a krátkého shrnutí jejich účelu. Informacemi uvedenými v přehledu o povoleních nejsou dotčeny požadavky na informace podle nařízení (EU) 2016/679.</w:t>
            </w:r>
          </w:p>
        </w:tc>
        <w:tc>
          <w:tcPr>
            <w:tcW w:w="4876" w:type="dxa"/>
          </w:tcPr>
          <w:p>
            <w:pPr>
              <w:pStyle w:val="Normal6a"/>
            </w:pPr>
            <w:r>
              <w:t>(22)</w:t>
            </w:r>
            <w:r>
              <w:tab/>
            </w:r>
            <w:r>
              <w:t xml:space="preserve">V přehledu o povoleních by se měla zobrazovat povolení udělená zákazníkem. Přehled o povoleních by měl zákazníka standardním způsobem upozornit na riziko možných smluvních důsledků odejmutí povolení s tím, že za řízení tohoto rizika by však měl zůstat odpovědný zákazník. Přehled o povoleních by měl sloužit ke správě stávajících povolení. </w:t>
            </w:r>
            <w:r>
              <w:rPr>
                <w:b/>
                <w:i/>
              </w:rPr>
              <w:t>Uživatelé</w:t>
            </w:r>
            <w:r>
              <w:t xml:space="preserve"> údajů by měli </w:t>
            </w:r>
            <w:r>
              <w:rPr>
                <w:b/>
                <w:i/>
              </w:rPr>
              <w:t>okamžitě</w:t>
            </w:r>
            <w:r>
              <w:t xml:space="preserve"> informovat </w:t>
            </w:r>
            <w:r>
              <w:rPr>
                <w:b/>
                <w:i/>
              </w:rPr>
              <w:t>držitele</w:t>
            </w:r>
            <w:r>
              <w:t xml:space="preserve"> údajů o každém odejmutí povolení. Přehled o povoleních by měl po dobu až dvou let obsahovat záznamy o povoleních, která byla odňata nebo jejichž platnost vypršela, aby zákazník svá povolení mohl informovaně a nestranně sledovat. Uživatelé údajů by měli </w:t>
            </w:r>
            <w:r>
              <w:rPr>
                <w:b/>
                <w:i/>
              </w:rPr>
              <w:t>okamžitě</w:t>
            </w:r>
            <w:r>
              <w:t xml:space="preserve"> informovat držitele údajů o nových povoleních udělených zákazníky, včetně doby platnosti jednotlivých povolení a krátkého shrnutí jejich účelu. Informacemi uvedenými v přehledu o povoleních nejsou dotčeny požadavky na informace podle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194</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(22)</w:t>
            </w:r>
            <w:r>
              <w:tab/>
            </w:r>
            <w:r>
              <w:t>V přehledu o povoleních by se měla zobrazovat povolení udělená zákazníkem</w:t>
            </w:r>
            <w:r>
              <w:rPr>
                <w:b/>
                <w:i/>
              </w:rPr>
              <w:t>, včetně případů, kdy jsou osobní údaje sdíleny na základě souhlasu nebo jsou nezbytné pro plnění smlouvy</w:t>
            </w:r>
            <w:r>
              <w:t xml:space="preserve">. Přehled o povoleních by měl zákazníka standardním způsobem upozornit na riziko možných smluvních důsledků odejmutí povolení s tím, že za řízení tohoto rizika by však měl zůstat odpovědný zákazník. Přehled o povoleních by měl sloužit ke správě stávajících povolení. </w:t>
            </w:r>
            <w:r>
              <w:rPr>
                <w:b/>
                <w:i/>
              </w:rPr>
              <w:t>Držitelé</w:t>
            </w:r>
            <w:r>
              <w:t xml:space="preserve"> údajů by měli </w:t>
            </w:r>
            <w:r>
              <w:rPr>
                <w:b/>
                <w:i/>
              </w:rPr>
              <w:t>v reálném čase</w:t>
            </w:r>
            <w:r>
              <w:t xml:space="preserve"> informovat </w:t>
            </w:r>
            <w:r>
              <w:rPr>
                <w:b/>
                <w:i/>
              </w:rPr>
              <w:t>uživatele</w:t>
            </w:r>
            <w:r>
              <w:t xml:space="preserve"> údajů o každém odejmutí povolení. Přehled o povoleních by měl po dobu až dvou let obsahovat záznamy o povoleních, která byla odňata nebo jejichž platnost vypršela, aby zákazník svá povolení mohl informovaně a nestranně sledovat. Uživatelé údajů by měli </w:t>
            </w:r>
            <w:r>
              <w:rPr>
                <w:b/>
                <w:i/>
              </w:rPr>
              <w:t>v reálném čase</w:t>
            </w:r>
            <w:r>
              <w:t xml:space="preserve"> informovat držitele údajů o nových </w:t>
            </w:r>
            <w:r>
              <w:rPr>
                <w:b/>
                <w:i/>
              </w:rPr>
              <w:t>a obnovených</w:t>
            </w:r>
            <w:r>
              <w:t xml:space="preserve"> povoleních udělených zákazníky, včetně doby platnosti jednotlivých povolení a krátkého shrnutí jejich účelu. Informacemi uvedenými v přehledu o povoleních nejsou dotčeny požadavky na informace podle nařízení (EU) 2016/679.</w:t>
            </w:r>
          </w:p>
        </w:tc>
        <w:tc>
          <w:tcPr>
            <w:tcW w:w="4876" w:type="dxa"/>
          </w:tcPr>
          <w:p>
            <w:pPr>
              <w:pStyle w:val="Normal6a"/>
            </w:pPr>
            <w:r>
              <w:t>(22)</w:t>
            </w:r>
            <w:r>
              <w:tab/>
            </w:r>
            <w:r>
              <w:t xml:space="preserve">V přehledu o povoleních by se měla zobrazovat povolení udělená zákazníkem. Přehled o povoleních by měl zákazníka standardním způsobem upozornit na riziko možných smluvních důsledků odejmutí povolení s tím, že za řízení tohoto rizika by však měl zůstat odpovědný zákazník. Přehled o povoleních by měl sloužit ke správě stávajících povolení. </w:t>
            </w:r>
            <w:r>
              <w:rPr>
                <w:b/>
                <w:i/>
              </w:rPr>
              <w:t>Uživatelé</w:t>
            </w:r>
            <w:r>
              <w:t xml:space="preserve"> údajů by měli </w:t>
            </w:r>
            <w:r>
              <w:rPr>
                <w:b/>
                <w:i/>
              </w:rPr>
              <w:t>okamžitě</w:t>
            </w:r>
            <w:r>
              <w:t xml:space="preserve"> informovat </w:t>
            </w:r>
            <w:r>
              <w:rPr>
                <w:b/>
                <w:i/>
              </w:rPr>
              <w:t>držitele</w:t>
            </w:r>
            <w:r>
              <w:t xml:space="preserve"> údajů o každém odejmutí povolení. Přehled o povoleních by měl po dobu až dvou let obsahovat záznamy o povoleních, která byla odňata nebo jejichž platnost vypršela, aby zákazník svá povolení mohl informovaně a nestranně sledovat. Uživatelé údajů by měli </w:t>
            </w:r>
            <w:r>
              <w:rPr>
                <w:b/>
                <w:i/>
              </w:rPr>
              <w:t>okamžitě</w:t>
            </w:r>
            <w:r>
              <w:t xml:space="preserve"> informovat držitele údajů o nových povoleních udělených zákazníky, včetně doby platnosti jednotlivých povolení a krátkého shrnutí jejich účelu. Informacemi uvedenými v přehledu o povoleních nejsou dotčeny požadavky na informace podle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195</w:t>
      </w:r>
      <w:r>
        <w:rPr>
          <w:rStyle w:val="HideTWBExt"/>
        </w:rPr>
        <w:t>&lt;/NumAm&gt;</w:t>
      </w:r>
    </w:p>
    <w:p>
      <w:pPr>
        <w:pStyle w:val="NormalBold"/>
      </w:pPr>
      <w:r>
        <w:rPr>
          <w:rStyle w:val="HideTWBExt"/>
        </w:rPr>
        <w:t>&lt;RepeatBlock-By&gt;</w:t>
      </w:r>
      <w:r>
        <w:rPr>
          <w:rStyle w:val="HideTWBExt"/>
        </w:rPr>
        <w:t>&lt;Members&gt;</w:t>
      </w:r>
      <w:r>
        <w:t>Ondřej Kovařík, Martin Hlaváček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(22)</w:t>
            </w:r>
            <w:r>
              <w:tab/>
            </w:r>
            <w:r>
              <w:t xml:space="preserve">V přehledu o povoleních by se měla zobrazovat povolení udělená zákazníkem, včetně případů, kdy jsou osobní údaje sdíleny na základě souhlasu nebo jsou nezbytné pro plnění smlouvy. Přehled o povoleních by měl zákazníka standardním způsobem upozornit na riziko možných smluvních důsledků odejmutí povolení s tím, že za řízení tohoto rizika by však měl zůstat odpovědný zákazník. Přehled o povoleních by měl sloužit ke správě stávajících povolení. Držitelé údajů by měli </w:t>
            </w:r>
            <w:r>
              <w:rPr>
                <w:b/>
                <w:i/>
              </w:rPr>
              <w:t>v reálném čase</w:t>
            </w:r>
            <w:r>
              <w:t xml:space="preserve"> informovat uživatele údajů o každém odejmutí povolení. Přehled o povoleních by měl po dobu až dvou let obsahovat záznamy o povoleních, která byla odňata nebo jejichž platnost vypršela, aby zákazník svá povolení mohl informovaně a nestranně sledovat. Uživatelé údajů by měli v reálném čase informovat držitele údajů o nových a obnovených povoleních udělených zákazníky, včetně doby platnosti jednotlivých povolení a krátkého shrnutí jejich účelu. Informacemi uvedenými v přehledu o povoleních nejsou dotčeny požadavky na informace podle nařízení (EU) 2016/679.</w:t>
            </w:r>
          </w:p>
        </w:tc>
        <w:tc>
          <w:tcPr>
            <w:tcW w:w="4876" w:type="dxa"/>
          </w:tcPr>
          <w:p>
            <w:pPr>
              <w:pStyle w:val="Normal6a"/>
            </w:pPr>
            <w:r>
              <w:t>(22)</w:t>
            </w:r>
            <w:r>
              <w:tab/>
            </w:r>
            <w:r>
              <w:t xml:space="preserve">V přehledu o povoleních by se měla zobrazovat povolení udělená zákazníkem, včetně případů, kdy jsou osobní údaje sdíleny na základě souhlasu nebo jsou nezbytné pro plnění smlouvy. Přehled o povoleních by měl zákazníka standardním způsobem upozornit na riziko možných smluvních důsledků odejmutí povolení s tím, že za řízení tohoto rizika by však měl zůstat odpovědný zákazník. Přehled o povoleních by měl sloužit ke správě stávajících povolení. Držitelé údajů by měli </w:t>
            </w:r>
            <w:r>
              <w:rPr>
                <w:b/>
                <w:i/>
              </w:rPr>
              <w:t>včas</w:t>
            </w:r>
            <w:r>
              <w:t xml:space="preserve"> informovat uživatele údajů o každém odejmutí povolení. Přehled o povoleních by měl po dobu až dvou let obsahovat záznamy o povoleních, která byla odňata nebo jejichž platnost vypršela, aby zákazník svá povolení mohl informovaně a nestranně sledovat. Uživatelé údajů by měli v reálném čase informovat držitele údajů o nových a obnovených povoleních udělených zákazníky, včetně doby platnosti jednotlivých povolení a krátkého shrnutí jejich účelu. Informacemi uvedenými v přehledu o povoleních nejsou dotčeny požadavky na informace podle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196</w:t>
      </w:r>
      <w:r>
        <w:rPr>
          <w:rStyle w:val="HideTWBExt"/>
        </w:rPr>
        <w:t>&lt;/NumAm&gt;</w:t>
      </w:r>
    </w:p>
    <w:p>
      <w:pPr>
        <w:pStyle w:val="NormalBold"/>
      </w:pPr>
      <w:r>
        <w:rPr>
          <w:rStyle w:val="HideTWBExt"/>
        </w:rPr>
        <w:t>&lt;RepeatBlock-By&gt;</w:t>
      </w:r>
      <w:r>
        <w:rPr>
          <w:rStyle w:val="HideTWBExt"/>
        </w:rPr>
        <w:t>&lt;Members&gt;</w:t>
      </w:r>
      <w:r>
        <w:t>Othmar Karas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(23)</w:t>
            </w:r>
            <w:r>
              <w:tab/>
            </w:r>
            <w:r>
              <w:t>V zájmu zajištění přiměřenosti jsou z oblasti působnosti tohoto nařízení vyňaty některé finanční instituce, a to z důvodů, které souvisejí s jejich velikostí nebo se službami, které poskytují, a které by příliš ztěžovaly dodržování tohoto nařízení. Patří mezi ně instituce zaměstnaneckého penzijního pojištění, které provozují penzijní plány, jež dohromady nemají více než 15 účastníků, a také zprostředkovatelé pojištění, kteří jsou mikropodniky nebo malými či středními podniky. Kromě toho by mělo být malým nebo středním podnikům, které vystupují jako držitelé údajů a spadají do oblasti působnosti tohoto nařízení, umožněno vytvořit aplikační programovací rozhraní (API) společně, čímž by se snížily náklady každého z nich. Mohou také využít služeb externích poskytovatelů technologií, kteří pro finanční instituce provozují aplikační programovací rozhraní (API) sdruženým způsobem a mohou jim účtovat pouze nízký fixní poplatek za použití a pracovat převážně na bázi platby podle využívání.</w:t>
            </w:r>
          </w:p>
        </w:tc>
        <w:tc>
          <w:tcPr>
            <w:tcW w:w="4876" w:type="dxa"/>
          </w:tcPr>
          <w:p>
            <w:pPr>
              <w:pStyle w:val="Normal6a"/>
            </w:pPr>
            <w:r>
              <w:t>(23)</w:t>
            </w:r>
            <w:r>
              <w:tab/>
            </w:r>
            <w:r>
              <w:t xml:space="preserve">V zájmu zajištění přiměřenosti jsou z oblasti působnosti tohoto nařízení vyňaty některé finanční instituce, a to z důvodů, které souvisejí s jejich velikostí nebo se službami, které poskytují, a které by příliš ztěžovaly dodržování tohoto nařízení. Patří mezi ně instituce zaměstnaneckého penzijního pojištění, které provozují penzijní plány, jež dohromady nemají více než 15 účastníků, a také zprostředkovatelé pojištění, kteří jsou mikropodniky nebo malými či středními podniky. Kromě toho by mělo být malým nebo středním podnikům, které vystupují jako držitelé údajů a spadají do oblasti působnosti tohoto nařízení, umožněno vytvořit aplikační programovací rozhraní (API) společně, čímž by se snížily náklady každého z nich. Mohou také využít služeb externích poskytovatelů technologií, kteří pro finanční instituce provozují aplikační programovací rozhraní (API) sdruženým způsobem a mohou jim účtovat pouze nízký fixní poplatek za použití a pracovat převážně na bázi platby podle využívání. </w:t>
            </w:r>
            <w:r>
              <w:rPr>
                <w:b/>
                <w:i/>
              </w:rPr>
              <w:t>Malé podniky by měly spadat do oblasti působnosti tohoto nařízení až po uplynutí 12 měsíců od data použitelnosti tohoto nařízení, a to z důvodu potenciálně omezených dodávek a/nebo vysokých nákladů na tato řešení v krátkodobém horizontu.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This amendment aims to complement the proportionality elements referred to in Recital 23 by delaying the date of application for small enterprises (who employ fewer than 50 persons and whose annual turnover and/or annual balance sheet total does not exceed EUR 10 million) as defined in Recommendation 2003/361/EC by an additional 12 months.</w:t>
      </w:r>
      <w:r>
        <w:t xml:space="preserve"> </w:t>
      </w:r>
      <w:r>
        <w:t>Although bundling resources for application programming interfaces or pay-per-call services by external technology providers may lower the costs for smaller enterprises, an extension of the application date is justified due to potentially limited supply and/or high costs of these solutions in the short term.</w:t>
      </w:r>
    </w:p>
    <w:p>
      <w:r>
        <w:rPr>
          <w:rStyle w:val="HideTWBExt"/>
        </w:rPr>
        <w:t>&lt;/Amend&gt;</w:t>
      </w:r>
    </w:p>
    <w:p>
      <w:pPr>
        <w:pStyle w:val="AmNumberTabs"/>
      </w:pPr>
      <w:r>
        <w:rPr>
          <w:rStyle w:val="HideTWBExt"/>
        </w:rPr>
        <w:t>&lt;Amend&gt;</w:t>
      </w:r>
      <w:r>
        <w:t>Pozměňovací návrh</w:t>
      </w:r>
      <w:r>
        <w:tab/>
      </w:r>
      <w:r>
        <w:tab/>
      </w:r>
      <w:r>
        <w:rPr>
          <w:rStyle w:val="HideTWBExt"/>
        </w:rPr>
        <w:t>&lt;NumAm&gt;</w:t>
      </w:r>
      <w:r>
        <w:t>197</w:t>
      </w:r>
      <w:r>
        <w:rPr>
          <w:rStyle w:val="HideTWBExt"/>
        </w:rPr>
        <w:t>&lt;/NumAm&gt;</w:t>
      </w:r>
    </w:p>
    <w:p>
      <w:pPr>
        <w:pStyle w:val="NormalBold"/>
      </w:pPr>
      <w:r>
        <w:rPr>
          <w:rStyle w:val="HideTWBExt"/>
        </w:rPr>
        <w:t>&lt;RepeatBlock-By&gt;</w:t>
      </w:r>
      <w:r>
        <w:rPr>
          <w:rStyle w:val="HideTWBExt"/>
        </w:rPr>
        <w:t>&lt;Members&gt;</w:t>
      </w:r>
      <w:r>
        <w:t>Isabel Benjumea Benjumea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(23a)</w:t>
            </w:r>
            <w:r>
              <w:tab/>
            </w:r>
            <w:r>
              <w:rPr>
                <w:b/>
                <w:i/>
              </w:rPr>
              <w:t>Toto nařízení stanoví řadu požadavků, jako je digitalizace údajů nebo poskytování údajů zákazníkům bezplatně a v reálném čase, kvůli nimž subjektům, na něž se vztahuje oblast působnosti tohoto nařízení, vznikají náklady a tyto požadavky pro ně představují zátěž.</w:t>
            </w:r>
            <w:r>
              <w:t xml:space="preserve"> </w:t>
            </w:r>
            <w:r>
              <w:rPr>
                <w:b/>
                <w:i/>
              </w:rPr>
              <w:t>Komise se proto vyzývá, aby provedla hloubkovou analýzu nákladů, které z těchto požadavků vyplývají, a sice s cílem zajistit, aby žádný podnik nebyl potenciálně znevýhodněn.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198</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(24)</w:t>
            </w:r>
            <w:r>
              <w:tab/>
            </w:r>
            <w:r>
              <w:t xml:space="preserve">Toto nařízení zavádí novou právní povinnost finančních institucí, které </w:t>
            </w:r>
            <w:r>
              <w:rPr>
                <w:b/>
                <w:i/>
              </w:rPr>
              <w:t>vystupují jako držitelé údajů, sdílet na žádost zákazníka vymezené kategorie</w:t>
            </w:r>
            <w:r>
              <w:t xml:space="preserve"> údajů. Povinnost držitelů údajů </w:t>
            </w:r>
            <w:r>
              <w:rPr>
                <w:b/>
                <w:i/>
              </w:rPr>
              <w:t>sdílet údaje na</w:t>
            </w:r>
            <w:r>
              <w:t xml:space="preserve"> žádost zákazníka by měla být upřesněna zpřístupněním obecně uznávaných standardů, aby bylo rovněž zajištěno, že </w:t>
            </w:r>
            <w:r>
              <w:rPr>
                <w:b/>
                <w:i/>
              </w:rPr>
              <w:t>sdílené údaje</w:t>
            </w:r>
            <w:r>
              <w:t xml:space="preserve"> jsou dostatečně kvalitní. Držitel údajů by měl zákaznické údaje </w:t>
            </w:r>
            <w:r>
              <w:rPr>
                <w:b/>
                <w:i/>
              </w:rPr>
              <w:t>nepřetržitě</w:t>
            </w:r>
            <w:r>
              <w:t xml:space="preserve"> zpřístupňovat pro účely a za podmínek, pro které zákazník udělil uživateli údajů povolení. Nepřetržitý přístup by mohl spočívat ve vícenásobných žádostech o zpřístupnění zákaznických údajů za účelem splnění služby dohodnuté se zákazníkem. Mohlo by se také jednat o jednorázový přístup k zákaznickým údajům. Zatímco držitel údajů je odpovědný za dostupnost rozhraní a jeho odpovídající kvalitu, samotné rozhraní může poskytnout nejen držitel údajů, ale i jiná finanční instituce, externí poskytovatel IT, oborové sdružení nebo skupina finančních institucí či veřejný subjekt v členském státě. V případě institucí zaměstnaneckého penzijního pojištění lze rozhraní integrovat do přehledů důchodových ukazatelů, které zahrnují širší rozsah informací, pokud splňují požadavky tohoto nařízení.</w:t>
            </w:r>
          </w:p>
        </w:tc>
        <w:tc>
          <w:tcPr>
            <w:tcW w:w="4876" w:type="dxa"/>
          </w:tcPr>
          <w:p>
            <w:pPr>
              <w:pStyle w:val="Normal6a"/>
            </w:pPr>
            <w:r>
              <w:t>(24)</w:t>
            </w:r>
            <w:r>
              <w:tab/>
            </w:r>
            <w:r>
              <w:t xml:space="preserve">Toto nařízení zavádí novou právní povinnost finančních institucí </w:t>
            </w:r>
            <w:r>
              <w:rPr>
                <w:b/>
                <w:i/>
              </w:rPr>
              <w:t>poskytovat uživatelům údajů přístup k vymezeným kategoriím údajů</w:t>
            </w:r>
            <w:r>
              <w:t xml:space="preserve">, které </w:t>
            </w:r>
            <w:r>
              <w:rPr>
                <w:b/>
                <w:i/>
              </w:rPr>
              <w:t>jsou k dispozici v digitální podobě, vystupují-li členové systému přístupu k finančním údajům jako držitelé</w:t>
            </w:r>
            <w:r>
              <w:t xml:space="preserve"> údajů. Povinnost držitelů údajů </w:t>
            </w:r>
            <w:r>
              <w:rPr>
                <w:b/>
                <w:i/>
              </w:rPr>
              <w:t>poskytovat přístup k údajům na výslovnou</w:t>
            </w:r>
            <w:r>
              <w:t xml:space="preserve"> žádost zákazníka by měla být upřesněna zpřístupněním obecně uznávaných </w:t>
            </w:r>
            <w:r>
              <w:rPr>
                <w:b/>
                <w:i/>
              </w:rPr>
              <w:t>celounijních interoperablních</w:t>
            </w:r>
            <w:r>
              <w:t xml:space="preserve"> standardů, aby bylo rovněž zajištěno, že </w:t>
            </w:r>
            <w:r>
              <w:rPr>
                <w:b/>
                <w:i/>
              </w:rPr>
              <w:t>údaje, k nimž je přistupováno,</w:t>
            </w:r>
            <w:r>
              <w:t xml:space="preserve"> jsou dostatečně kvalitní. </w:t>
            </w:r>
            <w:r>
              <w:rPr>
                <w:b/>
                <w:i/>
              </w:rPr>
              <w:t>Evropské orgány dohledu by měly být pověřeny vydáváním pokynů k zajištění interoperabilních standardů údajů v celé EU.</w:t>
            </w:r>
            <w:r>
              <w:t xml:space="preserve"> Držitel údajů by měl zákaznické údaje zpřístupňovat </w:t>
            </w:r>
            <w:r>
              <w:rPr>
                <w:b/>
                <w:i/>
              </w:rPr>
              <w:t>pouze</w:t>
            </w:r>
            <w:r>
              <w:t xml:space="preserve"> pro účely a za podmínek, pro které zákazník </w:t>
            </w:r>
            <w:r>
              <w:rPr>
                <w:b/>
                <w:i/>
              </w:rPr>
              <w:t>výslovně</w:t>
            </w:r>
            <w:r>
              <w:t xml:space="preserve"> udělil uživateli údajů povolení </w:t>
            </w:r>
            <w:r>
              <w:rPr>
                <w:b/>
                <w:i/>
              </w:rPr>
              <w:t>pro konkrétní službu, kterou zákazník jasně identifikoval, a to nepřetržitě, je-li to vhodné a technicky proveditelné</w:t>
            </w:r>
            <w:r>
              <w:t xml:space="preserve">. Nepřetržitý přístup by mohl spočívat ve vícenásobných žádostech o zpřístupnění zákaznických údajů za účelem splnění služby dohodnuté se zákazníkem. Mohlo by se také jednat o jednorázový přístup k zákaznickým údajům. Zatímco držitel údajů je odpovědný za dostupnost rozhraní a jeho odpovídající kvalitu, samotné rozhraní může poskytnout nejen držitel údajů, ale i jiná finanční instituce, externí poskytovatel IT, oborové sdružení nebo skupina finančních institucí či veřejný subjekt v členském státě. V případě institucí zaměstnaneckého penzijního pojištění lze rozhraní integrovat do přehledů důchodových ukazatelů </w:t>
            </w:r>
            <w:r>
              <w:rPr>
                <w:b/>
                <w:i/>
              </w:rPr>
              <w:t>nebo do stávajících služeb sledování důchodů</w:t>
            </w:r>
            <w:r>
              <w:t>, které zahrnují širší rozsah informací, pokud splňují požadavky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199</w:t>
      </w:r>
      <w:r>
        <w:rPr>
          <w:rStyle w:val="HideTWBExt"/>
        </w:rPr>
        <w:t>&lt;/NumAm&gt;</w:t>
      </w:r>
    </w:p>
    <w:p>
      <w:pPr>
        <w:pStyle w:val="NormalBold"/>
      </w:pPr>
      <w:r>
        <w:rPr>
          <w:rStyle w:val="HideTWBExt"/>
        </w:rPr>
        <w:t>&lt;RepeatBlock-By&gt;</w:t>
      </w:r>
      <w:r>
        <w:rPr>
          <w:rStyle w:val="HideTWBExt"/>
        </w:rPr>
        <w:t>&lt;Members&gt;</w:t>
      </w:r>
      <w:r>
        <w:t>Markus Ferber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(24)</w:t>
            </w:r>
            <w:r>
              <w:tab/>
            </w:r>
            <w:r>
              <w:t>Toto nařízení zavádí novou právní povinnost finančních institucí, které vystupují jako držitelé údajů, sdílet na žádost zákazníka vymezené kategorie údajů. Povinnost držitelů údajů sdílet údaje na žádost zákazníka by měla být upřesněna zpřístupněním obecně uznávaných standardů, aby bylo rovněž zajištěno, že sdílené údaje jsou dostatečně kvalitní. Držitel údajů by měl zákaznické údaje nepřetržitě zpřístupňovat pro účely a za podmínek, pro které zákazník udělil uživateli údajů povolení. Nepřetržitý přístup by mohl spočívat ve vícenásobných žádostech o zpřístupnění zákaznických údajů za účelem splnění služby dohodnuté se zákazníkem. Mohlo by se také jednat o jednorázový přístup k zákaznickým údajům. Zatímco držitel údajů je odpovědný za dostupnost rozhraní a jeho odpovídající kvalitu, samotné rozhraní může poskytnout nejen držitel údajů, ale i jiná finanční instituce, externí poskytovatel IT, oborové sdružení nebo skupina finančních institucí či veřejný subjekt v členském státě. V případě institucí zaměstnaneckého penzijního pojištění lze rozhraní integrovat do přehledů důchodových ukazatelů, které zahrnují širší rozsah informací, pokud splňují požadavky tohoto nařízení.</w:t>
            </w:r>
          </w:p>
        </w:tc>
        <w:tc>
          <w:tcPr>
            <w:tcW w:w="4876" w:type="dxa"/>
          </w:tcPr>
          <w:p>
            <w:pPr>
              <w:pStyle w:val="Normal6a"/>
            </w:pPr>
            <w:r>
              <w:t>(24)</w:t>
            </w:r>
            <w:r>
              <w:tab/>
            </w:r>
            <w:r>
              <w:t xml:space="preserve">Toto nařízení zavádí novou právní povinnost finančních institucí, které vystupují jako držitelé údajů, sdílet na žádost zákazníka vymezené kategorie údajů </w:t>
            </w:r>
            <w:r>
              <w:rPr>
                <w:b/>
                <w:i/>
              </w:rPr>
              <w:t>v rámci systému sdílení finančních údajů</w:t>
            </w:r>
            <w:r>
              <w:t>. Povinnost držitelů údajů sdílet údaje na žádost zákazníka by měla být upřesněna zpřístupněním obecně uznávaných standardů, aby bylo rovněž zajištěno, že sdílené údaje jsou dostatečně kvalitní. Držitel údajů by měl zákaznické údaje nepřetržitě zpřístupňovat pro účely a za podmínek, pro které zákazník udělil uživateli údajů povolení. Nepřetržitý přístup by mohl spočívat ve vícenásobných žádostech o zpřístupnění zákaznických údajů za účelem splnění služby dohodnuté se zákazníkem. Mohlo by se také jednat o jednorázový přístup k zákaznickým údajům. Zatímco držitel údajů je odpovědný za dostupnost rozhraní a jeho odpovídající kvalitu, samotné rozhraní může poskytnout nejen držitel údajů, ale i jiná finanční instituce, externí poskytovatel IT, oborové sdružení nebo skupina finančních institucí či veřejný subjekt v členském státě. V případě institucí zaměstnaneckého penzijního pojištění lze rozhraní integrovat do přehledů důchodových ukazatelů, které zahrnují širší rozsah informací, pokud splňují požadavky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200</w:t>
      </w:r>
      <w:r>
        <w:rPr>
          <w:rStyle w:val="HideTWBExt"/>
        </w:rPr>
        <w:t>&lt;/NumAm&gt;</w:t>
      </w:r>
    </w:p>
    <w:p>
      <w:pPr>
        <w:pStyle w:val="NormalBold"/>
      </w:pPr>
      <w:r>
        <w:rPr>
          <w:rStyle w:val="HideTWBExt"/>
        </w:rPr>
        <w:t>&lt;RepeatBlock-By&gt;</w:t>
      </w:r>
      <w:r>
        <w:rPr>
          <w:rStyle w:val="HideTWBExt"/>
        </w:rPr>
        <w:t>&lt;Members&gt;</w:t>
      </w:r>
      <w:r>
        <w:t>Isabel Benjumea Benjumea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24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(24a)</w:t>
            </w:r>
            <w:r>
              <w:tab/>
            </w:r>
            <w:r>
              <w:rPr>
                <w:b/>
                <w:i/>
              </w:rPr>
              <w:t>S cílem zajistit rovné podmínky a zabránit jakémukoli konkurenčnímu znevýhodnění nejsou subjekty vyloučené z oblasti působnosti tohoto nařízení za žádných okolností povinny sdílet údaje shromážděné při své práci s uživateli údajů, jak je definováno v tomto nařízení.</w:t>
            </w:r>
            <w:r>
              <w:t xml:space="preserve"> </w:t>
            </w:r>
            <w:r>
              <w:rPr>
                <w:b/>
                <w:i/>
              </w:rPr>
              <w:t>To například zahrnuje údaje shromážděné zprostředkovateli pojištění, kteří jsou malými a středními podniky nebo mikropodniky, ať již pro účely posouzení požadavků a potřeb v souladu s článkem 20 směrnice Evropského parlamentu a Rady (EU) 2016/97 nebo pro účely posouzení vhodnosti a přiměřenosti v souladu s článkem 30 uvedené směrnice.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201</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(25)</w:t>
            </w:r>
            <w:r>
              <w:tab/>
            </w:r>
            <w:r>
              <w:t xml:space="preserve">Aby byla </w:t>
            </w:r>
            <w:r>
              <w:rPr>
                <w:b/>
                <w:i/>
              </w:rPr>
              <w:t>možná</w:t>
            </w:r>
            <w:r>
              <w:t xml:space="preserve"> smluvní a technická interakce nezbytná pro realizaci přístupu k údajům mezi více finančními institucemi, </w:t>
            </w:r>
            <w:r>
              <w:rPr>
                <w:b/>
                <w:i/>
              </w:rPr>
              <w:t>mělo by se od držitelů a uživatelů údajů vyžadovat, aby byli</w:t>
            </w:r>
            <w:r>
              <w:t xml:space="preserve"> součástí systémů </w:t>
            </w:r>
            <w:r>
              <w:rPr>
                <w:b/>
                <w:i/>
              </w:rPr>
              <w:t>sdílení finančních údajů</w:t>
            </w:r>
            <w:r>
              <w:t xml:space="preserve">. Tyto systémy by měly vypracovat standardy pro údaje a rozhraní, společné standardizované smluvní rámce upravující přístup ke konkrétním souborům údajů a pravidla správy týkající se </w:t>
            </w:r>
            <w:r>
              <w:rPr>
                <w:b/>
                <w:i/>
              </w:rPr>
              <w:t>sdílení údajů</w:t>
            </w:r>
            <w:r>
              <w:t xml:space="preserve">. Aby bylo zajištěno účinné fungování těchto systémů, je nutné stanovit obecné zásady pro jejich správu, včetně pravidel pro inkluzivní správu a účast držitelů a uživatelů údajů a zákazníků (aby bylo v systémech zajištěno vyvážené zastoupení), požadavků na transparentnost a kvalitně fungujícího odvolacího a přezkumného řízení (zejména v souvislosti s rozhodováním o systémech). Systémy </w:t>
            </w:r>
            <w:r>
              <w:rPr>
                <w:b/>
                <w:i/>
              </w:rPr>
              <w:t>sdílení finančních údajů</w:t>
            </w:r>
            <w:r>
              <w:t xml:space="preserve"> musí být v souladu s pravidly Unie v oblasti ochrany spotřebitele a údajů, ochrany soukromí a hospodářské soutěže. Účastníci těchto systémů jsou rovněž vyzýváni, aby vypracovali kodexy chování </w:t>
            </w:r>
            <w:r>
              <w:rPr>
                <w:b/>
                <w:i/>
              </w:rPr>
              <w:t>podobné těm, které vypracovávají správci a zpracovatelé podle článku</w:t>
            </w:r>
            <w:r>
              <w:t xml:space="preserve"> 40 nařízení (EU) 2016/679. Ačkoli tyto systémy mohou vycházet ze stávajících tržních iniciativ, požadavky stanovené v tomto nařízení by měly být specifické pro systémy </w:t>
            </w:r>
            <w:r>
              <w:rPr>
                <w:b/>
                <w:i/>
              </w:rPr>
              <w:t>sdílení finančních údajů</w:t>
            </w:r>
            <w:r>
              <w:t xml:space="preserve"> nebo jejich části, které účastníci trhu využívají ke splnění svých povinností podle tohoto nařízení ode dne použitelnosti těchto povinností.</w:t>
            </w:r>
          </w:p>
        </w:tc>
        <w:tc>
          <w:tcPr>
            <w:tcW w:w="4876" w:type="dxa"/>
          </w:tcPr>
          <w:p>
            <w:pPr>
              <w:pStyle w:val="Normal6a"/>
            </w:pPr>
            <w:r>
              <w:t>(25)</w:t>
            </w:r>
            <w:r>
              <w:tab/>
            </w:r>
            <w:r>
              <w:t xml:space="preserve">Aby byla </w:t>
            </w:r>
            <w:r>
              <w:rPr>
                <w:b/>
                <w:i/>
              </w:rPr>
              <w:t>umožněna</w:t>
            </w:r>
            <w:r>
              <w:t xml:space="preserve"> smluvní a technická interakce nezbytná pro realizaci přístupu k údajům mezi více finančními institucemi, </w:t>
            </w:r>
            <w:r>
              <w:rPr>
                <w:b/>
                <w:i/>
              </w:rPr>
              <w:t>měli by být držitelé dat a uživatelé dat povinni být</w:t>
            </w:r>
            <w:r>
              <w:t xml:space="preserve"> součástí systémů </w:t>
            </w:r>
            <w:r>
              <w:rPr>
                <w:b/>
                <w:i/>
              </w:rPr>
              <w:t>přístupu k finančním údajům</w:t>
            </w:r>
            <w:r>
              <w:t xml:space="preserve">. Tyto systémy by měly vypracovat </w:t>
            </w:r>
            <w:r>
              <w:rPr>
                <w:b/>
                <w:i/>
              </w:rPr>
              <w:t>interoperabilní</w:t>
            </w:r>
            <w:r>
              <w:t xml:space="preserve"> standardy pro údaje a rozhraní </w:t>
            </w:r>
            <w:r>
              <w:rPr>
                <w:b/>
                <w:i/>
              </w:rPr>
              <w:t>pro celou unii</w:t>
            </w:r>
            <w:r>
              <w:t xml:space="preserve">, společné standardizované smluvní rámce upravující přístup ke konkrétním souborům údajů a pravidla správy týkající se </w:t>
            </w:r>
            <w:r>
              <w:rPr>
                <w:b/>
                <w:i/>
              </w:rPr>
              <w:t>přístupu k údajům a jejich opakovaného použití</w:t>
            </w:r>
            <w:r>
              <w:t xml:space="preserve">. Aby bylo zajištěno účinné fungování těchto systémů </w:t>
            </w:r>
            <w:r>
              <w:rPr>
                <w:b/>
                <w:i/>
              </w:rPr>
              <w:t>napříč jednotným trhem EU</w:t>
            </w:r>
            <w:r>
              <w:t xml:space="preserve">, je nutné stanovit obecné zásady pro jejich správu, včetně pravidel pro inkluzivní správu a účast držitelů a uživatelů údajů a zákazníků (aby bylo v systémech zajištěno vyvážené zastoupení), požadavků na transparentnost a kvalitně fungujícího odvolacího a přezkumného řízení (zejména v souvislosti s rozhodováním o systémech). Systémy </w:t>
            </w:r>
            <w:r>
              <w:rPr>
                <w:b/>
                <w:i/>
              </w:rPr>
              <w:t>přístupu k finančním údajům</w:t>
            </w:r>
            <w:r>
              <w:t xml:space="preserve"> musí být v souladu s pravidly Unie v oblasti ochrany spotřebitele a údajů, ochrany soukromí a hospodářské soutěže. Účastníci těchto systémů jsou rovněž vyzýváni, aby vypracovali kodexy chování </w:t>
            </w:r>
            <w:r>
              <w:rPr>
                <w:b/>
                <w:i/>
              </w:rPr>
              <w:t>v souladu s článkem</w:t>
            </w:r>
            <w:r>
              <w:t xml:space="preserve"> 40 nařízení (EU) 2016/679. Ačkoli tyto systémy mohou vycházet ze stávajících tržních iniciativ, požadavky stanovené v tomto nařízení by měly být specifické pro systémy </w:t>
            </w:r>
            <w:r>
              <w:rPr>
                <w:b/>
                <w:i/>
              </w:rPr>
              <w:t>přístupu k finančním údajům</w:t>
            </w:r>
            <w:r>
              <w:t xml:space="preserve"> nebo jejich části, které účastníci trhu využívají ke splnění svých povinností podle tohoto nařízení ode dne použitelnosti těchto povinností. </w:t>
            </w:r>
            <w:r>
              <w:rPr>
                <w:b/>
                <w:i/>
              </w:rPr>
              <w:t>Od těchto systémů by nemělo být požadováno, aby nahradily či kopírovaly stávající systémy přístupu k údajům, včetně systémů zavedených směrnicí (EU) 2015/2366, [vložte odkaz – směrnice o platebních službách], nařízením (EU) 2022/2554 a [vložte odkaz – nařízení o předcházení využívání finančního systému k praní peněz nebo financování terorismu (AMLR)].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202</w:t>
      </w:r>
      <w:r>
        <w:rPr>
          <w:rStyle w:val="HideTWBExt"/>
        </w:rPr>
        <w:t>&lt;/NumAm&gt;</w:t>
      </w:r>
    </w:p>
    <w:p>
      <w:pPr>
        <w:pStyle w:val="NormalBold"/>
      </w:pPr>
      <w:r>
        <w:rPr>
          <w:rStyle w:val="HideTWBExt"/>
        </w:rPr>
        <w:t>&lt;RepeatBlock-By&gt;</w:t>
      </w:r>
      <w:r>
        <w:rPr>
          <w:rStyle w:val="HideTWBExt"/>
        </w:rPr>
        <w:t>&lt;Members&gt;</w:t>
      </w:r>
      <w:r>
        <w:t>Markus Ferber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(25)</w:t>
            </w:r>
            <w:r>
              <w:tab/>
            </w:r>
            <w:r>
              <w:t>Aby byla možná smluvní a technická interakce nezbytná pro realizaci přístupu k údajům mezi více finančními institucemi, mělo by se od držitelů a uživatelů údajů vyžadovat, aby byli součástí systémů sdílení finančních údajů. Tyto systémy by měly vypracovat standardy pro údaje a rozhraní, společné standardizované smluvní rámce upravující přístup ke konkrétním souborům údajů a pravidla správy týkající se sdílení údajů. Aby bylo zajištěno účinné fungování těchto systémů, je nutné stanovit obecné zásady pro jejich správu, včetně pravidel pro inkluzivní správu a účast držitelů a uživatelů údajů a zákazníků (aby bylo v systémech zajištěno vyvážené zastoupení), požadavků na transparentnost a kvalitně fungujícího odvolacího a přezkumného řízení (zejména v souvislosti s rozhodováním o systémech). Systémy sdílení finančních údajů musí být v souladu s pravidly Unie v oblasti ochrany spotřebitele a údajů, ochrany soukromí a hospodářské soutěže. Účastníci těchto systémů jsou rovněž vyzýváni, aby vypracovali kodexy chování podobné těm, které vypracovávají správci a zpracovatelé podle článku 40 nařízení (EU) 2016/679. Ačkoli tyto systémy mohou vycházet ze stávajících tržních iniciativ, požadavky stanovené v tomto nařízení by měly být specifické pro systémy sdílení finančních údajů nebo jejich části, které účastníci trhu využívají ke splnění svých povinností podle tohoto nařízení ode dne použitelnosti těchto povinností.</w:t>
            </w:r>
          </w:p>
        </w:tc>
        <w:tc>
          <w:tcPr>
            <w:tcW w:w="4876" w:type="dxa"/>
          </w:tcPr>
          <w:p>
            <w:pPr>
              <w:pStyle w:val="Normal6a"/>
            </w:pPr>
            <w:r>
              <w:t>(25)</w:t>
            </w:r>
            <w:r>
              <w:tab/>
            </w:r>
            <w:r>
              <w:t>Aby byla možná smluvní a technická interakce nezbytná pro realizaci přístupu k údajům mezi více finančními institucemi, mělo by se od držitelů a uživatelů údajů vyžadovat, aby byli součástí systémů sdílení finančních údajů</w:t>
            </w:r>
            <w:r>
              <w:rPr>
                <w:b/>
                <w:i/>
              </w:rPr>
              <w:t>, které mohou být zřízeny buď na evropské nebo vnitrostátní úrovni</w:t>
            </w:r>
            <w:r>
              <w:t>. Tyto systémy by měly vypracovat standardy pro údaje a rozhraní, společné standardizované smluvní rámce upravující přístup ke konkrétním souborům údajů a pravidla správy týkající se sdílení údajů. Aby bylo zajištěno účinné fungování těchto systémů, je nutné stanovit obecné zásady pro jejich správu, včetně pravidel pro inkluzivní správu a účast držitelů a uživatelů údajů a zákazníků (aby bylo v systémech zajištěno vyvážené zastoupení), požadavků na transparentnost a kvalitně fungujícího odvolacího a přezkumného řízení (zejména v souvislosti s rozhodováním o systémech). Systémy sdílení finančních údajů musí být v souladu s pravidly Unie v oblasti ochrany spotřebitele a údajů, ochrany soukromí a hospodářské soutěže. Účastníci těchto systémů jsou rovněž vyzýváni, aby vypracovali kodexy chování podobné těm, které vypracovávají správci a zpracovatelé podle článku 40 nařízení (EU) 2016/679. Ačkoli tyto systémy mohou vycházet ze stávajících tržních iniciativ, požadavky stanovené v tomto nařízení by měly být specifické pro systémy sdílení finančních údajů nebo jejich části, které účastníci trhu využívají ke splnění svých povinností podle tohoto nařízení ode dne použitelnosti těchto povinností.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203</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(25)</w:t>
            </w:r>
            <w:r>
              <w:tab/>
            </w:r>
            <w:r>
              <w:t xml:space="preserve">Aby byla možná smluvní a technická interakce nezbytná pro realizaci přístupu k údajům mezi více finančními institucemi, mělo by se od držitelů a uživatelů údajů vyžadovat, aby byli součástí systémů sdílení finančních údajů. Tyto systémy by měly vypracovat standardy pro údaje a rozhraní, společné standardizované smluvní rámce upravující přístup ke konkrétním souborům údajů a pravidla správy týkající se sdílení údajů. Aby bylo zajištěno účinné fungování těchto systémů, je nutné stanovit obecné zásady pro jejich správu, včetně pravidel pro inkluzivní správu a účast držitelů a uživatelů údajů a zákazníků (aby bylo v systémech zajištěno vyvážené zastoupení), požadavků na transparentnost a kvalitně fungujícího odvolacího a přezkumného řízení (zejména v souvislosti s rozhodováním o systémech). Systémy sdílení finančních údajů musí být v souladu s pravidly Unie v oblasti ochrany spotřebitele a údajů, ochrany soukromí a hospodářské soutěže. Účastníci těchto systémů jsou rovněž vyzýváni, aby vypracovali kodexy chování </w:t>
            </w:r>
            <w:r>
              <w:rPr>
                <w:b/>
                <w:i/>
              </w:rPr>
              <w:t>podobné těm</w:t>
            </w:r>
            <w:r>
              <w:t>, které vypracovávají správci a zpracovatelé podle článku 40 nařízení (EU) 2016/679. Ačkoli tyto systémy mohou vycházet ze stávajících tržních iniciativ, požadavky stanovené v tomto nařízení by měly být specifické pro systémy sdílení finančních údajů nebo jejich části, které účastníci trhu využívají ke splnění svých povinností podle tohoto nařízení ode dne použitelnosti těchto povinností.</w:t>
            </w:r>
          </w:p>
        </w:tc>
        <w:tc>
          <w:tcPr>
            <w:tcW w:w="4876" w:type="dxa"/>
          </w:tcPr>
          <w:p>
            <w:pPr>
              <w:pStyle w:val="Normal6a"/>
            </w:pPr>
            <w:r>
              <w:t>(25)</w:t>
            </w:r>
            <w:r>
              <w:tab/>
            </w:r>
            <w:r>
              <w:t xml:space="preserve">Aby byla možná smluvní a technická interakce nezbytná pro realizaci přístupu k údajům mezi více finančními institucemi, mělo by se od držitelů a uživatelů údajů vyžadovat, aby byli součástí systémů sdílení finančních údajů. Tyto systémy by měly vypracovat standardy pro údaje a rozhraní, společné standardizované smluvní rámce upravující přístup ke konkrétním souborům údajů a pravidla správy týkající se sdílení údajů. Aby bylo zajištěno účinné fungování těchto systémů, je nutné stanovit obecné zásady pro jejich správu, včetně pravidel pro inkluzivní správu a účast držitelů a uživatelů údajů a zákazníků (aby bylo v systémech zajištěno vyvážené zastoupení), požadavků na transparentnost a kvalitně fungujícího odvolacího a přezkumného řízení (zejména v souvislosti s rozhodováním o systémech). Systémy sdílení finančních údajů musí být v souladu s pravidly Unie v oblasti ochrany spotřebitele a údajů, ochrany soukromí a hospodářské soutěže. Účastníci těchto systémů jsou rovněž vyzýváni, aby vypracovali kodexy chování </w:t>
            </w:r>
            <w:r>
              <w:rPr>
                <w:b/>
                <w:i/>
              </w:rPr>
              <w:t>v souladu s těmi</w:t>
            </w:r>
            <w:r>
              <w:t>, které vypracovávají správci a zpracovatelé podle článku 40 nařízení (EU) 2016/679. Ačkoli tyto systémy mohou vycházet ze stávajících tržních iniciativ, požadavky stanovené v tomto nařízení by měly být specifické pro systémy sdílení finančních údajů nebo jejich části, které účastníci trhu využívají ke splnění svých povinností podle tohoto nařízení ode dne použitelnosti těchto povinností.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204</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(25)</w:t>
            </w:r>
            <w:r>
              <w:tab/>
            </w:r>
            <w:r>
              <w:t xml:space="preserve">Aby byla možná smluvní a technická interakce nezbytná pro realizaci přístupu k údajům mezi více finančními institucemi, </w:t>
            </w:r>
            <w:r>
              <w:rPr>
                <w:b/>
                <w:i/>
              </w:rPr>
              <w:t>mělo by</w:t>
            </w:r>
            <w:r>
              <w:t xml:space="preserve"> se od držitelů a uživatelů údajů </w:t>
            </w:r>
            <w:r>
              <w:rPr>
                <w:b/>
                <w:i/>
              </w:rPr>
              <w:t>vyžadovat</w:t>
            </w:r>
            <w:r>
              <w:t>, aby byli součástí systémů sdílení finančních údajů. Tyto systémy by měly vypracovat standardy pro údaje a rozhraní, společné standardizované smluvní rámce upravující přístup ke konkrétním souborům údajů a pravidla správy týkající se sdílení údajů. Aby bylo zajištěno účinné fungování těchto systémů, je nutné stanovit obecné zásady pro jejich správu, včetně pravidel pro inkluzivní správu a účast držitelů a uživatelů údajů a zákazníků (aby bylo v systémech zajištěno vyvážené zastoupení), požadavků na transparentnost a kvalitně fungujícího odvolacího a přezkumného řízení (zejména v souvislosti s rozhodováním o systémech). Systémy sdílení finančních údajů musí být v souladu s pravidly Unie v oblasti ochrany spotřebitele a údajů, ochrany soukromí a hospodářské soutěže. Účastníci těchto systémů jsou rovněž vyzýváni, aby vypracovali kodexy chování podobné těm, které vypracovávají správci a zpracovatelé podle článku 40 nařízení (EU) 2016/679. Ačkoli tyto systémy mohou vycházet ze stávajících tržních iniciativ, požadavky stanovené v tomto nařízení by měly být specifické pro systémy sdílení finančních údajů nebo jejich části, které účastníci trhu využívají ke splnění svých povinností podle tohoto nařízení ode dne použitelnosti těchto povinností.</w:t>
            </w:r>
          </w:p>
        </w:tc>
        <w:tc>
          <w:tcPr>
            <w:tcW w:w="4876" w:type="dxa"/>
          </w:tcPr>
          <w:p>
            <w:pPr>
              <w:pStyle w:val="Normal6a"/>
            </w:pPr>
            <w:r>
              <w:t>(25)</w:t>
            </w:r>
            <w:r>
              <w:tab/>
            </w:r>
            <w:r>
              <w:t xml:space="preserve">Aby byla možná smluvní a technická interakce nezbytná pro realizaci přístupu k údajům mezi více finančními institucemi, </w:t>
            </w:r>
            <w:r>
              <w:rPr>
                <w:b/>
                <w:i/>
              </w:rPr>
              <w:t>vyžaduje</w:t>
            </w:r>
            <w:r>
              <w:t xml:space="preserve"> se od držitelů a uživatelů údajů, aby byli součástí systémů sdílení finančních údajů. Tyto systémy by měly vypracovat standardy pro údaje a rozhraní, společné standardizované smluvní rámce upravující přístup ke konkrétním souborům údajů a pravidla správy týkající se sdílení údajů. Aby bylo zajištěno účinné fungování těchto systémů, je nutné stanovit obecné zásady pro jejich správu, včetně pravidel pro inkluzivní správu a účast držitelů a uživatelů údajů a zákazníků (aby bylo v systémech zajištěno vyvážené zastoupení), požadavků na transparentnost a kvalitně fungujícího odvolacího a přezkumného řízení (zejména v souvislosti s rozhodováním o systémech). Systémy sdílení finančních údajů musí být v souladu s pravidly Unie v oblasti ochrany spotřebitele a údajů, ochrany soukromí a hospodářské soutěže. Účastníci těchto systémů jsou rovněž vyzýváni, aby vypracovali kodexy chování podobné těm, které vypracovávají správci a zpracovatelé podle článku 40 nařízení (EU) 2016/679. Ačkoli tyto systémy mohou vycházet ze stávajících tržních iniciativ, požadavky stanovené v tomto nařízení by měly být specifické pro systémy sdílení finančních údajů nebo jejich části, které účastníci trhu využívají ke splnění svých povinností podle tohoto nařízení ode dne použitelnosti těchto povinností.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205</w:t>
      </w:r>
      <w:r>
        <w:rPr>
          <w:rStyle w:val="HideTWBExt"/>
        </w:rPr>
        <w:t>&lt;/NumAm&gt;</w:t>
      </w:r>
    </w:p>
    <w:p>
      <w:pPr>
        <w:pStyle w:val="NormalBold"/>
      </w:pPr>
      <w:r>
        <w:rPr>
          <w:rStyle w:val="HideTWBExt"/>
        </w:rPr>
        <w:t>&lt;RepeatBlock-By&gt;</w:t>
      </w:r>
      <w:r>
        <w:rPr>
          <w:rStyle w:val="HideTWBExt"/>
        </w:rPr>
        <w:t>&lt;Members&gt;</w:t>
      </w:r>
      <w:r>
        <w:t>Ondřej Kovařík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26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(26b)</w:t>
            </w:r>
            <w:r>
              <w:tab/>
            </w:r>
            <w:r>
              <w:rPr>
                <w:b/>
                <w:i/>
              </w:rPr>
              <w:t>Do vytváření systémů přístupu k finančním údajům by měly být zapojeny všechny strany těchto systémů.</w:t>
            </w:r>
            <w:r>
              <w:t xml:space="preserve"> </w:t>
            </w:r>
            <w:r>
              <w:rPr>
                <w:b/>
                <w:i/>
              </w:rPr>
              <w:t>Příslušné orgány na evropské i vnitrostátní úrovni by měly být rovněž k dispozici ke konzultaci s těmi, kteří systémy zřizují, a měly by být připraveny poskytnout poradenství ohledně osvědčených postupů a příkladů jiných systémů vytvořených v době před uplatňováním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 celém textu, tam kde je uvedeno sdílení dat, by toto mělo být změněno na přístup k datům.</w:t>
      </w:r>
    </w:p>
    <w:p>
      <w:r>
        <w:rPr>
          <w:rStyle w:val="HideTWBExt"/>
        </w:rPr>
        <w:t>&lt;/Amend&gt;</w:t>
      </w:r>
    </w:p>
    <w:p>
      <w:pPr>
        <w:pStyle w:val="AmNumberTabs"/>
      </w:pPr>
      <w:r>
        <w:rPr>
          <w:rStyle w:val="HideTWBExt"/>
        </w:rPr>
        <w:t>&lt;Amend&gt;</w:t>
      </w:r>
      <w:r>
        <w:t>Pozměňovací návrh</w:t>
      </w:r>
      <w:r>
        <w:tab/>
      </w:r>
      <w:r>
        <w:tab/>
      </w:r>
      <w:r>
        <w:rPr>
          <w:rStyle w:val="HideTWBExt"/>
        </w:rPr>
        <w:t>&lt;NumAm&gt;</w:t>
      </w:r>
      <w:r>
        <w:t>206</w:t>
      </w:r>
      <w:r>
        <w:rPr>
          <w:rStyle w:val="HideTWBExt"/>
        </w:rPr>
        <w:t>&lt;/NumAm&gt;</w:t>
      </w:r>
    </w:p>
    <w:p>
      <w:pPr>
        <w:pStyle w:val="NormalBold"/>
      </w:pPr>
      <w:r>
        <w:rPr>
          <w:rStyle w:val="HideTWBExt"/>
        </w:rPr>
        <w:t>&lt;RepeatBlock-By&gt;</w:t>
      </w:r>
      <w:r>
        <w:rPr>
          <w:rStyle w:val="HideTWBExt"/>
        </w:rPr>
        <w:t>&lt;Members&gt;</w:t>
      </w:r>
      <w:r>
        <w:t>Ondřej Kovařík, Martin Hlaváček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(27)</w:t>
            </w:r>
            <w:r>
              <w:tab/>
            </w:r>
            <w:r>
              <w:rPr>
                <w:b/>
                <w:i/>
              </w:rPr>
              <w:t>Za účelem zajištění účinnosti tohoto nařízení by měla být na Komisi přenesena pravomoc přijímat akty v souladu s článkem 290 Smlouvy o fungování Evropské unie, pokud jde o stanovení podmínek a charakteristik systému sdílení finančních údajů v případě, že systém nevypracují držitelé a uživatelé údajů.</w:t>
            </w:r>
            <w:r>
              <w:t xml:space="preserve"> </w:t>
            </w:r>
            <w:r>
              <w:rPr>
                <w:b/>
                <w:i/>
              </w:rPr>
              <w:t>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w:t>
            </w:r>
            <w:r>
              <w:rPr>
                <w:b/>
                <w:i/>
                <w:vertAlign w:val="superscript"/>
              </w:rPr>
              <w:t>17</w:t>
            </w:r>
            <w:r>
              <w:rPr>
                <w:b/>
                <w:i/>
              </w:rPr>
              <w:t>.</w:t>
            </w:r>
            <w:r>
              <w:t xml:space="preserve"> </w:t>
            </w:r>
            <w:r>
              <w:rPr>
                <w:b/>
                <w:i/>
              </w:rPr>
              <w:t>Pro zajištění rovné účasti na vypracovávání aktů v přenesené pravomoci obdrží Evropský parlament a Rada veškeré dokumenty současně s odborníky z členských států a jejich odborníci mají automaticky přístup na zasedání skupin odborníků Komise, jež se věnují přípravě aktů v přenesené pravomoci.</w:t>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17</w:t>
            </w:r>
            <w:r>
              <w:t xml:space="preserve"> </w:t>
            </w:r>
            <w:r>
              <w:rPr>
                <w:b/>
                <w:i/>
              </w:rPr>
              <w:t>Úř. věst. L 123, 12.5.2016, s. 1.</w:t>
            </w:r>
          </w:p>
        </w:tc>
        <w:tc>
          <w:tcPr>
            <w:tcW w:w="4876" w:type="dxa"/>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207</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(28)</w:t>
            </w:r>
            <w:r>
              <w:tab/>
            </w:r>
            <w:r>
              <w:t>Držitelé a uživatelé údajů by při vytváření společných standardů pro povinné sdílení údajů měli mít možnost používat stávající tržní standardy.</w:t>
            </w:r>
          </w:p>
        </w:tc>
        <w:tc>
          <w:tcPr>
            <w:tcW w:w="4876" w:type="dxa"/>
          </w:tcPr>
          <w:p>
            <w:pPr>
              <w:pStyle w:val="Normal6a"/>
            </w:pPr>
            <w:r>
              <w:t>(28)</w:t>
            </w:r>
            <w:r>
              <w:tab/>
            </w:r>
            <w:r>
              <w:t xml:space="preserve">Držitelé a uživatelé údajů by při vytváření společných standardů pro povinné sdílení údajů měli mít možnost používat stávající tržní standardy </w:t>
            </w:r>
            <w:r>
              <w:rPr>
                <w:b/>
                <w:i/>
              </w:rPr>
              <w:t>a infrastrukturu pro technická rozhraní, jako jsou aplikační programovací rozhraní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208</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(28)</w:t>
            </w:r>
            <w:r>
              <w:tab/>
            </w:r>
            <w:r>
              <w:t>Držitelé a uživatelé údajů by při vytváření společných standardů pro povinné sdílení údajů měli mít možnost používat stávající tržní standardy.</w:t>
            </w:r>
          </w:p>
        </w:tc>
        <w:tc>
          <w:tcPr>
            <w:tcW w:w="4876" w:type="dxa"/>
          </w:tcPr>
          <w:p>
            <w:pPr>
              <w:pStyle w:val="Normal6a"/>
            </w:pPr>
            <w:r>
              <w:t>(28)</w:t>
            </w:r>
            <w:r>
              <w:tab/>
            </w:r>
            <w:r>
              <w:t xml:space="preserve">Držitelé a uživatelé údajů by při vytváření společných standardů pro povinné sdílení údajů měli mít možnost používat stávající tržní standardy </w:t>
            </w:r>
            <w:r>
              <w:rPr>
                <w:b/>
                <w:i/>
              </w:rPr>
              <w:t>a infrastrukturu pro technická rozhraní, jako jsou aplikační programovací rozhraní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209</w:t>
      </w:r>
      <w:r>
        <w:rPr>
          <w:rStyle w:val="HideTWBExt"/>
        </w:rPr>
        <w:t>&lt;/NumAm&gt;</w:t>
      </w:r>
    </w:p>
    <w:p>
      <w:pPr>
        <w:pStyle w:val="NormalBold"/>
      </w:pPr>
      <w:r>
        <w:rPr>
          <w:rStyle w:val="HideTWBExt"/>
        </w:rPr>
        <w:t>&lt;RepeatBlock-By&gt;</w:t>
      </w:r>
      <w:r>
        <w:rPr>
          <w:rStyle w:val="HideTWBExt"/>
        </w:rPr>
        <w:t>&lt;Members&gt;</w:t>
      </w:r>
      <w:r>
        <w:t>Giuseppe Ferrandino</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(31)</w:t>
            </w:r>
            <w:r>
              <w:tab/>
            </w:r>
            <w:r>
              <w:t xml:space="preserve">Za účelem ochrany spotřebitele, posílení důvěry zákazníků a zajištění rovných podmínek je nezbytné stanovit pravidla, pokud jde o to, kdo je oprávněn přistupovat k údajům zákazníků. Tato pravidla by měla zajistit, aby všichni uživatelé údajů podléhali povolování ze strany příslušných orgánů a jejich dohledu. Tím by se zajistilo, že k údajům budou mít přístup pouze regulované finanční instituce nebo podniky, které mají zvláštní povolení jako poskytovatelé služeb finančních informací, na něž se vztahuje toto nařízení. Pravidla způsobilosti pro poskytovatele služeb finančních informací jsou nezbytná k zajištění finanční stability, integrity trhu a ochrany spotřebitelů, neboť poskytovatelé služeb finančních informací by </w:t>
            </w:r>
            <w:r>
              <w:rPr>
                <w:b/>
                <w:i/>
              </w:rPr>
              <w:t>poskytovali finanční produkty a služby zákazníkům v Unii a měli by</w:t>
            </w:r>
            <w:r>
              <w:t xml:space="preserve"> přístup k údajům, které mají finanční instituce k dispozici a jejichž integrita je nezbytná pro zachování schopnosti finančních institucí nadále poskytovat finanční služby řádným a bezpečným způsobem. Tato pravidla jsou rovněž nezbytná k zajištění řádného dohledu nad poskytovateli služeb finančních informací ze strany příslušných orgánů v souladu s jejich mandátem k zajištění finanční stability a integrity v Unii, což by poskytovatelům služeb finančních informací umožnilo poskytovat v celé Unii služby, pro které mají povolení.</w:t>
            </w:r>
          </w:p>
        </w:tc>
        <w:tc>
          <w:tcPr>
            <w:tcW w:w="4876" w:type="dxa"/>
          </w:tcPr>
          <w:p>
            <w:pPr>
              <w:pStyle w:val="Normal6a"/>
            </w:pPr>
            <w:r>
              <w:t>(31)</w:t>
            </w:r>
            <w:r>
              <w:tab/>
            </w:r>
            <w:r>
              <w:t xml:space="preserve">Za účelem ochrany spotřebitele, posílení důvěry zákazníků a zajištění rovných podmínek je nezbytné stanovit pravidla, pokud jde o to, kdo je oprávněn přistupovat k údajům zákazníků. Tato pravidla by měla zajistit, aby všichni uživatelé údajů podléhali povolování ze strany příslušných orgánů a jejich dohledu. Tím by se zajistilo, že k údajům budou mít přístup pouze regulované finanční instituce nebo podniky, které mají zvláštní povolení jako poskytovatelé služeb finančních informací, na něž se vztahuje toto nařízení. Pravidla způsobilosti pro poskytovatele služeb finančních informací jsou nezbytná k zajištění finanční stability, integrity trhu a ochrany spotřebitelů, neboť poskytovatelé služeb finančních informací by </w:t>
            </w:r>
            <w:r>
              <w:rPr>
                <w:b/>
                <w:i/>
              </w:rPr>
              <w:t>měli</w:t>
            </w:r>
            <w:r>
              <w:t xml:space="preserve"> přístup k údajům, které mají finanční instituce k dispozici a jejichž integrita je nezbytná pro zachování schopnosti finančních institucí nadále poskytovat finanční služby řádným a bezpečným způsobem. Tato pravidla jsou rovněž nezbytná k zajištění řádného dohledu nad poskytovateli služeb finančních informací ze strany příslušných orgánů v souladu s jejich mandátem k zajištění finanční stability a integrity v Unii, což by poskytovatelům služeb finančních informací umožnilo poskytovat v celé Unii služby, pro které mají povolení.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Navrhuje se změnit definici činností FISP v bodě odůvodnění tak, aby byla lépe sladěna s definicí navrhovaného nařízení a aby byly zajištěny rovné podmínky.</w:t>
      </w:r>
    </w:p>
    <w:p>
      <w:r>
        <w:rPr>
          <w:rStyle w:val="HideTWBExt"/>
        </w:rPr>
        <w:t>&lt;/Amend&gt;</w:t>
      </w:r>
    </w:p>
    <w:p>
      <w:pPr>
        <w:pStyle w:val="AmNumberTabs"/>
      </w:pPr>
      <w:r>
        <w:rPr>
          <w:rStyle w:val="HideTWBExt"/>
        </w:rPr>
        <w:t>&lt;Amend&gt;</w:t>
      </w:r>
      <w:r>
        <w:t>Pozměňovací návrh</w:t>
      </w:r>
      <w:r>
        <w:tab/>
      </w:r>
      <w:r>
        <w:tab/>
      </w:r>
      <w:r>
        <w:rPr>
          <w:rStyle w:val="HideTWBExt"/>
        </w:rPr>
        <w:t>&lt;NumAm&gt;</w:t>
      </w:r>
      <w:r>
        <w:t>210</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(31)</w:t>
            </w:r>
            <w:r>
              <w:tab/>
            </w:r>
            <w:r>
              <w:t xml:space="preserve">Za účelem ochrany spotřebitele, posílení důvěry zákazníků a zajištění rovných podmínek je nezbytné stanovit pravidla, pokud jde o to, kdo je oprávněn přistupovat k údajům zákazníků. Tato pravidla by měla zajistit, aby všichni uživatelé údajů podléhali povolování ze strany příslušných orgánů a jejich dohledu. Tím by se zajistilo, že k údajům budou mít přístup pouze regulované finanční instituce nebo podniky, které mají zvláštní povolení jako poskytovatelé služeb finančních informací, na něž se vztahuje toto nařízení. Pravidla způsobilosti pro poskytovatele služeb finančních informací jsou nezbytná k zajištění finanční stability, integrity trhu a ochrany spotřebitelů, neboť poskytovatelé služeb finančních informací by poskytovali </w:t>
            </w:r>
            <w:r>
              <w:rPr>
                <w:b/>
                <w:i/>
              </w:rPr>
              <w:t>finanční produkty a služby</w:t>
            </w:r>
            <w:r>
              <w:t xml:space="preserve"> zákazníkům v Unii a měli by přístup k údajům, které mají finanční instituce k dispozici a jejichž integrita je nezbytná pro zachování schopnosti finančních institucí nadále poskytovat finanční služby řádným a bezpečným způsobem. Tato pravidla jsou rovněž nezbytná k zajištění řádného dohledu nad poskytovateli služeb finančních informací ze strany příslušných orgánů v souladu s jejich mandátem k zajištění finanční stability a integrity v Unii, což by poskytovatelům služeb finančních informací umožnilo poskytovat v celé Unii služby, pro které mají povolení.</w:t>
            </w:r>
          </w:p>
        </w:tc>
        <w:tc>
          <w:tcPr>
            <w:tcW w:w="4876" w:type="dxa"/>
          </w:tcPr>
          <w:p>
            <w:pPr>
              <w:pStyle w:val="Normal6a"/>
            </w:pPr>
            <w:r>
              <w:t>(31)</w:t>
            </w:r>
            <w:r>
              <w:tab/>
            </w:r>
            <w:r>
              <w:t xml:space="preserve">Za účelem ochrany spotřebitele, posílení důvěry zákazníků a zajištění rovných podmínek je nezbytné stanovit pravidla, pokud jde o to, kdo je oprávněn přistupovat k údajům zákazníků. Tato pravidla by měla zajistit, aby všichni uživatelé údajů podléhali povolování ze strany příslušných orgánů a jejich dohledu. Tím by se zajistilo, že k údajům budou mít přístup pouze regulované finanční instituce nebo podniky, které mají zvláštní povolení jako poskytovatelé služeb finančních informací, na něž se vztahuje toto nařízení. Pravidla způsobilosti pro poskytovatele služeb finančních informací jsou nezbytná k zajištění finanční stability, integrity trhu a ochrany spotřebitelů, neboť poskytovatelé služeb finančních informací by poskytovali </w:t>
            </w:r>
            <w:r>
              <w:rPr>
                <w:b/>
                <w:i/>
              </w:rPr>
              <w:t>služby finančních informací</w:t>
            </w:r>
            <w:r>
              <w:t xml:space="preserve"> zákazníkům v Unii a měli by přístup k údajům, které mají finanční instituce k dispozici a jejichž integrita je nezbytná pro zachování schopnosti finančních institucí nadále poskytovat finanční služby řádným</w:t>
            </w:r>
            <w:r>
              <w:rPr>
                <w:b/>
                <w:i/>
              </w:rPr>
              <w:t>, spolehlivým</w:t>
            </w:r>
            <w:r>
              <w:t xml:space="preserve"> a bezpečným způsobem. Tato pravidla jsou rovněž nezbytná k zajištění řádného dohledu nad poskytovateli služeb finančních informací ze strany příslušných orgánů v souladu s jejich mandátem k zajištění finanční stability a integrity v Unii, což by poskytovatelům služeb finančních informací umožnilo poskytovat v celé Unii služby </w:t>
            </w:r>
            <w:r>
              <w:rPr>
                <w:b/>
                <w:i/>
              </w:rPr>
              <w:t>finančních informací</w:t>
            </w:r>
            <w:r>
              <w:t>, pro které mají povolení.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211</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(31)</w:t>
            </w:r>
            <w:r>
              <w:tab/>
            </w:r>
            <w:r>
              <w:t xml:space="preserve">Za účelem ochrany spotřebitele, posílení důvěry zákazníků a zajištění rovných podmínek je nezbytné stanovit pravidla, pokud jde o to, kdo je oprávněn přistupovat k údajům zákazníků. Tato pravidla by měla zajistit, aby všichni uživatelé údajů podléhali povolování ze strany příslušných orgánů a jejich dohledu. Tím by se zajistilo, že k údajům budou mít přístup pouze regulované finanční instituce nebo podniky, které mají zvláštní povolení jako poskytovatelé služeb finančních informací, na něž se vztahuje toto nařízení. Pravidla způsobilosti pro poskytovatele služeb finančních informací jsou nezbytná k zajištění finanční stability, integrity trhu a ochrany spotřebitelů, neboť poskytovatelé služeb finančních informací by poskytovali </w:t>
            </w:r>
            <w:r>
              <w:rPr>
                <w:b/>
                <w:i/>
              </w:rPr>
              <w:t>finanční produkty a</w:t>
            </w:r>
            <w:r>
              <w:t xml:space="preserve"> služby </w:t>
            </w:r>
            <w:r>
              <w:rPr>
                <w:b/>
                <w:i/>
              </w:rPr>
              <w:t>zákazníkům v Unii</w:t>
            </w:r>
            <w:r>
              <w:t xml:space="preserve"> a měli by přístup k údajům, které mají finanční instituce k dispozici a jejichž integrita je nezbytná pro zachování schopnosti finančních institucí nadále poskytovat finanční služby řádným a </w:t>
            </w:r>
            <w:r>
              <w:rPr>
                <w:b/>
                <w:i/>
              </w:rPr>
              <w:t>bezpečným</w:t>
            </w:r>
            <w:r>
              <w:t xml:space="preserve"> způsobem. Tato pravidla jsou rovněž nezbytná k zajištění řádného dohledu nad poskytovateli služeb finančních informací ze strany příslušných orgánů v souladu s jejich mandátem k zajištění finanční stability a integrity v Unii, což by poskytovatelům služeb finančních informací umožnilo poskytovat v celé Unii služby, pro které mají povolení.</w:t>
            </w:r>
          </w:p>
        </w:tc>
        <w:tc>
          <w:tcPr>
            <w:tcW w:w="4876" w:type="dxa"/>
          </w:tcPr>
          <w:p>
            <w:pPr>
              <w:pStyle w:val="Normal6a"/>
            </w:pPr>
            <w:r>
              <w:t>(31)</w:t>
            </w:r>
            <w:r>
              <w:tab/>
            </w:r>
            <w:r>
              <w:t xml:space="preserve">Za účelem ochrany spotřebitele, posílení důvěry zákazníků a zajištění rovných podmínek je nezbytné stanovit pravidla, pokud jde o to, kdo je oprávněn přistupovat k údajům zákazníků. Tato pravidla by měla zajistit, aby všichni uživatelé údajů podléhali povolování ze strany příslušných orgánů a jejich dohledu. Tím by se zajistilo, že k údajům budou mít přístup pouze regulované finanční instituce nebo podniky, které mají zvláštní povolení jako poskytovatelé služeb finančních informací, na něž se vztahuje toto nařízení. Pravidla způsobilosti pro poskytovatele služeb finančních informací jsou nezbytná k zajištění finanční stability, integrity trhu a ochrany spotřebitelů, neboť poskytovatelé služeb finančních informací by poskytovali služby </w:t>
            </w:r>
            <w:r>
              <w:rPr>
                <w:b/>
                <w:i/>
              </w:rPr>
              <w:t>finančních informací</w:t>
            </w:r>
            <w:r>
              <w:t xml:space="preserve"> a měli by přístup k údajům, které mají finanční instituce k dispozici a jejichž integrita je nezbytná pro zachování schopnosti finančních institucí nadále poskytovat finanční služby řádným a </w:t>
            </w:r>
            <w:r>
              <w:rPr>
                <w:b/>
                <w:i/>
              </w:rPr>
              <w:t>spolehlivým</w:t>
            </w:r>
            <w:r>
              <w:t xml:space="preserve"> způsobem. Tato pravidla jsou rovněž nezbytná k zajištění řádného dohledu nad poskytovateli služeb finančních informací ze strany příslušných orgánů v souladu s jejich mandátem k zajištění finanční stability a integrity v Unii, což by poskytovatelům služeb finančních informací umožnilo poskytovat v celé Unii služby </w:t>
            </w:r>
            <w:r>
              <w:rPr>
                <w:b/>
                <w:i/>
              </w:rPr>
              <w:t>finančních informací</w:t>
            </w:r>
            <w:r>
              <w:t>, pro které mají povolení.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212</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(31)</w:t>
            </w:r>
            <w:r>
              <w:tab/>
            </w:r>
            <w:r>
              <w:t xml:space="preserve">Za účelem ochrany spotřebitele, posílení důvěry zákazníků a zajištění rovných podmínek je nezbytné stanovit pravidla, pokud jde o to, kdo je oprávněn přistupovat k údajům zákazníků. Tato pravidla by měla zajistit, aby všichni uživatelé údajů podléhali povolování ze strany příslušných orgánů a jejich dohledu. Tím by se zajistilo, že k údajům budou mít přístup pouze regulované finanční instituce nebo podniky, které mají zvláštní povolení jako poskytovatelé služeb finančních informací, na něž se vztahuje toto nařízení. Pravidla způsobilosti pro poskytovatele služeb finančních informací jsou nezbytná k zajištění finanční stability, integrity trhu a ochrany spotřebitelů, neboť poskytovatelé služeb finančních informací by poskytovali </w:t>
            </w:r>
            <w:r>
              <w:rPr>
                <w:b/>
                <w:i/>
              </w:rPr>
              <w:t>finanční produkty a</w:t>
            </w:r>
            <w:r>
              <w:t xml:space="preserve"> služby </w:t>
            </w:r>
            <w:r>
              <w:rPr>
                <w:b/>
                <w:i/>
              </w:rPr>
              <w:t>zákazníkům v Unii</w:t>
            </w:r>
            <w:r>
              <w:t xml:space="preserve"> a měli by přístup k údajům, které mají finanční instituce k dispozici a jejichž integrita je nezbytná pro zachování schopnosti finančních institucí nadále poskytovat finanční služby řádným a </w:t>
            </w:r>
            <w:r>
              <w:rPr>
                <w:b/>
                <w:i/>
              </w:rPr>
              <w:t>bezpečným</w:t>
            </w:r>
            <w:r>
              <w:t xml:space="preserve"> způsobem. Tato pravidla jsou rovněž nezbytná k zajištění řádného dohledu nad poskytovateli služeb finančních informací ze strany příslušných orgánů v souladu s jejich mandátem k zajištění finanční stability a integrity v Unii, což by poskytovatelům služeb finančních informací umožnilo poskytovat v celé Unii služby, pro které mají povolení.</w:t>
            </w:r>
          </w:p>
        </w:tc>
        <w:tc>
          <w:tcPr>
            <w:tcW w:w="4876" w:type="dxa"/>
          </w:tcPr>
          <w:p>
            <w:pPr>
              <w:pStyle w:val="Normal6a"/>
            </w:pPr>
            <w:r>
              <w:t>(31)</w:t>
            </w:r>
            <w:r>
              <w:tab/>
            </w:r>
            <w:r>
              <w:t xml:space="preserve">Za účelem ochrany spotřebitele, posílení důvěry zákazníků a zajištění rovných podmínek je nezbytné stanovit pravidla, pokud jde o to, kdo je oprávněn přistupovat k údajům zákazníků. Tato pravidla by měla zajistit, aby všichni uživatelé údajů podléhali povolování ze strany příslušných orgánů a jejich dohledu. Tím by se zajistilo, že k údajům budou mít přístup pouze regulované finanční instituce nebo podniky, které mají zvláštní povolení jako poskytovatelé služeb finančních informací, na něž se vztahuje toto nařízení. Pravidla způsobilosti pro poskytovatele služeb finančních informací jsou nezbytná k zajištění finanční stability, integrity trhu a ochrany spotřebitelů, neboť poskytovatelé služeb finančních informací by poskytovali služby </w:t>
            </w:r>
            <w:r>
              <w:rPr>
                <w:b/>
                <w:i/>
              </w:rPr>
              <w:t>finančních informací</w:t>
            </w:r>
            <w:r>
              <w:t xml:space="preserve"> a měli by přístup k údajům, které mají finanční instituce k dispozici a jejichž integrita je nezbytná pro zachování schopnosti finančních institucí nadále poskytovat finanční služby řádným a </w:t>
            </w:r>
            <w:r>
              <w:rPr>
                <w:b/>
                <w:i/>
              </w:rPr>
              <w:t>spolehlivým</w:t>
            </w:r>
            <w:r>
              <w:t xml:space="preserve"> způsobem. Tato pravidla jsou rovněž nezbytná k zajištění řádného dohledu nad poskytovateli služeb finančních informací ze strany příslušných orgánů v souladu s jejich mandátem k zajištění finanční stability a integrity v Unii, což by poskytovatelům služeb finančních informací umožnilo poskytovat v celé Unii služby </w:t>
            </w:r>
            <w:r>
              <w:rPr>
                <w:b/>
                <w:i/>
              </w:rPr>
              <w:t>finančních informací</w:t>
            </w:r>
            <w:r>
              <w:t>, pro které mají povolení.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213</w:t>
      </w:r>
      <w:r>
        <w:rPr>
          <w:rStyle w:val="HideTWBExt"/>
        </w:rPr>
        <w:t>&lt;/NumAm&gt;</w:t>
      </w:r>
    </w:p>
    <w:p>
      <w:pPr>
        <w:pStyle w:val="NormalBold"/>
      </w:pPr>
      <w:r>
        <w:rPr>
          <w:rStyle w:val="HideTWBExt"/>
        </w:rPr>
        <w:t>&lt;RepeatBlock-By&gt;</w:t>
      </w:r>
      <w:r>
        <w:rPr>
          <w:rStyle w:val="HideTWBExt"/>
        </w:rPr>
        <w:t>&lt;Members&gt;</w:t>
      </w:r>
      <w:r>
        <w:t>Isabel Benjumea Benjumea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(31a)</w:t>
            </w:r>
            <w:r>
              <w:tab/>
            </w:r>
            <w:r>
              <w:rPr>
                <w:b/>
                <w:i/>
              </w:rPr>
              <w:t>Poskytovatelé služeb finančních informací, jak jsou definováni v tomto nařízení, jsou uživatelé dat, kteří mají povolení poskytovat služby finančních informací.</w:t>
            </w:r>
            <w:r>
              <w:t xml:space="preserve"> </w:t>
            </w:r>
            <w:r>
              <w:rPr>
                <w:b/>
                <w:i/>
              </w:rPr>
              <w:t>Služby finančních informací jsou služby poskytované zákazníkům za účelem sdělení informací o finančních produktech, které spadají do oblasti působnosti tohoto nařízení.</w:t>
            </w:r>
            <w:r>
              <w:t xml:space="preserve"> </w:t>
            </w:r>
            <w:r>
              <w:rPr>
                <w:b/>
                <w:i/>
              </w:rPr>
              <w:t>Služby finančních informací mohou zahrnovat například analytické, komparativní a shromažďovací činnosti.</w:t>
            </w:r>
            <w:r>
              <w:t xml:space="preserve"> </w:t>
            </w:r>
            <w:r>
              <w:rPr>
                <w:b/>
                <w:i/>
              </w:rPr>
              <w:t>Poskytovatelům takových služeb nesmí být v žádném případě povoleno vykonávat například činnosti, které jsou upravovány platnými odvětvovými právními předpisy.</w:t>
            </w:r>
            <w:r>
              <w:t xml:space="preserve"> </w:t>
            </w:r>
            <w:r>
              <w:rPr>
                <w:b/>
                <w:i/>
              </w:rPr>
              <w:t>Tyto činnosti mohou provádět subjekty, na něž se vztahují příslušné odvětvové právní předpisy.</w:t>
            </w:r>
            <w:r>
              <w:t xml:space="preserve"> </w:t>
            </w:r>
            <w:r>
              <w:rPr>
                <w:b/>
                <w:i/>
              </w:rPr>
              <w:t>Proto těmto poskytovatelům nemůže být povoleno poskytovat například finanční poradenství nebo provádět činnosti týkající se distribuce pojištění, na něž se vztahuje směrnice (EU) 2016/97 nebo směrnice 2014/65/EU.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214</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(33)</w:t>
            </w:r>
            <w:r>
              <w:tab/>
            </w:r>
            <w:r>
              <w:t xml:space="preserve">Aby byl umožněn účinný dohled a vyloučena možnost vyhýbání se dohledu nebo jeho obcházení, musí být poskytovatelé služeb finančních informací buď zapsáni v obchodním rejstříku v Unii, nebo v případě, že jsou zapsáni v obchodním rejstříku ve třetí zemi, musí jmenovat právního zástupce v Unii. Účinný dohled příslušných orgánů je nezbytný pro prosazování požadavků podle tohoto nařízení, aby byla zajištěna integrita a stabilita finančního systému a ochrana spotřebitelů. </w:t>
            </w:r>
            <w:r>
              <w:rPr>
                <w:b/>
                <w:i/>
              </w:rPr>
              <w:t>Požadavek na zapsáni poskytovatelů služeb finančních informací v obchodním rejstříku v Unii nebo na jmenování právního zástupce v Unii nepředstavuje lokalizaci údajů, neboť toto nařízení nestanoví žádný další požadavek na zpracování údajů včetně jejich uložení v Unii.</w:t>
            </w:r>
          </w:p>
        </w:tc>
        <w:tc>
          <w:tcPr>
            <w:tcW w:w="4876" w:type="dxa"/>
          </w:tcPr>
          <w:p>
            <w:pPr>
              <w:pStyle w:val="Normal6a"/>
            </w:pPr>
            <w:r>
              <w:t>(33)</w:t>
            </w:r>
            <w:r>
              <w:tab/>
            </w:r>
            <w:r>
              <w:t>Aby byl umožněn účinný dohled a vyloučena možnost vyhýbání se dohledu nebo jeho obcházení, musí být poskytovatelé služeb finančních informací buď zapsáni v obchodním rejstříku v Unii, nebo v případě, že jsou zapsáni v obchodním rejstříku ve třetí zemi, musí jmenovat právního zástupce v Unii. Účinný dohled příslušných orgánů je nezbytný pro prosazování požadavků podle tohoto nařízení, aby byla zajištěna integrita a stabilita finančního systému a ochrana spotřebitelů.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215</w:t>
      </w:r>
      <w:r>
        <w:rPr>
          <w:rStyle w:val="HideTWBExt"/>
        </w:rPr>
        <w:t>&lt;/NumAm&gt;</w:t>
      </w:r>
    </w:p>
    <w:p>
      <w:pPr>
        <w:pStyle w:val="NormalBold"/>
      </w:pPr>
      <w:r>
        <w:rPr>
          <w:rStyle w:val="HideTWBExt"/>
        </w:rPr>
        <w:t>&lt;RepeatBlock-By&gt;</w:t>
      </w:r>
      <w:r>
        <w:rPr>
          <w:rStyle w:val="HideTWBExt"/>
        </w:rPr>
        <w:t>&lt;Members&gt;</w:t>
      </w:r>
      <w:r>
        <w:t>Stéphanie Yon-Courtin, Gilles Boyer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(33)</w:t>
            </w:r>
            <w:r>
              <w:tab/>
            </w:r>
            <w:r>
              <w:t xml:space="preserve">Aby byl umožněn účinný dohled a vyloučena možnost vyhýbání se dohledu nebo jeho obcházení, musí být </w:t>
            </w:r>
            <w:r>
              <w:rPr>
                <w:b/>
                <w:i/>
              </w:rPr>
              <w:t>poskytovatelé služeb</w:t>
            </w:r>
            <w:r>
              <w:t xml:space="preserve"> finančních informací </w:t>
            </w:r>
            <w:r>
              <w:rPr>
                <w:b/>
                <w:i/>
              </w:rPr>
              <w:t>buď zapsáni v obchodním rejstříku v Unii, nebo v případě, že jsou zapsáni v obchodním rejstříku ve třetí zemi, musí jmenovat právního zástupce v Unii</w:t>
            </w:r>
            <w:r>
              <w:t>. Účinný dohled příslušných orgánů je nezbytný pro prosazování požadavků podle tohoto nařízení, aby byla zajištěna integrita a stabilita finančního systému a ochrana spotřebitelů. Požadavek na zapsáni poskytovatelů služeb finančních informací v obchodním rejstříku v Unii nebo na jmenování právního zástupce v Unii nepředstavuje lokalizaci údajů, neboť toto nařízení nestanoví žádný další požadavek na zpracování údajů včetně jejich uložení v Unii.</w:t>
            </w:r>
          </w:p>
        </w:tc>
        <w:tc>
          <w:tcPr>
            <w:tcW w:w="4876" w:type="dxa"/>
          </w:tcPr>
          <w:p>
            <w:pPr>
              <w:pStyle w:val="Normal6a"/>
            </w:pPr>
            <w:r>
              <w:t>(33)</w:t>
            </w:r>
            <w:r>
              <w:tab/>
            </w:r>
            <w:r>
              <w:t xml:space="preserve">Aby byl umožněn účinný dohled a vyloučena možnost vyhýbání se dohledu nebo jeho obcházení, musí být </w:t>
            </w:r>
            <w:r>
              <w:rPr>
                <w:b/>
                <w:i/>
              </w:rPr>
              <w:t>služby</w:t>
            </w:r>
            <w:r>
              <w:t xml:space="preserve"> finančních informací </w:t>
            </w:r>
            <w:r>
              <w:rPr>
                <w:b/>
                <w:i/>
              </w:rPr>
              <w:t>poskytovány pouze právnickými osobami, které mají sídlo v členském státě, v němž hodlají vykonávat nebo vykonávají významnou podnikatelskou činnost</w:t>
            </w:r>
            <w:r>
              <w:t>. Účinný dohled příslušných orgánů je nezbytný pro prosazování požadavků podle tohoto nařízení, aby byla zajištěna integrita a stabilita finančního systému a ochrana spotřebitelů. Požadavek na zapsáni poskytovatelů služeb finančních informací v obchodním rejstříku v Unii nebo na jmenování právního zástupce v Unii nepředstavuje lokalizaci údajů, neboť toto nařízení nestanoví žádný další požadavek na zpracování údajů včetně jejich uložení v Unii.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Přístup k údajům o zákaznících podle FIDA by měli mít pouze poskytovatelé finančních služeb usazení v Unii nebo regulované subjekty.</w:t>
      </w:r>
      <w:r>
        <w:t xml:space="preserve"> </w:t>
      </w:r>
      <w:r>
        <w:t>S cílem chránit spotřebitele před možným zneužitím jejich údajů subjekty ze třetích zemí, zajistit lepší dohled nad těmito subjekty a lepší rovné podmínky by měl být přístup k údajům o zákaznících z EU umožněn poskytovatelům finančních služeb Unie pouze tehdy, jsou-li usazeni v EU a obdrželi povolení od příslušného orgánu, což vylučuje možnost, aby společnosti ze zemí mimo EU získaly povolení jako finanční poskytovatelé finančních služeb</w:t>
      </w:r>
    </w:p>
    <w:p>
      <w:r>
        <w:rPr>
          <w:rStyle w:val="HideTWBExt"/>
        </w:rPr>
        <w:t>&lt;/Amend&gt;</w:t>
      </w:r>
    </w:p>
    <w:p>
      <w:pPr>
        <w:pStyle w:val="AmNumberTabs"/>
      </w:pPr>
      <w:r>
        <w:rPr>
          <w:rStyle w:val="HideTWBExt"/>
        </w:rPr>
        <w:t>&lt;Amend&gt;</w:t>
      </w:r>
      <w:r>
        <w:t>Pozměňovací návrh</w:t>
      </w:r>
      <w:r>
        <w:tab/>
      </w:r>
      <w:r>
        <w:tab/>
      </w:r>
      <w:r>
        <w:rPr>
          <w:rStyle w:val="HideTWBExt"/>
        </w:rPr>
        <w:t>&lt;NumAm&gt;</w:t>
      </w:r>
      <w:r>
        <w:t>216</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(33)</w:t>
            </w:r>
            <w:r>
              <w:tab/>
            </w:r>
            <w:r>
              <w:t xml:space="preserve">Aby byl umožněn účinný dohled a vyloučena možnost vyhýbání se dohledu nebo jeho obcházení, musí být </w:t>
            </w:r>
            <w:r>
              <w:rPr>
                <w:b/>
                <w:i/>
              </w:rPr>
              <w:t>poskytovatelé služeb</w:t>
            </w:r>
            <w:r>
              <w:t xml:space="preserve"> finančních informací </w:t>
            </w:r>
            <w:r>
              <w:rPr>
                <w:b/>
                <w:i/>
              </w:rPr>
              <w:t>buď zapsáni v obchodním rejstříku v Unii, nebo v případě, že jsou zapsáni v obchodním rejstříku ve třetí zemi, musí jmenovat právního zástupce v Unii</w:t>
            </w:r>
            <w:r>
              <w:t xml:space="preserve">. Účinný dohled příslušných orgánů je nezbytný pro prosazování požadavků podle tohoto nařízení, aby byla zajištěna integrita a stabilita finančního systému a ochrana spotřebitelů. Požadavek na </w:t>
            </w:r>
            <w:r>
              <w:rPr>
                <w:b/>
                <w:i/>
              </w:rPr>
              <w:t>zapsáni</w:t>
            </w:r>
            <w:r>
              <w:t xml:space="preserve"> poskytovatelů služeb finančních informací v obchodním rejstříku </w:t>
            </w:r>
            <w:r>
              <w:rPr>
                <w:b/>
                <w:i/>
              </w:rPr>
              <w:t>v Unii nebo na jmenování právního zástupce</w:t>
            </w:r>
            <w:r>
              <w:t xml:space="preserve"> v Unii nepředstavuje lokalizaci údajů, neboť toto nařízení nestanoví žádný další požadavek na zpracování údajů včetně jejich uložení v Unii.</w:t>
            </w:r>
          </w:p>
        </w:tc>
        <w:tc>
          <w:tcPr>
            <w:tcW w:w="4876" w:type="dxa"/>
          </w:tcPr>
          <w:p>
            <w:pPr>
              <w:pStyle w:val="Normal6a"/>
            </w:pPr>
            <w:r>
              <w:t>(33)</w:t>
            </w:r>
            <w:r>
              <w:tab/>
            </w:r>
            <w:r>
              <w:t xml:space="preserve">Aby byl umožněn účinný dohled a vyloučena možnost vyhýbání se dohledu nebo jeho obcházení, musí být </w:t>
            </w:r>
            <w:r>
              <w:rPr>
                <w:b/>
                <w:i/>
              </w:rPr>
              <w:t>služby</w:t>
            </w:r>
            <w:r>
              <w:t xml:space="preserve"> finančních informací </w:t>
            </w:r>
            <w:r>
              <w:rPr>
                <w:b/>
                <w:i/>
              </w:rPr>
              <w:t>poskytovány pouze právnickými osobami, které mají sídlo v členském státě, v němž hodlají vykonávat nebo vykonávají významnou podnikatelskou činnost</w:t>
            </w:r>
            <w:r>
              <w:t xml:space="preserve">. Účinný dohled příslušných orgánů je nezbytný pro prosazování požadavků podle tohoto nařízení, aby byla zajištěna integrita a stabilita finančního systému a ochrana spotřebitelů. Požadavek na </w:t>
            </w:r>
            <w:r>
              <w:rPr>
                <w:b/>
                <w:i/>
              </w:rPr>
              <w:t>zapsání</w:t>
            </w:r>
            <w:r>
              <w:t xml:space="preserve"> poskytovatelů služeb finančních informací v obchodním rejstříku v Unii nepředstavuje lokalizaci údajů, neboť toto nařízení nestanoví žádný další požadavek na zpracování údajů včetně jejich uložení v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217</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(33)</w:t>
            </w:r>
            <w:r>
              <w:tab/>
            </w:r>
            <w:r>
              <w:t xml:space="preserve">Aby byl umožněn účinný dohled a vyloučena možnost vyhýbání se dohledu nebo jeho obcházení, musí být </w:t>
            </w:r>
            <w:r>
              <w:rPr>
                <w:b/>
                <w:i/>
              </w:rPr>
              <w:t>poskytovatelé služeb</w:t>
            </w:r>
            <w:r>
              <w:t xml:space="preserve"> finančních informací </w:t>
            </w:r>
            <w:r>
              <w:rPr>
                <w:b/>
                <w:i/>
              </w:rPr>
              <w:t>buď zapsáni v obchodním rejstříku v Unii, nebo v případě, že jsou zapsáni v obchodním rejstříku ve třetí zemi, musí jmenovat právního zástupce v Unii</w:t>
            </w:r>
            <w:r>
              <w:t xml:space="preserve">. Účinný dohled příslušných orgánů je nezbytný pro prosazování požadavků podle tohoto nařízení, aby byla zajištěna integrita a stabilita finančního systému a ochrana spotřebitelů. Požadavek na </w:t>
            </w:r>
            <w:r>
              <w:rPr>
                <w:b/>
                <w:i/>
              </w:rPr>
              <w:t>zapsáni</w:t>
            </w:r>
            <w:r>
              <w:t xml:space="preserve"> poskytovatelů služeb finančních informací v obchodním rejstříku </w:t>
            </w:r>
            <w:r>
              <w:rPr>
                <w:b/>
                <w:i/>
              </w:rPr>
              <w:t>v Unii nebo na jmenování právního zástupce</w:t>
            </w:r>
            <w:r>
              <w:t xml:space="preserve"> v Unii nepředstavuje lokalizaci údajů, neboť toto nařízení nestanoví žádný další požadavek na zpracování údajů včetně jejich uložení v Unii.</w:t>
            </w:r>
          </w:p>
        </w:tc>
        <w:tc>
          <w:tcPr>
            <w:tcW w:w="4876" w:type="dxa"/>
          </w:tcPr>
          <w:p>
            <w:pPr>
              <w:pStyle w:val="Normal6a"/>
            </w:pPr>
            <w:r>
              <w:t>(33)</w:t>
            </w:r>
            <w:r>
              <w:tab/>
            </w:r>
            <w:r>
              <w:t xml:space="preserve">Aby byl umožněn účinný dohled a vyloučena možnost vyhýbání se dohledu nebo jeho obcházení, musí být </w:t>
            </w:r>
            <w:r>
              <w:rPr>
                <w:b/>
                <w:i/>
              </w:rPr>
              <w:t>služby</w:t>
            </w:r>
            <w:r>
              <w:t xml:space="preserve"> finančních informací </w:t>
            </w:r>
            <w:r>
              <w:rPr>
                <w:b/>
                <w:i/>
              </w:rPr>
              <w:t>poskytovány pouze právnickými osobami, které mají sídlo v členském státě, v němž hodlají vykonávat nebo vykonávají významnou podnikatelskou činnost</w:t>
            </w:r>
            <w:r>
              <w:t xml:space="preserve">. Účinný dohled příslušných orgánů je nezbytný pro prosazování požadavků podle tohoto nařízení, aby byla zajištěna integrita a stabilita finančního systému a ochrana spotřebitelů. Požadavek na </w:t>
            </w:r>
            <w:r>
              <w:rPr>
                <w:b/>
                <w:i/>
              </w:rPr>
              <w:t>zapsání</w:t>
            </w:r>
            <w:r>
              <w:t xml:space="preserve"> poskytovatelů služeb finančních informací v obchodním rejstříku v Unii nepředstavuje lokalizaci údajů, neboť toto nařízení nestanoví žádný další požadavek na zpracování údajů včetně jejich uložení v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218</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 xml:space="preserve">Poskytovatel služeb finančních informací by měl mít povolení v jurisdikci členského státu, kde se nachází jeho hlavní provozovna, tj. kde má poskytovatel služeb finančních informací </w:t>
            </w:r>
            <w:r>
              <w:rPr>
                <w:b/>
                <w:i/>
              </w:rPr>
              <w:t>své ústředí nebo sídlo, v němž jsou vykonávány hlavní funkce a provozní kontrola.</w:t>
            </w:r>
            <w:r>
              <w:t xml:space="preserve"> </w:t>
            </w:r>
            <w:r>
              <w:rPr>
                <w:b/>
                <w:i/>
              </w:rPr>
              <w:t>Pokud jde o poskytovatele služeb finančních informací, kteří nemají provozovnu v Unii, ale vyžadují přístup k údajům v Unii, a proto spadají do oblasti působnosti tohoto nařízení, měl by pro ně být příslušný členský stát, v němž tito poskytovatelé služeb finančních informací jmenovali svého právního zástupce, s ohledem na funkci právních zástupců podle tohoto nařízení</w:t>
            </w:r>
            <w:r>
              <w:t>.</w:t>
            </w:r>
          </w:p>
        </w:tc>
        <w:tc>
          <w:tcPr>
            <w:tcW w:w="4876" w:type="dxa"/>
          </w:tcPr>
          <w:p>
            <w:pPr>
              <w:pStyle w:val="Normal6a"/>
            </w:pPr>
            <w:r>
              <w:t>(34)</w:t>
            </w:r>
            <w:r>
              <w:tab/>
            </w:r>
            <w:r>
              <w:t xml:space="preserve">Poskytovatel služeb finančních informací by měl mít povolení v jurisdikci členského státu, kde se nachází jeho hlavní provozovna, tj. kde má poskytovatel služeb finančních informací </w:t>
            </w:r>
            <w:r>
              <w:rPr>
                <w:b/>
                <w:i/>
              </w:rPr>
              <w:t>v úmyslu provádět významnou podnikatelskou činnost a kde má své ústředí nebo sídlo, v němž jsou vykonávány hlavní funkce a provozní kontrola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219</w:t>
      </w:r>
      <w:r>
        <w:rPr>
          <w:rStyle w:val="HideTWBExt"/>
        </w:rPr>
        <w:t>&lt;/NumAm&gt;</w:t>
      </w:r>
    </w:p>
    <w:p>
      <w:pPr>
        <w:pStyle w:val="NormalBold"/>
      </w:pPr>
      <w:r>
        <w:rPr>
          <w:rStyle w:val="HideTWBExt"/>
        </w:rPr>
        <w:t>&lt;RepeatBlock-By&gt;</w:t>
      </w:r>
      <w:r>
        <w:rPr>
          <w:rStyle w:val="HideTWBExt"/>
        </w:rPr>
        <w:t>&lt;Members&gt;</w:t>
      </w:r>
      <w:r>
        <w:t>Stéphanie Yon-Courtin, Gilles Boyer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 xml:space="preserve">Poskytovatel služeb finančních informací by měl mít povolení v jurisdikci členského státu, kde se nachází jeho hlavní provozovna, tj. kde má poskytovatel služeb finančních informací </w:t>
            </w:r>
            <w:r>
              <w:rPr>
                <w:b/>
                <w:i/>
              </w:rPr>
              <w:t>své ústředí nebo sídlo, v němž jsou vykonávány hlavní funkce a provozní kontrola.</w:t>
            </w:r>
            <w:r>
              <w:t xml:space="preserve"> </w:t>
            </w:r>
            <w:r>
              <w:rPr>
                <w:b/>
                <w:i/>
              </w:rPr>
              <w:t>Pokud jde o poskytovatele služeb finančních informací, kteří nemají provozovnu v Unii, ale vyžadují přístup k údajům v Unii, a proto spadají do oblasti působnosti tohoto nařízení, měl by pro ně být příslušný členský stát, v němž tito poskytovatelé služeb finančních informací jmenovali svého právního zástupce, s ohledem na funkci právních zástupců podle tohoto nařízení</w:t>
            </w:r>
            <w:r>
              <w:t>.</w:t>
            </w:r>
          </w:p>
        </w:tc>
        <w:tc>
          <w:tcPr>
            <w:tcW w:w="4876" w:type="dxa"/>
          </w:tcPr>
          <w:p>
            <w:pPr>
              <w:pStyle w:val="Normal6a"/>
            </w:pPr>
            <w:r>
              <w:t>(34)</w:t>
            </w:r>
            <w:r>
              <w:tab/>
            </w:r>
            <w:r>
              <w:t xml:space="preserve">Poskytovatel služeb finančních informací by měl mít povolení v jurisdikci členského státu, kde se nachází jeho hlavní provozovna, tj. kde má poskytovatel služeb finančních informací </w:t>
            </w:r>
            <w:r>
              <w:rPr>
                <w:b/>
                <w:i/>
              </w:rPr>
              <w:t>v úmyslu provádět významnou podnikatelskou činnost a kde má své ústředí nebo sídlo, v němž jsou vykonávány hlavní funkce a provozní kontrola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Přístup k údajům o zákaznících podle FIDA by měli mít pouze poskytovatelé finančních služeb usazení v Unii nebo regulované subjekty.</w:t>
      </w:r>
      <w:r>
        <w:t xml:space="preserve"> </w:t>
      </w:r>
      <w:r>
        <w:t>S cílem chránit spotřebitele před možným zneužitím jejich údajů subjekty ze třetích zemí, zajistit lepší dohled nad těmito subjekty a lepší rovné podmínky by měl být přístup k údajům o zákaznících z EU umožněn poskytovatelům finančních služeb Unie pouze tehdy, jsou-li usazeni v EU a obdrželi povolení od příslušného orgánu, což vylučuje možnost, aby společnosti ze zemí mimo EU získaly povolení jako finanční poskytovatelé finančních služeb.</w:t>
      </w:r>
    </w:p>
    <w:p>
      <w:r>
        <w:rPr>
          <w:rStyle w:val="HideTWBExt"/>
        </w:rPr>
        <w:t>&lt;/Amend&gt;</w:t>
      </w:r>
    </w:p>
    <w:p>
      <w:pPr>
        <w:pStyle w:val="AmNumberTabs"/>
      </w:pPr>
      <w:r>
        <w:rPr>
          <w:rStyle w:val="HideTWBExt"/>
        </w:rPr>
        <w:t>&lt;Amend&gt;</w:t>
      </w:r>
      <w:r>
        <w:t>Pozměňovací návrh</w:t>
      </w:r>
      <w:r>
        <w:tab/>
      </w:r>
      <w:r>
        <w:tab/>
      </w:r>
      <w:r>
        <w:rPr>
          <w:rStyle w:val="HideTWBExt"/>
        </w:rPr>
        <w:t>&lt;NumAm&gt;</w:t>
      </w:r>
      <w:r>
        <w:t>220</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(48)</w:t>
            </w:r>
            <w:r>
              <w:tab/>
            </w:r>
            <w:r>
              <w:t xml:space="preserve">Při zpracování osobních údajů platí nařízení (EU) 2016/679. Stanoví práva subjektu údajů, včetně práva na přístup k osobním údajům a práva na jejich přenos. Tímto nařízením nejsou dotčena práva subjektu údajů podle nařízení (EU) 2016/679, včetně práva na přístup a práva na přenositelnost údajů. Toto nařízení zakládá právní povinnost sdílet osobní a neosobní údaje o zákaznících na jejich žádost a nařizuje technickou proveditelnost přístupu a sdílení pro všechny typy údajů v oblasti působnosti tohoto nařízení. Udělením povolení ze strany zákazníka nejsou dotčeny povinnosti uživatelů údajů podle </w:t>
            </w:r>
            <w:r>
              <w:rPr>
                <w:b/>
                <w:i/>
              </w:rPr>
              <w:t>článku 6</w:t>
            </w:r>
            <w:r>
              <w:t xml:space="preserve"> nařízení (EU) 2016/679. Osobní údaje, které jsou zpřístupněny a sdíleny s uživatelem údajů, by měly být zpracovávány pouze pro služby poskytované uživatelem údajů, pokud existuje platný právní základ podle čl. 6 odst. 1 nařízení (EU) 2016/679 a případně pokud jsou splněny požadavky článku 9 uvedeného nařízení o zpracování zvláštních kategorií údajů.</w:t>
            </w:r>
          </w:p>
        </w:tc>
        <w:tc>
          <w:tcPr>
            <w:tcW w:w="4876" w:type="dxa"/>
          </w:tcPr>
          <w:p>
            <w:pPr>
              <w:pStyle w:val="Normal6a"/>
            </w:pPr>
            <w:r>
              <w:t>(48)</w:t>
            </w:r>
            <w:r>
              <w:tab/>
            </w:r>
            <w:r>
              <w:t xml:space="preserve">Při zpracování osobních údajů platí nařízení (EU) 2016/679. Stanoví práva subjektu údajů, včetně práva na přístup k osobním údajům a práva na jejich přenos. Tímto nařízením nejsou dotčena práva subjektu údajů podle nařízení (EU) 2016/679, včetně práva na přístup a práva na přenositelnost údajů. Toto nařízení zakládá právní povinnost sdílet osobní a neosobní údaje o zákaznících na jejich žádost a nařizuje technickou proveditelnost přístupu a sdílení pro všechny typy údajů v oblasti působnosti tohoto nařízení. Udělením povolení ze strany zákazníka nejsou dotčeny povinnosti uživatelů údajů podle </w:t>
            </w:r>
            <w:r>
              <w:rPr>
                <w:b/>
                <w:i/>
              </w:rPr>
              <w:t>čl. 6 odst. 1 písm. a) nebo b) nařízení (EU) 2016/679.</w:t>
            </w:r>
            <w:r>
              <w:t xml:space="preserve"> </w:t>
            </w:r>
            <w:r>
              <w:rPr>
                <w:b/>
                <w:i/>
              </w:rPr>
              <w:t>Povolení by nemělo být vykládáno jako „souhlas“ či „výslovný souhlas“ nebo „nezbytnost pro plnění smlouvy“ ve smyslu</w:t>
            </w:r>
            <w:r>
              <w:t xml:space="preserve"> nařízení (EU) 2016/679. Osobní údaje, které jsou zpřístupněny a sdíleny s uživatelem údajů, by měly být zpracovávány pouze pro služby poskytované uživatelem údajů, pokud existuje platný právní základ podle čl. 6 odst. 1 nařízení (EU) 2016/679 a případně pokud jsou splněny požadavky článku 9 uvedeného nařízení o zpracování zvláštních kategorií údajů. </w:t>
            </w:r>
            <w:r>
              <w:rPr>
                <w:b/>
                <w:i/>
              </w:rPr>
              <w:t>Zpracování osobních údajů v souvislosti s tímto nařízením by mělo být prováděno v souladu s nařízením (EU) 2016/679 a nařízením (EU) 2018/1725 a případně rovněž se směrnicí o soukromí a elektronických komunikacích.</w:t>
            </w:r>
            <w:r>
              <w:t xml:space="preserve"> </w:t>
            </w:r>
            <w:r>
              <w:rPr>
                <w:b/>
                <w:i/>
              </w:rPr>
              <w:t>V případě smíšených souborů údajů, kde jsou osobní a neosobní údaje neoddělitelně spojeny, se plně uplatní ochrana stanovená v právních předpisech EU o ochraně údajů a v tomto nařízení týkajících se osobních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221</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(48)</w:t>
            </w:r>
            <w:r>
              <w:tab/>
            </w:r>
            <w:r>
              <w:rPr>
                <w:b/>
                <w:i/>
              </w:rPr>
              <w:t>Při</w:t>
            </w:r>
            <w:r>
              <w:t xml:space="preserve"> zpracování osobních údajů </w:t>
            </w:r>
            <w:r>
              <w:rPr>
                <w:b/>
                <w:i/>
              </w:rPr>
              <w:t>platí nařízení</w:t>
            </w:r>
            <w:r>
              <w:t xml:space="preserve"> (EU) 2016/679</w:t>
            </w:r>
            <w:r>
              <w:rPr>
                <w:b/>
                <w:i/>
              </w:rPr>
              <w:t>.</w:t>
            </w:r>
            <w:r>
              <w:t xml:space="preserve"> Stanoví práva subjektu údajů, včetně práva na přístup k osobním údajům a práva na jejich přenos. Tímto nařízením nejsou dotčena práva subjektu údajů podle nařízení (EU) 2016/679, včetně práva na přístup a práva na přenositelnost údajů. Toto nařízení zakládá právní povinnost </w:t>
            </w:r>
            <w:r>
              <w:rPr>
                <w:b/>
                <w:i/>
              </w:rPr>
              <w:t>sdílet osobní a neosobní údaje</w:t>
            </w:r>
            <w:r>
              <w:t xml:space="preserve"> o zákaznících na jejich žádost a nařizuje technickou proveditelnost přístupu </w:t>
            </w:r>
            <w:r>
              <w:rPr>
                <w:b/>
                <w:i/>
              </w:rPr>
              <w:t>a sdílení</w:t>
            </w:r>
            <w:r>
              <w:t xml:space="preserve"> pro všechny typy údajů v oblasti působnosti tohoto nařízení. Udělením povolení ze strany zákazníka nejsou dotčeny povinnosti uživatelů údajů podle článku 6 nařízení (EU) 2016/679. Osobní údaje, které jsou zpřístupněny </w:t>
            </w:r>
            <w:r>
              <w:rPr>
                <w:b/>
                <w:i/>
              </w:rPr>
              <w:t>a sdíleny s uživatelem</w:t>
            </w:r>
            <w:r>
              <w:t xml:space="preserve"> údajů, by měly být zpracovávány pouze pro služby poskytované uživatelem údajů, pokud existuje platný právní základ podle čl. 6 odst. 1 nařízení (EU) 2016/679 a případně pokud jsou splněny požadavky článku 9 uvedeného nařízení o zpracování zvláštních kategorií údajů.</w:t>
            </w:r>
          </w:p>
        </w:tc>
        <w:tc>
          <w:tcPr>
            <w:tcW w:w="4876" w:type="dxa"/>
          </w:tcPr>
          <w:p>
            <w:pPr>
              <w:pStyle w:val="Normal6a"/>
            </w:pPr>
            <w:r>
              <w:t>(48)</w:t>
            </w:r>
            <w:r>
              <w:tab/>
            </w:r>
            <w:r>
              <w:t xml:space="preserve">Zpracování osobních údajů </w:t>
            </w:r>
            <w:r>
              <w:rPr>
                <w:b/>
                <w:i/>
              </w:rPr>
              <w:t>v souvislosti s tímto nařízením by mělo být prováděno v souladu s nařízením</w:t>
            </w:r>
            <w:r>
              <w:t xml:space="preserve"> (EU) 2016/679 </w:t>
            </w:r>
            <w:r>
              <w:rPr>
                <w:b/>
                <w:i/>
              </w:rPr>
              <w:t>a nařízením (EU) 2018/1725 a případně také se směrnicí Evropského parlamentu a Rady2002/58/ES</w:t>
            </w:r>
            <w:r>
              <w:rPr>
                <w:b/>
                <w:i/>
                <w:vertAlign w:val="superscript"/>
              </w:rPr>
              <w:t>1a</w:t>
            </w:r>
            <w:r>
              <w:t xml:space="preserve"> </w:t>
            </w:r>
            <w:r>
              <w:rPr>
                <w:b/>
                <w:i/>
              </w:rPr>
              <w:t>(směrnice o soukromí a elektronických komunikacích).</w:t>
            </w:r>
            <w:r>
              <w:t xml:space="preserve"> </w:t>
            </w:r>
            <w:r>
              <w:rPr>
                <w:b/>
                <w:i/>
              </w:rPr>
              <w:t>Nařízení (EU) 2016/679</w:t>
            </w:r>
            <w:r>
              <w:t xml:space="preserve"> stanoví práva subjektu údajů, včetně práva na přístup k osobním údajům a práva na jejich přenos. Tímto nařízením nejsou dotčena práva subjektu údajů podle nařízení (EU) 2016/679, včetně práva na přístup a práva na přenositelnost údajů. Toto nařízení zakládá právní povinnost </w:t>
            </w:r>
            <w:r>
              <w:rPr>
                <w:b/>
                <w:i/>
              </w:rPr>
              <w:t>poskytovat přístup k osobním a neosobním údajům</w:t>
            </w:r>
            <w:r>
              <w:t xml:space="preserve"> o zákaznících na jejich žádost a </w:t>
            </w:r>
            <w:r>
              <w:rPr>
                <w:b/>
                <w:i/>
              </w:rPr>
              <w:t>umožnit opakované použití těchto údajů a</w:t>
            </w:r>
            <w:r>
              <w:t xml:space="preserve"> nařizuje technickou proveditelnost přístupu pro všechny typy údajů v oblasti působnosti tohoto nařízení. Udělením povolení ze strany zákazníka nejsou dotčeny povinnosti uživatelů údajů podle článku 6 nařízení (EU) 2016/679. </w:t>
            </w:r>
            <w:r>
              <w:rPr>
                <w:b/>
                <w:i/>
              </w:rPr>
              <w:t>Povolení by nemělo být vykládáno jako „souhlas“ nebo „nezbytnost pro plnění smlouvy“ ve smyslu nařízení (EU) 2016/679.</w:t>
            </w:r>
            <w:r>
              <w:t xml:space="preserve"> Osobní údaje, které jsou zpřístupněny </w:t>
            </w:r>
            <w:r>
              <w:rPr>
                <w:b/>
                <w:i/>
              </w:rPr>
              <w:t>uživateli</w:t>
            </w:r>
            <w:r>
              <w:t xml:space="preserve"> údajů, by měly být zpracovávány pouze pro služby poskytované uživatelem údajů, pokud existuje platný právní základ podle čl. 6 odst. 1 nařízení (EU) 2016/679 a případně pokud jsou splněny požadavky článku 9 uvedeného nařízení o zpracování zvláštních kategorií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222</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(48)</w:t>
            </w:r>
            <w:r>
              <w:tab/>
            </w:r>
            <w:r>
              <w:rPr>
                <w:b/>
                <w:i/>
              </w:rPr>
              <w:t>Při</w:t>
            </w:r>
            <w:r>
              <w:t xml:space="preserve"> zpracování osobních údajů </w:t>
            </w:r>
            <w:r>
              <w:rPr>
                <w:b/>
                <w:i/>
              </w:rPr>
              <w:t>platí nařízení</w:t>
            </w:r>
            <w:r>
              <w:t xml:space="preserve"> (EU) 2016/679</w:t>
            </w:r>
            <w:r>
              <w:rPr>
                <w:b/>
                <w:i/>
              </w:rPr>
              <w:t>.</w:t>
            </w:r>
            <w:r>
              <w:t xml:space="preserve"> Stanoví práva subjektu údajů, včetně práva na přístup k osobním údajům a práva na jejich přenos. Tímto nařízením nejsou dotčena práva subjektu údajů podle nařízení (EU) 2016/679, včetně práva na přístup a práva na přenositelnost údajů. Toto nařízení zakládá právní povinnost </w:t>
            </w:r>
            <w:r>
              <w:rPr>
                <w:b/>
                <w:i/>
              </w:rPr>
              <w:t>sdílet osobní a neosobní údaje</w:t>
            </w:r>
            <w:r>
              <w:t xml:space="preserve"> o zákaznících na jejich žádost a nařizuje technickou proveditelnost přístupu </w:t>
            </w:r>
            <w:r>
              <w:rPr>
                <w:b/>
                <w:i/>
              </w:rPr>
              <w:t>a sdílení</w:t>
            </w:r>
            <w:r>
              <w:t xml:space="preserve"> pro všechny typy údajů v oblasti působnosti tohoto nařízení. Udělením povolení ze strany zákazníka nejsou dotčeny povinnosti uživatelů údajů podle článku 6 nařízení (EU) 2016/679. Osobní údaje, které jsou zpřístupněny </w:t>
            </w:r>
            <w:r>
              <w:rPr>
                <w:b/>
                <w:i/>
              </w:rPr>
              <w:t>a sdíleny s uživatelem</w:t>
            </w:r>
            <w:r>
              <w:t xml:space="preserve"> údajů, by měly být zpracovávány pouze pro služby poskytované uživatelem údajů, pokud existuje platný právní základ podle čl. 6 odst. 1 nařízení (EU) 2016/679 a případně pokud jsou splněny požadavky článku 9 uvedeného nařízení o zpracování zvláštních kategorií údajů.</w:t>
            </w:r>
          </w:p>
        </w:tc>
        <w:tc>
          <w:tcPr>
            <w:tcW w:w="4876" w:type="dxa"/>
          </w:tcPr>
          <w:p>
            <w:pPr>
              <w:pStyle w:val="Normal6a"/>
            </w:pPr>
            <w:r>
              <w:t>(48)</w:t>
            </w:r>
            <w:r>
              <w:tab/>
            </w:r>
            <w:r>
              <w:t xml:space="preserve">Zpracování osobních údajů </w:t>
            </w:r>
            <w:r>
              <w:rPr>
                <w:b/>
                <w:i/>
              </w:rPr>
              <w:t>v souvislosti s tímto nařízením by mělo být prováděno v souladu s nařízením</w:t>
            </w:r>
            <w:r>
              <w:t xml:space="preserve"> (EU) 2016/679 </w:t>
            </w:r>
            <w:r>
              <w:rPr>
                <w:b/>
                <w:i/>
              </w:rPr>
              <w:t>a nařízením (EU) 2018/1725 a případně také se směrnicí Evropského parlamentu a Rady2002/58/ES</w:t>
            </w:r>
            <w:r>
              <w:rPr>
                <w:b/>
                <w:i/>
                <w:vertAlign w:val="superscript"/>
              </w:rPr>
              <w:t>1a</w:t>
            </w:r>
            <w:r>
              <w:t xml:space="preserve"> </w:t>
            </w:r>
            <w:r>
              <w:rPr>
                <w:b/>
                <w:i/>
              </w:rPr>
              <w:t>(směrnice o soukromí a elektronických komunikacích).</w:t>
            </w:r>
            <w:r>
              <w:t xml:space="preserve"> </w:t>
            </w:r>
            <w:r>
              <w:rPr>
                <w:b/>
                <w:i/>
              </w:rPr>
              <w:t>Nařízení (EU) 2016/679</w:t>
            </w:r>
            <w:r>
              <w:t xml:space="preserve"> stanoví práva subjektu údajů, včetně práva na přístup k osobním údajům a práva na jejich přenos. Tímto nařízením nejsou dotčena práva subjektu údajů podle nařízení (EU) 2016/679, včetně práva na přístup a práva na přenositelnost údajů. Toto nařízení zakládá právní povinnost </w:t>
            </w:r>
            <w:r>
              <w:rPr>
                <w:b/>
                <w:i/>
              </w:rPr>
              <w:t>poskytovat přístup k osobním a neosobním údajům</w:t>
            </w:r>
            <w:r>
              <w:t xml:space="preserve"> o zákaznících na jejich žádost a </w:t>
            </w:r>
            <w:r>
              <w:rPr>
                <w:b/>
                <w:i/>
              </w:rPr>
              <w:t>umožnit opakované použití těchto údajů a</w:t>
            </w:r>
            <w:r>
              <w:t xml:space="preserve"> nařizuje technickou proveditelnost přístupu pro všechny typy údajů v oblasti působnosti tohoto nařízení. Udělením povolení ze strany zákazníka nejsou dotčeny povinnosti uživatelů údajů podle článku 6 nařízení (EU) 2016/679. </w:t>
            </w:r>
            <w:r>
              <w:rPr>
                <w:b/>
                <w:i/>
              </w:rPr>
              <w:t>Povolení by nemělo být vykládáno jako „souhlas“ nebo „nezbytnost pro plnění smlouvy“ ve smyslu nařízení (EU) 2016/679.</w:t>
            </w:r>
            <w:r>
              <w:t xml:space="preserve"> Osobní údaje, které jsou zpřístupněny </w:t>
            </w:r>
            <w:r>
              <w:rPr>
                <w:b/>
                <w:i/>
              </w:rPr>
              <w:t>uživateli</w:t>
            </w:r>
            <w:r>
              <w:t xml:space="preserve"> údajů, by měly být zpracovávány pouze pro služby poskytované uživatelem údajů, pokud existuje platný právní základ podle čl. 6 odst. 1 nařízení (EU) 2016/679 a případně pokud jsou splněny požadavky článku 9 uvedeného nařízení o zpracování zvláštních kategorií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223</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(48)</w:t>
            </w:r>
            <w:r>
              <w:tab/>
            </w:r>
            <w:r>
              <w:rPr>
                <w:b/>
                <w:i/>
              </w:rPr>
              <w:t>Při</w:t>
            </w:r>
            <w:r>
              <w:t xml:space="preserve"> zpracování osobních údajů </w:t>
            </w:r>
            <w:r>
              <w:rPr>
                <w:b/>
                <w:i/>
              </w:rPr>
              <w:t>platí</w:t>
            </w:r>
            <w:r>
              <w:t xml:space="preserve"> nařízení (EU) 2016/679</w:t>
            </w:r>
            <w:r>
              <w:rPr>
                <w:b/>
                <w:i/>
              </w:rPr>
              <w:t>.</w:t>
            </w:r>
            <w:r>
              <w:t xml:space="preserve"> Stanoví práva subjektu údajů, včetně práva na přístup k osobním údajům a práva na jejich přenos. Tímto nařízením nejsou dotčena práva subjektu údajů podle nařízení (EU) 2016/679, včetně práva na přístup a práva na přenositelnost údajů. Toto nařízení zakládá právní povinnost sdílet osobní a neosobní údaje o zákaznících na jejich žádost a nařizuje technickou proveditelnost přístupu a sdílení pro všechny typy údajů v oblasti působnosti tohoto nařízení. Udělením povolení ze strany zákazníka nejsou dotčeny povinnosti uživatelů údajů podle článku 6 nařízení (EU) 2016/679. Osobní údaje, které jsou zpřístupněny a sdíleny s uživatelem údajů, by měly být zpracovávány pouze pro služby poskytované uživatelem údajů, pokud existuje platný právní základ podle čl. 6 odst. 1 nařízení (EU) 2016/679 a případně pokud jsou splněny požadavky článku 9 uvedeného nařízení o zpracování zvláštních kategorií údajů.</w:t>
            </w:r>
          </w:p>
        </w:tc>
        <w:tc>
          <w:tcPr>
            <w:tcW w:w="4876" w:type="dxa"/>
          </w:tcPr>
          <w:p>
            <w:pPr>
              <w:pStyle w:val="Normal6a"/>
            </w:pPr>
            <w:r>
              <w:t>(48)</w:t>
            </w:r>
            <w:r>
              <w:tab/>
            </w:r>
            <w:r>
              <w:t xml:space="preserve">Zpracování osobních údajů </w:t>
            </w:r>
            <w:r>
              <w:rPr>
                <w:b/>
                <w:i/>
              </w:rPr>
              <w:t>v souvislosti s tímto nařízením by mělo být prováděno v souladu s nařízením (EU) 2016/679 a nařízením (EU) 2018/1725 a případně také se směrnicí o soukromí a elektronických komunikacích.</w:t>
            </w:r>
            <w:r>
              <w:t xml:space="preserve"> Nařízení (EU) 2016/679 stanoví práva subjektu údajů, včetně práva na přístup k osobním údajům a práva na jejich přenos. Tímto nařízením nejsou dotčena práva subjektu údajů podle nařízení (EU) 2016/679, včetně práva na přístup a práva na přenositelnost údajů. Toto nařízení zakládá právní povinnost sdílet osobní a neosobní údaje o zákaznících na jejich žádost a nařizuje technickou proveditelnost přístupu a sdílení pro všechny typy údajů v oblasti působnosti tohoto nařízení. Udělením povolení ze strany zákazníka nejsou dotčeny povinnosti uživatelů údajů podle článku 6 </w:t>
            </w:r>
            <w:r>
              <w:rPr>
                <w:b/>
                <w:i/>
              </w:rPr>
              <w:t>nařízení (EU) 2016/679.</w:t>
            </w:r>
            <w:r>
              <w:t xml:space="preserve"> </w:t>
            </w:r>
            <w:r>
              <w:rPr>
                <w:b/>
                <w:i/>
              </w:rPr>
              <w:t>Povolení by nemělo být vykládáno jako „souhlas“ či „výslovný souhlas“ nebo „nezbytnost pro plnění smlouvy“ ve smyslu</w:t>
            </w:r>
            <w:r>
              <w:t xml:space="preserve"> nařízení (EU) 2016/679. Osobní údaje, které jsou zpřístupněny a sdíleny s uživatelem údajů, by měly být zpracovávány pouze pro služby poskytované uživatelem údajů, pokud existuje platný právní základ podle čl. 6 odst. 1 nařízení (EU) 2016/679 a případně pokud jsou splněny požadavky článku 9 uvedeného nařízení o zpracování zvláštních kategorií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224</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(48)</w:t>
            </w:r>
            <w:r>
              <w:tab/>
            </w:r>
            <w:r>
              <w:t xml:space="preserve">Při zpracování osobních údajů platí nařízení (EU) 2016/679. Stanoví práva subjektu údajů, včetně práva na přístup k osobním údajům a práva na jejich přenos. Tímto nařízením nejsou dotčena práva subjektu údajů podle nařízení (EU) 2016/679, včetně práva na přístup a práva na přenositelnost údajů. Toto nařízení zakládá právní povinnost sdílet osobní a neosobní údaje o zákaznících na jejich žádost a nařizuje technickou proveditelnost přístupu a sdílení pro všechny typy údajů v oblasti působnosti tohoto nařízení. Udělením povolení ze strany zákazníka nejsou dotčeny povinnosti uživatelů údajů podle článku 6 nařízení (EU) 2016/679. </w:t>
            </w:r>
            <w:r>
              <w:rPr>
                <w:b/>
                <w:i/>
              </w:rPr>
              <w:t>Osobní údaje, které jsou zpřístupněny a sdíleny s uživatelem údajů, by měly být zpracovávány pouze pro služby poskytované uživatelem údajů, pokud existuje platný právní základ podle čl. 6 odst. 1 nařízení (EU) 2016/679 a případně pokud jsou splněny požadavky článku 9 uvedeného nařízení o zpracování zvláštních kategorií údajů</w:t>
            </w:r>
            <w:r>
              <w:t>.</w:t>
            </w:r>
          </w:p>
        </w:tc>
        <w:tc>
          <w:tcPr>
            <w:tcW w:w="4876" w:type="dxa"/>
          </w:tcPr>
          <w:p>
            <w:pPr>
              <w:pStyle w:val="Normal6a"/>
            </w:pPr>
            <w:r>
              <w:t>(48)</w:t>
            </w:r>
            <w:r>
              <w:tab/>
            </w:r>
            <w:r>
              <w:t xml:space="preserve">Při zpracování osobních údajů platí nařízení (EU) 2016/679. Stanoví práva subjektu údajů, včetně práva na přístup k osobním údajům a práva na jejich přenos. Tímto nařízením nejsou dotčena práva subjektu údajů podle nařízení (EU) 2016/679, včetně práva na přístup a práva na přenositelnost údajů. Toto nařízení zakládá právní povinnost sdílet osobní a neosobní údaje o zákaznících na jejich žádost a nařizuje technickou proveditelnost přístupu a sdílení pro všechny typy údajů v oblasti působnosti tohoto nařízení. Udělením povolení ze strany zákazníka nejsou dotčeny povinnosti uživatelů údajů podle článku 6 nařízení (EU) 2016/679. </w:t>
            </w:r>
            <w:r>
              <w:rPr>
                <w:b/>
                <w:i/>
              </w:rPr>
              <w:t>Povolení podle tohoto nařízení by nemělo být vykládáno jako „souhlas“ či „výslovný souhlas“ nebo jako „nezbytnost pro plnění smlouvy“ ve smyslu nařízení (EU) 2016/679 a mělo by být v souladu se směrnicí (EU) 2015/2366 a s nařízením Komise v přenesené pravomoci (EU) 2018/389</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225</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Tímto nařízením není dotčeno nařízení (EU) 2016/679, nařízení (EU) 2018/1725, směrnice 2002/58/ES, směrnice (EU) 2019/2161, směrnice 93/13/EHS a směrnice 2011/83.</w:t>
            </w:r>
            <w:r>
              <w:t xml:space="preserve"> </w:t>
            </w:r>
            <w:r>
              <w:rPr>
                <w:b/>
                <w:i/>
              </w:rPr>
              <w:t>V případě rozporu mezi tímto nařízením a unijními právními předpisy o ochraně osobních údajů nebo soukromí nebo vnitrostátními právními předpisy přijatými v souladu s těmito právními předpisy Unie mají přednost příslušné unijní nebo vnitrostátní právní předpisy o ochraně osobních údajů nebo soukromí.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226</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Tímto nařízením není dotčena směrnice (EU) 2023/2225, směrnice 2014/17/EU, směrnice 2014/65/EU a směrnice (EU) 2016/97.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227</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c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Tímto nařízením není dotčeno právo zákazníka obdržet od poskytovatelů uvedených v čl. 2 odst. 2 finanční služby a/nebo produkty bez jakýchkoli dodatečných nákladů, pokud nevyužijí přehled pro povolení podle článku 8 nebo jinak umožní sdílení finančních údajů podle návrhu.</w:t>
            </w:r>
            <w:r>
              <w:t xml:space="preserve"> </w:t>
            </w:r>
            <w:r>
              <w:rPr>
                <w:b/>
                <w:i/>
              </w:rPr>
              <w:t>Pro účely provádění tohoto odstavce nese důkazní břemeno uživatel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228</w:t>
      </w:r>
      <w:r>
        <w:rPr>
          <w:rStyle w:val="HideTWBExt"/>
        </w:rPr>
        <w:t>&lt;/NumAm&gt;</w:t>
      </w:r>
    </w:p>
    <w:p>
      <w:pPr>
        <w:pStyle w:val="NormalBold"/>
      </w:pPr>
      <w:r>
        <w:rPr>
          <w:rStyle w:val="HideTWBExt"/>
        </w:rPr>
        <w:t>&lt;RepeatBlock-By&gt;</w:t>
      </w:r>
      <w:r>
        <w:rPr>
          <w:rStyle w:val="HideTWBExt"/>
        </w:rPr>
        <w:t>&lt;Members&gt;</w:t>
      </w:r>
      <w:r>
        <w:t>Markus Ferber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návětí</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Toto nařízení se vztahuje na následující kategorie </w:t>
            </w:r>
            <w:r>
              <w:rPr>
                <w:b/>
                <w:i/>
              </w:rPr>
              <w:t>zákaznických</w:t>
            </w:r>
            <w:r>
              <w:t xml:space="preserve"> údajů:</w:t>
            </w:r>
          </w:p>
        </w:tc>
        <w:tc>
          <w:tcPr>
            <w:tcW w:w="4876" w:type="dxa"/>
          </w:tcPr>
          <w:p>
            <w:pPr>
              <w:pStyle w:val="Normal6a"/>
            </w:pPr>
            <w:r>
              <w:t>1.</w:t>
            </w:r>
            <w:r>
              <w:tab/>
            </w:r>
            <w:r>
              <w:t xml:space="preserve">Toto nařízení se vztahuje na následující kategorie </w:t>
            </w:r>
            <w:r>
              <w:rPr>
                <w:b/>
                <w:i/>
              </w:rPr>
              <w:t>základních</w:t>
            </w:r>
            <w:r>
              <w:t xml:space="preserve"> údajů </w:t>
            </w:r>
            <w:r>
              <w:rPr>
                <w:b/>
                <w:i/>
              </w:rPr>
              <w:t>o zákaznících, které pocházejí z finančních služeb poskytovaných v rámci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Oblast působnosti by měla být omezena na základní soubor údajů, který lze snadno standardizovat.</w:t>
      </w:r>
      <w:r>
        <w:t xml:space="preserve"> </w:t>
      </w:r>
      <w:r>
        <w:t>Měla by být vyjasněna zeměpisná oblast působnosti nařízení.</w:t>
      </w:r>
    </w:p>
    <w:p>
      <w:r>
        <w:rPr>
          <w:rStyle w:val="HideTWBExt"/>
        </w:rPr>
        <w:t>&lt;/Amend&gt;</w:t>
      </w:r>
    </w:p>
    <w:p>
      <w:pPr>
        <w:pStyle w:val="AmNumberTabs"/>
      </w:pPr>
      <w:r>
        <w:rPr>
          <w:rStyle w:val="HideTWBExt"/>
        </w:rPr>
        <w:t>&lt;Amend&gt;</w:t>
      </w:r>
      <w:r>
        <w:t>Pozměňovací návrh</w:t>
      </w:r>
      <w:r>
        <w:tab/>
      </w:r>
      <w:r>
        <w:tab/>
      </w:r>
      <w:r>
        <w:rPr>
          <w:rStyle w:val="HideTWBExt"/>
        </w:rPr>
        <w:t>&lt;NumAm&gt;</w:t>
      </w:r>
      <w:r>
        <w:t>229</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smlouvy o hypotečním úvěru, úvěry a účty, s výjimkou platebních účtů ve smyslu směrnice o platebních službách </w:t>
            </w:r>
            <w:r>
              <w:rPr>
                <w:b/>
                <w:i/>
              </w:rPr>
              <w:t>(EU) 2015/2366</w:t>
            </w:r>
            <w:r>
              <w:t>, včetně údajů o zůstatku</w:t>
            </w:r>
            <w:r>
              <w:rPr>
                <w:b/>
                <w:i/>
              </w:rPr>
              <w:t>, podmínkách</w:t>
            </w:r>
            <w:r>
              <w:t xml:space="preserve"> a transakcích;</w:t>
            </w:r>
          </w:p>
        </w:tc>
        <w:tc>
          <w:tcPr>
            <w:tcW w:w="4876" w:type="dxa"/>
          </w:tcPr>
          <w:p>
            <w:pPr>
              <w:pStyle w:val="Normal6a"/>
            </w:pPr>
            <w:r>
              <w:t>a)</w:t>
            </w:r>
            <w:r>
              <w:tab/>
            </w:r>
            <w:r>
              <w:t xml:space="preserve">smlouvy o hypotečním úvěru </w:t>
            </w:r>
            <w:r>
              <w:rPr>
                <w:b/>
                <w:i/>
              </w:rPr>
              <w:t>ve smyslu směrnice (EU) 2021/2167</w:t>
            </w:r>
            <w:r>
              <w:t xml:space="preserve">, úvěry </w:t>
            </w:r>
            <w:r>
              <w:rPr>
                <w:b/>
                <w:i/>
              </w:rPr>
              <w:t>se splátkami poskytnutými držitelem údajů</w:t>
            </w:r>
            <w:r>
              <w:t xml:space="preserve"> a účty, </w:t>
            </w:r>
            <w:r>
              <w:rPr>
                <w:b/>
                <w:i/>
              </w:rPr>
              <w:t>včetně účtů kreditních karet,</w:t>
            </w:r>
            <w:r>
              <w:t xml:space="preserve"> s výjimkou platebních účtů ve smyslu směrnice </w:t>
            </w:r>
            <w:r>
              <w:rPr>
                <w:b/>
                <w:i/>
              </w:rPr>
              <w:t>(EU) 2015/2366</w:t>
            </w:r>
            <w:r>
              <w:t xml:space="preserve"> o platebních službách </w:t>
            </w:r>
            <w:r>
              <w:rPr>
                <w:b/>
                <w:i/>
              </w:rPr>
              <w:t>a technických účtů</w:t>
            </w:r>
            <w:r>
              <w:t>, včetně údajů o zůstatku a transakcích;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Zabývá se definicí smluv o hypotečním úvěru s cílem vyjasnit, že na účty kreditních karet se vztahuje nařízení o přístupu k finančním údajům.</w:t>
      </w:r>
      <w:r>
        <w:t xml:space="preserve"> </w:t>
      </w:r>
      <w:r>
        <w:t>Technické účty by měly být z oblasti působnosti vyloučeny, neboť nejsou zákaznickým produktem.</w:t>
      </w:r>
    </w:p>
    <w:p>
      <w:r>
        <w:rPr>
          <w:rStyle w:val="HideTWBExt"/>
        </w:rPr>
        <w:t>&lt;/Amend&gt;</w:t>
      </w:r>
    </w:p>
    <w:p>
      <w:pPr>
        <w:pStyle w:val="AmNumberTabs"/>
      </w:pPr>
      <w:r>
        <w:rPr>
          <w:rStyle w:val="HideTWBExt"/>
        </w:rPr>
        <w:t>&lt;Amend&gt;</w:t>
      </w:r>
      <w:r>
        <w:t>Pozměňovací návrh</w:t>
      </w:r>
      <w:r>
        <w:tab/>
      </w:r>
      <w:r>
        <w:tab/>
      </w:r>
      <w:r>
        <w:rPr>
          <w:rStyle w:val="HideTWBExt"/>
        </w:rPr>
        <w:t>&lt;NumAm&gt;</w:t>
      </w:r>
      <w:r>
        <w:t>230</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smlouvy o hypotečním úvěru, úvěry </w:t>
            </w:r>
            <w:r>
              <w:rPr>
                <w:b/>
                <w:i/>
              </w:rPr>
              <w:t>a účty</w:t>
            </w:r>
            <w:r>
              <w:t xml:space="preserve">, s výjimkou platebních účtů ve smyslu směrnice o platebních službách (EU) 2015/2366, včetně údajů o </w:t>
            </w:r>
            <w:r>
              <w:rPr>
                <w:b/>
                <w:i/>
              </w:rPr>
              <w:t>zůstatku,</w:t>
            </w:r>
            <w:r>
              <w:t xml:space="preserve"> podmínkách a transakcích</w:t>
            </w:r>
            <w:r>
              <w:rPr>
                <w:b/>
                <w:i/>
              </w:rPr>
              <w:t>;</w:t>
            </w:r>
          </w:p>
        </w:tc>
        <w:tc>
          <w:tcPr>
            <w:tcW w:w="4876" w:type="dxa"/>
          </w:tcPr>
          <w:p>
            <w:pPr>
              <w:pStyle w:val="Normal6a"/>
            </w:pPr>
            <w:r>
              <w:t>a)</w:t>
            </w:r>
            <w:r>
              <w:tab/>
            </w:r>
            <w:r>
              <w:t xml:space="preserve">smlouvy o hypotečním úvěru </w:t>
            </w:r>
            <w:r>
              <w:rPr>
                <w:b/>
                <w:i/>
              </w:rPr>
              <w:t>ve smyslu směrnice (EU) 2014/17</w:t>
            </w:r>
            <w:r>
              <w:t xml:space="preserve">, úvěry </w:t>
            </w:r>
            <w:r>
              <w:rPr>
                <w:b/>
                <w:i/>
              </w:rPr>
              <w:t>spotřebitelům ve smyslu směrnice EU č.</w:t>
            </w:r>
            <w:r>
              <w:t xml:space="preserve"> </w:t>
            </w:r>
            <w:r>
              <w:rPr>
                <w:b/>
                <w:i/>
              </w:rPr>
              <w:t>2023/2225</w:t>
            </w:r>
            <w:r>
              <w:t>, s výjimkou platebních účtů ve smyslu směrnice o platebních službách (EU) 2015/2366, včetně údajů o podmínkách a transakcích</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231</w:t>
      </w:r>
      <w:r>
        <w:rPr>
          <w:rStyle w:val="HideTWBExt"/>
        </w:rPr>
        <w:t>&lt;/NumAm&gt;</w:t>
      </w:r>
    </w:p>
    <w:p>
      <w:pPr>
        <w:pStyle w:val="NormalBold"/>
      </w:pPr>
      <w:r>
        <w:rPr>
          <w:rStyle w:val="HideTWBExt"/>
        </w:rPr>
        <w:t>&lt;RepeatBlock-By&gt;</w:t>
      </w:r>
      <w:r>
        <w:rPr>
          <w:rStyle w:val="HideTWBExt"/>
        </w:rPr>
        <w:t>&lt;Members&gt;</w:t>
      </w:r>
      <w:r>
        <w:t>Ondřej Kovařík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smlouvy o hypotečním úvěru, </w:t>
            </w:r>
            <w:r>
              <w:rPr>
                <w:b/>
                <w:i/>
              </w:rPr>
              <w:t>úvěry</w:t>
            </w:r>
            <w:r>
              <w:t xml:space="preserve"> a účty, s výjimkou platebních účtů ve smyslu směrnice o platebních službách (EU) 2015/2366, včetně údajů o zůstatku, podmínkách a transakcích;</w:t>
            </w:r>
          </w:p>
        </w:tc>
        <w:tc>
          <w:tcPr>
            <w:tcW w:w="4876" w:type="dxa"/>
          </w:tcPr>
          <w:p>
            <w:pPr>
              <w:pStyle w:val="Normal6a"/>
            </w:pPr>
            <w:r>
              <w:t>a)</w:t>
            </w:r>
            <w:r>
              <w:tab/>
            </w:r>
            <w:r>
              <w:t xml:space="preserve">smlouvy o hypotečním úvěru, </w:t>
            </w:r>
            <w:r>
              <w:rPr>
                <w:b/>
                <w:i/>
              </w:rPr>
              <w:t>úvěrové smlouvy</w:t>
            </w:r>
            <w:r>
              <w:t xml:space="preserve"> a účty, s výjimkou platebních účtů ve smyslu směrnice o platebních službách (EU) 2015/2366, včetně údajů o zůstatku, podmínkách a transakcích;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232</w:t>
      </w:r>
      <w:r>
        <w:rPr>
          <w:rStyle w:val="HideTWBExt"/>
        </w:rPr>
        <w:t>&lt;/NumAm&gt;</w:t>
      </w:r>
    </w:p>
    <w:p>
      <w:pPr>
        <w:pStyle w:val="NormalBold"/>
      </w:pPr>
      <w:r>
        <w:rPr>
          <w:rStyle w:val="HideTWBExt"/>
        </w:rPr>
        <w:t>&lt;RepeatBlock-By&gt;</w:t>
      </w:r>
      <w:r>
        <w:rPr>
          <w:rStyle w:val="HideTWBExt"/>
        </w:rPr>
        <w:t>&lt;Members&gt;</w:t>
      </w:r>
      <w:r>
        <w:t>Isabel Benjumea Benjumea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úspory, investice do finančních nástrojů, </w:t>
            </w:r>
            <w:r>
              <w:rPr>
                <w:b/>
                <w:i/>
              </w:rPr>
              <w:t>pojistné produkty s investiční složkou,</w:t>
            </w:r>
            <w:r>
              <w:t xml:space="preserve"> kryptoaktiva, nemovitosti a další související finanční aktiva, jakož i ekonomické výhody plynoucí z těchto aktiv; </w:t>
            </w:r>
            <w:r>
              <w:rPr>
                <w:b/>
                <w:i/>
              </w:rPr>
              <w:t>včetně údajů shromážděných pro účely posouzení vhodnosti a přiměřenosti v souladu s článkem 25 směrnice Evropského parlamentu a Rady 2014/65/EU</w:t>
            </w:r>
            <w:r>
              <w:rPr>
                <w:b/>
                <w:i/>
                <w:vertAlign w:val="superscript"/>
              </w:rPr>
              <w:t>32</w:t>
            </w:r>
            <w:r>
              <w:rPr>
                <w:b/>
                <w:i/>
              </w:rPr>
              <w:t>;</w:t>
            </w:r>
          </w:p>
        </w:tc>
        <w:tc>
          <w:tcPr>
            <w:tcW w:w="4876" w:type="dxa"/>
          </w:tcPr>
          <w:p>
            <w:pPr>
              <w:pStyle w:val="Normal6a"/>
            </w:pPr>
            <w:r>
              <w:t>b)</w:t>
            </w:r>
            <w:r>
              <w:tab/>
            </w:r>
            <w:r>
              <w:t>úspory, investice do finančních nástrojů, kryptoaktiva, nemovitosti a další související finanční aktiva, jakož i ekonomické výhody plynoucí z těchto aktiv;</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32</w:t>
            </w:r>
            <w:r>
              <w:t xml:space="preserve"> </w:t>
            </w:r>
            <w:r>
              <w:rPr>
                <w:b/>
                <w:i/>
              </w:rPr>
              <w:t>Směrnice Evropského parlamentu a Rady 2014/65/EU ze dne 15. května 2014 o trzích finančních nástrojů a o změně směrnic 2002/92/ES a 2011/61/EU (přepracované znění) (Úř. věst. L 173, 12.6.2014, s. 349).</w:t>
            </w:r>
          </w:p>
        </w:tc>
        <w:tc>
          <w:tcPr>
            <w:tcW w:w="4876" w:type="dxa"/>
          </w:tcP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233</w:t>
      </w:r>
      <w:r>
        <w:rPr>
          <w:rStyle w:val="HideTWBExt"/>
        </w:rPr>
        <w:t>&lt;/NumAm&gt;</w:t>
      </w:r>
    </w:p>
    <w:p>
      <w:pPr>
        <w:pStyle w:val="NormalBold"/>
      </w:pPr>
      <w:r>
        <w:rPr>
          <w:rStyle w:val="HideTWBExt"/>
        </w:rPr>
        <w:t>&lt;RepeatBlock-By&gt;</w:t>
      </w:r>
      <w:r>
        <w:rPr>
          <w:rStyle w:val="HideTWBExt"/>
        </w:rPr>
        <w:t>&lt;Members&gt;</w:t>
      </w:r>
      <w:r>
        <w:t>Lídia Pereira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úspory, investice do finančních nástrojů, pojistné produkty s investiční složkou, kryptoaktiva, nemovitosti a další související finanční aktiva, jakož i ekonomické výhody plynoucí z těchto aktiv; </w:t>
            </w:r>
            <w:r>
              <w:rPr>
                <w:b/>
                <w:i/>
              </w:rPr>
              <w:t>včetně údajů shromážděných pro účely posouzení vhodnosti a přiměřenosti v souladu s článkem 25 směrnice Evropského parlamentu a Rady 2014/65/EU</w:t>
            </w:r>
            <w:r>
              <w:rPr>
                <w:b/>
                <w:i/>
                <w:vertAlign w:val="superscript"/>
              </w:rPr>
              <w:t>32</w:t>
            </w:r>
            <w:r>
              <w:rPr>
                <w:b/>
                <w:i/>
              </w:rPr>
              <w:t>;</w:t>
            </w:r>
          </w:p>
        </w:tc>
        <w:tc>
          <w:tcPr>
            <w:tcW w:w="4876" w:type="dxa"/>
          </w:tcPr>
          <w:p>
            <w:pPr>
              <w:pStyle w:val="Normal6a"/>
            </w:pPr>
            <w:r>
              <w:t>b)</w:t>
            </w:r>
            <w:r>
              <w:tab/>
            </w:r>
            <w:r>
              <w:t>úspory, investice do finančních nástrojů, pojistné produkty s investiční složkou, kryptoaktiva, nemovitosti a další související finanční aktiva, jakož i ekonomické výhody plynoucí z těchto aktiv;</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32</w:t>
            </w:r>
            <w:r>
              <w:t xml:space="preserve"> </w:t>
            </w:r>
            <w:r>
              <w:rPr>
                <w:b/>
                <w:i/>
              </w:rPr>
              <w:t>Směrnice Evropského parlamentu a Rady 2014/65/EU ze dne 15. května 2014 o trzích finančních nástrojů a o změně směrnic 2002/92/ES a 2011/61/EU (přepracované znění) (Úř. věst. L 173, 12.6.2014, s. 349).</w:t>
            </w:r>
          </w:p>
        </w:tc>
        <w:tc>
          <w:tcPr>
            <w:tcW w:w="4876" w:type="dxa"/>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234</w:t>
      </w:r>
      <w:r>
        <w:rPr>
          <w:rStyle w:val="HideTWBExt"/>
        </w:rPr>
        <w:t>&lt;/NumAm&gt;</w:t>
      </w:r>
    </w:p>
    <w:p>
      <w:pPr>
        <w:pStyle w:val="NormalBold"/>
      </w:pPr>
      <w:r>
        <w:rPr>
          <w:rStyle w:val="HideTWBExt"/>
        </w:rPr>
        <w:t>&lt;RepeatBlock-By&gt;</w:t>
      </w:r>
      <w:r>
        <w:rPr>
          <w:rStyle w:val="HideTWBExt"/>
        </w:rPr>
        <w:t>&lt;Members&gt;</w:t>
      </w:r>
      <w:r>
        <w:t>Markus Ferber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úspory, investice do finančních nástrojů, pojistné produkty s investiční složkou, kryptoaktiva, nemovitosti a další související finanční aktiva, jakož i ekonomické výhody plynoucí z těchto aktiv; </w:t>
            </w:r>
            <w:r>
              <w:rPr>
                <w:b/>
                <w:i/>
              </w:rPr>
              <w:t>včetně údajů shromážděných pro účely posouzení vhodnosti a přiměřenosti v souladu s článkem 25 směrnice Evropského parlamentu a Rady 2014/65/EU</w:t>
            </w:r>
            <w:r>
              <w:rPr>
                <w:b/>
                <w:i/>
                <w:vertAlign w:val="superscript"/>
              </w:rPr>
              <w:t>32</w:t>
            </w:r>
            <w:r>
              <w:rPr>
                <w:b/>
                <w:i/>
              </w:rPr>
              <w:t>;</w:t>
            </w:r>
          </w:p>
        </w:tc>
        <w:tc>
          <w:tcPr>
            <w:tcW w:w="4876" w:type="dxa"/>
          </w:tcPr>
          <w:p>
            <w:pPr>
              <w:pStyle w:val="Normal6a"/>
            </w:pPr>
            <w:r>
              <w:t>b)</w:t>
            </w:r>
            <w:r>
              <w:tab/>
            </w:r>
            <w:r>
              <w:t>úspory, investice do finančních nástrojů, pojistné produkty s investiční složkou, kryptoaktiva, nemovitosti a další související finanční aktiva, jakož i ekonomické výhody plynoucí z těchto aktiv;</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32</w:t>
            </w:r>
            <w:r>
              <w:t xml:space="preserve"> </w:t>
            </w:r>
            <w:r>
              <w:rPr>
                <w:b/>
                <w:i/>
              </w:rPr>
              <w:t>Směrnice Evropského parlamentu a Rady 2014/65/EU ze dne 15. května 2014 o trzích finančních nástrojů a o změně směrnic 2002/92/ES a 2011/61/EU (přepracované znění) (Úř. věst. L 173, 12.6.2014, s. 349).</w:t>
            </w:r>
          </w:p>
        </w:tc>
        <w:tc>
          <w:tcPr>
            <w:tcW w:w="4876" w:type="dxa"/>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Údaje shromážděné pro účely posouzení vhodnosti a přiměřenosti nejsou dosud standardizovány.</w:t>
      </w:r>
      <w:r>
        <w:t xml:space="preserve"> </w:t>
      </w:r>
      <w:r>
        <w:t>Zahrnutí těchto údajů do oblasti působnosti má proto omezený užitek.</w:t>
      </w:r>
    </w:p>
    <w:p>
      <w:r>
        <w:rPr>
          <w:rStyle w:val="HideTWBExt"/>
        </w:rPr>
        <w:t>&lt;/Amend&gt;</w:t>
      </w:r>
    </w:p>
    <w:p>
      <w:pPr>
        <w:pStyle w:val="AmNumberTabs"/>
      </w:pPr>
      <w:r>
        <w:rPr>
          <w:rStyle w:val="HideTWBExt"/>
        </w:rPr>
        <w:t>&lt;Amend&gt;</w:t>
      </w:r>
      <w:r>
        <w:t>Pozměňovací návrh</w:t>
      </w:r>
      <w:r>
        <w:tab/>
      </w:r>
      <w:r>
        <w:tab/>
      </w:r>
      <w:r>
        <w:rPr>
          <w:rStyle w:val="HideTWBExt"/>
        </w:rPr>
        <w:t>&lt;NumAm&gt;</w:t>
      </w:r>
      <w:r>
        <w:t>235</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úspory, investice do finančních nástrojů</w:t>
            </w:r>
            <w:r>
              <w:rPr>
                <w:b/>
                <w:i/>
              </w:rPr>
              <w:t>, pojistné produkty s investiční složkou, kryptoaktiva, nemovitosti a další související finanční aktiva, jakož i ekonomické výhody plynoucí z těchto aktiv;</w:t>
            </w:r>
            <w:r>
              <w:t xml:space="preserve"> </w:t>
            </w:r>
            <w:r>
              <w:rPr>
                <w:b/>
                <w:i/>
              </w:rPr>
              <w:t>včetně údajů shromážděných pro účely posouzení vhodnosti a přiměřenosti v souladu s článkem 25 směrnice Evropského parlamentu a Rady 2014/65/EU</w:t>
            </w:r>
            <w:r>
              <w:rPr>
                <w:b/>
                <w:i/>
                <w:vertAlign w:val="superscript"/>
              </w:rPr>
              <w:t>32</w:t>
            </w:r>
            <w:r>
              <w:t>;</w:t>
            </w:r>
          </w:p>
        </w:tc>
        <w:tc>
          <w:tcPr>
            <w:tcW w:w="4876" w:type="dxa"/>
          </w:tcPr>
          <w:p>
            <w:pPr>
              <w:pStyle w:val="Normal6a"/>
            </w:pPr>
            <w:r>
              <w:t>b)</w:t>
            </w:r>
            <w:r>
              <w:tab/>
            </w:r>
            <w:r>
              <w:t xml:space="preserve">úspory </w:t>
            </w:r>
            <w:r>
              <w:rPr>
                <w:b/>
                <w:i/>
              </w:rPr>
              <w:t>zahrnující termínované vklady, strukturované vklady a spořící účty</w:t>
            </w:r>
            <w:r>
              <w:t xml:space="preserve">, investice do finančních nástrojů </w:t>
            </w:r>
            <w:r>
              <w:rPr>
                <w:b/>
                <w:i/>
              </w:rPr>
              <w:t>v souladu s oddílem C přílohy I směrnice (EU) 2014/65 a s výjimkou derivátových transakcí používaných pro účely řízení rizik, pojistných produktů s investiční složkou, kryptoaktiv ve smyslu čl. 3 odst. 1 bodu 5 nařízení (EU) 2023/1114 a další související finanční aktiva, jakož i ekonomické výhody plynoucí z těchto aktiv</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32</w:t>
            </w:r>
            <w:r>
              <w:t xml:space="preserve"> </w:t>
            </w:r>
            <w:r>
              <w:rPr>
                <w:b/>
                <w:i/>
              </w:rPr>
              <w:t>Směrnice Evropského parlamentu a Rady 2014/65/EU ze dne 15. května 2014 o trzích finančních nástrojů a o změně směrnic 2002/92/ES a 2011/61/EU (přepracované znění) (Úř. věst. L 173, 12.6.2014, s. 349).</w:t>
            </w:r>
          </w:p>
        </w:tc>
        <w:tc>
          <w:tcPr>
            <w:tcW w:w="4876" w:type="dxa"/>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Upřesnění významu pojmu „úspory“, investice a kryptoaktiva</w:t>
      </w:r>
    </w:p>
    <w:p>
      <w:r>
        <w:rPr>
          <w:rStyle w:val="HideTWBExt"/>
        </w:rPr>
        <w:t>&lt;/Amend&gt;</w:t>
      </w:r>
    </w:p>
    <w:p>
      <w:pPr>
        <w:pStyle w:val="AmNumberTabs"/>
      </w:pPr>
      <w:r>
        <w:rPr>
          <w:rStyle w:val="HideTWBExt"/>
        </w:rPr>
        <w:t>&lt;Amend&gt;</w:t>
      </w:r>
      <w:r>
        <w:t>Pozměňovací návrh</w:t>
      </w:r>
      <w:r>
        <w:tab/>
      </w:r>
      <w:r>
        <w:tab/>
      </w:r>
      <w:r>
        <w:rPr>
          <w:rStyle w:val="HideTWBExt"/>
        </w:rPr>
        <w:t>&lt;NumAm&gt;</w:t>
      </w:r>
      <w:r>
        <w:t>236</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úspory, investice do finančních nástrojů</w:t>
            </w:r>
            <w:r>
              <w:rPr>
                <w:b/>
                <w:i/>
              </w:rPr>
              <w:t>, pojistné produkty s investiční složkou, kryptoaktiva, nemovitosti a další související finanční aktiva, jakož i ekonomické výhody plynoucí z těchto aktiv;</w:t>
            </w:r>
            <w:r>
              <w:t xml:space="preserve"> </w:t>
            </w:r>
            <w:r>
              <w:rPr>
                <w:b/>
                <w:i/>
              </w:rPr>
              <w:t>včetně údajů shromážděných pro účely posouzení vhodnosti a přiměřenosti v souladu s článkem 25 směrnice Evropského parlamentu a Rady 2014/65/EU</w:t>
            </w:r>
            <w:r>
              <w:rPr>
                <w:b/>
                <w:i/>
                <w:vertAlign w:val="superscript"/>
              </w:rPr>
              <w:t>32</w:t>
            </w:r>
            <w:r>
              <w:t>;</w:t>
            </w:r>
          </w:p>
        </w:tc>
        <w:tc>
          <w:tcPr>
            <w:tcW w:w="4876" w:type="dxa"/>
          </w:tcPr>
          <w:p>
            <w:pPr>
              <w:pStyle w:val="Normal6a"/>
            </w:pPr>
            <w:r>
              <w:t>b)</w:t>
            </w:r>
            <w:r>
              <w:tab/>
            </w:r>
            <w:r>
              <w:t xml:space="preserve">úspory, </w:t>
            </w:r>
            <w:r>
              <w:rPr>
                <w:b/>
                <w:i/>
              </w:rPr>
              <w:t>jak např. termínované vklady, strukturované vklady a spořící účty,</w:t>
            </w:r>
            <w:r>
              <w:t xml:space="preserve"> investice do finančních nástrojů </w:t>
            </w:r>
            <w:r>
              <w:rPr>
                <w:b/>
                <w:i/>
              </w:rPr>
              <w:t>v souladu s oddílem C přílohy I směrnice 2014/65/EU a s výjimkou derivátových transakcí používaných pro účely řízení rizik, pojistných produktů s investiční složkou, kryptoaktiv ve smyslu čl. 3 odst. 1 bodu 5 nařízení 2023/1114/EU a dalších souvisejících finančních aktiv, jakož i hospodářských přínosů plynoucích z těchto aktiv</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32</w:t>
            </w:r>
            <w:r>
              <w:t xml:space="preserve"> </w:t>
            </w:r>
            <w:r>
              <w:rPr>
                <w:b/>
                <w:i/>
              </w:rPr>
              <w:t>Směrnice Evropského parlamentu a Rady 2014/65/EU ze dne 15. května 2014 o trzích finančních nástrojů a o změně směrnic 2002/92/ES a 2011/61/EU (přepracované znění) (Úř. věst. L 173, 12.6.2014, s. 349).</w:t>
            </w:r>
          </w:p>
        </w:tc>
        <w:tc>
          <w:tcPr>
            <w:tcW w:w="4876" w:type="dxa"/>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237</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úspory, investice do finančních nástrojů, pojistné produkty s investiční složkou, kryptoaktiva, nemovitosti a další související finanční aktiva, jakož i ekonomické výhody plynoucí z těchto aktiv; včetně údajů shromážděných pro účely posouzení vhodnosti a přiměřenosti v souladu s článkem 25 směrnice Evropského parlamentu a Rady 2014/65/EU</w:t>
            </w:r>
            <w:r>
              <w:rPr>
                <w:vertAlign w:val="superscript"/>
              </w:rPr>
              <w:t>32</w:t>
            </w:r>
            <w:r>
              <w:t>;</w:t>
            </w:r>
          </w:p>
        </w:tc>
        <w:tc>
          <w:tcPr>
            <w:tcW w:w="4876" w:type="dxa"/>
          </w:tcPr>
          <w:p>
            <w:pPr>
              <w:pStyle w:val="Normal6a"/>
            </w:pPr>
            <w:r>
              <w:t>b)</w:t>
            </w:r>
            <w:r>
              <w:tab/>
            </w:r>
            <w:r>
              <w:t>úspory, investice do finančních nástrojů, pojistné produkty s investiční složkou, kryptoaktiva, nemovitosti a další související finanční aktiva, jakož i ekonomické výhody plynoucí z těchto aktiv; včetně údajů shromážděných pro účely posouzení vhodnosti a přiměřenosti v souladu s článkem 25 směrnice Evropského parlamentu a Rady 2014/65/EU</w:t>
            </w:r>
            <w:r>
              <w:rPr>
                <w:vertAlign w:val="superscript"/>
              </w:rPr>
              <w:t>32</w:t>
            </w:r>
            <w:r>
              <w:t xml:space="preserve"> </w:t>
            </w:r>
            <w:r>
              <w:rPr>
                <w:b/>
                <w:i/>
              </w:rPr>
              <w:t>a s článkem 30 směrnice (EU) 2016/97</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32</w:t>
            </w:r>
            <w:r>
              <w:t xml:space="preserve"> </w:t>
            </w:r>
            <w:r>
              <w:t>Směrnice Evropského parlamentu a Rady 2014/65/EU ze dne 15. května 2014 o trzích finančních nástrojů a o změně směrnic 2002/92/ES a 2011/61/EU (přepracované znění) (Úř. věst. L 173, 12.6.2014, s. 349).</w:t>
            </w:r>
          </w:p>
        </w:tc>
        <w:tc>
          <w:tcPr>
            <w:tcW w:w="4876" w:type="dxa"/>
          </w:tcPr>
          <w:p>
            <w:pPr>
              <w:pStyle w:val="Normal6a"/>
            </w:pPr>
            <w:r>
              <w:rPr>
                <w:vertAlign w:val="superscript"/>
              </w:rPr>
              <w:t>32</w:t>
            </w:r>
            <w:r>
              <w:t xml:space="preserve"> </w:t>
            </w:r>
            <w:r>
              <w:t>Směrnice Evropského parlamentu a Rady 2014/65/EU ze dne 15. května 2014 o trzích finančních nástrojů a o změně směrnic 2002/92/ES a 2011/61/EU (přepracované znění) (Úř. věst. L 173, 12.6.2014, s. 349).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238</w:t>
      </w:r>
      <w:r>
        <w:rPr>
          <w:rStyle w:val="HideTWBExt"/>
        </w:rPr>
        <w:t>&lt;/NumAm&gt;</w:t>
      </w:r>
    </w:p>
    <w:p>
      <w:pPr>
        <w:pStyle w:val="NormalBold"/>
      </w:pPr>
      <w:r>
        <w:rPr>
          <w:rStyle w:val="HideTWBExt"/>
        </w:rPr>
        <w:t>&lt;RepeatBlock-By&gt;</w:t>
      </w:r>
      <w:r>
        <w:rPr>
          <w:rStyle w:val="HideTWBExt"/>
        </w:rPr>
        <w:t>&lt;Members&gt;</w:t>
      </w:r>
      <w:r>
        <w:t>Fabio Massimo Castaldo</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úspory, investice do finančních nástrojů, pojistné produkty s investiční složkou, kryptoaktiva, nemovitosti a další související finanční aktiva, jakož i ekonomické výhody plynoucí z těchto aktiv; včetně údajů shromážděných pro účely posouzení vhodnosti a přiměřenosti v souladu s článkem 25 směrnice Evropského parlamentu a Rady 2014/65/EU</w:t>
            </w:r>
            <w:r>
              <w:rPr>
                <w:vertAlign w:val="superscript"/>
              </w:rPr>
              <w:t>32</w:t>
            </w:r>
            <w:r>
              <w:t>;</w:t>
            </w:r>
          </w:p>
        </w:tc>
        <w:tc>
          <w:tcPr>
            <w:tcW w:w="4876" w:type="dxa"/>
          </w:tcPr>
          <w:p>
            <w:pPr>
              <w:pStyle w:val="Normal6a"/>
            </w:pPr>
            <w:r>
              <w:t>b)</w:t>
            </w:r>
            <w:r>
              <w:tab/>
            </w:r>
            <w:r>
              <w:t>úspory, investice do finančních nástrojů, pojistné produkty s investiční složkou, kryptoaktiva, nemovitosti a další související finanční aktiva, jakož i ekonomické výhody plynoucí z těchto aktiv; včetně údajů shromážděných pro účely posouzení vhodnosti a přiměřenosti v souladu s článkem 25 směrnice Evropského parlamentu a Rady 2014/65/EU</w:t>
            </w:r>
            <w:r>
              <w:rPr>
                <w:vertAlign w:val="superscript"/>
              </w:rPr>
              <w:t>32</w:t>
            </w:r>
            <w:r>
              <w:t xml:space="preserve"> </w:t>
            </w:r>
            <w:r>
              <w:rPr>
                <w:b/>
                <w:i/>
              </w:rPr>
              <w:t>a s článkem 30 směrnice (EU) 2016/97</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32</w:t>
            </w:r>
            <w:r>
              <w:t xml:space="preserve"> </w:t>
            </w:r>
            <w:r>
              <w:t>Směrnice Evropského parlamentu a Rady 2014/65/EU ze dne 15. května 2014 o trzích finančních nástrojů a o změně směrnic 2002/92/ES a 2011/61/EU (přepracované znění) (Úř. věst. L 173, 12.6.2014, s. 349).</w:t>
            </w:r>
          </w:p>
        </w:tc>
        <w:tc>
          <w:tcPr>
            <w:tcW w:w="4876" w:type="dxa"/>
          </w:tcPr>
          <w:p>
            <w:pPr>
              <w:pStyle w:val="Normal6a"/>
            </w:pPr>
            <w:r>
              <w:rPr>
                <w:vertAlign w:val="superscript"/>
              </w:rPr>
              <w:t>32</w:t>
            </w:r>
            <w:r>
              <w:t xml:space="preserve"> </w:t>
            </w:r>
            <w:r>
              <w:t>Směrnice Evropského parlamentu a Rady 2014/65/EU ze dne 15. května 2014 o trzích finančních nástrojů a o změně směrnic 2002/92/ES a 2011/61/EU (přepracované znění) (Úř. věst. L 173, 12.6.2014, s. 349).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239</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rPr>
                <w:b/>
                <w:i/>
              </w:rPr>
              <w:t>důchodová práva v plánech zaměstnaneckého penzijního pojištění v souladu se směrnicí 2009/138/ES a směrnicí Evropského parlamentu a Rady (EU) 2016/2341</w:t>
            </w:r>
            <w:r>
              <w:rPr>
                <w:b/>
                <w:i/>
                <w:vertAlign w:val="superscript"/>
              </w:rPr>
              <w:t>33</w:t>
            </w:r>
            <w:r>
              <w:rPr>
                <w:b/>
                <w:i/>
              </w:rPr>
              <w:t>;</w:t>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33</w:t>
            </w:r>
            <w:r>
              <w:t xml:space="preserve"> </w:t>
            </w:r>
            <w:r>
              <w:rPr>
                <w:b/>
                <w:i/>
              </w:rPr>
              <w:t>Směrnice Evropského parlamentu a Rady (EU) 2016/2341 ze dne 14. prosince 2016 o činnostech institucí zaměstnaneckého penzijního pojištění (IZPP) a dohledu nad nimi (přepracované znění) (Úř. věst. L 354, 23.12.2016, s. 37).</w:t>
            </w:r>
          </w:p>
        </w:tc>
        <w:tc>
          <w:tcPr>
            <w:tcW w:w="4876" w:type="dxa"/>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240</w:t>
      </w:r>
      <w:r>
        <w:rPr>
          <w:rStyle w:val="HideTWBExt"/>
        </w:rPr>
        <w:t>&lt;/NumAm&gt;</w:t>
      </w:r>
    </w:p>
    <w:p>
      <w:pPr>
        <w:pStyle w:val="NormalBold"/>
      </w:pPr>
      <w:r>
        <w:rPr>
          <w:rStyle w:val="HideTWBExt"/>
        </w:rPr>
        <w:t>&lt;RepeatBlock-By&gt;</w:t>
      </w:r>
      <w:r>
        <w:rPr>
          <w:rStyle w:val="HideTWBExt"/>
        </w:rPr>
        <w:t>&lt;Members&gt;</w:t>
      </w:r>
      <w:r>
        <w:t>Caroline Nagtegaal, Esther de Lange, Ondřej Kovařík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 xml:space="preserve">důchodová práva v </w:t>
            </w:r>
            <w:r>
              <w:rPr>
                <w:b/>
                <w:i/>
              </w:rPr>
              <w:t>plánech</w:t>
            </w:r>
            <w:r>
              <w:t xml:space="preserve"> zaměstnaneckého penzijního pojištění v souladu se směrnicí 2009/138/ES a směrnicí Evropského parlamentu a Rady (EU) 2016/2341</w:t>
            </w:r>
            <w:r>
              <w:rPr>
                <w:vertAlign w:val="superscript"/>
              </w:rPr>
              <w:t>33</w:t>
            </w:r>
            <w:r>
              <w:t>;</w:t>
            </w:r>
          </w:p>
        </w:tc>
        <w:tc>
          <w:tcPr>
            <w:tcW w:w="4876" w:type="dxa"/>
          </w:tcPr>
          <w:p>
            <w:pPr>
              <w:pStyle w:val="Normal6a"/>
            </w:pPr>
            <w:r>
              <w:t>c)</w:t>
            </w:r>
            <w:r>
              <w:tab/>
            </w:r>
            <w:r>
              <w:t xml:space="preserve">důchodová práva v </w:t>
            </w:r>
            <w:r>
              <w:rPr>
                <w:b/>
                <w:i/>
              </w:rPr>
              <w:t>systémech</w:t>
            </w:r>
            <w:r>
              <w:t xml:space="preserve"> zaměstnaneckého penzijního pojištění v souladu se směrnicí 2009/138/ES a směrnicí Evropského parlamentu a Rady (EU) 2016/2341</w:t>
            </w:r>
            <w:r>
              <w:rPr>
                <w:vertAlign w:val="superscript"/>
              </w:rPr>
              <w:t>33</w:t>
            </w:r>
            <w:r>
              <w:rPr>
                <w:b/>
                <w:i/>
              </w:rPr>
              <w:t>, s výjimkou údajů týkajících se zdravotního a nemocenského pojištění účastníka nebo příjemce</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33</w:t>
            </w:r>
            <w:r>
              <w:t xml:space="preserve"> </w:t>
            </w:r>
            <w:r>
              <w:t>Směrnice Evropského parlamentu a Rady (EU) 2016/2341 ze dne 14. prosince 2016 o činnostech institucí zaměstnaneckého penzijního pojištění (IZPP) a dohledu nad nimi (přepracované znění) (Úř. věst. L 354, 23.12.2016, s. 37).</w:t>
            </w:r>
          </w:p>
        </w:tc>
        <w:tc>
          <w:tcPr>
            <w:tcW w:w="4876" w:type="dxa"/>
          </w:tcPr>
          <w:p>
            <w:pPr>
              <w:pStyle w:val="Normal6a"/>
            </w:pPr>
            <w:r>
              <w:rPr>
                <w:vertAlign w:val="superscript"/>
              </w:rPr>
              <w:t>33</w:t>
            </w:r>
            <w:r>
              <w:t xml:space="preserve"> </w:t>
            </w:r>
            <w:r>
              <w:t>Směrnice Evropského parlamentu a Rady (EU) 2016/2341 ze dne 14. prosince 2016 o činnostech institucí zaměstnaneckého penzijního pojištění (IZPP) a dohledu nad nimi (přepracované znění) (Úř. věst. L 354, 23.12.2016, s. 37).</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Mnoho institucí zaměstnaneckého penzijního pojištění (IZPP) nabízí invalidní důchod jako součást důchodového systému.</w:t>
      </w:r>
      <w:r>
        <w:t xml:space="preserve"> </w:t>
      </w:r>
      <w:r>
        <w:t>To obnáší poskytování citlivých údajů o zdravotním stavu, které by mohly přispět k riziku finančního vyloučení.</w:t>
      </w:r>
    </w:p>
    <w:p>
      <w:r>
        <w:rPr>
          <w:rStyle w:val="HideTWBExt"/>
        </w:rPr>
        <w:t>&lt;/Amend&gt;</w:t>
      </w:r>
    </w:p>
    <w:p>
      <w:pPr>
        <w:pStyle w:val="AmNumberTabs"/>
      </w:pPr>
      <w:r>
        <w:rPr>
          <w:rStyle w:val="HideTWBExt"/>
        </w:rPr>
        <w:t>&lt;Amend&gt;</w:t>
      </w:r>
      <w:r>
        <w:t>Pozměňovací návrh</w:t>
      </w:r>
      <w:r>
        <w:tab/>
      </w:r>
      <w:r>
        <w:tab/>
      </w:r>
      <w:r>
        <w:rPr>
          <w:rStyle w:val="HideTWBExt"/>
        </w:rPr>
        <w:t>&lt;NumAm&gt;</w:t>
      </w:r>
      <w:r>
        <w:t>241</w:t>
      </w:r>
      <w:r>
        <w:rPr>
          <w:rStyle w:val="HideTWBExt"/>
        </w:rPr>
        <w:t>&lt;/NumAm&gt;</w:t>
      </w:r>
    </w:p>
    <w:p>
      <w:pPr>
        <w:pStyle w:val="NormalBold"/>
      </w:pPr>
      <w:r>
        <w:rPr>
          <w:rStyle w:val="HideTWBExt"/>
        </w:rPr>
        <w:t>&lt;RepeatBlock-By&gt;</w:t>
      </w:r>
      <w:r>
        <w:rPr>
          <w:rStyle w:val="HideTWBExt"/>
        </w:rPr>
        <w:t>&lt;Members&gt;</w:t>
      </w:r>
      <w:r>
        <w:t>Markus Ferber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důchodová práva v plánech zaměstnaneckého penzijního pojištění v souladu se směrnicí 2009/138/ES a směrnicí Evropského parlamentu a Rady (EU) 2016/2341</w:t>
            </w:r>
            <w:r>
              <w:rPr>
                <w:vertAlign w:val="superscript"/>
              </w:rPr>
              <w:t>33</w:t>
            </w:r>
            <w:r>
              <w:t>;</w:t>
            </w:r>
          </w:p>
        </w:tc>
        <w:tc>
          <w:tcPr>
            <w:tcW w:w="4876" w:type="dxa"/>
          </w:tcPr>
          <w:p>
            <w:pPr>
              <w:pStyle w:val="Normal6a"/>
            </w:pPr>
            <w:r>
              <w:t>c)</w:t>
            </w:r>
            <w:r>
              <w:tab/>
            </w:r>
            <w:r>
              <w:t>důchodová práva v plánech zaměstnaneckého penzijního pojištění v souladu se směrnicí 2009/138/ES a směrnicí Evropského parlamentu a Rady (EU) 2016/2341</w:t>
            </w:r>
            <w:r>
              <w:rPr>
                <w:vertAlign w:val="superscript"/>
              </w:rPr>
              <w:t>33</w:t>
            </w:r>
            <w:r>
              <w:rPr>
                <w:b/>
                <w:i/>
              </w:rPr>
              <w:t>, pokud jsou přístupné všem zainteresovaným spotřebitelům</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33</w:t>
            </w:r>
            <w:r>
              <w:t xml:space="preserve"> </w:t>
            </w:r>
            <w:r>
              <w:t>Směrnice Evropského parlamentu a Rady (EU) 2016/2341 ze dne 14. prosince 2016 o činnostech institucí zaměstnaneckého penzijního pojištění (IZPP) a dohledu nad nimi (přepracované znění) (Úř. věst. L 354, 23.12.2016, s. 37).</w:t>
            </w:r>
          </w:p>
        </w:tc>
        <w:tc>
          <w:tcPr>
            <w:tcW w:w="4876" w:type="dxa"/>
          </w:tcPr>
          <w:p>
            <w:pPr>
              <w:pStyle w:val="Normal6a"/>
            </w:pPr>
            <w:r>
              <w:rPr>
                <w:vertAlign w:val="superscript"/>
              </w:rPr>
              <w:t>33</w:t>
            </w:r>
            <w:r>
              <w:t xml:space="preserve"> </w:t>
            </w:r>
            <w:r>
              <w:t>Směrnice Evropského parlamentu a Rady (EU) 2016/2341 ze dne 14. prosince 2016 o činnostech institucí zaměstnaneckého penzijního pojištění (IZPP) a dohledu nad nimi (přepracované znění) (Úř. věst. L 354, 23.12.2016, s. 37).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242</w:t>
      </w:r>
      <w:r>
        <w:rPr>
          <w:rStyle w:val="HideTWBExt"/>
        </w:rPr>
        <w:t>&lt;/NumAm&gt;</w:t>
      </w:r>
    </w:p>
    <w:p>
      <w:pPr>
        <w:pStyle w:val="NormalBold"/>
      </w:pPr>
      <w:r>
        <w:rPr>
          <w:rStyle w:val="HideTWBExt"/>
        </w:rPr>
        <w:t>&lt;RepeatBlock-By&gt;</w:t>
      </w:r>
      <w:r>
        <w:rPr>
          <w:rStyle w:val="HideTWBExt"/>
        </w:rPr>
        <w:t>&lt;Members&gt;</w:t>
      </w:r>
      <w:r>
        <w:t>Engin Eroglu</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důchodová práva v plánech zaměstnaneckého penzijního pojištění v souladu se směrnicí 2009/138/ES a směrnicí Evropského parlamentu a Rady (EU) 2016/2341</w:t>
            </w:r>
            <w:r>
              <w:rPr>
                <w:vertAlign w:val="superscript"/>
              </w:rPr>
              <w:t>33</w:t>
            </w:r>
            <w:r>
              <w:rPr>
                <w:b/>
                <w:i/>
              </w:rPr>
              <w:t>;</w:t>
            </w:r>
          </w:p>
        </w:tc>
        <w:tc>
          <w:tcPr>
            <w:tcW w:w="4876" w:type="dxa"/>
          </w:tcPr>
          <w:p>
            <w:pPr>
              <w:pStyle w:val="Normal6a"/>
            </w:pPr>
            <w:r>
              <w:t>c)</w:t>
            </w:r>
            <w:r>
              <w:tab/>
            </w:r>
            <w:r>
              <w:t>důchodová práva v plánech zaměstnaneckého penzijního pojištění v souladu se směrnicí 2009/138/ES a směrnicí Evropského parlamentu a Rady (EU) 2016/2341</w:t>
            </w:r>
            <w:r>
              <w:rPr>
                <w:vertAlign w:val="superscript"/>
              </w:rPr>
              <w:t>33</w:t>
            </w:r>
            <w:r>
              <w:rPr>
                <w:b/>
                <w:i/>
              </w:rPr>
              <w:t>, které jsou přístupné všem zainteresovaným spotřebitelům,</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33</w:t>
            </w:r>
            <w:r>
              <w:t xml:space="preserve"> </w:t>
            </w:r>
            <w:r>
              <w:t>Směrnice Evropského parlamentu a Rady (EU) 2016/2341 ze dne 14. prosince 2016 o činnostech institucí zaměstnaneckého penzijního pojištění (IZPP) a dohledu nad nimi (přepracované znění) (Úř. věst. L 354, 23.12.2016, s. 37).</w:t>
            </w:r>
          </w:p>
        </w:tc>
        <w:tc>
          <w:tcPr>
            <w:tcW w:w="4876" w:type="dxa"/>
          </w:tcPr>
          <w:p>
            <w:pPr>
              <w:pStyle w:val="Normal6a"/>
            </w:pPr>
            <w:r>
              <w:rPr>
                <w:vertAlign w:val="superscript"/>
              </w:rPr>
              <w:t>33</w:t>
            </w:r>
            <w:r>
              <w:t xml:space="preserve"> </w:t>
            </w:r>
            <w:r>
              <w:t>Směrnice Evropského parlamentu a Rady (EU) 2016/2341 ze dne 14. prosince 2016 o činnostech institucí zaměstnaneckého penzijního pojištění (IZPP) a dohledu nad nimi (přepracované znění) (Úř. věst. L 354, 23.12.2016, s. 37).</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Especially IORPs are, unlike individual pension providers, generally not accessible to any interested consumers.</w:t>
      </w:r>
      <w:r>
        <w:t xml:space="preserve"> </w:t>
      </w:r>
      <w:r>
        <w:t>Typically, IORPs are set up by employers or social partners with the social purpose of providing retirement benefits only for their employees under conditions that are defined in an individual contractual arrangement or a social partner agreement.</w:t>
      </w:r>
    </w:p>
    <w:p>
      <w:pPr>
        <w:pStyle w:val="AmJustText"/>
      </w:pPr>
      <w:r>
        <w:t>The exclusion of these IORPs can furthermore be justified by the similarity with mandatory first pillar schemes.</w:t>
      </w:r>
      <w:r>
        <w:t xml:space="preserve"> </w:t>
      </w:r>
      <w:r>
        <w:t>First pillar pensions are not included in the scope of the draft regulation because, among other reasons, public pensions are not a financial product.</w:t>
      </w:r>
      <w:r>
        <w:t xml:space="preserve"> </w:t>
      </w:r>
      <w:r>
        <w:t>Furthermore, membership in the public pension schemes is mandatory and clearly not the result auf a “consumer decision” that an individual can him or herself easily revise.</w:t>
      </w:r>
      <w:r>
        <w:t xml:space="preserve"> </w:t>
      </w:r>
      <w:r>
        <w:t>Similarly, any decisions that may be possible for members of an IORP require a preceding decision of the employer, most importantly regarding the choice of the provider and the available product range or certain conditions of the pension scheme.</w:t>
      </w:r>
    </w:p>
    <w:p>
      <w:pPr>
        <w:pStyle w:val="AmJustText"/>
      </w:pPr>
      <w:r>
        <w:t>Therefore, data users or financial information service providers could only play a very limited role when it comes to new services for members of IORPs as “consumers”.</w:t>
      </w:r>
      <w:r>
        <w:t xml:space="preserve"> </w:t>
      </w:r>
      <w:r>
        <w:t>At the same time, the inclusion of these IORPs in the scope of the FIDA Regulation would lead to considerable costs and risks.</w:t>
      </w:r>
      <w:r>
        <w:t xml:space="preserve"> </w:t>
      </w:r>
      <w:r>
        <w:t>The amendment therefore restricts the scope of FIDA to IORPs that are accessible for all interested consumers without the consent or the participation of an employer or the social partners.</w:t>
      </w:r>
    </w:p>
    <w:p>
      <w:r>
        <w:rPr>
          <w:rStyle w:val="HideTWBExt"/>
        </w:rPr>
        <w:t>&lt;/Amend&gt;</w:t>
      </w:r>
    </w:p>
    <w:p>
      <w:pPr>
        <w:pStyle w:val="AmNumberTabs"/>
      </w:pPr>
      <w:r>
        <w:rPr>
          <w:rStyle w:val="HideTWBExt"/>
        </w:rPr>
        <w:t>&lt;Amend&gt;</w:t>
      </w:r>
      <w:r>
        <w:t>Pozměňovací návrh</w:t>
      </w:r>
      <w:r>
        <w:tab/>
      </w:r>
      <w:r>
        <w:tab/>
      </w:r>
      <w:r>
        <w:rPr>
          <w:rStyle w:val="HideTWBExt"/>
        </w:rPr>
        <w:t>&lt;NumAm&gt;</w:t>
      </w:r>
      <w:r>
        <w:t>243</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důchodová práva na poskytování panevropských osobních penzijních produktů v souladu s nařízením (EU) 2019/1238;</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244</w:t>
      </w:r>
      <w:r>
        <w:rPr>
          <w:rStyle w:val="HideTWBExt"/>
        </w:rPr>
        <w:t>&lt;/NumAm&gt;</w:t>
      </w:r>
    </w:p>
    <w:p>
      <w:pPr>
        <w:pStyle w:val="NormalBold"/>
      </w:pPr>
      <w:r>
        <w:rPr>
          <w:rStyle w:val="HideTWBExt"/>
        </w:rPr>
        <w:t>&lt;RepeatBlock-By&gt;</w:t>
      </w:r>
      <w:r>
        <w:rPr>
          <w:rStyle w:val="HideTWBExt"/>
        </w:rPr>
        <w:t>&lt;Members&gt;</w:t>
      </w:r>
      <w:r>
        <w:t>Isabel Benjumea Benjumea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e)</w:t>
            </w:r>
            <w:r>
              <w:tab/>
            </w:r>
            <w:r>
              <w:rPr>
                <w:b/>
                <w:i/>
              </w:rPr>
              <w:t>produkty neživotního pojištění v souladu se směrnicí 2009/138/ES, s výjimkou produktů nemocenského a zdravotního pojištění;</w:t>
            </w:r>
            <w:r>
              <w:t xml:space="preserve"> </w:t>
            </w:r>
            <w:r>
              <w:rPr>
                <w:b/>
                <w:i/>
              </w:rPr>
              <w:t>včetně údajů shromážděných pro účely posouzení požadavků a potřeb v souladu s článkem 20 směrnice Evropského parlamentu a Rady (EU) 2016/97</w:t>
            </w:r>
            <w:r>
              <w:rPr>
                <w:b/>
                <w:i/>
                <w:vertAlign w:val="superscript"/>
              </w:rPr>
              <w:t>34</w:t>
            </w:r>
            <w:r>
              <w:rPr>
                <w:b/>
                <w:i/>
              </w:rPr>
              <w:t>a údajů shromážděných pro účely posouzení vhodnosti a přiměřenosti v souladu s článkem 30 směrnice (EU) 2016/97.</w:t>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34</w:t>
            </w:r>
            <w:r>
              <w:t xml:space="preserve"> </w:t>
            </w:r>
            <w:r>
              <w:rPr>
                <w:b/>
                <w:i/>
              </w:rPr>
              <w:t>Směrnice Evropského parlamentu a Rady (EU) 2016/97 ze dne 20. ledna 2016 o distribuci pojištění (přepracované znění) (Úř. věst. L 26, 2.2.2016, s. 19).</w:t>
            </w:r>
          </w:p>
        </w:tc>
        <w:tc>
          <w:tcPr>
            <w:tcW w:w="4876" w:type="dxa"/>
          </w:tcP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245</w:t>
      </w:r>
      <w:r>
        <w:rPr>
          <w:rStyle w:val="HideTWBExt"/>
        </w:rPr>
        <w:t>&lt;/NumAm&gt;</w:t>
      </w:r>
    </w:p>
    <w:p>
      <w:pPr>
        <w:pStyle w:val="NormalBold"/>
      </w:pPr>
      <w:r>
        <w:rPr>
          <w:rStyle w:val="HideTWBExt"/>
        </w:rPr>
        <w:t>&lt;RepeatBlock-By&gt;</w:t>
      </w:r>
      <w:r>
        <w:rPr>
          <w:rStyle w:val="HideTWBExt"/>
        </w:rPr>
        <w:t>&lt;Members&gt;</w:t>
      </w:r>
      <w:r>
        <w:t>Giuseppe Ferrandino</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e)</w:t>
            </w:r>
            <w:r>
              <w:tab/>
            </w:r>
            <w:r>
              <w:rPr>
                <w:b/>
                <w:i/>
              </w:rPr>
              <w:t>produkty neživotního pojištění v souladu se směrnicí 2009/138/ES, s výjimkou produktů nemocenského a zdravotního pojištění;</w:t>
            </w:r>
            <w:r>
              <w:t xml:space="preserve"> </w:t>
            </w:r>
            <w:r>
              <w:rPr>
                <w:b/>
                <w:i/>
              </w:rPr>
              <w:t>včetně údajů shromážděných pro účely posouzení požadavků a potřeb v souladu s článkem 20 směrnice Evropského parlamentu a Rady (EU) 2016/97</w:t>
            </w:r>
            <w:r>
              <w:rPr>
                <w:b/>
                <w:i/>
                <w:vertAlign w:val="superscript"/>
              </w:rPr>
              <w:t>34</w:t>
            </w:r>
            <w:r>
              <w:rPr>
                <w:b/>
                <w:i/>
              </w:rPr>
              <w:t>a údajů shromážděných pro účely posouzení vhodnosti a přiměřenosti v souladu s článkem 30 směrnice (EU) 2016/97.</w:t>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34</w:t>
            </w:r>
            <w:r>
              <w:t xml:space="preserve"> </w:t>
            </w:r>
            <w:r>
              <w:rPr>
                <w:b/>
                <w:i/>
              </w:rPr>
              <w:t>Směrnice Evropského parlamentu a Rady (EU) 2016/97 ze dne 20. ledna 2016 o distribuci pojištění (přepracované znění) (Úř. věst. L 26, 2.2.2016, s. 19).</w:t>
            </w:r>
          </w:p>
        </w:tc>
        <w:tc>
          <w:tcPr>
            <w:tcW w:w="4876" w:type="dxa"/>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Jak je uvedeno v důvodobé zprávě, od roku 2020 až do současnosti je pro Evropskou komisi důležitým cílem podpora financí založených na datech a jejím záměrem je předložit legislativní návrh týkající se rámce pro přístup k finančním údajům.</w:t>
      </w:r>
      <w:r>
        <w:t xml:space="preserve"> </w:t>
      </w:r>
      <w:r>
        <w:t>Proto se domníváme, že navrhované nařízení FIDA by nemělo zahrnovat pojistné produkty, které nemají finanční aspekt.</w:t>
      </w:r>
      <w:r>
        <w:t xml:space="preserve"> </w:t>
      </w:r>
      <w:r>
        <w:t>Definice zákazníka v článku 2 navíc odkazuje na osobu, která využívá finančních produktů a služeb.</w:t>
      </w:r>
    </w:p>
    <w:p>
      <w:r>
        <w:rPr>
          <w:rStyle w:val="HideTWBExt"/>
        </w:rPr>
        <w:t>&lt;/Amend&gt;</w:t>
      </w:r>
    </w:p>
    <w:p>
      <w:pPr>
        <w:pStyle w:val="AmNumberTabs"/>
      </w:pPr>
      <w:r>
        <w:rPr>
          <w:rStyle w:val="HideTWBExt"/>
        </w:rPr>
        <w:t>&lt;Amend&gt;</w:t>
      </w:r>
      <w:r>
        <w:t>Pozměňovací návrh</w:t>
      </w:r>
      <w:r>
        <w:tab/>
      </w:r>
      <w:r>
        <w:tab/>
      </w:r>
      <w:r>
        <w:rPr>
          <w:rStyle w:val="HideTWBExt"/>
        </w:rPr>
        <w:t>&lt;NumAm&gt;</w:t>
      </w:r>
      <w:r>
        <w:t>246</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e)</w:t>
            </w:r>
            <w:r>
              <w:tab/>
            </w:r>
            <w:r>
              <w:rPr>
                <w:b/>
                <w:i/>
              </w:rPr>
              <w:t>produkty neživotního pojištění v souladu se směrnicí 2009/138/ES, s výjimkou produktů nemocenského a zdravotního pojištění;</w:t>
            </w:r>
            <w:r>
              <w:t xml:space="preserve"> </w:t>
            </w:r>
            <w:r>
              <w:rPr>
                <w:b/>
                <w:i/>
              </w:rPr>
              <w:t>včetně údajů shromážděných pro účely posouzení požadavků a potřeb v souladu s článkem 20 směrnice Evropského parlamentu a Rady (EU) 2016/97</w:t>
            </w:r>
            <w:r>
              <w:rPr>
                <w:b/>
                <w:i/>
                <w:vertAlign w:val="superscript"/>
              </w:rPr>
              <w:t>34</w:t>
            </w:r>
            <w:r>
              <w:rPr>
                <w:b/>
                <w:i/>
              </w:rPr>
              <w:t>a údajů shromážděných pro účely posouzení vhodnosti a přiměřenosti v souladu s článkem 30 směrnice (EU) 2016/97.</w:t>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34</w:t>
            </w:r>
            <w:r>
              <w:t xml:space="preserve"> </w:t>
            </w:r>
            <w:r>
              <w:rPr>
                <w:b/>
                <w:i/>
              </w:rPr>
              <w:t>Směrnice Evropského parlamentu a Rady (EU) 2016/97 ze dne 20. ledna 2016 o distribuci pojištění (přepracované znění) (Úř. věst. L 26, 2.2.2016, s. 19).</w:t>
            </w:r>
          </w:p>
        </w:tc>
        <w:tc>
          <w:tcPr>
            <w:tcW w:w="4876" w:type="dxa"/>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247</w:t>
      </w:r>
      <w:r>
        <w:rPr>
          <w:rStyle w:val="HideTWBExt"/>
        </w:rPr>
        <w:t>&lt;/NumAm&gt;</w:t>
      </w:r>
    </w:p>
    <w:p>
      <w:pPr>
        <w:pStyle w:val="NormalBold"/>
      </w:pPr>
      <w:r>
        <w:rPr>
          <w:rStyle w:val="HideTWBExt"/>
        </w:rPr>
        <w:t>&lt;RepeatBlock-By&gt;</w:t>
      </w:r>
      <w:r>
        <w:rPr>
          <w:rStyle w:val="HideTWBExt"/>
        </w:rPr>
        <w:t>&lt;Members&gt;</w:t>
      </w:r>
      <w:r>
        <w:t>Fabio Massimo Castaldo</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e)</w:t>
            </w:r>
            <w:r>
              <w:tab/>
            </w:r>
            <w:r>
              <w:rPr>
                <w:b/>
                <w:i/>
              </w:rPr>
              <w:t>produkty neživotního pojištění v souladu se směrnicí 2009/138/ES, s výjimkou produktů nemocenského a zdravotního pojištění;</w:t>
            </w:r>
            <w:r>
              <w:t xml:space="preserve"> </w:t>
            </w:r>
            <w:r>
              <w:rPr>
                <w:b/>
                <w:i/>
              </w:rPr>
              <w:t>včetně údajů shromážděných pro účely posouzení požadavků a potřeb v souladu s článkem 20 směrnice Evropského parlamentu a Rady (EU) 2016/97</w:t>
            </w:r>
            <w:r>
              <w:rPr>
                <w:b/>
                <w:i/>
                <w:vertAlign w:val="superscript"/>
              </w:rPr>
              <w:t>34</w:t>
            </w:r>
            <w:r>
              <w:rPr>
                <w:b/>
                <w:i/>
              </w:rPr>
              <w:t>a údajů shromážděných pro účely posouzení vhodnosti a přiměřenosti v souladu s článkem 30 směrnice (EU) 2016/97.</w:t>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34</w:t>
            </w:r>
            <w:r>
              <w:t xml:space="preserve"> </w:t>
            </w:r>
            <w:r>
              <w:rPr>
                <w:b/>
                <w:i/>
              </w:rPr>
              <w:t>Směrnice Evropského parlamentu a Rady (EU) 2016/97 ze dne 20. ledna 2016 o distribuci pojištění (přepracované znění) (Úř. věst. L 26, 2.2.2016, s. 19).</w:t>
            </w:r>
          </w:p>
        </w:tc>
        <w:tc>
          <w:tcPr>
            <w:tcW w:w="4876" w:type="dxa"/>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248</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e)</w:t>
            </w:r>
            <w:r>
              <w:tab/>
            </w:r>
            <w:r>
              <w:t>produkty neživotního pojištění v souladu se směrnicí 2009/138/ES, s výjimkou produktů nemocenského a zdravotního pojištění; včetně údajů shromážděných pro účely posouzení požadavků a potřeb v souladu s článkem 20 směrnice Evropského parlamentu a Rady (EU) 2016/97</w:t>
            </w:r>
            <w:r>
              <w:rPr>
                <w:b/>
                <w:i/>
                <w:vertAlign w:val="superscript"/>
              </w:rPr>
              <w:t>34</w:t>
            </w:r>
            <w:r>
              <w:rPr>
                <w:b/>
                <w:i/>
              </w:rPr>
              <w:t>a údajů shromážděných pro účely posouzení vhodnosti a přiměřenosti v souladu s článkem 30 směrnice (EU) 2016/97.</w:t>
            </w:r>
          </w:p>
        </w:tc>
        <w:tc>
          <w:tcPr>
            <w:tcW w:w="4876" w:type="dxa"/>
          </w:tcPr>
          <w:p>
            <w:pPr>
              <w:pStyle w:val="Normal6a"/>
            </w:pPr>
            <w:r>
              <w:t>e)</w:t>
            </w:r>
            <w:r>
              <w:tab/>
            </w:r>
            <w:r>
              <w:t>produkty neživotního pojištění v souladu se směrnicí 2009/138/ES, s výjimkou produktů nemocenského a zdravotního pojištění; včetně údajů shromážděných pro účely posouzení požadavků a potřeb v souladu s článkem 20 směrnice Evropského parlamentu a Rady (EU) 2016/97</w:t>
            </w:r>
            <w:r>
              <w:rPr>
                <w:b/>
                <w:i/>
              </w:rP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34</w:t>
            </w:r>
            <w:r>
              <w:t xml:space="preserve"> </w:t>
            </w:r>
            <w:r>
              <w:rPr>
                <w:b/>
                <w:i/>
              </w:rPr>
              <w:t>Směrnice Evropského parlamentu a Rady (EU) 2016/97 ze dne 20. ledna 2016 o distribuci pojištění (přepracované znění) (Úř. věst. L 26, 2.2.2016, s. 19).</w:t>
            </w:r>
          </w:p>
        </w:tc>
        <w:tc>
          <w:tcPr>
            <w:tcW w:w="4876" w:type="dxa"/>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249</w:t>
      </w:r>
      <w:r>
        <w:rPr>
          <w:rStyle w:val="HideTWBExt"/>
        </w:rPr>
        <w:t>&lt;/NumAm&gt;</w:t>
      </w:r>
    </w:p>
    <w:p>
      <w:pPr>
        <w:pStyle w:val="NormalBold"/>
      </w:pPr>
      <w:r>
        <w:rPr>
          <w:rStyle w:val="HideTWBExt"/>
        </w:rPr>
        <w:t>&lt;RepeatBlock-By&gt;</w:t>
      </w:r>
      <w:r>
        <w:rPr>
          <w:rStyle w:val="HideTWBExt"/>
        </w:rPr>
        <w:t>&lt;Members&gt;</w:t>
      </w:r>
      <w:r>
        <w:t>Laurence Sailliet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e)</w:t>
            </w:r>
            <w:r>
              <w:tab/>
            </w:r>
            <w:r>
              <w:t>produkty neživotního pojištění v souladu se směrnicí 2009/138/ES, s výjimkou produktů nemocenského a zdravotního pojištění; včetně údajů shromážděných pro účely posouzení požadavků a potřeb v souladu s článkem 20 směrnice Evropského parlamentu a Rady (EU) 2016/97</w:t>
            </w:r>
            <w:r>
              <w:rPr>
                <w:vertAlign w:val="superscript"/>
              </w:rPr>
              <w:t>34</w:t>
            </w:r>
            <w:r>
              <w:t>a údajů shromážděných pro účely posouzení vhodnosti a přiměřenosti v souladu s článkem 30 směrnice (EU) 2016/97.</w:t>
            </w:r>
          </w:p>
        </w:tc>
        <w:tc>
          <w:tcPr>
            <w:tcW w:w="4876" w:type="dxa"/>
          </w:tcPr>
          <w:p>
            <w:pPr>
              <w:pStyle w:val="Normal6a"/>
            </w:pPr>
            <w:r>
              <w:t>e)</w:t>
            </w:r>
            <w:r>
              <w:tab/>
            </w:r>
            <w:r>
              <w:t xml:space="preserve">produkty neživotního pojištění v souladu se směrnicí 2009/138/ES, s výjimkou produktů nemocenského a zdravotního pojištění; </w:t>
            </w:r>
            <w:r>
              <w:rPr>
                <w:b/>
                <w:i/>
              </w:rPr>
              <w:t>a další pojistné produkty zahrnující zdravotní údaje, jako je úrazové pojištění, pojištění pro případ zdravotního postižení a nutnosti dlouhodobé péče,</w:t>
            </w:r>
            <w:r>
              <w:t xml:space="preserve"> včetně údajů shromážděných pro účely posouzení požadavků a potřeb v souladu s článkem 20 směrnice Evropského parlamentu a Rady (EU) 2016/97</w:t>
            </w:r>
            <w:r>
              <w:rPr>
                <w:vertAlign w:val="superscript"/>
              </w:rPr>
              <w:t>34</w:t>
            </w:r>
            <w:r>
              <w:t xml:space="preserve"> a údajů shromážděných pro účely posouzení vhodnosti a přiměřenosti v souladu s článkem 30 směrnice (EU) 2016/97.</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34</w:t>
            </w:r>
            <w:r>
              <w:t xml:space="preserve"> </w:t>
            </w:r>
            <w:r>
              <w:t>Směrnice Evropského parlamentu a Rady (EU) 2016/97 ze dne 20. ledna 2016 o distribuci pojištění (přepracované znění) (Úř. věst. L 26, 2.2.2016, s. 19).</w:t>
            </w:r>
          </w:p>
        </w:tc>
        <w:tc>
          <w:tcPr>
            <w:tcW w:w="4876" w:type="dxa"/>
          </w:tcPr>
          <w:p>
            <w:pPr>
              <w:pStyle w:val="Normal6a"/>
            </w:pPr>
            <w:r>
              <w:rPr>
                <w:vertAlign w:val="superscript"/>
              </w:rPr>
              <w:t>34</w:t>
            </w:r>
            <w:r>
              <w:t xml:space="preserve"> </w:t>
            </w:r>
            <w:r>
              <w:t>Směrnice Evropského parlamentu a Rady (EU) 2016/97 ze dne 20. ledna 2016 o distribuci pojištění (přepracované znění) (Úř. věst. L 26, 2.2.2016, s. 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250</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rPr>
                <w:b/>
                <w:i/>
              </w:rPr>
              <w:t>údaje, které jsou součástí posouzení úvěruschopnosti podniku a které jsou shromažďovány v rámci procesu žádosti o úvěr nebo žádosti o úvěrové hodnocení.</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251</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rPr>
                <w:b/>
                <w:i/>
              </w:rPr>
              <w:t>údaje, které jsou součástí posouzení úvěruschopnosti podniku a které jsou shromažďovány v rámci procesu žádosti o úvěr nebo žádosti o úvěrové hodnocení.</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252</w:t>
      </w:r>
      <w:r>
        <w:rPr>
          <w:rStyle w:val="HideTWBExt"/>
        </w:rPr>
        <w:t>&lt;/NumAm&gt;</w:t>
      </w:r>
    </w:p>
    <w:p>
      <w:pPr>
        <w:pStyle w:val="NormalBold"/>
      </w:pPr>
      <w:r>
        <w:rPr>
          <w:rStyle w:val="HideTWBExt"/>
        </w:rPr>
        <w:t>&lt;RepeatBlock-By&gt;</w:t>
      </w:r>
      <w:r>
        <w:rPr>
          <w:rStyle w:val="HideTWBExt"/>
        </w:rPr>
        <w:t>&lt;Members&gt;</w:t>
      </w:r>
      <w:r>
        <w:t>Lídia Pereira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rPr>
                <w:b/>
                <w:i/>
              </w:rPr>
              <w:t>údaje, které jsou součástí posouzení úvěruschopnosti podniku a které jsou shromažďovány v rámci procesu žádosti o úvěr nebo žádosti o úvěrové hodnocení.</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253</w:t>
      </w:r>
      <w:r>
        <w:rPr>
          <w:rStyle w:val="HideTWBExt"/>
        </w:rPr>
        <w:t>&lt;/NumAm&gt;</w:t>
      </w:r>
    </w:p>
    <w:p>
      <w:pPr>
        <w:pStyle w:val="NormalBold"/>
      </w:pPr>
      <w:r>
        <w:rPr>
          <w:rStyle w:val="HideTWBExt"/>
        </w:rPr>
        <w:t>&lt;RepeatBlock-By&gt;</w:t>
      </w:r>
      <w:r>
        <w:rPr>
          <w:rStyle w:val="HideTWBExt"/>
        </w:rPr>
        <w:t>&lt;Members&gt;</w:t>
      </w:r>
      <w:r>
        <w:t>Markus Ferber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údaje, které jsou součástí posouzení úvěruschopnosti podniku a které jsou shromažďovány v rámci procesu žádosti o úvěr </w:t>
            </w:r>
            <w:r>
              <w:rPr>
                <w:b/>
                <w:i/>
              </w:rPr>
              <w:t>nebo žádosti o úvěrové hodnocení</w:t>
            </w:r>
            <w:r>
              <w:t>.</w:t>
            </w:r>
          </w:p>
        </w:tc>
        <w:tc>
          <w:tcPr>
            <w:tcW w:w="4876" w:type="dxa"/>
          </w:tcPr>
          <w:p>
            <w:pPr>
              <w:pStyle w:val="Normal6a"/>
            </w:pPr>
            <w:r>
              <w:t>f)</w:t>
            </w:r>
            <w:r>
              <w:tab/>
            </w:r>
            <w:r>
              <w:t>údaje, které jsou součástí posouzení úvěruschopnosti podniku a které jsou shromažďovány v rámci procesu žádosti o úvěr.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Sdílení údajů má v případě ratingových agentur omezené využití.</w:t>
      </w:r>
      <w:r>
        <w:t xml:space="preserve"> </w:t>
      </w:r>
      <w:r>
        <w:t>Údaje používané ratingovými agenturami jsou většinou údaje přímo poskytnuté klientem.</w:t>
      </w:r>
      <w:r>
        <w:t xml:space="preserve"> </w:t>
      </w:r>
      <w:r>
        <w:t>Většina ostatních údajů je obchodně citlivé povahy a neměla by být sdílena s konkurenty.</w:t>
      </w:r>
    </w:p>
    <w:p>
      <w:r>
        <w:rPr>
          <w:rStyle w:val="HideTWBExt"/>
        </w:rPr>
        <w:t>&lt;/Amend&gt;</w:t>
      </w:r>
    </w:p>
    <w:p>
      <w:pPr>
        <w:pStyle w:val="AmNumberTabs"/>
      </w:pPr>
      <w:r>
        <w:rPr>
          <w:rStyle w:val="HideTWBExt"/>
        </w:rPr>
        <w:t>&lt;Amend&gt;</w:t>
      </w:r>
      <w:r>
        <w:t>Pozměňovací návrh</w:t>
      </w:r>
      <w:r>
        <w:tab/>
      </w:r>
      <w:r>
        <w:tab/>
      </w:r>
      <w:r>
        <w:rPr>
          <w:rStyle w:val="HideTWBExt"/>
        </w:rPr>
        <w:t>&lt;NumAm&gt;</w:t>
      </w:r>
      <w:r>
        <w:t>254</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údaje, které jsou součástí posouzení úvěruschopnosti podniku a které jsou shromažďovány v rámci procesu žádosti o úvěr nebo žádosti o úvěrové hodnocení</w:t>
            </w:r>
            <w:r>
              <w:rPr>
                <w:b/>
                <w:i/>
              </w:rPr>
              <w:t>.</w:t>
            </w:r>
          </w:p>
        </w:tc>
        <w:tc>
          <w:tcPr>
            <w:tcW w:w="4876" w:type="dxa"/>
          </w:tcPr>
          <w:p>
            <w:pPr>
              <w:pStyle w:val="Normal6a"/>
            </w:pPr>
            <w:r>
              <w:t>f)</w:t>
            </w:r>
            <w:r>
              <w:tab/>
            </w:r>
            <w:r>
              <w:t>údaje, které jsou součástí posouzení úvěruschopnosti podniku a které jsou shromažďovány v rámci procesu žádosti o úvěr nebo žádosti o úvěrové hodnocení</w:t>
            </w:r>
            <w:r>
              <w:rPr>
                <w:b/>
                <w:i/>
              </w:rPr>
              <w:t>; údaje shromažďované pro účely posouzení úvěruschopnosti klienta jsou vyloučeny;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255</w:t>
      </w:r>
      <w:r>
        <w:rPr>
          <w:rStyle w:val="HideTWBExt"/>
        </w:rPr>
        <w:t>&lt;/NumAm&gt;</w:t>
      </w:r>
    </w:p>
    <w:p>
      <w:pPr>
        <w:pStyle w:val="NormalBold"/>
      </w:pPr>
      <w:r>
        <w:rPr>
          <w:rStyle w:val="HideTWBExt"/>
        </w:rPr>
        <w:t>&lt;RepeatBlock-By&gt;</w:t>
      </w:r>
      <w:r>
        <w:rPr>
          <w:rStyle w:val="HideTWBExt"/>
        </w:rPr>
        <w:t>&lt;Members&gt;</w:t>
      </w:r>
      <w:r>
        <w:t>Ondřej Kovařík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údaje, které jsou součástí posouzení úvěruschopnosti podniku a které jsou shromažďovány v rámci procesu žádosti o </w:t>
            </w:r>
            <w:r>
              <w:rPr>
                <w:b/>
                <w:i/>
              </w:rPr>
              <w:t>úvěr</w:t>
            </w:r>
            <w:r>
              <w:t xml:space="preserve"> nebo žádosti o úvěrové hodnocení.</w:t>
            </w:r>
          </w:p>
        </w:tc>
        <w:tc>
          <w:tcPr>
            <w:tcW w:w="4876" w:type="dxa"/>
          </w:tcPr>
          <w:p>
            <w:pPr>
              <w:pStyle w:val="Normal6a"/>
            </w:pPr>
            <w:r>
              <w:t>f)</w:t>
            </w:r>
            <w:r>
              <w:tab/>
            </w:r>
            <w:r>
              <w:t xml:space="preserve">údaje, které jsou součástí posouzení úvěruschopnosti podniku a které jsou shromažďovány v rámci procesu žádosti o </w:t>
            </w:r>
            <w:r>
              <w:rPr>
                <w:b/>
                <w:i/>
              </w:rPr>
              <w:t>úvěrovou smlouvu</w:t>
            </w:r>
            <w:r>
              <w:t xml:space="preserve"> nebo žádosti o úvěrové hodnocení.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256</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f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necitlivé kategorie dat, které držitelé dat používají ke splnění požadavků v rámci zásady „poznej svého klienta“ u zákazníků.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257</w:t>
      </w:r>
      <w:r>
        <w:rPr>
          <w:rStyle w:val="HideTWBExt"/>
        </w:rPr>
        <w:t>&lt;/NumAm&gt;</w:t>
      </w:r>
    </w:p>
    <w:p>
      <w:pPr>
        <w:pStyle w:val="NormalBold"/>
      </w:pPr>
      <w:r>
        <w:rPr>
          <w:rStyle w:val="HideTWBExt"/>
        </w:rPr>
        <w:t>&lt;RepeatBlock-By&gt;</w:t>
      </w:r>
      <w:r>
        <w:rPr>
          <w:rStyle w:val="HideTWBExt"/>
        </w:rPr>
        <w:t>&lt;Members&gt;</w:t>
      </w:r>
      <w:r>
        <w:t>Isabel Benjumea Benjumea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f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produkty pojištění vozidel;</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258</w:t>
      </w:r>
      <w:r>
        <w:rPr>
          <w:rStyle w:val="HideTWBExt"/>
        </w:rPr>
        <w:t>&lt;/NumAm&gt;</w:t>
      </w:r>
    </w:p>
    <w:p>
      <w:pPr>
        <w:pStyle w:val="NormalBold"/>
      </w:pPr>
      <w:r>
        <w:rPr>
          <w:rStyle w:val="HideTWBExt"/>
        </w:rPr>
        <w:t>&lt;RepeatBlock-By&gt;</w:t>
      </w:r>
      <w:r>
        <w:rPr>
          <w:rStyle w:val="HideTWBExt"/>
        </w:rPr>
        <w:t>&lt;Members&gt;</w:t>
      </w:r>
      <w:r>
        <w:t>Ondřej Kovařík, Martin Hlaváček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 písm.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platební instituce, včetně poskytovatelů služeb informování o účtu </w:t>
            </w:r>
            <w:r>
              <w:rPr>
                <w:b/>
                <w:i/>
              </w:rPr>
              <w:t>a platebních institucí vyňatých podle směrnice (EU) 2015/2366</w:t>
            </w:r>
            <w:r>
              <w:t>;</w:t>
            </w:r>
          </w:p>
        </w:tc>
        <w:tc>
          <w:tcPr>
            <w:tcW w:w="4876" w:type="dxa"/>
          </w:tcPr>
          <w:p>
            <w:pPr>
              <w:pStyle w:val="Normal6a"/>
            </w:pPr>
            <w:r>
              <w:t>b)</w:t>
            </w:r>
            <w:r>
              <w:tab/>
            </w:r>
            <w:r>
              <w:t>platební instituce, včetně poskytovatelů služeb informování o účtu;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259</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 písm.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platební instituce, včetně </w:t>
            </w:r>
            <w:r>
              <w:rPr>
                <w:b/>
                <w:i/>
              </w:rPr>
              <w:t>poskytovatelů služeb informování o účtu a</w:t>
            </w:r>
            <w:r>
              <w:t xml:space="preserve"> platebních institucí vyňatých podle směrnice (EU) 2015/2366;</w:t>
            </w:r>
          </w:p>
        </w:tc>
        <w:tc>
          <w:tcPr>
            <w:tcW w:w="4876" w:type="dxa"/>
          </w:tcPr>
          <w:p>
            <w:pPr>
              <w:pStyle w:val="Normal6a"/>
            </w:pPr>
            <w:r>
              <w:t>b)</w:t>
            </w:r>
            <w:r>
              <w:tab/>
            </w:r>
            <w:r>
              <w:t>platební instituce, včetně platebních institucí vyňatých podle směrnice (EU) 2015/2366;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260</w:t>
      </w:r>
      <w:r>
        <w:rPr>
          <w:rStyle w:val="HideTWBExt"/>
        </w:rPr>
        <w:t>&lt;/NumAm&gt;</w:t>
      </w:r>
    </w:p>
    <w:p>
      <w:pPr>
        <w:pStyle w:val="NormalBold"/>
      </w:pPr>
      <w:r>
        <w:rPr>
          <w:rStyle w:val="HideTWBExt"/>
        </w:rPr>
        <w:t>&lt;RepeatBlock-By&gt;</w:t>
      </w:r>
      <w:r>
        <w:rPr>
          <w:rStyle w:val="HideTWBExt"/>
        </w:rPr>
        <w:t>&lt;Members&gt;</w:t>
      </w:r>
      <w:r>
        <w:t>Ondřej Kovařík, Martin Hlaváček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 písm.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instituce elektronických peněz</w:t>
            </w:r>
            <w:r>
              <w:rPr>
                <w:b/>
                <w:i/>
              </w:rPr>
              <w:t>, včetně institucí elektronických peněz vyňatých podle směrnice Evropského parlamentu a Rady 2009/110/ES</w:t>
            </w:r>
            <w:r>
              <w:rPr>
                <w:b/>
                <w:i/>
                <w:vertAlign w:val="superscript"/>
              </w:rPr>
              <w:t>35</w:t>
            </w:r>
            <w:r>
              <w:t>;</w:t>
            </w:r>
          </w:p>
        </w:tc>
        <w:tc>
          <w:tcPr>
            <w:tcW w:w="4876" w:type="dxa"/>
          </w:tcPr>
          <w:p>
            <w:pPr>
              <w:pStyle w:val="Normal6a"/>
            </w:pPr>
            <w:r>
              <w:t>c)</w:t>
            </w:r>
            <w:r>
              <w:tab/>
            </w:r>
            <w:r>
              <w:t>instituce elektronických peněz;</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35</w:t>
            </w:r>
            <w:r>
              <w:t xml:space="preserve"> </w:t>
            </w:r>
            <w:r>
              <w:rPr>
                <w:b/>
                <w:i/>
              </w:rPr>
              <w:t>Směrnice Evropského parlamentu a Rady 2009/110/ES ze dne 16. září 2009 o přístupu k činnosti institucí elektronických peněz, o jejím výkonu a o obezřetnostním dohledu nad touto činností, o změně směrnic 2005/60/ES a 2006/48/ES a o zrušení směrnice 2000/46/ES (Úř. věst. L 267, 10.10.2009, s. 7).</w:t>
            </w:r>
          </w:p>
        </w:tc>
        <w:tc>
          <w:tcPr>
            <w:tcW w:w="4876" w:type="dxa"/>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261</w:t>
      </w:r>
      <w:r>
        <w:rPr>
          <w:rStyle w:val="HideTWBExt"/>
        </w:rPr>
        <w:t>&lt;/NumAm&gt;</w:t>
      </w:r>
    </w:p>
    <w:p>
      <w:pPr>
        <w:pStyle w:val="NormalBold"/>
      </w:pPr>
      <w:r>
        <w:rPr>
          <w:rStyle w:val="HideTWBExt"/>
        </w:rPr>
        <w:t>&lt;RepeatBlock-By&gt;</w:t>
      </w:r>
      <w:r>
        <w:rPr>
          <w:rStyle w:val="HideTWBExt"/>
        </w:rPr>
        <w:t>&lt;Members&gt;</w:t>
      </w:r>
      <w:r>
        <w:t>Engin Eroglu</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 písm. 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i)</w:t>
            </w:r>
            <w:r>
              <w:tab/>
            </w:r>
            <w:r>
              <w:rPr>
                <w:b/>
                <w:i/>
              </w:rPr>
              <w:t>pojišťovny a zajišťovny;</w:t>
            </w:r>
          </w:p>
        </w:tc>
        <w:tc>
          <w:tcPr>
            <w:tcW w:w="4876" w:type="dxa"/>
          </w:tcPr>
          <w:p>
            <w:pPr>
              <w:pStyle w:val="Normal6a"/>
            </w:pPr>
            <w:r>
              <w:t>i)</w:t>
            </w:r>
            <w:r>
              <w:tab/>
            </w:r>
            <w:r>
              <w:rPr>
                <w:b/>
                <w:i/>
              </w:rPr>
              <w:t>pojištění, která jsou dostupná všem zainteresovaným klientům a zajišťovnám,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Justification:</w:t>
      </w:r>
    </w:p>
    <w:p>
      <w:pPr>
        <w:pStyle w:val="AmJustText"/>
      </w:pPr>
      <w:r>
        <w:t>Especially IORPs are, unlike individual pension providers, generally not accessible to any interested consumers.</w:t>
      </w:r>
      <w:r>
        <w:t xml:space="preserve"> </w:t>
      </w:r>
      <w:r>
        <w:t>Typically, IORPs are set up by employers or social partners with the social purpose of providing retirement benefits only for their employees under conditions that are defined in an individual contractual arrangement or a social partner agreement.</w:t>
      </w:r>
    </w:p>
    <w:p>
      <w:pPr>
        <w:pStyle w:val="AmJustText"/>
      </w:pPr>
      <w:r>
        <w:t>The exclusion of these IORPs can furthermore be justified by the similarity with mandatory first pillar schemes.</w:t>
      </w:r>
      <w:r>
        <w:t xml:space="preserve"> </w:t>
      </w:r>
      <w:r>
        <w:t>First pillar pensions are not included in the scope of the draft regulation because, among other reasons, public pensions are not a financial product.</w:t>
      </w:r>
      <w:r>
        <w:t xml:space="preserve"> </w:t>
      </w:r>
      <w:r>
        <w:t>Furthermore, membership in the public pension schemes is mandatory and clearly not the result auf a “consumer decision” that an individual can him or herself easily revise.</w:t>
      </w:r>
      <w:r>
        <w:t xml:space="preserve"> </w:t>
      </w:r>
      <w:r>
        <w:t>Similarly, any decisions that may be possible for members of an IORP require a preceding decision of the employer, most importantly regarding the choice of the provider and the available product range or certain conditions of the pension scheme.</w:t>
      </w:r>
    </w:p>
    <w:p>
      <w:pPr>
        <w:pStyle w:val="AmJustText"/>
      </w:pPr>
      <w:r>
        <w:t>Therefore, data users or financial information service providers could only play a very limited role when it comes to new services for members of IORPs as “consumers”.</w:t>
      </w:r>
      <w:r>
        <w:t xml:space="preserve"> </w:t>
      </w:r>
      <w:r>
        <w:t>At the same time, the inclusion of these IORPs in the scope of the FIDA Regulation would lead to considerable costs and risks.</w:t>
      </w:r>
      <w:r>
        <w:t xml:space="preserve"> </w:t>
      </w:r>
      <w:r>
        <w:t>The amendment therefore restricts the scope of FIDA to IORPs that are accessible for all interested consumers without the consent or the participation of an employer or the social partners.</w:t>
      </w:r>
    </w:p>
    <w:p>
      <w:r>
        <w:rPr>
          <w:rStyle w:val="HideTWBExt"/>
        </w:rPr>
        <w:t>&lt;/Amend&gt;</w:t>
      </w:r>
    </w:p>
    <w:p>
      <w:pPr>
        <w:pStyle w:val="AmNumberTabs"/>
      </w:pPr>
      <w:r>
        <w:rPr>
          <w:rStyle w:val="HideTWBExt"/>
        </w:rPr>
        <w:t>&lt;Amend&gt;</w:t>
      </w:r>
      <w:r>
        <w:t>Pozměňovací návrh</w:t>
      </w:r>
      <w:r>
        <w:tab/>
      </w:r>
      <w:r>
        <w:tab/>
      </w:r>
      <w:r>
        <w:rPr>
          <w:rStyle w:val="HideTWBExt"/>
        </w:rPr>
        <w:t>&lt;NumAm&gt;</w:t>
      </w:r>
      <w:r>
        <w:t>262</w:t>
      </w:r>
      <w:r>
        <w:rPr>
          <w:rStyle w:val="HideTWBExt"/>
        </w:rPr>
        <w:t>&lt;/NumAm&gt;</w:t>
      </w:r>
    </w:p>
    <w:p>
      <w:pPr>
        <w:pStyle w:val="NormalBold"/>
      </w:pPr>
      <w:r>
        <w:rPr>
          <w:rStyle w:val="HideTWBExt"/>
        </w:rPr>
        <w:t>&lt;RepeatBlock-By&gt;</w:t>
      </w:r>
      <w:r>
        <w:rPr>
          <w:rStyle w:val="HideTWBExt"/>
        </w:rPr>
        <w:t>&lt;Members&gt;</w:t>
      </w:r>
      <w:r>
        <w:t>Laurence Sailliet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 písm. 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j)</w:t>
            </w:r>
            <w:r>
              <w:tab/>
            </w:r>
            <w:r>
              <w:t xml:space="preserve">zprostředkovatelé pojištění </w:t>
            </w:r>
            <w:r>
              <w:rPr>
                <w:b/>
                <w:i/>
              </w:rPr>
              <w:t>a zprostředkovatelé doplňkového pojištění;</w:t>
            </w:r>
          </w:p>
        </w:tc>
        <w:tc>
          <w:tcPr>
            <w:tcW w:w="4876" w:type="dxa"/>
          </w:tcPr>
          <w:p>
            <w:pPr>
              <w:pStyle w:val="Normal6a"/>
            </w:pPr>
            <w:r>
              <w:t>j)</w:t>
            </w:r>
            <w:r>
              <w:tab/>
            </w:r>
            <w:r>
              <w:t>zprostředkovatelé pojištění</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Zprostředkovatelé doplňkového pojištění by měli být z oblasti působnosti tohoto nařízení vyňati, aby se zabránilo riziku nekalé hospodářské soutěže.</w:t>
      </w:r>
    </w:p>
    <w:p>
      <w:r>
        <w:rPr>
          <w:rStyle w:val="HideTWBExt"/>
        </w:rPr>
        <w:t>&lt;/Amend&gt;</w:t>
      </w:r>
    </w:p>
    <w:p>
      <w:pPr>
        <w:pStyle w:val="AmNumberTabs"/>
      </w:pPr>
      <w:r>
        <w:rPr>
          <w:rStyle w:val="HideTWBExt"/>
        </w:rPr>
        <w:t>&lt;Amend&gt;</w:t>
      </w:r>
      <w:r>
        <w:t>Pozměňovací návrh</w:t>
      </w:r>
      <w:r>
        <w:tab/>
      </w:r>
      <w:r>
        <w:tab/>
      </w:r>
      <w:r>
        <w:rPr>
          <w:rStyle w:val="HideTWBExt"/>
        </w:rPr>
        <w:t>&lt;NumAm&gt;</w:t>
      </w:r>
      <w:r>
        <w:t>263</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 písm. k</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k)</w:t>
            </w:r>
            <w:r>
              <w:tab/>
            </w:r>
            <w:r>
              <w:t>instituce zaměstnaneckého penzijního pojištění;</w:t>
            </w:r>
          </w:p>
        </w:tc>
        <w:tc>
          <w:tcPr>
            <w:tcW w:w="4876" w:type="dxa"/>
          </w:tcPr>
          <w:p>
            <w:pPr>
              <w:pStyle w:val="Normal6a"/>
            </w:pPr>
            <w:r>
              <w:t>k)</w:t>
            </w:r>
            <w:r>
              <w:tab/>
            </w:r>
            <w:r>
              <w:t xml:space="preserve">instituce zaměstnaneckého penzijního pojištění </w:t>
            </w:r>
            <w:r>
              <w:rPr>
                <w:b/>
                <w:i/>
              </w:rPr>
              <w:t>(IZPP), s výjimkou malých IZPP podle článku 5 směrnice (EU) 2016/2341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264</w:t>
      </w:r>
      <w:r>
        <w:rPr>
          <w:rStyle w:val="HideTWBExt"/>
        </w:rPr>
        <w:t>&lt;/NumAm&gt;</w:t>
      </w:r>
    </w:p>
    <w:p>
      <w:pPr>
        <w:pStyle w:val="NormalBold"/>
      </w:pPr>
      <w:r>
        <w:rPr>
          <w:rStyle w:val="HideTWBExt"/>
        </w:rPr>
        <w:t>&lt;RepeatBlock-By&gt;</w:t>
      </w:r>
      <w:r>
        <w:rPr>
          <w:rStyle w:val="HideTWBExt"/>
        </w:rPr>
        <w:t>&lt;Members&gt;</w:t>
      </w:r>
      <w:r>
        <w:t>Markus Ferber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 písm. k</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k)</w:t>
            </w:r>
            <w:r>
              <w:tab/>
            </w:r>
            <w:r>
              <w:t>instituce zaměstnaneckého penzijního pojištění;</w:t>
            </w:r>
          </w:p>
        </w:tc>
        <w:tc>
          <w:tcPr>
            <w:tcW w:w="4876" w:type="dxa"/>
          </w:tcPr>
          <w:p>
            <w:pPr>
              <w:pStyle w:val="Normal6a"/>
            </w:pPr>
            <w:r>
              <w:t>k)</w:t>
            </w:r>
            <w:r>
              <w:tab/>
            </w:r>
            <w:r>
              <w:t>instituce zaměstnaneckého penzijního pojištění</w:t>
            </w:r>
            <w:r>
              <w:rPr>
                <w:b/>
                <w:i/>
              </w:rPr>
              <w:t>, pokud jsou přístupné všem zainteresovaným spotřebitelům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265</w:t>
      </w:r>
      <w:r>
        <w:rPr>
          <w:rStyle w:val="HideTWBExt"/>
        </w:rPr>
        <w:t>&lt;/NumAm&gt;</w:t>
      </w:r>
    </w:p>
    <w:p>
      <w:pPr>
        <w:pStyle w:val="NormalBold"/>
      </w:pPr>
      <w:r>
        <w:rPr>
          <w:rStyle w:val="HideTWBExt"/>
        </w:rPr>
        <w:t>&lt;RepeatBlock-By&gt;</w:t>
      </w:r>
      <w:r>
        <w:rPr>
          <w:rStyle w:val="HideTWBExt"/>
        </w:rPr>
        <w:t>&lt;Members&gt;</w:t>
      </w:r>
      <w:r>
        <w:t>Engin Eroglu</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 písm. k</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k)</w:t>
            </w:r>
            <w:r>
              <w:tab/>
            </w:r>
            <w:r>
              <w:t>instituce zaměstnaneckého penzijního pojištění;</w:t>
            </w:r>
          </w:p>
        </w:tc>
        <w:tc>
          <w:tcPr>
            <w:tcW w:w="4876" w:type="dxa"/>
          </w:tcPr>
          <w:p>
            <w:pPr>
              <w:pStyle w:val="Normal6a"/>
            </w:pPr>
            <w:r>
              <w:t>k)</w:t>
            </w:r>
            <w:r>
              <w:tab/>
            </w:r>
            <w:r>
              <w:t>instituce zaměstnaneckého penzijního pojištění</w:t>
            </w:r>
            <w:r>
              <w:rPr>
                <w:b/>
                <w:i/>
              </w:rPr>
              <w:t>, které jsou přístupné všem zainteresovaným spotřebitelům</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Especially IORPs are, unlike individual pension providers, generally not accessible to any interested consumers.</w:t>
      </w:r>
      <w:r>
        <w:t xml:space="preserve"> </w:t>
      </w:r>
      <w:r>
        <w:t>Typically, IORPs are set up by employers or social partners with the social purpose of providing retirement benefits only for their employees under conditions that are defined in an individual contractual arrangement or a social partner agreement.</w:t>
      </w:r>
    </w:p>
    <w:p>
      <w:pPr>
        <w:pStyle w:val="AmJustText"/>
      </w:pPr>
      <w:r>
        <w:t>The exclusion of these IORPs can furthermore be justified by the similarity with mandatory first pillar schemes.</w:t>
      </w:r>
      <w:r>
        <w:t xml:space="preserve"> </w:t>
      </w:r>
      <w:r>
        <w:t>First pillar pensions are not included in the scope of the draft regulation because, among other reasons, public pensions are not a financial product.</w:t>
      </w:r>
      <w:r>
        <w:t xml:space="preserve"> </w:t>
      </w:r>
      <w:r>
        <w:t>Furthermore, membership in the public pension schemes is mandatory and clearly not the result auf a “consumer decision” that an individual can him or herself easily revise.</w:t>
      </w:r>
      <w:r>
        <w:t xml:space="preserve"> </w:t>
      </w:r>
      <w:r>
        <w:t>Similarly, any decisions that may be possible for members of an IORP require a preceding decision of the employer, most importantly regarding the choice of the provider and the available product range or certain conditions of the pension scheme.</w:t>
      </w:r>
    </w:p>
    <w:p>
      <w:pPr>
        <w:pStyle w:val="AmJustText"/>
      </w:pPr>
      <w:r>
        <w:t>Therefore, data users or financial information service providers could only play a very limited role when it comes to new services for members of IORPs as “consumers”.</w:t>
      </w:r>
      <w:r>
        <w:t xml:space="preserve"> </w:t>
      </w:r>
      <w:r>
        <w:t>At the same time, the inclusion of these IORPs in the scope of the FIDA Regulation would lead to considerable costs and risks.</w:t>
      </w:r>
      <w:r>
        <w:t xml:space="preserve"> </w:t>
      </w:r>
      <w:r>
        <w:t>The amendment therefore restricts the scope of FIDA to IORPs that are accessible for all interested consumers without the consent or the participation of an employer or the social partners.</w:t>
      </w:r>
    </w:p>
    <w:p>
      <w:r>
        <w:rPr>
          <w:rStyle w:val="HideTWBExt"/>
        </w:rPr>
        <w:t>&lt;/Amend&gt;</w:t>
      </w:r>
    </w:p>
    <w:p>
      <w:pPr>
        <w:pStyle w:val="AmNumberTabs"/>
      </w:pPr>
      <w:r>
        <w:rPr>
          <w:rStyle w:val="HideTWBExt"/>
        </w:rPr>
        <w:t>&lt;Amend&gt;</w:t>
      </w:r>
      <w:r>
        <w:t>Pozměňovací návrh</w:t>
      </w:r>
      <w:r>
        <w:tab/>
      </w:r>
      <w:r>
        <w:tab/>
      </w:r>
      <w:r>
        <w:rPr>
          <w:rStyle w:val="HideTWBExt"/>
        </w:rPr>
        <w:t>&lt;NumAm&gt;</w:t>
      </w:r>
      <w:r>
        <w:t>266</w:t>
      </w:r>
      <w:r>
        <w:rPr>
          <w:rStyle w:val="HideTWBExt"/>
        </w:rPr>
        <w:t>&lt;/NumAm&gt;</w:t>
      </w:r>
    </w:p>
    <w:p>
      <w:pPr>
        <w:pStyle w:val="NormalBold"/>
      </w:pPr>
      <w:r>
        <w:rPr>
          <w:rStyle w:val="HideTWBExt"/>
        </w:rPr>
        <w:t>&lt;RepeatBlock-By&gt;</w:t>
      </w:r>
      <w:r>
        <w:rPr>
          <w:rStyle w:val="HideTWBExt"/>
        </w:rPr>
        <w:t>&lt;Members&gt;</w:t>
      </w:r>
      <w:r>
        <w:t>Markus Ferber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 písm. l</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l)</w:t>
            </w:r>
            <w:r>
              <w:tab/>
            </w:r>
            <w:r>
              <w:rPr>
                <w:b/>
                <w:i/>
              </w:rPr>
              <w:t>ratingové agentury;</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Sdílení údajů má v případě ratingových agentur omezené využití.</w:t>
      </w:r>
      <w:r>
        <w:t xml:space="preserve"> </w:t>
      </w:r>
      <w:r>
        <w:t>Údaje používané ratingovými agenturami jsou většinou údaje přímo poskytnuté klientem.</w:t>
      </w:r>
      <w:r>
        <w:t xml:space="preserve"> </w:t>
      </w:r>
      <w:r>
        <w:t>Většina ostatních údajů je obchodně citlivé povahy a neměla by být sdílena s konkurenty.</w:t>
      </w:r>
    </w:p>
    <w:p>
      <w:r>
        <w:rPr>
          <w:rStyle w:val="HideTWBExt"/>
        </w:rPr>
        <w:t>&lt;/Amend&gt;</w:t>
      </w:r>
    </w:p>
    <w:p>
      <w:pPr>
        <w:pStyle w:val="AmNumberTabs"/>
      </w:pPr>
      <w:r>
        <w:rPr>
          <w:rStyle w:val="HideTWBExt"/>
        </w:rPr>
        <w:t>&lt;Amend&gt;</w:t>
      </w:r>
      <w:r>
        <w:t>Pozměňovací návrh</w:t>
      </w:r>
      <w:r>
        <w:tab/>
      </w:r>
      <w:r>
        <w:tab/>
      </w:r>
      <w:r>
        <w:rPr>
          <w:rStyle w:val="HideTWBExt"/>
        </w:rPr>
        <w:t>&lt;NumAm&gt;</w:t>
      </w:r>
      <w:r>
        <w:t>267</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 písm. l</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l)</w:t>
            </w:r>
            <w:r>
              <w:tab/>
            </w:r>
            <w:r>
              <w:rPr>
                <w:b/>
                <w:i/>
              </w:rPr>
              <w:t>ratingové agentury;</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268</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 písm. m</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m)</w:t>
            </w:r>
            <w:r>
              <w:tab/>
            </w:r>
            <w:r>
              <w:t>poskytovatelé služeb skupinového financování;</w:t>
            </w:r>
          </w:p>
        </w:tc>
        <w:tc>
          <w:tcPr>
            <w:tcW w:w="4876" w:type="dxa"/>
          </w:tcPr>
          <w:p>
            <w:pPr>
              <w:pStyle w:val="Normal6a"/>
            </w:pPr>
            <w:r>
              <w:t>m)</w:t>
            </w:r>
            <w:r>
              <w:tab/>
            </w:r>
            <w:r>
              <w:t>poskytovatelé služeb skupinového financování</w:t>
            </w:r>
            <w:r>
              <w:rPr>
                <w:b/>
                <w:i/>
              </w:rPr>
              <w:t>, kteří nejsou mikropodniky ani malými nebo středními podniky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269</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 písm. 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o)</w:t>
            </w:r>
            <w:r>
              <w:tab/>
            </w:r>
            <w:r>
              <w:t>poskytovatelé služeb finančních informací</w:t>
            </w:r>
            <w:r>
              <w:rPr>
                <w:b/>
                <w:i/>
              </w:rPr>
              <w:t>.</w:t>
            </w:r>
          </w:p>
        </w:tc>
        <w:tc>
          <w:tcPr>
            <w:tcW w:w="4876" w:type="dxa"/>
          </w:tcPr>
          <w:p>
            <w:pPr>
              <w:pStyle w:val="Normal6a"/>
            </w:pPr>
            <w:r>
              <w:t>o)</w:t>
            </w:r>
            <w:r>
              <w:tab/>
            </w:r>
            <w:r>
              <w:t>poskytovatelé služeb finančních informací</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270</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 písm. o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oa)</w:t>
            </w:r>
            <w:r>
              <w:tab/>
            </w:r>
            <w:r>
              <w:rPr>
                <w:b/>
                <w:i/>
              </w:rPr>
              <w:t>provozovatelé platebních schémat;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271</w:t>
      </w:r>
      <w:r>
        <w:rPr>
          <w:rStyle w:val="HideTWBExt"/>
        </w:rPr>
        <w:t>&lt;/NumAm&gt;</w:t>
      </w:r>
    </w:p>
    <w:p>
      <w:pPr>
        <w:pStyle w:val="NormalBold"/>
      </w:pPr>
      <w:r>
        <w:rPr>
          <w:rStyle w:val="HideTWBExt"/>
        </w:rPr>
        <w:t>&lt;RepeatBlock-By&gt;</w:t>
      </w:r>
      <w:r>
        <w:rPr>
          <w:rStyle w:val="HideTWBExt"/>
        </w:rPr>
        <w:t>&lt;Members&gt;</w:t>
      </w:r>
      <w:r>
        <w:t>Eero Heinäluoma, Jonás Fernández, Costas Mavrides, Alfred Sant, Aurore Lalucq</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Toto nařízení se nevztahuje na subjekty uvedené v čl. 2 odst. 3 písm. a) až e) nařízení (EU) 2022/2554.</w:t>
            </w:r>
          </w:p>
        </w:tc>
        <w:tc>
          <w:tcPr>
            <w:tcW w:w="4876" w:type="dxa"/>
          </w:tcPr>
          <w:p>
            <w:pPr>
              <w:pStyle w:val="Normal6a"/>
            </w:pPr>
            <w:r>
              <w:t>3.</w:t>
            </w:r>
            <w:r>
              <w:tab/>
            </w:r>
            <w:r>
              <w:t xml:space="preserve">Toto nařízení se nevztahuje na subjekty uvedené v čl. 2 odst. 3 písm. a) až e) nařízení (EU) 2022/2554. </w:t>
            </w:r>
            <w:r>
              <w:rPr>
                <w:b/>
                <w:i/>
              </w:rPr>
              <w:t>Jakýkoli podnik určený jako strážce přístupu podle článku 3 nařízení (EU) 2022/1925 není způsobilým uživatelem údajů pro účely tohoto nařízení.</w:t>
            </w:r>
            <w:r>
              <w:t xml:space="preserve"> </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272</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Toto nařízení se nevztahuje na subjekty uvedené v čl. 2 odst. 3 písm. a) až e) nařízení (EU) 2022/2554.</w:t>
            </w:r>
          </w:p>
        </w:tc>
        <w:tc>
          <w:tcPr>
            <w:tcW w:w="4876" w:type="dxa"/>
          </w:tcPr>
          <w:p>
            <w:pPr>
              <w:pStyle w:val="Normal6a"/>
            </w:pPr>
            <w:r>
              <w:t>3.</w:t>
            </w:r>
            <w:r>
              <w:tab/>
            </w:r>
            <w:r>
              <w:t xml:space="preserve">Toto nařízení se nevztahuje na subjekty uvedené v čl. 2 odst. 3 písm. a) až e) nařízení (EU) 2022/2554. </w:t>
            </w:r>
            <w:r>
              <w:rPr>
                <w:b/>
                <w:i/>
              </w:rPr>
              <w:t>Jakýkoli podnik určený jako strážce přístupu podle článku 3 nařízení (EU) 2022/1925 není způsobilým uživatelem údajů pro účely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273</w:t>
      </w:r>
      <w:r>
        <w:rPr>
          <w:rStyle w:val="HideTWBExt"/>
        </w:rPr>
        <w:t>&lt;/NumAm&gt;</w:t>
      </w:r>
    </w:p>
    <w:p>
      <w:pPr>
        <w:pStyle w:val="NormalBold"/>
      </w:pPr>
      <w:r>
        <w:rPr>
          <w:rStyle w:val="HideTWBExt"/>
        </w:rPr>
        <w:t>&lt;RepeatBlock-By&gt;</w:t>
      </w:r>
      <w:r>
        <w:rPr>
          <w:rStyle w:val="HideTWBExt"/>
        </w:rPr>
        <w:t>&lt;Members&gt;</w:t>
      </w:r>
      <w:r>
        <w:t>Othmar Karas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Toto nařízení se nevztahuje na subjekty uvedené v čl. 2 odst. 3 písm.</w:t>
            </w:r>
            <w:r>
              <w:rPr>
                <w:b/>
                <w:i/>
              </w:rPr>
              <w:t xml:space="preserve"> a)</w:t>
            </w:r>
            <w:r>
              <w:t xml:space="preserve"> až e) nařízení (EU) 2022/2554.</w:t>
            </w:r>
          </w:p>
        </w:tc>
        <w:tc>
          <w:tcPr>
            <w:tcW w:w="4876" w:type="dxa"/>
          </w:tcPr>
          <w:p>
            <w:pPr>
              <w:pStyle w:val="Normal6a"/>
            </w:pPr>
            <w:r>
              <w:t>3.</w:t>
            </w:r>
            <w:r>
              <w:tab/>
            </w:r>
            <w:r>
              <w:t xml:space="preserve">Toto nařízení se </w:t>
            </w:r>
            <w:r>
              <w:rPr>
                <w:b/>
                <w:i/>
              </w:rPr>
              <w:t>použije na malé podniky ve smyslu doporučení 2003/361/ES do [Úřad pro publikace: vložte datum 12 měsíců ode dne použitelnosti tohoto nařízení] a</w:t>
            </w:r>
            <w:r>
              <w:t xml:space="preserve"> nevztahuje </w:t>
            </w:r>
            <w:r>
              <w:rPr>
                <w:b/>
                <w:i/>
              </w:rPr>
              <w:t>se</w:t>
            </w:r>
            <w:r>
              <w:t xml:space="preserve"> na subjekty uvedené v čl. 2 odst. 3 písm.</w:t>
            </w:r>
            <w:r>
              <w:rPr>
                <w:b/>
                <w:i/>
              </w:rPr>
              <w:t> a)</w:t>
            </w:r>
            <w:r>
              <w:t xml:space="preserve"> až e) nařízení (EU) 2022/2554.</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This amendment aims to complement the proportionality elements referred to in Recital 23 by delaying the date of application for small enterprises (who employ fewer than 50 persons and whose annual turnover and/or annual balance sheet total does not exceed EUR 10 million) as defined in Recommendation 2003/361/EC by an additional 12 months.</w:t>
      </w:r>
      <w:r>
        <w:t xml:space="preserve"> </w:t>
      </w:r>
      <w:r>
        <w:t>Although bundling resources for application programming interfaces or pay-per-call services by external technology providers may lower the costs for smaller enterprises, an extension of the application date is justified due to potentially limited supply and/or high costs of these solutions in the short term.</w:t>
      </w:r>
    </w:p>
    <w:p>
      <w:r>
        <w:rPr>
          <w:rStyle w:val="HideTWBExt"/>
        </w:rPr>
        <w:t>&lt;/Amend&gt;</w:t>
      </w:r>
    </w:p>
    <w:p>
      <w:pPr>
        <w:pStyle w:val="AmNumberTabs"/>
      </w:pPr>
      <w:r>
        <w:rPr>
          <w:rStyle w:val="HideTWBExt"/>
        </w:rPr>
        <w:t>&lt;Amend&gt;</w:t>
      </w:r>
      <w:r>
        <w:t>Pozměňovací návrh</w:t>
      </w:r>
      <w:r>
        <w:tab/>
      </w:r>
      <w:r>
        <w:tab/>
      </w:r>
      <w:r>
        <w:rPr>
          <w:rStyle w:val="HideTWBExt"/>
        </w:rPr>
        <w:t>&lt;NumAm&gt;</w:t>
      </w:r>
      <w:r>
        <w:t>274</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Toto nařízení se nevztahuje na subjekty uvedené v čl. 2 odst. 3 písm.</w:t>
            </w:r>
            <w:r>
              <w:rPr>
                <w:b/>
                <w:i/>
              </w:rPr>
              <w:t xml:space="preserve"> a)</w:t>
            </w:r>
            <w:r>
              <w:t xml:space="preserve"> až e) nařízení (EU) 2022/2554.</w:t>
            </w:r>
          </w:p>
        </w:tc>
        <w:tc>
          <w:tcPr>
            <w:tcW w:w="4876" w:type="dxa"/>
          </w:tcPr>
          <w:p>
            <w:pPr>
              <w:pStyle w:val="Normal6a"/>
            </w:pPr>
            <w:r>
              <w:t>3.</w:t>
            </w:r>
            <w:r>
              <w:tab/>
            </w:r>
            <w:r>
              <w:t>Toto nařízení se nevztahuje na subjekty uvedené v čl. 2 odst. 3 písm.</w:t>
            </w:r>
            <w:r>
              <w:rPr>
                <w:b/>
                <w:i/>
              </w:rPr>
              <w:t> a)</w:t>
            </w:r>
            <w:r>
              <w:t xml:space="preserve"> až e) nařízení (EU) 2022/2554 </w:t>
            </w:r>
            <w:r>
              <w:rPr>
                <w:b/>
                <w:i/>
              </w:rPr>
              <w:t>a v čl. 2 odst. 5 bodech 4 až 23 [vložit odkaz na směrnici o kapitálových požadavcích VI po zveřejnění v Úředním věstníku Evropské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Je naprosto zásadní zachovat proporcionalitu vůči úvěrovým družstvům, jak tomu je v ostatních legislativních spisech, jako jsou CRD IV, DORA a PSD 2, z nichž jsou vyňata.</w:t>
      </w:r>
      <w:r>
        <w:t xml:space="preserve"> </w:t>
      </w:r>
      <w:r>
        <w:t>Návrh Komise uplatňuje na banky a úvěrová družstva tytéž požadavky.</w:t>
      </w:r>
      <w:r>
        <w:t xml:space="preserve"> </w:t>
      </w:r>
      <w:r>
        <w:t>Na rozdíl od bank jsou úvěrová družstva neziskové subjekty vlastněné svými členy, s průměrnými příjmy 11 milionů EUR na družstvo.</w:t>
      </w:r>
      <w:r>
        <w:t xml:space="preserve"> </w:t>
      </w:r>
      <w:r>
        <w:t>Proto budou nést nepřiměřené náklady, což jim bude komplikovat poskytování komunitních služeb, zejména v oblastech, kde se banky neangažují,.</w:t>
      </w:r>
    </w:p>
    <w:p>
      <w:r>
        <w:rPr>
          <w:rStyle w:val="HideTWBExt"/>
        </w:rPr>
        <w:t>&lt;/Amend&gt;</w:t>
      </w:r>
    </w:p>
    <w:p>
      <w:pPr>
        <w:pStyle w:val="AmNumberTabs"/>
      </w:pPr>
      <w:r>
        <w:rPr>
          <w:rStyle w:val="HideTWBExt"/>
        </w:rPr>
        <w:t>&lt;Amend&gt;</w:t>
      </w:r>
      <w:r>
        <w:t>Pozměňovací návrh</w:t>
      </w:r>
      <w:r>
        <w:tab/>
      </w:r>
      <w:r>
        <w:tab/>
      </w:r>
      <w:r>
        <w:rPr>
          <w:rStyle w:val="HideTWBExt"/>
        </w:rPr>
        <w:t>&lt;NumAm&gt;</w:t>
      </w:r>
      <w:r>
        <w:t>275</w:t>
      </w:r>
      <w:r>
        <w:rPr>
          <w:rStyle w:val="HideTWBExt"/>
        </w:rPr>
        <w:t>&lt;/NumAm&gt;</w:t>
      </w:r>
    </w:p>
    <w:p>
      <w:pPr>
        <w:pStyle w:val="NormalBold"/>
      </w:pPr>
      <w:r>
        <w:rPr>
          <w:rStyle w:val="HideTWBExt"/>
        </w:rPr>
        <w:t>&lt;RepeatBlock-By&gt;</w:t>
      </w:r>
      <w:r>
        <w:rPr>
          <w:rStyle w:val="HideTWBExt"/>
        </w:rPr>
        <w:t>&lt;Members&gt;</w:t>
      </w:r>
      <w:r>
        <w:t>Isabel Benjumea Benjumea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Odchylně od odstavce 3 se toto nařízení vztahuje na instituce uvedené v čl. 2 odst. 3 písm. e) nařízení (EU) 2022/2554, pokud jeho uplatňování dobrovolně přijmou a pokud tyto subjekty prokáží soulad s příslušnými ustanoveními nařízení (EU) 2022/2554.</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276</w:t>
      </w:r>
      <w:r>
        <w:rPr>
          <w:rStyle w:val="HideTWBExt"/>
        </w:rPr>
        <w:t>&lt;/NumAm&gt;</w:t>
      </w:r>
    </w:p>
    <w:p>
      <w:pPr>
        <w:pStyle w:val="NormalBold"/>
      </w:pPr>
      <w:r>
        <w:rPr>
          <w:rStyle w:val="HideTWBExt"/>
        </w:rPr>
        <w:t>&lt;RepeatBlock-By&gt;</w:t>
      </w:r>
      <w:r>
        <w:rPr>
          <w:rStyle w:val="HideTWBExt"/>
        </w:rPr>
        <w:t>&lt;Members&gt;</w:t>
      </w:r>
      <w:r>
        <w:t>Laurence Sailliet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Odchylně od odstavce 3 se toto nařízení vztahuje na subjekty uvedené v čl. 2 odst. 3 písm. e) nařízení (EU) 2022/2554 za podmínky, že tyto subjekty prokáží, že splňují přiměřená ustanovení stanovená pro mikropodniky v nařízení (EU) 2022/2554.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277</w:t>
      </w:r>
      <w:r>
        <w:rPr>
          <w:rStyle w:val="HideTWBExt"/>
        </w:rPr>
        <w:t>&lt;/NumAm&gt;</w:t>
      </w:r>
    </w:p>
    <w:p>
      <w:pPr>
        <w:pStyle w:val="NormalBold"/>
      </w:pPr>
      <w:r>
        <w:rPr>
          <w:rStyle w:val="HideTWBExt"/>
        </w:rPr>
        <w:t>&lt;RepeatBlock-By&gt;</w:t>
      </w:r>
      <w:r>
        <w:rPr>
          <w:rStyle w:val="HideTWBExt"/>
        </w:rPr>
        <w:t>&lt;Members&gt;</w:t>
      </w:r>
      <w:r>
        <w:t>Ondřej Kovařík, Martin Hlaváček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Toto nařízení se nevztahuje na malé a střední podniky, nicméně ty mají možnost se rozhodnout ustanovení tohoto nařízení uplatňovat;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278</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3a.</w:t>
            </w:r>
            <w:r>
              <w:t xml:space="preserve"> </w:t>
            </w:r>
            <w:r>
              <w:rPr>
                <w:b/>
                <w:i/>
              </w:rPr>
              <w:t>Toto nařízení se nepoužije pro zvláštní kategorie údajů uvedené v čl. 9 odst. 1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279</w:t>
      </w:r>
      <w:r>
        <w:rPr>
          <w:rStyle w:val="HideTWBExt"/>
        </w:rPr>
        <w:t>&lt;/NumAm&gt;</w:t>
      </w:r>
    </w:p>
    <w:p>
      <w:pPr>
        <w:pStyle w:val="NormalBold"/>
      </w:pPr>
      <w:r>
        <w:rPr>
          <w:rStyle w:val="HideTWBExt"/>
        </w:rPr>
        <w:t>&lt;RepeatBlock-By&gt;</w:t>
      </w:r>
      <w:r>
        <w:rPr>
          <w:rStyle w:val="HideTWBExt"/>
        </w:rPr>
        <w:t>&lt;Members&gt;</w:t>
      </w:r>
      <w:r>
        <w:t>Lídia Pereira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Toto nařízení se nevztahuje na údaje uvedené v článku 9 nařízení (EU) 2016/679 (obecné nařízení o ochraně osobních údajů).</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Zohlednění stanoviska EIOÚ.</w:t>
      </w:r>
    </w:p>
    <w:p>
      <w:r>
        <w:rPr>
          <w:rStyle w:val="HideTWBExt"/>
        </w:rPr>
        <w:t>&lt;/Amend&gt;</w:t>
      </w:r>
    </w:p>
    <w:p>
      <w:pPr>
        <w:pStyle w:val="AmNumberTabs"/>
      </w:pPr>
      <w:r>
        <w:rPr>
          <w:rStyle w:val="HideTWBExt"/>
        </w:rPr>
        <w:t>&lt;Amend&gt;</w:t>
      </w:r>
      <w:r>
        <w:t>Pozměňovací návrh</w:t>
      </w:r>
      <w:r>
        <w:tab/>
      </w:r>
      <w:r>
        <w:tab/>
      </w:r>
      <w:r>
        <w:rPr>
          <w:rStyle w:val="HideTWBExt"/>
        </w:rPr>
        <w:t>&lt;NumAm&gt;</w:t>
      </w:r>
      <w:r>
        <w:t>280</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Toto nařízení se nepoužije pro zvláštní kategorie údajů uvedené v čl. 9 odst. 1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281</w:t>
      </w:r>
      <w:r>
        <w:rPr>
          <w:rStyle w:val="HideTWBExt"/>
        </w:rPr>
        <w:t>&lt;/NumAm&gt;</w:t>
      </w:r>
    </w:p>
    <w:p>
      <w:pPr>
        <w:pStyle w:val="NormalBold"/>
      </w:pPr>
      <w:r>
        <w:rPr>
          <w:rStyle w:val="HideTWBExt"/>
        </w:rPr>
        <w:t>&lt;RepeatBlock-By&gt;</w:t>
      </w:r>
      <w:r>
        <w:rPr>
          <w:rStyle w:val="HideTWBExt"/>
        </w:rPr>
        <w:t>&lt;Members&gt;</w:t>
      </w:r>
      <w:r>
        <w:t>Isabel Benjumea Benjumea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3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3b.</w:t>
            </w:r>
            <w:r>
              <w:tab/>
            </w:r>
            <w:r>
              <w:rPr>
                <w:b/>
                <w:i/>
              </w:rPr>
              <w:t>Toto nařízení se vztahuje na zprostředkovatele úvěru uvedené v čl. 4 odst. 5 směrnice 2014/17/EU, pokud jeho uplatňování dobrovolně přijmou a pokud tyto instituce prokáží soulad s příslušnými ustanoveními nařízení (EU) 2022/2554.</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282</w:t>
      </w:r>
      <w:r>
        <w:rPr>
          <w:rStyle w:val="HideTWBExt"/>
        </w:rPr>
        <w:t>&lt;/NumAm&gt;</w:t>
      </w:r>
    </w:p>
    <w:p>
      <w:pPr>
        <w:pStyle w:val="NormalBold"/>
      </w:pPr>
      <w:r>
        <w:rPr>
          <w:rStyle w:val="HideTWBExt"/>
        </w:rPr>
        <w:t>&lt;RepeatBlock-By&gt;</w:t>
      </w:r>
      <w:r>
        <w:rPr>
          <w:rStyle w:val="HideTWBExt"/>
        </w:rPr>
        <w:t>&lt;Members&gt;</w:t>
      </w:r>
      <w:r>
        <w:t>Eero Heinäluoma, Jonás Fernández, Costas Mavrides, Alfred Sant, Aurore Lalucq</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3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3b.</w:t>
            </w:r>
            <w:r>
              <w:tab/>
            </w:r>
            <w:r>
              <w:rPr>
                <w:b/>
                <w:i/>
              </w:rPr>
              <w:t>Toto nařízení se nevztahuje na produkty uzavřené kolektivně, jako jsou produkty, které jsou důsledkem vyjednávání sociálních partnerů, činnosti odborů nebo neziskových organizací jménem jejich členů.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283</w:t>
      </w:r>
      <w:r>
        <w:rPr>
          <w:rStyle w:val="HideTWBExt"/>
        </w:rPr>
        <w:t>&lt;/NumAm&gt;</w:t>
      </w:r>
    </w:p>
    <w:p>
      <w:pPr>
        <w:pStyle w:val="NormalBold"/>
      </w:pPr>
      <w:r>
        <w:rPr>
          <w:rStyle w:val="HideTWBExt"/>
        </w:rPr>
        <w:t>&lt;RepeatBlock-By&gt;</w:t>
      </w:r>
      <w:r>
        <w:rPr>
          <w:rStyle w:val="HideTWBExt"/>
        </w:rPr>
        <w:t>&lt;Members&gt;</w:t>
      </w:r>
      <w:r>
        <w:t>Isabel Benjumea Benjumea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3 c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3c.</w:t>
            </w:r>
            <w:r>
              <w:tab/>
            </w:r>
            <w:r>
              <w:rPr>
                <w:b/>
                <w:i/>
              </w:rPr>
              <w:t>Toto nařízení se nevztahuje na malé a nepropojené investiční podniky v souladu s článkem 12 nařízení (EU) 2019/2033.</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284</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4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Tímto nařízením nejsou dotčeny právní předpisy Unie a vnitrostátní právní předpisy o ochraně osobních údajů, soukromí a důvěrnosti komunikací a integritě koncových zařízení, které se vztahují na osobní údaje zpracovávané v souvislosti s právy a povinnostmi stanovenými v tomto nařízení, zejména nařízení (EU) 2016/679 a (EU) 2018/1725 a směrnice 2002/58/ES, včetně pravomocí a kompetencí orgánů dohledu a práv subjektů údajů.</w:t>
            </w:r>
            <w:r>
              <w:t xml:space="preserve"> </w:t>
            </w:r>
            <w:r>
              <w:rPr>
                <w:b/>
                <w:i/>
              </w:rPr>
              <w:t>Pokud jsou uživatelé subjekty údajů, doplňují práva stanovená v kapitole II tohoto nařízení práva subjektů údajů na přístup a přenositelnost údajů podle článků 15 a 20 nařízení (EU) 2016/679.</w:t>
            </w:r>
            <w:r>
              <w:t xml:space="preserve"> </w:t>
            </w:r>
            <w:r>
              <w:rPr>
                <w:b/>
                <w:i/>
              </w:rPr>
              <w:t>V případě rozporu mezi tímto nařízením a unijními právními předpisy o ochraně osobních údajů nebo soukromí nebo vnitrostátními právními předpisy přijatými v souladu s těmito právními předpisy Unie mají přednost příslušné unijní nebo vnitrostátní právní předpisy o ochraně osobních údajů nebo soukromí.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285</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4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Pro účely tohoto nařízení se zpracovávají pouze finančně relevantní informace a údaje z výše uvedených kategorií.</w:t>
            </w:r>
            <w:r>
              <w:rPr>
                <w:b/>
                <w:i/>
              </w:rPr>
              <w:t>Zvláštní kategorie údajů podle čl. 9 odst. 1 nařízení (EU) 2016/679 se pro účely tohoto nařízení nezpracovávají, ledaže je to nezbytně nutné pro poskytnutí služby požadované zákazníkem.</w:t>
            </w:r>
            <w:r>
              <w:rPr>
                <w:b/>
                <w:i/>
              </w:rPr>
              <w:t>Údaje získané nebo odvozené z údajů poskytnutých zákazníkem v důsledku profilování, se pro kategorie tohoto nařízení nezpracovávají.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Pro účely provádění tohoto odstavce nese důkazní břemeno uživatel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286</w:t>
      </w:r>
      <w:r>
        <w:rPr>
          <w:rStyle w:val="HideTWBExt"/>
        </w:rPr>
        <w:t>&lt;/NumAm&gt;</w:t>
      </w:r>
    </w:p>
    <w:p>
      <w:pPr>
        <w:pStyle w:val="NormalBold"/>
      </w:pPr>
      <w:r>
        <w:rPr>
          <w:rStyle w:val="HideTWBExt"/>
        </w:rPr>
        <w:t>&lt;RepeatBlock-By&gt;</w:t>
      </w:r>
      <w:r>
        <w:rPr>
          <w:rStyle w:val="HideTWBExt"/>
        </w:rPr>
        <w:t>&lt;Members&gt;</w:t>
      </w:r>
      <w:r>
        <w:t>Fabio Massimo Castaldo</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4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Údaje zákazníka uvedené v odstavci 1 nezahrnují: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citlivé údaje týkající se rasy nebo etnického původu dané osoby, jejích politických názorů, náboženského či filozofického přesvědčení nebo členství v odborech, jakož i genetické informace a informace o zdraví a sexuální orientaci/sexuálním životě;</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chráněné údaje, které finanční instituce vygenerovala, analyzovala nebo rozšířila, včetně obchodního tajemství a citlivých obchodních informací.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287</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4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Údaje zákazníka uvedené v odstavci 1 nezahrnují: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citlivé údaje týkající se rasy nebo etnického původu dané osoby, jejích politických názorů, náboženského či filozofického přesvědčení nebo členství v odborech, jakož i genetické informace a informace o zdraví a sexuální orientaci/sexuálním životě;</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chráněné údaje, které finanční instituce vygenerovala, analyzovala nebo obohacovala, včetně obchodního tajemství a citlivých obchodních informací.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288</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4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S odkazem na další ustanovení týkající se přístupu k údajům, odpovědného využívání údajů a přehledů povolení a systémů sdílení finančních údajů může Evropská komise případně prostřednictvím aktů v přenesené pravomoci nebo prováděcích aktů zvážit, zda by nebylo vhodné vypracovat pravidla pro využívání údajů v konkrétních oblastech.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289</w:t>
      </w:r>
      <w:r>
        <w:rPr>
          <w:rStyle w:val="HideTWBExt"/>
        </w:rPr>
        <w:t>&lt;/NumAm&gt;</w:t>
      </w:r>
    </w:p>
    <w:p>
      <w:pPr>
        <w:pStyle w:val="NormalBold"/>
      </w:pPr>
      <w:r>
        <w:rPr>
          <w:rStyle w:val="HideTWBExt"/>
        </w:rPr>
        <w:t>&lt;RepeatBlock-By&gt;</w:t>
      </w:r>
      <w:r>
        <w:rPr>
          <w:rStyle w:val="HideTWBExt"/>
        </w:rPr>
        <w:t>&lt;Members&gt;</w:t>
      </w:r>
      <w:r>
        <w:t>Laurence Sailliet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4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Toto nařízení se nevztahuje na obchodní tajemství, citlivé obchodní informace nebo údaje, které finanční instituce vygenerovala nebo rozšířila.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Nebyla zavedena žádná jasná ochranná opatření na ochranu obchodního tajemství nebo citlivých obchodních údajů.</w:t>
      </w:r>
    </w:p>
    <w:p>
      <w:r>
        <w:rPr>
          <w:rStyle w:val="HideTWBExt"/>
        </w:rPr>
        <w:t>&lt;/Amend&gt;</w:t>
      </w:r>
    </w:p>
    <w:p>
      <w:pPr>
        <w:pStyle w:val="AmNumberTabs"/>
      </w:pPr>
      <w:r>
        <w:rPr>
          <w:rStyle w:val="HideTWBExt"/>
        </w:rPr>
        <w:t>&lt;Amend&gt;</w:t>
      </w:r>
      <w:r>
        <w:t>Pozměňovací návrh</w:t>
      </w:r>
      <w:r>
        <w:tab/>
      </w:r>
      <w:r>
        <w:tab/>
      </w:r>
      <w:r>
        <w:rPr>
          <w:rStyle w:val="HideTWBExt"/>
        </w:rPr>
        <w:t>&lt;NumAm&gt;</w:t>
      </w:r>
      <w:r>
        <w:t>290</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4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4b.</w:t>
            </w:r>
            <w:r>
              <w:tab/>
            </w:r>
            <w:r>
              <w:rPr>
                <w:b/>
                <w:i/>
              </w:rPr>
              <w:t>Toto nařízení se použije na smlouvy, které vstoupily v platnost ode dne použitelnosti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291</w:t>
      </w:r>
      <w:r>
        <w:rPr>
          <w:rStyle w:val="HideTWBExt"/>
        </w:rPr>
        <w:t>&lt;/NumAm&gt;</w:t>
      </w:r>
    </w:p>
    <w:p>
      <w:pPr>
        <w:pStyle w:val="NormalBold"/>
      </w:pPr>
      <w:r>
        <w:rPr>
          <w:rStyle w:val="HideTWBExt"/>
        </w:rPr>
        <w:t>&lt;RepeatBlock-By&gt;</w:t>
      </w:r>
      <w:r>
        <w:rPr>
          <w:rStyle w:val="HideTWBExt"/>
        </w:rPr>
        <w:t>&lt;Members&gt;</w:t>
      </w:r>
      <w:r>
        <w:t>Fabio Massimo Castaldo</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4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4b.</w:t>
            </w:r>
            <w:r>
              <w:tab/>
            </w:r>
            <w:r>
              <w:rPr>
                <w:b/>
                <w:i/>
              </w:rPr>
              <w:t>Toto nařízení se použije na smlouvy, které vstoupily v platnost ode dne použitelnosti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292</w:t>
      </w:r>
      <w:r>
        <w:rPr>
          <w:rStyle w:val="HideTWBExt"/>
        </w:rPr>
        <w:t>&lt;/NumAm&gt;</w:t>
      </w:r>
    </w:p>
    <w:p>
      <w:pPr>
        <w:pStyle w:val="NormalBold"/>
      </w:pPr>
      <w:r>
        <w:rPr>
          <w:rStyle w:val="HideTWBExt"/>
        </w:rPr>
        <w:t>&lt;RepeatBlock-By&gt;</w:t>
      </w:r>
      <w:r>
        <w:rPr>
          <w:rStyle w:val="HideTWBExt"/>
        </w:rPr>
        <w:t>&lt;Members&gt;</w:t>
      </w:r>
      <w:r>
        <w:t>Laurence Sailliet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4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4b.</w:t>
            </w:r>
            <w:r>
              <w:tab/>
            </w:r>
            <w:r>
              <w:rPr>
                <w:b/>
                <w:i/>
              </w:rPr>
              <w:t>Toto nařízení se vztahuje pouze na data v držení maloobchodních zákazníků a nevztahuje se na sdílení údajů komerčních zákazníků.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293</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4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4b.</w:t>
            </w:r>
            <w:r>
              <w:tab/>
            </w:r>
            <w:r>
              <w:rPr>
                <w:b/>
                <w:i/>
              </w:rPr>
              <w:t>Pravidla pro nové nebo pozměněné případy využití údajů se vypracovávají v souladu s článkem 30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294</w:t>
      </w:r>
      <w:r>
        <w:rPr>
          <w:rStyle w:val="HideTWBExt"/>
        </w:rPr>
        <w:t>&lt;/NumAm&gt;</w:t>
      </w:r>
    </w:p>
    <w:p>
      <w:pPr>
        <w:pStyle w:val="NormalBold"/>
      </w:pPr>
      <w:r>
        <w:rPr>
          <w:rStyle w:val="HideTWBExt"/>
        </w:rPr>
        <w:t>&lt;RepeatBlock-By&gt;</w:t>
      </w:r>
      <w:r>
        <w:rPr>
          <w:rStyle w:val="HideTWBExt"/>
        </w:rPr>
        <w:t>&lt;Members&gt;</w:t>
      </w:r>
      <w:r>
        <w:t>Caroline Nagtegaal, Esther de Lange, Ondřej Kovařík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„spotřebitelem“ fyzická osoba, jež jedná za jiným účelem než za účelem své obchodní, podnikatelské nebo profesní činnosti;</w:t>
            </w:r>
          </w:p>
        </w:tc>
        <w:tc>
          <w:tcPr>
            <w:tcW w:w="4876" w:type="dxa"/>
          </w:tcPr>
          <w:p>
            <w:pPr>
              <w:pStyle w:val="Normal6a"/>
            </w:pPr>
            <w:r>
              <w:t>1)</w:t>
            </w:r>
            <w:r>
              <w:tab/>
            </w:r>
            <w:r>
              <w:t>„spotřebitelem“ fyzická osoba, jež jedná za jiným účelem než za účelem své obchodní, podnikatelské nebo profesní činnosti</w:t>
            </w:r>
            <w:r>
              <w:rPr>
                <w:b/>
                <w:i/>
              </w:rPr>
              <w:t>, nebo současný „člen“ nebo „příjemce“ instituce zaměstnaneckého penzijního pojištění (IZPP), jak je definováno v článku 6 směrnice IZPP 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295</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„zákazníkem“ fyzická </w:t>
            </w:r>
            <w:r>
              <w:rPr>
                <w:b/>
                <w:i/>
              </w:rPr>
              <w:t>nebo právnická osoba, která využívá finanční produkty a služby</w:t>
            </w:r>
            <w:r>
              <w:t>;</w:t>
            </w:r>
          </w:p>
        </w:tc>
        <w:tc>
          <w:tcPr>
            <w:tcW w:w="4876" w:type="dxa"/>
          </w:tcPr>
          <w:p>
            <w:pPr>
              <w:pStyle w:val="Normal6a"/>
            </w:pPr>
            <w:r>
              <w:t>2)</w:t>
            </w:r>
            <w:r>
              <w:tab/>
            </w:r>
            <w:r>
              <w:t xml:space="preserve">„zákazníkem“ fyzická </w:t>
            </w:r>
            <w:r>
              <w:rPr>
                <w:b/>
                <w:i/>
              </w:rPr>
              <w:t>osoba nebo malý a střední podnik ve smyslu článku 2 přílohy doporučení Komise 2003/361/ES ze dne 6. května 2003, který má bydliště nebo sídlo v Unii a je stranou dohody o používání finančních produktů a služeb uvedených v čl. 2 odst. 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296</w:t>
      </w:r>
      <w:r>
        <w:rPr>
          <w:rStyle w:val="HideTWBExt"/>
        </w:rPr>
        <w:t>&lt;/NumAm&gt;</w:t>
      </w:r>
    </w:p>
    <w:p>
      <w:pPr>
        <w:pStyle w:val="NormalBold"/>
      </w:pPr>
      <w:r>
        <w:rPr>
          <w:rStyle w:val="HideTWBExt"/>
        </w:rPr>
        <w:t>&lt;RepeatBlock-By&gt;</w:t>
      </w:r>
      <w:r>
        <w:rPr>
          <w:rStyle w:val="HideTWBExt"/>
        </w:rPr>
        <w:t>&lt;Members&gt;</w:t>
      </w:r>
      <w:r>
        <w:t>Engin Eroglu</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„zákazníkem“ fyzická nebo právnická osoba, která využívá finanční produkty a služby;</w:t>
            </w:r>
          </w:p>
        </w:tc>
        <w:tc>
          <w:tcPr>
            <w:tcW w:w="4876" w:type="dxa"/>
          </w:tcPr>
          <w:p>
            <w:pPr>
              <w:pStyle w:val="Normal6a"/>
            </w:pPr>
            <w:r>
              <w:t>2)</w:t>
            </w:r>
            <w:r>
              <w:tab/>
            </w:r>
            <w:r>
              <w:t xml:space="preserve">„zákazníkem“ fyzická nebo právnická osoba, která využívá finanční produkty a služby </w:t>
            </w:r>
            <w:r>
              <w:rPr>
                <w:b/>
                <w:i/>
              </w:rPr>
              <w:t>a která je smluvním partnerem finanční instituce (ve své roli uživatele dat) a může si sama vybrat produkt a jeho poskytovatele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297</w:t>
      </w:r>
      <w:r>
        <w:rPr>
          <w:rStyle w:val="HideTWBExt"/>
        </w:rPr>
        <w:t>&lt;/NumAm&gt;</w:t>
      </w:r>
    </w:p>
    <w:p>
      <w:pPr>
        <w:pStyle w:val="NormalBold"/>
      </w:pPr>
      <w:r>
        <w:rPr>
          <w:rStyle w:val="HideTWBExt"/>
        </w:rPr>
        <w:t>&lt;RepeatBlock-By&gt;</w:t>
      </w:r>
      <w:r>
        <w:rPr>
          <w:rStyle w:val="HideTWBExt"/>
        </w:rPr>
        <w:t>&lt;Members&gt;</w:t>
      </w:r>
      <w:r>
        <w:t>Caroline Nagtegaal, Esther de Lange</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„zákazníkem“ fyzická nebo právnická osoba, která </w:t>
            </w:r>
            <w:r>
              <w:rPr>
                <w:b/>
                <w:i/>
              </w:rPr>
              <w:t>využívá finanční produkty a služby</w:t>
            </w:r>
            <w:r>
              <w:t>;</w:t>
            </w:r>
          </w:p>
        </w:tc>
        <w:tc>
          <w:tcPr>
            <w:tcW w:w="4876" w:type="dxa"/>
          </w:tcPr>
          <w:p>
            <w:pPr>
              <w:pStyle w:val="Normal6a"/>
            </w:pPr>
            <w:r>
              <w:t>2)</w:t>
            </w:r>
            <w:r>
              <w:tab/>
            </w:r>
            <w:r>
              <w:t xml:space="preserve">„zákazníkem“ fyzická </w:t>
            </w:r>
            <w:r>
              <w:rPr>
                <w:b/>
                <w:i/>
              </w:rPr>
              <w:t>osoba žijící v Evropské unii</w:t>
            </w:r>
            <w:r>
              <w:t xml:space="preserve"> nebo právnická osoba </w:t>
            </w:r>
            <w:r>
              <w:rPr>
                <w:b/>
                <w:i/>
              </w:rPr>
              <w:t>usazená v Evropské unii</w:t>
            </w:r>
            <w:r>
              <w:t xml:space="preserve">, která </w:t>
            </w:r>
            <w:r>
              <w:rPr>
                <w:b/>
                <w:i/>
              </w:rPr>
              <w:t>je spotřebitelem nebo mikropodnikem, malým nebo středním podnikem</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Navrhujeme zaměřit se na spotřebitele a malé podniky s cílem zajistit včasné provedení nařízení FIDA.</w:t>
      </w:r>
      <w:r>
        <w:t xml:space="preserve"> </w:t>
      </w:r>
      <w:r>
        <w:t>Velké společnosti se mohou účastnit systémů sdílení údajů podle vlastních pravidel.</w:t>
      </w:r>
      <w:r>
        <w:t xml:space="preserve"> </w:t>
      </w:r>
      <w:r>
        <w:t>V případě potřeby mohou být zahrnuty do budoucí revize tohoto aktu.</w:t>
      </w:r>
      <w:r>
        <w:t xml:space="preserve"> </w:t>
      </w:r>
      <w:r>
        <w:t>Rovněž je důležité, aby byla oblast působnosti zeměpisně omezena na EU.</w:t>
      </w:r>
    </w:p>
    <w:p>
      <w:r>
        <w:rPr>
          <w:rStyle w:val="HideTWBExt"/>
        </w:rPr>
        <w:t>&lt;/Amend&gt;</w:t>
      </w:r>
    </w:p>
    <w:p>
      <w:pPr>
        <w:pStyle w:val="AmNumberTabs"/>
      </w:pPr>
      <w:r>
        <w:rPr>
          <w:rStyle w:val="HideTWBExt"/>
        </w:rPr>
        <w:t>&lt;Amend&gt;</w:t>
      </w:r>
      <w:r>
        <w:t>Pozměňovací návrh</w:t>
      </w:r>
      <w:r>
        <w:tab/>
      </w:r>
      <w:r>
        <w:tab/>
      </w:r>
      <w:r>
        <w:rPr>
          <w:rStyle w:val="HideTWBExt"/>
        </w:rPr>
        <w:t>&lt;NumAm&gt;</w:t>
      </w:r>
      <w:r>
        <w:t>298</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„zákazníkem“ fyzická </w:t>
            </w:r>
            <w:r>
              <w:rPr>
                <w:b/>
                <w:i/>
              </w:rPr>
              <w:t>nebo právnická osoba, která využívá finanční produkty a služby</w:t>
            </w:r>
            <w:r>
              <w:t>;</w:t>
            </w:r>
          </w:p>
        </w:tc>
        <w:tc>
          <w:tcPr>
            <w:tcW w:w="4876" w:type="dxa"/>
          </w:tcPr>
          <w:p>
            <w:pPr>
              <w:pStyle w:val="Normal6a"/>
            </w:pPr>
            <w:r>
              <w:t>2)</w:t>
            </w:r>
            <w:r>
              <w:tab/>
            </w:r>
            <w:r>
              <w:t xml:space="preserve">„zákazníkem“ fyzická </w:t>
            </w:r>
            <w:r>
              <w:rPr>
                <w:b/>
                <w:i/>
              </w:rPr>
              <w:t>osoba nebo mikropodnik, malý nebo střední podnik, který je stranou dohody o používání finančních produktů a služeb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299</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„zákazníkem“ fyzická </w:t>
            </w:r>
            <w:r>
              <w:rPr>
                <w:b/>
                <w:i/>
              </w:rPr>
              <w:t>nebo právnická</w:t>
            </w:r>
            <w:r>
              <w:t xml:space="preserve"> osoba, která využívá finanční produkty a služby;</w:t>
            </w:r>
          </w:p>
        </w:tc>
        <w:tc>
          <w:tcPr>
            <w:tcW w:w="4876" w:type="dxa"/>
          </w:tcPr>
          <w:p>
            <w:pPr>
              <w:pStyle w:val="Normal6a"/>
            </w:pPr>
            <w:r>
              <w:t>2)</w:t>
            </w:r>
            <w:r>
              <w:tab/>
            </w:r>
            <w:r>
              <w:t xml:space="preserve">„zákazníkem“ fyzická osoba, která využívá finanční produkty a služby </w:t>
            </w:r>
            <w:r>
              <w:rPr>
                <w:b/>
                <w:i/>
              </w:rPr>
              <w:t>nebo nakupuje pojistné produkty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300</w:t>
      </w:r>
      <w:r>
        <w:rPr>
          <w:rStyle w:val="HideTWBExt"/>
        </w:rPr>
        <w:t>&lt;/NumAm&gt;</w:t>
      </w:r>
    </w:p>
    <w:p>
      <w:pPr>
        <w:pStyle w:val="NormalBold"/>
      </w:pPr>
      <w:r>
        <w:rPr>
          <w:rStyle w:val="HideTWBExt"/>
        </w:rPr>
        <w:t>&lt;RepeatBlock-By&gt;</w:t>
      </w:r>
      <w:r>
        <w:rPr>
          <w:rStyle w:val="HideTWBExt"/>
        </w:rPr>
        <w:t>&lt;Members&gt;</w:t>
      </w:r>
      <w:r>
        <w:t>Fabio Massimo Castaldo</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„zákazníkem“ fyzická </w:t>
            </w:r>
            <w:r>
              <w:rPr>
                <w:b/>
                <w:i/>
              </w:rPr>
              <w:t>nebo právnická</w:t>
            </w:r>
            <w:r>
              <w:t xml:space="preserve"> osoba, která využívá finanční produkty a služby;</w:t>
            </w:r>
          </w:p>
        </w:tc>
        <w:tc>
          <w:tcPr>
            <w:tcW w:w="4876" w:type="dxa"/>
          </w:tcPr>
          <w:p>
            <w:pPr>
              <w:pStyle w:val="Normal6a"/>
            </w:pPr>
            <w:r>
              <w:t>2)</w:t>
            </w:r>
            <w:r>
              <w:tab/>
            </w:r>
            <w:r>
              <w:t xml:space="preserve">„zákazníkem“ fyzická osoba, která využívá finanční produkty a služby </w:t>
            </w:r>
            <w:r>
              <w:rPr>
                <w:b/>
                <w:i/>
              </w:rPr>
              <w:t>nebo nakupuje pojistné produkty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301</w:t>
      </w:r>
      <w:r>
        <w:rPr>
          <w:rStyle w:val="HideTWBExt"/>
        </w:rPr>
        <w:t>&lt;/NumAm&gt;</w:t>
      </w:r>
    </w:p>
    <w:p>
      <w:pPr>
        <w:pStyle w:val="NormalBold"/>
      </w:pPr>
      <w:r>
        <w:rPr>
          <w:rStyle w:val="HideTWBExt"/>
        </w:rPr>
        <w:t>&lt;RepeatBlock-By&gt;</w:t>
      </w:r>
      <w:r>
        <w:rPr>
          <w:rStyle w:val="HideTWBExt"/>
        </w:rPr>
        <w:t>&lt;Members&gt;</w:t>
      </w:r>
      <w:r>
        <w:t>Laurence Sailliet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„zákaznickými údaji“ osobní a neosobní údaje, které finanční instituce shromažďuje</w:t>
            </w:r>
            <w:r>
              <w:rPr>
                <w:b/>
                <w:i/>
              </w:rPr>
              <w:t>, uchovává a jinak zpracovává</w:t>
            </w:r>
            <w:r>
              <w:t xml:space="preserve"> v rámci běžného obchodního styku se zákazníky, což zahrnuje jak údaje poskytnuté zákazníkem, tak údaje </w:t>
            </w:r>
            <w:r>
              <w:rPr>
                <w:b/>
                <w:i/>
              </w:rPr>
              <w:t>vzniklé v důsledku interakce zákazníka s</w:t>
            </w:r>
            <w:r>
              <w:t xml:space="preserve"> finanční institucí;</w:t>
            </w:r>
          </w:p>
        </w:tc>
        <w:tc>
          <w:tcPr>
            <w:tcW w:w="4876" w:type="dxa"/>
          </w:tcPr>
          <w:p>
            <w:pPr>
              <w:pStyle w:val="Normal6a"/>
            </w:pPr>
            <w:r>
              <w:t>3)</w:t>
            </w:r>
            <w:r>
              <w:tab/>
            </w:r>
            <w:r>
              <w:t xml:space="preserve">„zákaznickými údaji“ osobní a neosobní údaje </w:t>
            </w:r>
            <w:r>
              <w:rPr>
                <w:b/>
                <w:i/>
              </w:rPr>
              <w:t>poskytnuté zákazníkem (přímo nebo pozorované)</w:t>
            </w:r>
            <w:r>
              <w:t xml:space="preserve">, které finanční instituce shromažďuje </w:t>
            </w:r>
            <w:r>
              <w:rPr>
                <w:b/>
                <w:i/>
              </w:rPr>
              <w:t>a uchovává</w:t>
            </w:r>
            <w:r>
              <w:t xml:space="preserve"> v rámci běžného obchodního styku se zákazníky, což zahrnuje jak </w:t>
            </w:r>
            <w:r>
              <w:rPr>
                <w:b/>
                <w:i/>
              </w:rPr>
              <w:t>příslušné osobní</w:t>
            </w:r>
            <w:r>
              <w:t xml:space="preserve"> údaje poskytnuté zákazníkem, tak </w:t>
            </w:r>
            <w:r>
              <w:rPr>
                <w:b/>
                <w:i/>
              </w:rPr>
              <w:t>příslušné informace o produktu, jako jsou informace obsažené v informačním dokumentu o pojistném produktu (IPID);</w:t>
            </w:r>
            <w:r>
              <w:t xml:space="preserve"> </w:t>
            </w:r>
            <w:r>
              <w:rPr>
                <w:b/>
                <w:i/>
              </w:rPr>
              <w:t>tyto</w:t>
            </w:r>
            <w:r>
              <w:t xml:space="preserve"> údaje </w:t>
            </w:r>
            <w:r>
              <w:rPr>
                <w:b/>
                <w:i/>
              </w:rPr>
              <w:t>by neměly zahrnovat obchodní tajemství nebo údaje finanční instituce, které jsou předmětem průmyslového vlastnictví;</w:t>
            </w:r>
            <w:r>
              <w:t xml:space="preserve"> </w:t>
            </w:r>
            <w:r>
              <w:rPr>
                <w:b/>
                <w:i/>
              </w:rPr>
              <w:t>údaje vytvořené</w:t>
            </w:r>
            <w:r>
              <w:t xml:space="preserve"> finanční institucí </w:t>
            </w:r>
            <w:r>
              <w:rPr>
                <w:b/>
                <w:i/>
              </w:rPr>
              <w:t>zpracováním údajů poskytnutých přímo zákazníkem nejsou v žádném případě považovány za zákaznické údaje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302</w:t>
      </w:r>
      <w:r>
        <w:rPr>
          <w:rStyle w:val="HideTWBExt"/>
        </w:rPr>
        <w:t>&lt;/NumAm&gt;</w:t>
      </w:r>
    </w:p>
    <w:p>
      <w:pPr>
        <w:pStyle w:val="NormalBold"/>
      </w:pPr>
      <w:r>
        <w:rPr>
          <w:rStyle w:val="HideTWBExt"/>
        </w:rPr>
        <w:t>&lt;RepeatBlock-By&gt;</w:t>
      </w:r>
      <w:r>
        <w:rPr>
          <w:rStyle w:val="HideTWBExt"/>
        </w:rPr>
        <w:t>&lt;Members&gt;</w:t>
      </w:r>
      <w:r>
        <w:t>Giuseppe Ferrandino</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„zákaznickými údaji“ osobní a neosobní údaje, které finanční instituce shromažďuje, uchovává a jinak zpracovává v rámci běžného obchodního styku se zákazníky, což zahrnuje jak údaje poskytnuté zákazníkem, tak údaje vzniklé v důsledku interakce zákazníka s finanční institucí;</w:t>
            </w:r>
          </w:p>
        </w:tc>
        <w:tc>
          <w:tcPr>
            <w:tcW w:w="4876" w:type="dxa"/>
          </w:tcPr>
          <w:p>
            <w:pPr>
              <w:pStyle w:val="Normal6a"/>
            </w:pPr>
            <w:r>
              <w:t>3)</w:t>
            </w:r>
            <w:r>
              <w:tab/>
            </w:r>
            <w:r>
              <w:t xml:space="preserve">„zákaznickými údaji“ osobní a neosobní údaje, které finanční instituce </w:t>
            </w:r>
            <w:r>
              <w:rPr>
                <w:b/>
                <w:i/>
              </w:rPr>
              <w:t>nebo poskytovatel služeb finančních informací</w:t>
            </w:r>
            <w:r>
              <w:t xml:space="preserve"> shromažďuje, uchovává a jinak zpracovává v rámci běžného obchodního styku se zákazníky, což zahrnuje jak údaje poskytnuté zákazníkem, tak </w:t>
            </w:r>
            <w:r>
              <w:rPr>
                <w:b/>
                <w:i/>
              </w:rPr>
              <w:t>nezpracované</w:t>
            </w:r>
            <w:r>
              <w:t xml:space="preserve"> údaje vzniklé v důsledku interakce zákazníka s finanční institucí </w:t>
            </w:r>
            <w:r>
              <w:rPr>
                <w:b/>
                <w:i/>
              </w:rPr>
              <w:t>nebo poskytovatelem služeb finančních informací;</w:t>
            </w:r>
            <w:r>
              <w:t xml:space="preserve"> </w:t>
            </w:r>
            <w:r>
              <w:rPr>
                <w:b/>
                <w:i/>
              </w:rPr>
              <w:t>údaje vytvořené finanční institucí nebo poskytovatelem služeb finančních informací, a to ani v případě, že jsou získány zpracováním údajů poskytnutých přímo zákazníkem, by v žádném případě neměly být považovány za zákaznické údaje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Navrhuje se vyloučit z nařízení FIDA veškeré informace získané nebo odvozené z těchto údajů v souladu s možností politiky přijatou v nařízení o datech (15. bod odůvodnění).</w:t>
      </w:r>
      <w:r>
        <w:t xml:space="preserve"> </w:t>
      </w:r>
      <w:r>
        <w:t>Aby se navíc zabránilo jednostrannému toku informací od finančních subjektů třetím stranám, měli by poskytovatelé služeb finančních informací podléhat podobným povinnostem sdílení, pokud jde o údaje, které získali přímo od svých vlastních zákazníků a které spadají do oblasti působnosti FIDA.</w:t>
      </w:r>
    </w:p>
    <w:p>
      <w:r>
        <w:rPr>
          <w:rStyle w:val="HideTWBExt"/>
        </w:rPr>
        <w:t>&lt;/Amend&gt;</w:t>
      </w:r>
    </w:p>
    <w:p>
      <w:pPr>
        <w:pStyle w:val="AmNumberTabs"/>
      </w:pPr>
      <w:r>
        <w:rPr>
          <w:rStyle w:val="HideTWBExt"/>
        </w:rPr>
        <w:t>&lt;Amend&gt;</w:t>
      </w:r>
      <w:r>
        <w:t>Pozměňovací návrh</w:t>
      </w:r>
      <w:r>
        <w:tab/>
      </w:r>
      <w:r>
        <w:tab/>
      </w:r>
      <w:r>
        <w:rPr>
          <w:rStyle w:val="HideTWBExt"/>
        </w:rPr>
        <w:t>&lt;NumAm&gt;</w:t>
      </w:r>
      <w:r>
        <w:t>303</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„zákaznickými údaji“ osobní a neosobní údaje, které finanční instituce shromažďuje, uchovává a jinak zpracovává v </w:t>
            </w:r>
            <w:r>
              <w:rPr>
                <w:b/>
                <w:i/>
              </w:rPr>
              <w:t>rámci běžného obchodního styku se zákazníky, což zahrnuje jak</w:t>
            </w:r>
            <w:r>
              <w:t xml:space="preserve"> údaje </w:t>
            </w:r>
            <w:r>
              <w:rPr>
                <w:b/>
                <w:i/>
              </w:rPr>
              <w:t>poskytnuté zákazníkem, tak údaje vzniklé v důsledku interakce zákazníka s finanční institucí</w:t>
            </w:r>
            <w:r>
              <w:t>;</w:t>
            </w:r>
          </w:p>
        </w:tc>
        <w:tc>
          <w:tcPr>
            <w:tcW w:w="4876" w:type="dxa"/>
          </w:tcPr>
          <w:p>
            <w:pPr>
              <w:pStyle w:val="Normal6a"/>
            </w:pPr>
            <w:r>
              <w:t>3)</w:t>
            </w:r>
            <w:r>
              <w:tab/>
            </w:r>
            <w:r>
              <w:t xml:space="preserve">„zákaznickými údaji“ osobní a neosobní údaje </w:t>
            </w:r>
            <w:r>
              <w:rPr>
                <w:b/>
                <w:i/>
              </w:rPr>
              <w:t>týkající se zákazníka</w:t>
            </w:r>
            <w:r>
              <w:t xml:space="preserve">, které finanční instituce shromažďuje, uchovává a jinak zpracovává v </w:t>
            </w:r>
            <w:r>
              <w:rPr>
                <w:b/>
                <w:i/>
              </w:rPr>
              <w:t>souvislosti se stávající dohodou mezi zákazníkem a finanční institucí jakožto primárním držitelem údajů pro poskytování těchto finančních produktů a služeb;</w:t>
            </w:r>
            <w:r>
              <w:t xml:space="preserve"> údaje </w:t>
            </w:r>
            <w:r>
              <w:rPr>
                <w:b/>
                <w:i/>
              </w:rPr>
              <w:t>vytvořené finanční institucí zpracováním údajů poskytnutých přímo či nepřímo zákazníkem nejsou v žádném případě považovány za zákaznické údaje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304</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„zákaznickými údaji“ osobní a neosobní údaje, které finanční instituce shromažďuje</w:t>
            </w:r>
            <w:r>
              <w:rPr>
                <w:b/>
                <w:i/>
              </w:rPr>
              <w:t>,</w:t>
            </w:r>
            <w:r>
              <w:t xml:space="preserve"> uchovává </w:t>
            </w:r>
            <w:r>
              <w:rPr>
                <w:b/>
                <w:i/>
              </w:rPr>
              <w:t>a jinak zpracovává v rámci běžného obchodního styku se zákazníky, což zahrnuje jak</w:t>
            </w:r>
            <w:r>
              <w:t xml:space="preserve"> údaje </w:t>
            </w:r>
            <w:r>
              <w:rPr>
                <w:b/>
                <w:i/>
              </w:rPr>
              <w:t>poskytnuté zákazníkem, tak údaje vzniklé v důsledku interakce zákazníka s finanční institucí</w:t>
            </w:r>
            <w:r>
              <w:t>;</w:t>
            </w:r>
          </w:p>
        </w:tc>
        <w:tc>
          <w:tcPr>
            <w:tcW w:w="4876" w:type="dxa"/>
          </w:tcPr>
          <w:p>
            <w:pPr>
              <w:pStyle w:val="Normal6a"/>
            </w:pPr>
            <w:r>
              <w:t>3)</w:t>
            </w:r>
            <w:r>
              <w:tab/>
            </w:r>
            <w:r>
              <w:t xml:space="preserve">„zákaznickými údaji“ osobní a neosobní údaje </w:t>
            </w:r>
            <w:r>
              <w:rPr>
                <w:b/>
                <w:i/>
              </w:rPr>
              <w:t>v souladu s nařízením (EU) 2016/679</w:t>
            </w:r>
            <w:r>
              <w:t xml:space="preserve">, které finanční instituce shromažďuje </w:t>
            </w:r>
            <w:r>
              <w:rPr>
                <w:b/>
                <w:i/>
              </w:rPr>
              <w:t>a</w:t>
            </w:r>
            <w:r>
              <w:t xml:space="preserve"> uchovává </w:t>
            </w:r>
            <w:r>
              <w:rPr>
                <w:b/>
                <w:i/>
              </w:rPr>
              <w:t>v souvislosti se stávající dohodou mezi zákazníkem a finanční institucí jakožto primárním držitelem údajů pro poskytování těchto služeb;</w:t>
            </w:r>
            <w:r>
              <w:t xml:space="preserve"> </w:t>
            </w:r>
            <w:r>
              <w:rPr>
                <w:b/>
                <w:i/>
              </w:rPr>
              <w:t>to nezahrnuje</w:t>
            </w:r>
            <w:r>
              <w:t xml:space="preserve"> údaje</w:t>
            </w:r>
            <w:r>
              <w:rPr>
                <w:b/>
                <w:i/>
              </w:rPr>
              <w:t>, které finanční instituce vytváří obohacením nebo úpravou údajů poskytnutých přímo zákazníkem</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Aby se zajistilo, že nejsou zahrnuty získané a odvozené údaje.</w:t>
      </w:r>
    </w:p>
    <w:p>
      <w:r>
        <w:rPr>
          <w:rStyle w:val="HideTWBExt"/>
        </w:rPr>
        <w:t>&lt;/Amend&gt;</w:t>
      </w:r>
    </w:p>
    <w:p>
      <w:pPr>
        <w:pStyle w:val="AmNumberTabs"/>
      </w:pPr>
      <w:r>
        <w:rPr>
          <w:rStyle w:val="HideTWBExt"/>
        </w:rPr>
        <w:t>&lt;Amend&gt;</w:t>
      </w:r>
      <w:r>
        <w:t>Pozměňovací návrh</w:t>
      </w:r>
      <w:r>
        <w:tab/>
      </w:r>
      <w:r>
        <w:tab/>
      </w:r>
      <w:r>
        <w:rPr>
          <w:rStyle w:val="HideTWBExt"/>
        </w:rPr>
        <w:t>&lt;NumAm&gt;</w:t>
      </w:r>
      <w:r>
        <w:t>305</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„zákaznickými údaji“ osobní a neosobní údaje, které finanční instituce shromažďuje, uchovává a jinak zpracovává v rámci běžného obchodního styku se zákazníky, což zahrnuje jak údaje poskytnuté zákazníkem, tak údaje vzniklé v důsledku interakce zákazníka s finanční institucí;</w:t>
            </w:r>
          </w:p>
        </w:tc>
        <w:tc>
          <w:tcPr>
            <w:tcW w:w="4876" w:type="dxa"/>
          </w:tcPr>
          <w:p>
            <w:pPr>
              <w:pStyle w:val="Normal6a"/>
            </w:pPr>
            <w:r>
              <w:t>3)</w:t>
            </w:r>
            <w:r>
              <w:tab/>
            </w:r>
            <w:r>
              <w:t xml:space="preserve">„zákaznickými údaji“ osobní a neosobní údaje, které finanční instituce shromažďuje, uchovává a jinak zpracovává v rámci běžného obchodního styku se zákazníky, což zahrnuje jak údaje poskytnuté zákazníkem, tak údaje vzniklé v důsledku interakce zákazníka s finanční institucí </w:t>
            </w:r>
            <w:r>
              <w:rPr>
                <w:b/>
                <w:i/>
              </w:rPr>
              <w:t>a vyloučí údaje vytvořené v důsledku profilování podle čl. 4 odst. 4 nařízení (EU) 2016/679</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306</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„zákaznickými údaji“ osobní a neosobní údaje, které finanční instituce shromažďuje, uchovává a jinak zpracovává v rámci běžného obchodního styku se zákazníky, což zahrnuje jak údaje poskytnuté zákazníkem, tak údaje vzniklé v důsledku interakce zákazníka s finanční institucí;</w:t>
            </w:r>
          </w:p>
        </w:tc>
        <w:tc>
          <w:tcPr>
            <w:tcW w:w="4876" w:type="dxa"/>
          </w:tcPr>
          <w:p>
            <w:pPr>
              <w:pStyle w:val="Normal6a"/>
            </w:pPr>
            <w:r>
              <w:t>3)</w:t>
            </w:r>
            <w:r>
              <w:tab/>
            </w:r>
            <w:r>
              <w:t>„zákaznickými údaji“ osobní a neosobní údaje, které finanční instituce shromažďuje, uchovává a jinak zpracovává v rámci běžného obchodního styku se zákazníky, což zahrnuje jak údaje poskytnuté zákazníkem, tak údaje vzniklé v důsledku interakce zákazníka s finanční institucí</w:t>
            </w:r>
            <w:r>
              <w:rPr>
                <w:b/>
                <w:i/>
              </w:rPr>
              <w:t>, s výjimkou citlivých údajů a údajů, jež jsou předmětem průmyslového vlastnictví, podle čl. 2 odst. 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307</w:t>
      </w:r>
      <w:r>
        <w:rPr>
          <w:rStyle w:val="HideTWBExt"/>
        </w:rPr>
        <w:t>&lt;/NumAm&gt;</w:t>
      </w:r>
    </w:p>
    <w:p>
      <w:pPr>
        <w:pStyle w:val="NormalBold"/>
      </w:pPr>
      <w:r>
        <w:rPr>
          <w:rStyle w:val="HideTWBExt"/>
        </w:rPr>
        <w:t>&lt;RepeatBlock-By&gt;</w:t>
      </w:r>
      <w:r>
        <w:rPr>
          <w:rStyle w:val="HideTWBExt"/>
        </w:rPr>
        <w:t>&lt;Members&gt;</w:t>
      </w:r>
      <w:r>
        <w:t>Fabio Massimo Castaldo</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„zákaznickými údaji“ osobní a neosobní údaje, které finanční instituce shromažďuje, uchovává a jinak zpracovává v rámci běžného obchodního styku se zákazníky, což zahrnuje jak údaje poskytnuté zákazníkem, tak údaje vzniklé v důsledku interakce zákazníka s finanční institucí;</w:t>
            </w:r>
          </w:p>
        </w:tc>
        <w:tc>
          <w:tcPr>
            <w:tcW w:w="4876" w:type="dxa"/>
          </w:tcPr>
          <w:p>
            <w:pPr>
              <w:pStyle w:val="Normal6a"/>
            </w:pPr>
            <w:r>
              <w:t>3)</w:t>
            </w:r>
            <w:r>
              <w:tab/>
            </w:r>
            <w:r>
              <w:t>„zákaznickými údaji“ osobní a neosobní údaje, které finanční instituce shromažďuje, uchovává a jinak zpracovává v rámci běžného obchodního styku se zákazníky, což zahrnuje jak údaje poskytnuté zákazníkem, tak údaje vzniklé v důsledku interakce zákazníka s finanční institucí</w:t>
            </w:r>
            <w:r>
              <w:rPr>
                <w:b/>
                <w:i/>
              </w:rPr>
              <w:t>, s výjimkou citlivých údajů a údajů, jež jsou předmětem průmyslového vlastnictví, podle čl. 2 odst. 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308</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„zákaznickými údaji“ osobní a neosobní údaje, které finanční instituce shromažďuje, uchovává a jinak zpracovává v rámci běžného obchodního styku se zákazníky, což zahrnuje jak údaje poskytnuté zákazníkem, tak údaje vzniklé v důsledku interakce zákazníka s finanční institucí;</w:t>
            </w:r>
          </w:p>
        </w:tc>
        <w:tc>
          <w:tcPr>
            <w:tcW w:w="4876" w:type="dxa"/>
          </w:tcPr>
          <w:p>
            <w:pPr>
              <w:pStyle w:val="Normal6a"/>
            </w:pPr>
            <w:r>
              <w:t>3)</w:t>
            </w:r>
            <w:r>
              <w:tab/>
            </w:r>
            <w:r>
              <w:t xml:space="preserve">„zákaznickými údaji“ osobní a neosobní údaje, </w:t>
            </w:r>
            <w:r>
              <w:rPr>
                <w:b/>
                <w:i/>
              </w:rPr>
              <w:t>s výjimkou údajů vyplývajících z profilování,</w:t>
            </w:r>
            <w:r>
              <w:t xml:space="preserve"> které finanční instituce shromažďuje, uchovává a jinak zpracovává v rámci běžného obchodního styku se zákazníky, což zahrnuje jak údaje poskytnuté zákazníkem, tak údaje vzniklé v důsledku interakce zákazníka s finanční institucí;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309</w:t>
      </w:r>
      <w:r>
        <w:rPr>
          <w:rStyle w:val="HideTWBExt"/>
        </w:rPr>
        <w:t>&lt;/NumAm&gt;</w:t>
      </w:r>
    </w:p>
    <w:p>
      <w:pPr>
        <w:pStyle w:val="NormalBold"/>
      </w:pPr>
      <w:r>
        <w:rPr>
          <w:rStyle w:val="HideTWBExt"/>
        </w:rPr>
        <w:t>&lt;RepeatBlock-By&gt;</w:t>
      </w:r>
      <w:r>
        <w:rPr>
          <w:rStyle w:val="HideTWBExt"/>
        </w:rPr>
        <w:t>&lt;Members&gt;</w:t>
      </w:r>
      <w:r>
        <w:t>Ondřej Kovařík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„zákaznickými údaji“ osobní a neosobní údaje, které finanční instituce shromažďuje, uchovává a jinak zpracovává v rámci běžného obchodního styku se zákazníky, </w:t>
            </w:r>
            <w:r>
              <w:rPr>
                <w:b/>
                <w:i/>
              </w:rPr>
              <w:t>což zahrnuje</w:t>
            </w:r>
            <w:r>
              <w:t xml:space="preserve"> jak údaje poskytnuté zákazníkem, tak údaje vzniklé v důsledku interakce zákazníka s finanční institucí;</w:t>
            </w:r>
          </w:p>
        </w:tc>
        <w:tc>
          <w:tcPr>
            <w:tcW w:w="4876" w:type="dxa"/>
          </w:tcPr>
          <w:p>
            <w:pPr>
              <w:pStyle w:val="Normal6a"/>
            </w:pPr>
            <w:r>
              <w:t>3)</w:t>
            </w:r>
            <w:r>
              <w:tab/>
            </w:r>
            <w:r>
              <w:t xml:space="preserve">„zákaznickými údaji“ osobní a neosobní údaje, které finanční instituce shromažďuje, uchovává a jinak zpracovává v rámci běžného obchodního styku se zákazníky, </w:t>
            </w:r>
            <w:r>
              <w:rPr>
                <w:b/>
                <w:i/>
              </w:rPr>
              <w:t>které jsou zákazníkovi k dispozici a zahrnují</w:t>
            </w:r>
            <w:r>
              <w:t xml:space="preserve"> jak údaje poskytnuté zákazníkem, tak údaje vzniklé v důsledku interakce zákazníka s finanční institucí;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310</w:t>
      </w:r>
      <w:r>
        <w:rPr>
          <w:rStyle w:val="HideTWBExt"/>
        </w:rPr>
        <w:t>&lt;/NumAm&gt;</w:t>
      </w:r>
    </w:p>
    <w:p>
      <w:pPr>
        <w:pStyle w:val="NormalBold"/>
      </w:pPr>
      <w:r>
        <w:rPr>
          <w:rStyle w:val="HideTWBExt"/>
        </w:rPr>
        <w:t>&lt;RepeatBlock-By&gt;</w:t>
      </w:r>
      <w:r>
        <w:rPr>
          <w:rStyle w:val="HideTWBExt"/>
        </w:rPr>
        <w:t>&lt;Members&gt;</w:t>
      </w:r>
      <w:r>
        <w:t>Markus Ferber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„zákaznickými údaji“ osobní a neosobní údaje, které finanční instituce shromažďuje, uchovává a jinak zpracovává v rámci běžného obchodního styku se zákazníky, což zahrnuje </w:t>
            </w:r>
            <w:r>
              <w:rPr>
                <w:b/>
                <w:i/>
              </w:rPr>
              <w:t>jak</w:t>
            </w:r>
            <w:r>
              <w:t xml:space="preserve"> údaje poskytnuté zákazníkem</w:t>
            </w:r>
            <w:r>
              <w:rPr>
                <w:b/>
                <w:i/>
              </w:rPr>
              <w:t>, tak údaje vzniklé v důsledku interakce zákazníka s</w:t>
            </w:r>
            <w:r>
              <w:t xml:space="preserve"> finanční </w:t>
            </w:r>
            <w:r>
              <w:rPr>
                <w:b/>
                <w:i/>
              </w:rPr>
              <w:t>institucí</w:t>
            </w:r>
            <w:r>
              <w:t>;</w:t>
            </w:r>
          </w:p>
        </w:tc>
        <w:tc>
          <w:tcPr>
            <w:tcW w:w="4876" w:type="dxa"/>
          </w:tcPr>
          <w:p>
            <w:pPr>
              <w:pStyle w:val="Normal6a"/>
            </w:pPr>
            <w:r>
              <w:t>3)</w:t>
            </w:r>
            <w:r>
              <w:tab/>
            </w:r>
            <w:r>
              <w:t xml:space="preserve">„zákaznickými údaji“ </w:t>
            </w:r>
            <w:r>
              <w:rPr>
                <w:b/>
                <w:i/>
              </w:rPr>
              <w:t>základní</w:t>
            </w:r>
            <w:r>
              <w:t xml:space="preserve"> osobní a neosobní údaje, které finanční instituce shromažďuje, uchovává a jinak zpracovává v rámci běžného obchodního styku se zákazníky, což zahrnuje údaje poskytnuté zákazníkem finanční </w:t>
            </w:r>
            <w:r>
              <w:rPr>
                <w:b/>
                <w:i/>
              </w:rPr>
              <w:t>instituci</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Údaje získané v důsledku interakce zákazníka s finanční institucí jsou často údaji, jež jsou předmětem průmyslového vlastnictví, které by neměly být sdíleny s konkurenty.</w:t>
      </w:r>
    </w:p>
    <w:p>
      <w:r>
        <w:rPr>
          <w:rStyle w:val="HideTWBExt"/>
        </w:rPr>
        <w:t>&lt;/Amend&gt;</w:t>
      </w:r>
    </w:p>
    <w:p>
      <w:pPr>
        <w:pStyle w:val="AmNumberTabs"/>
      </w:pPr>
      <w:r>
        <w:rPr>
          <w:rStyle w:val="HideTWBExt"/>
        </w:rPr>
        <w:t>&lt;Amend&gt;</w:t>
      </w:r>
      <w:r>
        <w:t>Pozměňovací návrh</w:t>
      </w:r>
      <w:r>
        <w:tab/>
      </w:r>
      <w:r>
        <w:tab/>
      </w:r>
      <w:r>
        <w:rPr>
          <w:rStyle w:val="HideTWBExt"/>
        </w:rPr>
        <w:t>&lt;NumAm&gt;</w:t>
      </w:r>
      <w:r>
        <w:t>311</w:t>
      </w:r>
      <w:r>
        <w:rPr>
          <w:rStyle w:val="HideTWBExt"/>
        </w:rPr>
        <w:t>&lt;/NumAm&gt;</w:t>
      </w:r>
    </w:p>
    <w:p>
      <w:pPr>
        <w:pStyle w:val="NormalBold"/>
      </w:pPr>
      <w:r>
        <w:rPr>
          <w:rStyle w:val="HideTWBExt"/>
        </w:rPr>
        <w:t>&lt;RepeatBlock-By&gt;</w:t>
      </w:r>
      <w:r>
        <w:rPr>
          <w:rStyle w:val="HideTWBExt"/>
        </w:rPr>
        <w:t>&lt;Members&gt;</w:t>
      </w:r>
      <w:r>
        <w:t>Ondřej Kovařík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4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„smlouvou o úvěru“ smlouva o úvěru ve smyslu čl. 3 bodu 4 směrnice 2021/2167;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312</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„držitelem údajů“ finanční instituce</w:t>
            </w:r>
            <w:r>
              <w:rPr>
                <w:b/>
                <w:i/>
              </w:rPr>
              <w:t>, která není poskytovatelem služeb informování o účtu a která shromažďuje, uchovává a jinak zpracovává údaje uvedené v čl. 2 odst. 1</w:t>
            </w:r>
            <w:r>
              <w:t>;</w:t>
            </w:r>
          </w:p>
        </w:tc>
        <w:tc>
          <w:tcPr>
            <w:tcW w:w="4876" w:type="dxa"/>
          </w:tcPr>
          <w:p>
            <w:pPr>
              <w:pStyle w:val="Normal6a"/>
            </w:pPr>
            <w:r>
              <w:t>5)</w:t>
            </w:r>
            <w:r>
              <w:tab/>
            </w:r>
            <w:r>
              <w:t>„držitelem údajů“ finanční instituce;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313</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„držitelem údajů“ finanční instituce</w:t>
            </w:r>
            <w:r>
              <w:rPr>
                <w:b/>
                <w:i/>
              </w:rPr>
              <w:t>, která není poskytovatelem služeb informování o účtu a která shromažďuje, uchovává</w:t>
            </w:r>
            <w:r>
              <w:t xml:space="preserve"> a jinak </w:t>
            </w:r>
            <w:r>
              <w:rPr>
                <w:b/>
                <w:i/>
              </w:rPr>
              <w:t>zpracovává</w:t>
            </w:r>
            <w:r>
              <w:t xml:space="preserve"> údaje uvedené v čl. 2 odst. 1;</w:t>
            </w:r>
          </w:p>
        </w:tc>
        <w:tc>
          <w:tcPr>
            <w:tcW w:w="4876" w:type="dxa"/>
          </w:tcPr>
          <w:p>
            <w:pPr>
              <w:pStyle w:val="Normal6a"/>
            </w:pPr>
            <w:r>
              <w:t>5)</w:t>
            </w:r>
            <w:r>
              <w:tab/>
            </w:r>
            <w:r>
              <w:t xml:space="preserve">„držitelem údajů“ finanční instituce </w:t>
            </w:r>
            <w:r>
              <w:rPr>
                <w:b/>
                <w:i/>
              </w:rPr>
              <w:t>nebo poskytovatel služeb finančních informací držící jednu z kategorií údajů podle čl. 2 odst. 1, kteří shromažďují, uchovávají</w:t>
            </w:r>
            <w:r>
              <w:t xml:space="preserve"> a jinak </w:t>
            </w:r>
            <w:r>
              <w:rPr>
                <w:b/>
                <w:i/>
              </w:rPr>
              <w:t>zpracovávají</w:t>
            </w:r>
            <w:r>
              <w:t xml:space="preserve"> údaje uvedené v čl. 2 odst.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314</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„držitelem údajů“ finanční instituce</w:t>
            </w:r>
            <w:r>
              <w:rPr>
                <w:b/>
                <w:i/>
              </w:rPr>
              <w:t>, která není poskytovatelem služeb informování o účtu a která shromažďuje, uchovává</w:t>
            </w:r>
            <w:r>
              <w:t xml:space="preserve"> a jinak </w:t>
            </w:r>
            <w:r>
              <w:rPr>
                <w:b/>
                <w:i/>
              </w:rPr>
              <w:t>zpracovává</w:t>
            </w:r>
            <w:r>
              <w:t xml:space="preserve"> údaje uvedené v čl. 2 odst. 1;</w:t>
            </w:r>
          </w:p>
        </w:tc>
        <w:tc>
          <w:tcPr>
            <w:tcW w:w="4876" w:type="dxa"/>
          </w:tcPr>
          <w:p>
            <w:pPr>
              <w:pStyle w:val="Normal6a"/>
            </w:pPr>
            <w:r>
              <w:t>5)</w:t>
            </w:r>
            <w:r>
              <w:tab/>
            </w:r>
            <w:r>
              <w:t xml:space="preserve">„držitelem údajů“ finanční instituce </w:t>
            </w:r>
            <w:r>
              <w:rPr>
                <w:b/>
                <w:i/>
              </w:rPr>
              <w:t>nebo poskytovatel služeb finančních informací držící jednu z kategorií údajů podle čl. 2 odst. 1, kteří shromažďují, uchovávají</w:t>
            </w:r>
            <w:r>
              <w:t xml:space="preserve"> a jinak </w:t>
            </w:r>
            <w:r>
              <w:rPr>
                <w:b/>
                <w:i/>
              </w:rPr>
              <w:t>zpracovávají</w:t>
            </w:r>
            <w:r>
              <w:t xml:space="preserve"> údaje uvedené v čl. 2 odst.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315</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„držitelem údajů“ finanční instituce, která není poskytovatelem služeb informování o účtu a která shromažďuje</w:t>
            </w:r>
            <w:r>
              <w:rPr>
                <w:b/>
                <w:i/>
              </w:rPr>
              <w:t>, uchovává a jinak zpracovává</w:t>
            </w:r>
            <w:r>
              <w:t xml:space="preserve"> údaje uvedené v čl. 2 odst. 1;</w:t>
            </w:r>
          </w:p>
        </w:tc>
        <w:tc>
          <w:tcPr>
            <w:tcW w:w="4876" w:type="dxa"/>
          </w:tcPr>
          <w:p>
            <w:pPr>
              <w:pStyle w:val="Normal6a"/>
            </w:pPr>
            <w:r>
              <w:t>5)</w:t>
            </w:r>
            <w:r>
              <w:tab/>
            </w:r>
            <w:r>
              <w:t xml:space="preserve">„držitelem údajů“ finanční instituce, která není poskytovatelem služeb informování o účtu a která shromažďuje </w:t>
            </w:r>
            <w:r>
              <w:rPr>
                <w:b/>
                <w:i/>
              </w:rPr>
              <w:t>a uchovává</w:t>
            </w:r>
            <w:r>
              <w:t xml:space="preserve"> údaje uvedené v čl. 2 odst.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316</w:t>
      </w:r>
      <w:r>
        <w:rPr>
          <w:rStyle w:val="HideTWBExt"/>
        </w:rPr>
        <w:t>&lt;/NumAm&gt;</w:t>
      </w:r>
    </w:p>
    <w:p>
      <w:pPr>
        <w:pStyle w:val="NormalBold"/>
      </w:pPr>
      <w:r>
        <w:rPr>
          <w:rStyle w:val="HideTWBExt"/>
        </w:rPr>
        <w:t>&lt;RepeatBlock-By&gt;</w:t>
      </w:r>
      <w:r>
        <w:rPr>
          <w:rStyle w:val="HideTWBExt"/>
        </w:rPr>
        <w:t>&lt;Members&gt;</w:t>
      </w:r>
      <w:r>
        <w:t>Giuseppe Ferrandino</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„držitelem údajů“ finanční instituce</w:t>
            </w:r>
            <w:r>
              <w:rPr>
                <w:b/>
                <w:i/>
              </w:rPr>
              <w:t>, která není poskytovatelem</w:t>
            </w:r>
            <w:r>
              <w:t xml:space="preserve"> služeb </w:t>
            </w:r>
            <w:r>
              <w:rPr>
                <w:b/>
                <w:i/>
              </w:rPr>
              <w:t>informování o účtu a která shromažďuje, uchovává</w:t>
            </w:r>
            <w:r>
              <w:t xml:space="preserve"> a jinak </w:t>
            </w:r>
            <w:r>
              <w:rPr>
                <w:b/>
                <w:i/>
              </w:rPr>
              <w:t>zpracovává</w:t>
            </w:r>
            <w:r>
              <w:t xml:space="preserve"> údaje uvedené v čl. 2 odst. 1;</w:t>
            </w:r>
          </w:p>
        </w:tc>
        <w:tc>
          <w:tcPr>
            <w:tcW w:w="4876" w:type="dxa"/>
          </w:tcPr>
          <w:p>
            <w:pPr>
              <w:pStyle w:val="Normal6a"/>
            </w:pPr>
            <w:r>
              <w:t>5)</w:t>
            </w:r>
            <w:r>
              <w:tab/>
            </w:r>
            <w:r>
              <w:t xml:space="preserve">„držitelem údajů“ finanční instituce </w:t>
            </w:r>
            <w:r>
              <w:rPr>
                <w:b/>
                <w:i/>
              </w:rPr>
              <w:t>nebo poskytovatel</w:t>
            </w:r>
            <w:r>
              <w:t xml:space="preserve"> služeb </w:t>
            </w:r>
            <w:r>
              <w:rPr>
                <w:b/>
                <w:i/>
              </w:rPr>
              <w:t>finančních informací, kteří shromažďují, uchovávají</w:t>
            </w:r>
            <w:r>
              <w:t xml:space="preserve"> a jinak </w:t>
            </w:r>
            <w:r>
              <w:rPr>
                <w:b/>
                <w:i/>
              </w:rPr>
              <w:t>zpracovávají</w:t>
            </w:r>
            <w:r>
              <w:t xml:space="preserve"> údaje uvedené v čl. 2 odst. 1;</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Aby se vytvořily rovné podmínky a zabránilo se jednostrannému toku informací od finančních institucí třetím stranám, poskytovatelé služeb finančních informací se rovněž kvalifikují jako držitelé údajů s odkazem na údaje, které přímo získali od svých vlastních zákazníků a které spadají do oblasti působnosti FIDA.</w:t>
      </w:r>
    </w:p>
    <w:p>
      <w:r>
        <w:rPr>
          <w:rStyle w:val="HideTWBExt"/>
        </w:rPr>
        <w:t>&lt;/Amend&gt;</w:t>
      </w:r>
    </w:p>
    <w:p>
      <w:pPr>
        <w:pStyle w:val="AmNumberTabs"/>
      </w:pPr>
      <w:r>
        <w:rPr>
          <w:rStyle w:val="HideTWBExt"/>
        </w:rPr>
        <w:t>&lt;Amend&gt;</w:t>
      </w:r>
      <w:r>
        <w:t>Pozměňovací návrh</w:t>
      </w:r>
      <w:r>
        <w:tab/>
      </w:r>
      <w:r>
        <w:tab/>
      </w:r>
      <w:r>
        <w:rPr>
          <w:rStyle w:val="HideTWBExt"/>
        </w:rPr>
        <w:t>&lt;NumAm&gt;</w:t>
      </w:r>
      <w:r>
        <w:t>317</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6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6a)</w:t>
            </w:r>
            <w:r>
              <w:tab/>
            </w:r>
            <w:r>
              <w:rPr>
                <w:b/>
                <w:i/>
              </w:rPr>
              <w:t>„službou finančních informací“ online služba shromažďování, konsolidace, uchovávání a zpracovávání zákaznických údajů určená subjektům uvedeným v čl. 2 odst. 2 a oprávněným poskytovat finanční služby a nabízet finanční produkty zákazníkům;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318</w:t>
      </w:r>
      <w:r>
        <w:rPr>
          <w:rStyle w:val="HideTWBExt"/>
        </w:rPr>
        <w:t>&lt;/NumAm&gt;</w:t>
      </w:r>
    </w:p>
    <w:p>
      <w:pPr>
        <w:pStyle w:val="NormalBold"/>
      </w:pPr>
      <w:r>
        <w:rPr>
          <w:rStyle w:val="HideTWBExt"/>
        </w:rPr>
        <w:t>&lt;RepeatBlock-By&gt;</w:t>
      </w:r>
      <w:r>
        <w:rPr>
          <w:rStyle w:val="HideTWBExt"/>
        </w:rPr>
        <w:t>&lt;Members&gt;</w:t>
      </w:r>
      <w:r>
        <w:t>Stéphanie Yon-Courtin, Gilles Boyer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6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6a)</w:t>
            </w:r>
            <w:r>
              <w:tab/>
            </w:r>
            <w:r>
              <w:rPr>
                <w:b/>
                <w:i/>
              </w:rPr>
              <w:t>„službami finančních informací“ online služby shromažďování, konsolidace, uchovávání a zpracování zákaznických údajů za účelem poskytování finančních služeb zákazníkům;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Subjekt, jehož hlavní činnost není finanční, by neměl mít přístup k údajům evropských zákazníků za účelem poskytování služby, která nemá žádnou souvislost s finanční službou.</w:t>
      </w:r>
      <w:r>
        <w:t xml:space="preserve"> </w:t>
      </w:r>
      <w:r>
        <w:t>Za tímto účelem by měly být v nařízení FIDA definovány služby finančních informací, které poskytovatelé služeb finančních informací poskytují.</w:t>
      </w:r>
      <w:r>
        <w:t xml:space="preserve"> </w:t>
      </w:r>
      <w:r>
        <w:t>Kvalifikace informačních služeb poskytovaných poskytovateli služeb finančních informací jako služeb poskytovaných za účelem poskytování finančních služeb umožní zpřísnit požadavky na zahraniční subjekty, aby se usadili v EU.</w:t>
      </w:r>
    </w:p>
    <w:p>
      <w:r>
        <w:rPr>
          <w:rStyle w:val="HideTWBExt"/>
        </w:rPr>
        <w:t>&lt;/Amend&gt;</w:t>
      </w:r>
    </w:p>
    <w:p>
      <w:pPr>
        <w:pStyle w:val="AmNumberTabs"/>
      </w:pPr>
      <w:r>
        <w:rPr>
          <w:rStyle w:val="HideTWBExt"/>
        </w:rPr>
        <w:t>&lt;Amend&gt;</w:t>
      </w:r>
      <w:r>
        <w:t>Pozměňovací návrh</w:t>
      </w:r>
      <w:r>
        <w:tab/>
      </w:r>
      <w:r>
        <w:tab/>
      </w:r>
      <w:r>
        <w:rPr>
          <w:rStyle w:val="HideTWBExt"/>
        </w:rPr>
        <w:t>&lt;NumAm&gt;</w:t>
      </w:r>
      <w:r>
        <w:t>319</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6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6a)</w:t>
            </w:r>
            <w:r>
              <w:tab/>
            </w:r>
            <w:r>
              <w:rPr>
                <w:b/>
                <w:i/>
              </w:rPr>
              <w:t>„službou finančních informací“ online služba shromažďování, konsolidace a umožnění porovnání zákaznických údajů v držení jednoho nebo několika držitelů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320</w:t>
      </w:r>
      <w:r>
        <w:rPr>
          <w:rStyle w:val="HideTWBExt"/>
        </w:rPr>
        <w:t>&lt;/NumAm&gt;</w:t>
      </w:r>
    </w:p>
    <w:p>
      <w:pPr>
        <w:pStyle w:val="NormalBold"/>
      </w:pPr>
      <w:r>
        <w:rPr>
          <w:rStyle w:val="HideTWBExt"/>
        </w:rPr>
        <w:t>&lt;RepeatBlock-By&gt;</w:t>
      </w:r>
      <w:r>
        <w:rPr>
          <w:rStyle w:val="HideTWBExt"/>
        </w:rPr>
        <w:t>&lt;Members&gt;</w:t>
      </w:r>
      <w:r>
        <w:t>Ondřej Kovařík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6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6a)</w:t>
            </w:r>
            <w:r>
              <w:tab/>
            </w:r>
            <w:r>
              <w:rPr>
                <w:b/>
                <w:i/>
              </w:rPr>
              <w:t>„službou finančních informací“ online služba shromažďování nebo konsolidace zákazníků a uchovávání údajů v držení jednoho nebo několika držitelů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321</w:t>
      </w:r>
      <w:r>
        <w:rPr>
          <w:rStyle w:val="HideTWBExt"/>
        </w:rPr>
        <w:t>&lt;/NumAm&gt;</w:t>
      </w:r>
    </w:p>
    <w:p>
      <w:pPr>
        <w:pStyle w:val="NormalBold"/>
      </w:pPr>
      <w:r>
        <w:rPr>
          <w:rStyle w:val="HideTWBExt"/>
        </w:rPr>
        <w:t>&lt;RepeatBlock-By&gt;</w:t>
      </w:r>
      <w:r>
        <w:rPr>
          <w:rStyle w:val="HideTWBExt"/>
        </w:rPr>
        <w:t>&lt;Members&gt;</w:t>
      </w:r>
      <w:r>
        <w:t>Stéphanie Yon-Courtin, Gilles Boyer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6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6b)</w:t>
            </w:r>
            <w:r>
              <w:tab/>
            </w:r>
            <w:r>
              <w:rPr>
                <w:b/>
                <w:i/>
              </w:rPr>
              <w:t>„finanční službou“ jakákoli služba bankovní, úvěrové, pojistné, osobní důchodové, investiční nebo platební povahy;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Definice je z čl. 2 písm. b) směrnice 2002/65/ES o uvádění finančních služeb pro spotřebitele na trh na dálku.</w:t>
      </w:r>
    </w:p>
    <w:p>
      <w:r>
        <w:rPr>
          <w:rStyle w:val="HideTWBExt"/>
        </w:rPr>
        <w:t>&lt;/Amend&gt;</w:t>
      </w:r>
    </w:p>
    <w:p>
      <w:pPr>
        <w:pStyle w:val="AmNumberTabs"/>
      </w:pPr>
      <w:r>
        <w:rPr>
          <w:rStyle w:val="HideTWBExt"/>
        </w:rPr>
        <w:t>&lt;Amend&gt;</w:t>
      </w:r>
      <w:r>
        <w:t>Pozměňovací návrh</w:t>
      </w:r>
      <w:r>
        <w:tab/>
      </w:r>
      <w:r>
        <w:tab/>
      </w:r>
      <w:r>
        <w:rPr>
          <w:rStyle w:val="HideTWBExt"/>
        </w:rPr>
        <w:t>&lt;NumAm&gt;</w:t>
      </w:r>
      <w:r>
        <w:t>322</w:t>
      </w:r>
      <w:r>
        <w:rPr>
          <w:rStyle w:val="HideTWBExt"/>
        </w:rPr>
        <w:t>&lt;/NumAm&gt;</w:t>
      </w:r>
    </w:p>
    <w:p>
      <w:pPr>
        <w:pStyle w:val="NormalBold"/>
      </w:pPr>
      <w:r>
        <w:rPr>
          <w:rStyle w:val="HideTWBExt"/>
        </w:rPr>
        <w:t>&lt;RepeatBlock-By&gt;</w:t>
      </w:r>
      <w:r>
        <w:rPr>
          <w:rStyle w:val="HideTWBExt"/>
        </w:rPr>
        <w:t>&lt;Members&gt;</w:t>
      </w:r>
      <w:r>
        <w:t>Laurence Sailliet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„poskytovatelem služeb finančních informací“ uživatel údajů, který je podle článku 14 oprávněn přistupovat k zákaznickým údajům uvedeným v čl. 2 odst. 1 za účelem poskytování služeb finančních informací;</w:t>
            </w:r>
          </w:p>
        </w:tc>
        <w:tc>
          <w:tcPr>
            <w:tcW w:w="4876" w:type="dxa"/>
          </w:tcPr>
          <w:p>
            <w:pPr>
              <w:pStyle w:val="Normal6a"/>
            </w:pPr>
            <w:r>
              <w:t>7)</w:t>
            </w:r>
            <w:r>
              <w:tab/>
            </w:r>
            <w:r>
              <w:t xml:space="preserve">„poskytovatelem služeb finančních informací“ uživatel údajů </w:t>
            </w:r>
            <w:r>
              <w:rPr>
                <w:b/>
                <w:i/>
              </w:rPr>
              <w:t>usazený v Evropské unii</w:t>
            </w:r>
            <w:r>
              <w:t xml:space="preserve">, který je podle článku 14 oprávněn přistupovat k zákaznickým údajům uvedeným v čl. 2 odst. 1 </w:t>
            </w:r>
            <w:r>
              <w:rPr>
                <w:b/>
                <w:i/>
              </w:rPr>
              <w:t>pouze</w:t>
            </w:r>
            <w:r>
              <w:t xml:space="preserve"> za účelem poskytování služeb finančních informací; </w:t>
            </w:r>
            <w:r>
              <w:rPr>
                <w:b/>
                <w:i/>
              </w:rPr>
              <w:t>žádný podnik, který je v souladu s článkem 3 nařízení (EU) 2022/1925 o spravedlivých trzích otevřených hospodářské soutěži v digitálním odvětví (akt o digitálních trzích) označen jako strážce přístupu, není způsobilý jako poskytovatel služeb finančních informací podle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323</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„poskytovatelem služeb finančních informací“ uživatel údajů, který je podle článku 14 oprávněn přistupovat k zákaznickým údajům uvedeným v čl. 2 odst. 1 za účelem poskytování služeb finančních informací;</w:t>
            </w:r>
          </w:p>
        </w:tc>
        <w:tc>
          <w:tcPr>
            <w:tcW w:w="4876" w:type="dxa"/>
          </w:tcPr>
          <w:p>
            <w:pPr>
              <w:pStyle w:val="Normal6a"/>
            </w:pPr>
            <w:r>
              <w:t>7)</w:t>
            </w:r>
            <w:r>
              <w:tab/>
            </w:r>
            <w:r>
              <w:t xml:space="preserve">„poskytovatelem služeb finančních informací“ uživatel údajů, který je podle článku 14 oprávněn přistupovat k zákaznickým údajům uvedeným v čl. 2 odst. 1 za účelem poskytování služeb finančních informací </w:t>
            </w:r>
            <w:r>
              <w:rPr>
                <w:b/>
                <w:i/>
              </w:rPr>
              <w:t>a v rámci působnosti čl. 2 odst. 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324</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„poskytovatelem služeb finančních informací“ uživatel údajů, který je podle článku 14 oprávněn přistupovat k zákaznickým údajům uvedeným v čl. 2 odst. 1 za účelem poskytování </w:t>
            </w:r>
            <w:r>
              <w:rPr>
                <w:b/>
                <w:i/>
              </w:rPr>
              <w:t>služeb finančních informací</w:t>
            </w:r>
            <w:r>
              <w:t>;</w:t>
            </w:r>
          </w:p>
        </w:tc>
        <w:tc>
          <w:tcPr>
            <w:tcW w:w="4876" w:type="dxa"/>
          </w:tcPr>
          <w:p>
            <w:pPr>
              <w:pStyle w:val="Normal6a"/>
            </w:pPr>
            <w:r>
              <w:t>7)</w:t>
            </w:r>
            <w:r>
              <w:tab/>
            </w:r>
            <w:r>
              <w:t xml:space="preserve">„poskytovatelem služeb finančních informací“ uživatel údajů </w:t>
            </w:r>
            <w:r>
              <w:rPr>
                <w:b/>
                <w:i/>
              </w:rPr>
              <w:t>nebo držitel údajů</w:t>
            </w:r>
            <w:r>
              <w:t xml:space="preserve">, který je podle článku 14 oprávněn přistupovat k zákaznickým údajům uvedeným v čl. 2 odst. 1 za účelem poskytování </w:t>
            </w:r>
            <w:r>
              <w:rPr>
                <w:b/>
                <w:i/>
              </w:rPr>
              <w:t>finančních produktů nebo služeb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325</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„poskytovatelem služeb finančních informací“ uživatel údajů, který je podle článku 14 oprávněn přistupovat k zákaznickým údajům uvedeným v čl. 2 odst. 1 za účelem poskytování služeb finančních informací;</w:t>
            </w:r>
          </w:p>
        </w:tc>
        <w:tc>
          <w:tcPr>
            <w:tcW w:w="4876" w:type="dxa"/>
          </w:tcPr>
          <w:p>
            <w:pPr>
              <w:pStyle w:val="Normal6a"/>
            </w:pPr>
            <w:r>
              <w:t>7)</w:t>
            </w:r>
            <w:r>
              <w:tab/>
            </w:r>
            <w:r>
              <w:t xml:space="preserve">„poskytovatelem služeb finančních informací“ uživatel údajů </w:t>
            </w:r>
            <w:r>
              <w:rPr>
                <w:b/>
                <w:i/>
              </w:rPr>
              <w:t>nebo držitel údajů</w:t>
            </w:r>
            <w:r>
              <w:t>, který je podle článku 14 oprávněn přistupovat k zákaznickým údajům uvedeným v čl. 2 odst. 1 za účelem poskytování služeb finančních informací;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326</w:t>
      </w:r>
      <w:r>
        <w:rPr>
          <w:rStyle w:val="HideTWBExt"/>
        </w:rPr>
        <w:t>&lt;/NumAm&gt;</w:t>
      </w:r>
    </w:p>
    <w:p>
      <w:pPr>
        <w:pStyle w:val="NormalBold"/>
      </w:pPr>
      <w:r>
        <w:rPr>
          <w:rStyle w:val="HideTWBExt"/>
        </w:rPr>
        <w:t>&lt;RepeatBlock-By&gt;</w:t>
      </w:r>
      <w:r>
        <w:rPr>
          <w:rStyle w:val="HideTWBExt"/>
        </w:rPr>
        <w:t>&lt;Members&gt;</w:t>
      </w:r>
      <w:r>
        <w:t>Isabel Benjumea Benjumea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7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„službami finančních informací“ </w:t>
            </w:r>
            <w:r>
              <w:t xml:space="preserve"> </w:t>
            </w:r>
            <w:r>
              <w:rPr>
                <w:b/>
                <w:i/>
              </w:rPr>
              <w:t>služby zaměřené na poskytování informací zákazníkům o finančních produktech uvedených v čl. 2 odst. 1 tohoto nařízení;</w:t>
            </w:r>
            <w:r>
              <w:t xml:space="preserve"> </w:t>
            </w:r>
            <w:r>
              <w:rPr>
                <w:b/>
                <w:i/>
              </w:rPr>
              <w:t>služby finančních informací nezahrnují poskytování služeb regulovaných podle stávajících finančních právních předpisů specifických pro daný sektor a vyhrazených pro regulované finanční instituce;</w:t>
            </w:r>
            <w:r>
              <w:t xml:space="preserve"> </w:t>
            </w:r>
            <w:r>
              <w:rPr>
                <w:b/>
                <w:i/>
              </w:rPr>
              <w:t>služby finančních informací nezahrnují finanční poradenství nebo služby distribuce pojištění regulované směrnicí (EU) 2016/97 nebo směrnicí 2014/65/EU;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327</w:t>
      </w:r>
      <w:r>
        <w:rPr>
          <w:rStyle w:val="HideTWBExt"/>
        </w:rPr>
        <w:t>&lt;/NumAm&gt;</w:t>
      </w:r>
    </w:p>
    <w:p>
      <w:pPr>
        <w:pStyle w:val="NormalBold"/>
      </w:pPr>
      <w:r>
        <w:rPr>
          <w:rStyle w:val="HideTWBExt"/>
        </w:rPr>
        <w:t>&lt;RepeatBlock-By&gt;</w:t>
      </w:r>
      <w:r>
        <w:rPr>
          <w:rStyle w:val="HideTWBExt"/>
        </w:rPr>
        <w:t>&lt;Members&gt;</w:t>
      </w:r>
      <w:r>
        <w:t>Eero Heinäluoma, Jonás Fernández, Costas Mavrides, Alfred Sant, Aurore Lalucq</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7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„službou finančních informací“ online služba poskytující konsolidované informace o jednom nebo více produktech finančních služeb uvedených v čl. 2 odst. 1 tohoto nařízení s cílem poskytnout zákazníkovi v kterémkoli okamžiku okamžitě celkový přehled o jeho finanční situaci;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328</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7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„službou finančních informací“ online služba poskytující konsolidované informace o jednom nebo více produktech finančních služeb uvedených v čl. 2 odst. 1 tohoto nařízení s cílem poskytnout zákazníkovi v kterémkoli okamžiku okamžitě celkový přehled o jeho finanční situaci;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329</w:t>
      </w:r>
      <w:r>
        <w:rPr>
          <w:rStyle w:val="HideTWBExt"/>
        </w:rPr>
        <w:t>&lt;/NumAm&gt;</w:t>
      </w:r>
    </w:p>
    <w:p>
      <w:pPr>
        <w:pStyle w:val="NormalBold"/>
      </w:pPr>
      <w:r>
        <w:rPr>
          <w:rStyle w:val="HideTWBExt"/>
        </w:rPr>
        <w:t>&lt;RepeatBlock-By&gt;</w:t>
      </w:r>
      <w:r>
        <w:rPr>
          <w:rStyle w:val="HideTWBExt"/>
        </w:rPr>
        <w:t>&lt;Members&gt;</w:t>
      </w:r>
      <w:r>
        <w:t>Laurence Sailliet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7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„službami finančních informací“ online služba poskytující konsolidované informace o jedné nebo více kategoriích finančních zákaznických údajů uvedených v čl. 2 odst.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330</w:t>
      </w:r>
      <w:r>
        <w:rPr>
          <w:rStyle w:val="HideTWBExt"/>
        </w:rPr>
        <w:t>&lt;/NumAm&gt;</w:t>
      </w:r>
    </w:p>
    <w:p>
      <w:pPr>
        <w:pStyle w:val="NormalBold"/>
      </w:pPr>
      <w:r>
        <w:rPr>
          <w:rStyle w:val="HideTWBExt"/>
        </w:rPr>
        <w:t>&lt;RepeatBlock-By&gt;</w:t>
      </w:r>
      <w:r>
        <w:rPr>
          <w:rStyle w:val="HideTWBExt"/>
        </w:rPr>
        <w:t>&lt;Members&gt;</w:t>
      </w:r>
      <w:r>
        <w:t>Lídia Pereira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9)</w:t>
            </w:r>
            <w:r>
              <w:tab/>
            </w:r>
            <w:r>
              <w:rPr>
                <w:b/>
                <w:i/>
              </w:rPr>
              <w:t>„investičním účtem“ jakýkoli rejstřík spravovaný investičním podnikem, úvěrovou institucí nebo pojišťovacím makléřem, který uvádí údaje o aktuálním stavu finančních nástrojů nebo pojistných produktů s investiční složkou jejich klienta, včetně minulých transakcí a dalších údajů týkajících se událostí v životním cyklu daného nástroje;</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Definice není nutná, protože neexistuje žádný článek, který by na ni odkazoval.</w:t>
      </w:r>
    </w:p>
    <w:p>
      <w:r>
        <w:rPr>
          <w:rStyle w:val="HideTWBExt"/>
        </w:rPr>
        <w:t>&lt;/Amend&gt;</w:t>
      </w:r>
    </w:p>
    <w:p>
      <w:pPr>
        <w:pStyle w:val="AmNumberTabs"/>
      </w:pPr>
      <w:r>
        <w:rPr>
          <w:rStyle w:val="HideTWBExt"/>
        </w:rPr>
        <w:t>&lt;Amend&gt;</w:t>
      </w:r>
      <w:r>
        <w:t>Pozměňovací návrh</w:t>
      </w:r>
      <w:r>
        <w:tab/>
      </w:r>
      <w:r>
        <w:tab/>
      </w:r>
      <w:r>
        <w:rPr>
          <w:rStyle w:val="HideTWBExt"/>
        </w:rPr>
        <w:t>&lt;NumAm&gt;</w:t>
      </w:r>
      <w:r>
        <w:t>331</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9)</w:t>
            </w:r>
            <w:r>
              <w:tab/>
            </w:r>
            <w:r>
              <w:rPr>
                <w:b/>
                <w:i/>
              </w:rPr>
              <w:t>„investičním účtem“ jakýkoli rejstřík spravovaný investičním podnikem, úvěrovou institucí nebo pojišťovacím makléřem, který uvádí údaje o aktuálním stavu finančních nástrojů nebo pojistných produktů s investiční složkou jejich klienta, včetně minulých transakcí a dalších údajů týkajících se událostí v životním cyklu daného nástroje;</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332</w:t>
      </w:r>
      <w:r>
        <w:rPr>
          <w:rStyle w:val="HideTWBExt"/>
        </w:rPr>
        <w:t>&lt;/NumAm&gt;</w:t>
      </w:r>
    </w:p>
    <w:p>
      <w:pPr>
        <w:pStyle w:val="NormalBold"/>
      </w:pPr>
      <w:r>
        <w:rPr>
          <w:rStyle w:val="HideTWBExt"/>
        </w:rPr>
        <w:t>&lt;RepeatBlock-By&gt;</w:t>
      </w:r>
      <w:r>
        <w:rPr>
          <w:rStyle w:val="HideTWBExt"/>
        </w:rPr>
        <w:t>&lt;Members&gt;</w:t>
      </w:r>
      <w:r>
        <w:t>Ondřej Kovařík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 xml:space="preserve">„investičním účtem“ jakýkoli rejstřík spravovaný investičním podnikem, úvěrovou institucí nebo pojišťovacím makléřem, který uvádí údaje o aktuálním stavu finančních nástrojů nebo pojistných produktů s investiční složkou jejich klienta, včetně minulých transakcí </w:t>
            </w:r>
            <w:r>
              <w:rPr>
                <w:b/>
                <w:i/>
              </w:rPr>
              <w:t>a dalších údajů týkajících se událostí v životním cyklu daného nástroje</w:t>
            </w:r>
            <w:r>
              <w:t>;</w:t>
            </w:r>
          </w:p>
        </w:tc>
        <w:tc>
          <w:tcPr>
            <w:tcW w:w="4876" w:type="dxa"/>
          </w:tcPr>
          <w:p>
            <w:pPr>
              <w:pStyle w:val="Normal6a"/>
            </w:pPr>
            <w:r>
              <w:t>9)</w:t>
            </w:r>
            <w:r>
              <w:tab/>
            </w:r>
            <w:r>
              <w:t>„investičním účtem“ jakýkoli rejstřík spravovaný investičním podnikem, úvěrovou institucí nebo pojišťovacím makléřem, který uvádí údaje o aktuálním stavu finančních nástrojů nebo pojistných produktů s investiční složkou jejich klienta, včetně minulých transakcí;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333</w:t>
      </w:r>
      <w:r>
        <w:rPr>
          <w:rStyle w:val="HideTWBExt"/>
        </w:rPr>
        <w:t>&lt;/NumAm&gt;</w:t>
      </w:r>
    </w:p>
    <w:p>
      <w:pPr>
        <w:pStyle w:val="NormalBold"/>
      </w:pPr>
      <w:r>
        <w:rPr>
          <w:rStyle w:val="HideTWBExt"/>
        </w:rPr>
        <w:t>&lt;RepeatBlock-By&gt;</w:t>
      </w:r>
      <w:r>
        <w:rPr>
          <w:rStyle w:val="HideTWBExt"/>
        </w:rPr>
        <w:t>&lt;Members&gt;</w:t>
      </w:r>
      <w:r>
        <w:t>Isabel Benjumea Benjumea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 xml:space="preserve">„investičním účtem“ jakýkoli rejstřík spravovaný investičním podnikem, úvěrovou institucí nebo pojišťovacím </w:t>
            </w:r>
            <w:r>
              <w:rPr>
                <w:b/>
                <w:i/>
              </w:rPr>
              <w:t>makléřem</w:t>
            </w:r>
            <w:r>
              <w:t>, který uvádí údaje o aktuálním stavu finančních nástrojů nebo pojistných produktů s investiční složkou jejich klienta, včetně minulých transakcí a dalších údajů týkajících se událostí v životním cyklu daného nástroje;</w:t>
            </w:r>
          </w:p>
        </w:tc>
        <w:tc>
          <w:tcPr>
            <w:tcW w:w="4876" w:type="dxa"/>
          </w:tcPr>
          <w:p>
            <w:pPr>
              <w:pStyle w:val="Normal6a"/>
            </w:pPr>
            <w:r>
              <w:t>9)</w:t>
            </w:r>
            <w:r>
              <w:tab/>
            </w:r>
            <w:r>
              <w:t xml:space="preserve">„investičním účtem“ jakýkoli rejstřík spravovaný investičním podnikem, úvěrovou institucí nebo pojišťovacím </w:t>
            </w:r>
            <w:r>
              <w:rPr>
                <w:b/>
                <w:i/>
              </w:rPr>
              <w:t>zprostředkovatelem</w:t>
            </w:r>
            <w:r>
              <w:t>, který uvádí údaje o aktuálním stavu finančních nástrojů nebo pojistných produktů s investiční složkou jejich klienta, včetně minulých transakcí a dalších údajů týkajících se událostí v životním cyklu daného nástroje;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334</w:t>
      </w:r>
      <w:r>
        <w:rPr>
          <w:rStyle w:val="HideTWBExt"/>
        </w:rPr>
        <w:t>&lt;/NumAm&gt;</w:t>
      </w:r>
    </w:p>
    <w:p>
      <w:pPr>
        <w:pStyle w:val="NormalBold"/>
      </w:pPr>
      <w:r>
        <w:rPr>
          <w:rStyle w:val="HideTWBExt"/>
        </w:rPr>
        <w:t>&lt;RepeatBlock-By&gt;</w:t>
      </w:r>
      <w:r>
        <w:rPr>
          <w:rStyle w:val="HideTWBExt"/>
        </w:rPr>
        <w:t>&lt;Members&gt;</w:t>
      </w:r>
      <w:r>
        <w:t>Ondřej Kovařík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19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19)</w:t>
            </w:r>
            <w:r>
              <w:tab/>
            </w:r>
            <w:r>
              <w:rPr>
                <w:b/>
                <w:i/>
              </w:rPr>
              <w:t>„institucí elektronických peněz vyňatou podle směrnice 2009/110/ES“ instituce elektronických peněz, na niž se podle čl. 9 odst. 1 směrnice 2009/110/ES vztahuje výjimka;</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335</w:t>
      </w:r>
      <w:r>
        <w:rPr>
          <w:rStyle w:val="HideTWBExt"/>
        </w:rPr>
        <w:t>&lt;/NumAm&gt;</w:t>
      </w:r>
    </w:p>
    <w:p>
      <w:pPr>
        <w:pStyle w:val="NormalBold"/>
      </w:pPr>
      <w:r>
        <w:rPr>
          <w:rStyle w:val="HideTWBExt"/>
        </w:rPr>
        <w:t>&lt;RepeatBlock-By&gt;</w:t>
      </w:r>
      <w:r>
        <w:rPr>
          <w:rStyle w:val="HideTWBExt"/>
        </w:rPr>
        <w:t>&lt;Members&gt;</w:t>
      </w:r>
      <w:r>
        <w:t>Markus Ferber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27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27)</w:t>
            </w:r>
            <w:r>
              <w:tab/>
            </w:r>
            <w:r>
              <w:rPr>
                <w:b/>
                <w:i/>
              </w:rPr>
              <w:t>„ratingovou agenturou“ ratingová agentura ve smyslu čl. 3 odst. 1 písm. b) nařízení Evropského parlamentu a Rady (ES) č. 1060/2009</w:t>
            </w:r>
            <w:r>
              <w:rPr>
                <w:b/>
                <w:i/>
                <w:vertAlign w:val="superscript"/>
              </w:rPr>
              <w:t>41</w:t>
            </w:r>
            <w:r>
              <w:rPr>
                <w:b/>
                <w:i/>
              </w:rPr>
              <w:t>;</w:t>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41</w:t>
            </w:r>
            <w:r>
              <w:t xml:space="preserve"> </w:t>
            </w:r>
            <w:r>
              <w:rPr>
                <w:b/>
                <w:i/>
              </w:rPr>
              <w:t>Nařízení Evropského parlamentu a Rady (ES) č. 1060/2009 ze dne 16. září 2009 o ratingových agenturách (Úř. věst. L 302, 17.11.2009, s. 1).</w:t>
            </w:r>
          </w:p>
        </w:tc>
        <w:tc>
          <w:tcPr>
            <w:tcW w:w="4876" w:type="dxa"/>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Sdílení údajů má v případě ratingových agentur omezené využití.</w:t>
      </w:r>
      <w:r>
        <w:t xml:space="preserve"> </w:t>
      </w:r>
      <w:r>
        <w:t>Údaje používané ratingovými agenturami jsou většinou údaje přímo poskytnuté klientem.</w:t>
      </w:r>
      <w:r>
        <w:t xml:space="preserve"> </w:t>
      </w:r>
      <w:r>
        <w:t>Většina ostatních údajů je obchodně citlivé povahy a neměla by být sdílena s konkurenty.</w:t>
      </w:r>
    </w:p>
    <w:p>
      <w:r>
        <w:rPr>
          <w:rStyle w:val="HideTWBExt"/>
        </w:rPr>
        <w:t>&lt;/Amend&gt;</w:t>
      </w:r>
    </w:p>
    <w:p>
      <w:pPr>
        <w:pStyle w:val="AmNumberTabs"/>
      </w:pPr>
      <w:r>
        <w:rPr>
          <w:rStyle w:val="HideTWBExt"/>
        </w:rPr>
        <w:t>&lt;Amend&gt;</w:t>
      </w:r>
      <w:r>
        <w:t>Pozměňovací návrh</w:t>
      </w:r>
      <w:r>
        <w:tab/>
      </w:r>
      <w:r>
        <w:tab/>
      </w:r>
      <w:r>
        <w:rPr>
          <w:rStyle w:val="HideTWBExt"/>
        </w:rPr>
        <w:t>&lt;NumAm&gt;</w:t>
      </w:r>
      <w:r>
        <w:t>336</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27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27)</w:t>
            </w:r>
            <w:r>
              <w:tab/>
            </w:r>
            <w:r>
              <w:rPr>
                <w:b/>
                <w:i/>
              </w:rPr>
              <w:t>„ratingovou agenturou“ ratingová agentura ve smyslu čl. 3 odst. 1 písm. b) nařízení Evropského parlamentu a Rady (ES) č. 1060/2009</w:t>
            </w:r>
            <w:r>
              <w:rPr>
                <w:b/>
                <w:i/>
                <w:vertAlign w:val="superscript"/>
              </w:rPr>
              <w:t>41</w:t>
            </w:r>
            <w:r>
              <w:rPr>
                <w:b/>
                <w:i/>
              </w:rPr>
              <w:t>;</w:t>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41</w:t>
            </w:r>
            <w:r>
              <w:t xml:space="preserve"> </w:t>
            </w:r>
            <w:r>
              <w:rPr>
                <w:b/>
                <w:i/>
              </w:rPr>
              <w:t>Nařízení Evropského parlamentu a Rady (ES) č. 1060/2009 ze dne 16. září 2009 o ratingových agenturách (Úř. věst. L 302, 17.11.2009, s. 1).</w:t>
            </w:r>
          </w:p>
        </w:tc>
        <w:tc>
          <w:tcPr>
            <w:tcW w:w="4876" w:type="dxa"/>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337</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29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29)</w:t>
            </w:r>
            <w:r>
              <w:tab/>
            </w:r>
            <w:r>
              <w:rPr>
                <w:b/>
                <w:i/>
              </w:rPr>
              <w:t>„právním zástupcem“ fyzická osoba, která má bydliště v Unii, nebo právnická osoba, která má sídlo v Unii, a která na základě výslovného pověření poskytovatelem služeb finančních informací usazeným ve třetí zemi jedná jeho jménem s orgány, klienty, subjekty a protistranami poskytovatele služeb finančních informací v Unii, pokud jde o povinnosti poskytovatele služeb finančních informací vyplývající z tohoto nařízení.</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338</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29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29)</w:t>
            </w:r>
            <w:r>
              <w:tab/>
            </w:r>
            <w:r>
              <w:rPr>
                <w:b/>
                <w:i/>
              </w:rPr>
              <w:t>„právním zástupcem“ fyzická osoba, která má bydliště v Unii, nebo právnická osoba, která má sídlo v Unii, a která na základě výslovného pověření poskytovatelem služeb finančních informací usazeným ve třetí zemi jedná jeho jménem s orgány, klienty, subjekty a protistranami poskytovatele služeb finančních informací v Unii, pokud jde o povinnosti poskytovatele služeb finančních informací vyplývající z tohoto nařízení.</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339</w:t>
      </w:r>
      <w:r>
        <w:rPr>
          <w:rStyle w:val="HideTWBExt"/>
        </w:rPr>
        <w:t>&lt;/NumAm&gt;</w:t>
      </w:r>
    </w:p>
    <w:p>
      <w:pPr>
        <w:pStyle w:val="NormalBold"/>
      </w:pPr>
      <w:r>
        <w:rPr>
          <w:rStyle w:val="HideTWBExt"/>
        </w:rPr>
        <w:t>&lt;RepeatBlock-By&gt;</w:t>
      </w:r>
      <w:r>
        <w:rPr>
          <w:rStyle w:val="HideTWBExt"/>
        </w:rPr>
        <w:t>&lt;Members&gt;</w:t>
      </w:r>
      <w:r>
        <w:t>Stéphanie Yon-Courtin, Gilles Boyer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29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29)</w:t>
            </w:r>
            <w:r>
              <w:tab/>
            </w:r>
            <w:r>
              <w:rPr>
                <w:b/>
                <w:i/>
              </w:rPr>
              <w:t>„právním zástupcem“ fyzická osoba, která má bydliště v Unii, nebo právnická osoba, která má sídlo v Unii, a která na základě výslovného pověření poskytovatelem služeb finančních informací usazeným ve třetí zemi jedná jeho jménem s orgány, klienty, subjekty a protistranami poskytovatele služeb finančních informací v Unii, pokud jde o povinnosti poskytovatele služeb finančních informací vyplývající z tohoto nařízení.</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 souladu s vypuštěním článku 13.</w:t>
      </w:r>
    </w:p>
    <w:p>
      <w:r>
        <w:rPr>
          <w:rStyle w:val="HideTWBExt"/>
        </w:rPr>
        <w:t>&lt;/Amend&gt;</w:t>
      </w:r>
    </w:p>
    <w:p>
      <w:pPr>
        <w:pStyle w:val="AmNumberTabs"/>
      </w:pPr>
      <w:r>
        <w:rPr>
          <w:rStyle w:val="HideTWBExt"/>
        </w:rPr>
        <w:t>&lt;Amend&gt;</w:t>
      </w:r>
      <w:r>
        <w:t>Pozměňovací návrh</w:t>
      </w:r>
      <w:r>
        <w:tab/>
      </w:r>
      <w:r>
        <w:tab/>
      </w:r>
      <w:r>
        <w:rPr>
          <w:rStyle w:val="HideTWBExt"/>
        </w:rPr>
        <w:t>&lt;NumAm&gt;</w:t>
      </w:r>
      <w:r>
        <w:t>340</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29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29a)</w:t>
            </w:r>
            <w:r>
              <w:tab/>
            </w:r>
            <w:r>
              <w:rPr>
                <w:b/>
                <w:i/>
              </w:rPr>
              <w:t>„povolením“ jasné a jednoznačné oprávnění uživatele dat k přístupu k zákaznickým údajům poskytnuté samotnými zákazníky prostřednictvím ovládacího panelu povolení, na jehož základě je držitel dat povinen zpřístupnit požadovaná data pro stanovený účel.</w:t>
            </w:r>
            <w:r>
              <w:t xml:space="preserve"> </w:t>
            </w:r>
            <w:r>
              <w:rPr>
                <w:b/>
                <w:i/>
              </w:rPr>
              <w:t>Pro účely tohoto nařízení se na povolení vztahují rovněž kritéria čl. 4 odst. 11 a podmínky článku 7 nařízení (EU) č. 679/2016;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341</w:t>
      </w:r>
      <w:r>
        <w:rPr>
          <w:rStyle w:val="HideTWBExt"/>
        </w:rPr>
        <w:t>&lt;/NumAm&gt;</w:t>
      </w:r>
    </w:p>
    <w:p>
      <w:pPr>
        <w:pStyle w:val="NormalBold"/>
      </w:pPr>
      <w:r>
        <w:rPr>
          <w:rStyle w:val="HideTWBExt"/>
        </w:rPr>
        <w:t>&lt;RepeatBlock-By&gt;</w:t>
      </w:r>
      <w:r>
        <w:rPr>
          <w:rStyle w:val="HideTWBExt"/>
        </w:rPr>
        <w:t>&lt;Members&gt;</w:t>
      </w:r>
      <w:r>
        <w:t>Ondřej Kovařík, Martin Hlaváček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29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29a)</w:t>
            </w:r>
            <w:r>
              <w:tab/>
            </w:r>
            <w:r>
              <w:rPr>
                <w:b/>
                <w:i/>
              </w:rPr>
              <w:t>„malými a středními podniky“ malý a střední podniky podle definice v čl. 4 odst. 1 bodu 13 směrnice 2014/65/EU;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342</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Na žádost zákazníka podanou </w:t>
            </w:r>
            <w:r>
              <w:rPr>
                <w:b/>
                <w:i/>
              </w:rPr>
              <w:t>elektronickými prostředky</w:t>
            </w:r>
            <w:r>
              <w:t xml:space="preserve"> zpřístupní držitel údajů zákazníkovi bez zbytečného odkladu, bezplatně, průběžně a </w:t>
            </w:r>
            <w:r>
              <w:rPr>
                <w:b/>
                <w:i/>
              </w:rPr>
              <w:t>v reálném čase</w:t>
            </w:r>
            <w:r>
              <w:t xml:space="preserve"> údaje uvedené v čl. 2 odst. 1.</w:t>
            </w:r>
          </w:p>
        </w:tc>
        <w:tc>
          <w:tcPr>
            <w:tcW w:w="4876" w:type="dxa"/>
          </w:tcPr>
          <w:p>
            <w:pPr>
              <w:pStyle w:val="Normal6a"/>
            </w:pPr>
            <w:r>
              <w:t xml:space="preserve">Na žádost zákazníka podanou </w:t>
            </w:r>
            <w:r>
              <w:rPr>
                <w:b/>
                <w:i/>
              </w:rPr>
              <w:t>prostřednictvím vyhrazeného zákaznického rozhraní</w:t>
            </w:r>
            <w:r>
              <w:t xml:space="preserve"> zpřístupní držitel údajů zákazníkovi bez zbytečného odkladu, bezplatně, průběžně a </w:t>
            </w:r>
            <w:r>
              <w:rPr>
                <w:b/>
                <w:i/>
              </w:rPr>
              <w:t>ve stavu, v jakém je držitel údajů uchovává v době, kdy zákazník požádá o přístup,</w:t>
            </w:r>
            <w:r>
              <w:t xml:space="preserve"> údaje uvedené v čl. 2 odst.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343</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Na žádost zákazníka </w:t>
            </w:r>
            <w:r>
              <w:rPr>
                <w:b/>
                <w:i/>
              </w:rPr>
              <w:t>podanou elektronickými prostředky</w:t>
            </w:r>
            <w:r>
              <w:t xml:space="preserve"> zpřístupní držitel údajů zákazníkovi bez zbytečného odkladu, bezplatně, průběžně a v reálném čase údaje uvedené v čl. 2 odst. 1.</w:t>
            </w:r>
          </w:p>
        </w:tc>
        <w:tc>
          <w:tcPr>
            <w:tcW w:w="4876" w:type="dxa"/>
          </w:tcPr>
          <w:p>
            <w:pPr>
              <w:pStyle w:val="Normal6a"/>
            </w:pPr>
            <w:r>
              <w:t xml:space="preserve">Na žádost zákazníka </w:t>
            </w:r>
            <w:r>
              <w:rPr>
                <w:b/>
                <w:i/>
              </w:rPr>
              <w:t>autorizovanou silným mechanismem pro autentizaci zákazníka</w:t>
            </w:r>
            <w:r>
              <w:t xml:space="preserve"> zpřístupní držitel údajů zákazníkovi bez zbytečného odkladu, bezplatně, </w:t>
            </w:r>
            <w:r>
              <w:rPr>
                <w:b/>
                <w:i/>
              </w:rPr>
              <w:t>a je-li to relevantní a technicky proveditelné,</w:t>
            </w:r>
            <w:r>
              <w:t xml:space="preserve"> průběžně a v reálném čase údaje uvedené v čl. 2 odst. 1 </w:t>
            </w:r>
            <w:r>
              <w:rPr>
                <w:b/>
                <w:i/>
              </w:rPr>
              <w:t>prostřednictvím online zákaznického rozhraní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344</w:t>
      </w:r>
      <w:r>
        <w:rPr>
          <w:rStyle w:val="HideTWBExt"/>
        </w:rPr>
        <w:t>&lt;/NumAm&gt;</w:t>
      </w:r>
    </w:p>
    <w:p>
      <w:pPr>
        <w:pStyle w:val="NormalBold"/>
      </w:pPr>
      <w:r>
        <w:rPr>
          <w:rStyle w:val="HideTWBExt"/>
        </w:rPr>
        <w:t>&lt;RepeatBlock-By&gt;</w:t>
      </w:r>
      <w:r>
        <w:rPr>
          <w:rStyle w:val="HideTWBExt"/>
        </w:rPr>
        <w:t>&lt;Members&gt;</w:t>
      </w:r>
      <w:r>
        <w:t>Laurence Sailliet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Na žádost zákazníka podanou elektronickými prostředky zpřístupní držitel údajů zákazníkovi bez zbytečného odkladu, bezplatně, průběžně a v reálném čase údaje uvedené v čl. 2 odst. 1.</w:t>
            </w:r>
          </w:p>
        </w:tc>
        <w:tc>
          <w:tcPr>
            <w:tcW w:w="4876" w:type="dxa"/>
          </w:tcPr>
          <w:p>
            <w:pPr>
              <w:pStyle w:val="Normal6a"/>
            </w:pPr>
            <w:r>
              <w:t>Na žádost zákazníka podanou elektronickými prostředky zpřístupní držitel údajů zákazníkovi bez zbytečného odkladu, bezplatně, průběžně a v reálném čase údaje uvedené v čl. 2 odst. 1</w:t>
            </w:r>
            <w:r>
              <w:rPr>
                <w:b/>
                <w:i/>
              </w:rPr>
              <w:t>, je-li to za daných okolností náležité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345</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Na žádost zákazníka podanou elektronickými prostředky zpřístupní držitel údajů zákazníkovi bez zbytečného odkladu, bezplatně, průběžně a v reálném čase údaje uvedené v čl. 2 odst. 1.</w:t>
            </w:r>
          </w:p>
        </w:tc>
        <w:tc>
          <w:tcPr>
            <w:tcW w:w="4876" w:type="dxa"/>
          </w:tcPr>
          <w:p>
            <w:pPr>
              <w:pStyle w:val="Normal6a"/>
            </w:pPr>
            <w:r>
              <w:t xml:space="preserve">Na žádost zákazníka podanou elektronickými prostředky </w:t>
            </w:r>
            <w:r>
              <w:rPr>
                <w:b/>
                <w:i/>
              </w:rPr>
              <w:t>nebo v analogovém formátu</w:t>
            </w:r>
            <w:r>
              <w:t xml:space="preserve"> zpřístupní držitel údajů zákazníkovi bez zbytečného odkladu, bezplatně, průběžně a v reálném čase údaje uvedené v čl. 2 odst.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346</w:t>
      </w:r>
      <w:r>
        <w:rPr>
          <w:rStyle w:val="HideTWBExt"/>
        </w:rPr>
        <w:t>&lt;/NumAm&gt;</w:t>
      </w:r>
    </w:p>
    <w:p>
      <w:pPr>
        <w:pStyle w:val="NormalBold"/>
      </w:pPr>
      <w:r>
        <w:rPr>
          <w:rStyle w:val="HideTWBExt"/>
        </w:rPr>
        <w:t>&lt;RepeatBlock-By&gt;</w:t>
      </w:r>
      <w:r>
        <w:rPr>
          <w:rStyle w:val="HideTWBExt"/>
        </w:rPr>
        <w:t>&lt;Members&gt;</w:t>
      </w:r>
      <w:r>
        <w:t>Ondřej Kovařík, Martin Hlaváček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Na žádost zákazníka podanou elektronickými prostředky zpřístupní držitel údajů zákazníkovi bez zbytečného odkladu, bezplatně, průběžně a </w:t>
            </w:r>
            <w:r>
              <w:rPr>
                <w:b/>
                <w:i/>
              </w:rPr>
              <w:t>v reálném čase</w:t>
            </w:r>
            <w:r>
              <w:t xml:space="preserve"> údaje uvedené v čl. 2 odst. 1.</w:t>
            </w:r>
          </w:p>
        </w:tc>
        <w:tc>
          <w:tcPr>
            <w:tcW w:w="4876" w:type="dxa"/>
          </w:tcPr>
          <w:p>
            <w:pPr>
              <w:pStyle w:val="Normal6a"/>
            </w:pPr>
            <w:r>
              <w:t xml:space="preserve">Na žádost zákazníka podanou elektronickými prostředky zpřístupní držitel údajů zákazníkovi bez zbytečného odkladu, bezplatně, průběžně a </w:t>
            </w:r>
            <w:r>
              <w:rPr>
                <w:b/>
                <w:i/>
              </w:rPr>
              <w:t>včas</w:t>
            </w:r>
            <w:r>
              <w:t xml:space="preserve"> údaje uvedené v čl. 2 odst.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347</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Na žádost zákazníka podanou </w:t>
            </w:r>
            <w:r>
              <w:rPr>
                <w:b/>
                <w:i/>
              </w:rPr>
              <w:t>elektronickými prostředky</w:t>
            </w:r>
            <w:r>
              <w:t xml:space="preserve"> zpřístupní držitel údajů uživateli údajů zákaznické údaje uvedené v čl. 2 odst. 1 pro účely, pro které zákazník udělil uživateli údajů povolení. Zákaznické údaje jsou uživateli údajů zpřístupněny bez zbytečného odkladu, nepřetržitě a </w:t>
            </w:r>
            <w:r>
              <w:rPr>
                <w:b/>
                <w:i/>
              </w:rPr>
              <w:t>v reálném čase</w:t>
            </w:r>
            <w:r>
              <w:t>.</w:t>
            </w:r>
          </w:p>
        </w:tc>
        <w:tc>
          <w:tcPr>
            <w:tcW w:w="4876" w:type="dxa"/>
          </w:tcPr>
          <w:p>
            <w:pPr>
              <w:pStyle w:val="Normal6a"/>
            </w:pPr>
            <w:r>
              <w:t>1.</w:t>
            </w:r>
            <w:r>
              <w:tab/>
            </w:r>
            <w:r>
              <w:t xml:space="preserve">Na žádost zákazníka podanou </w:t>
            </w:r>
            <w:r>
              <w:rPr>
                <w:b/>
                <w:i/>
              </w:rPr>
              <w:t>prostřednictvím vyhrazeného zákaznického rozhraní</w:t>
            </w:r>
            <w:r>
              <w:t xml:space="preserve"> zpřístupní držitel údajů uživateli údajů zákaznické údaje uvedené v čl. 2 odst. 1 </w:t>
            </w:r>
            <w:r>
              <w:rPr>
                <w:b/>
                <w:i/>
              </w:rPr>
              <w:t>pouze</w:t>
            </w:r>
            <w:r>
              <w:t xml:space="preserve"> pro účely, pro které zákazník udělil uživateli údajů povolení. Zákaznické údaje jsou uživateli údajů zpřístupněny bez zbytečného odkladu, nepřetržitě a </w:t>
            </w:r>
            <w:r>
              <w:rPr>
                <w:b/>
                <w:i/>
              </w:rPr>
              <w:t>ve stavu, v jakém je držitel údajů uchovává v době, kdy uživatel údajů požádá o přístup.</w:t>
            </w:r>
            <w:r>
              <w:t xml:space="preserve"> </w:t>
            </w:r>
            <w:r>
              <w:rPr>
                <w:b/>
                <w:i/>
              </w:rPr>
              <w:t>Pokud systém neexistuje, může ke sdílení údajů dojít na základě smluvního ujednání mezi držitelem údajů a uživatelem údajů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348</w:t>
      </w:r>
      <w:r>
        <w:rPr>
          <w:rStyle w:val="HideTWBExt"/>
        </w:rPr>
        <w:t>&lt;/NumAm&gt;</w:t>
      </w:r>
    </w:p>
    <w:p>
      <w:pPr>
        <w:pStyle w:val="NormalBold"/>
      </w:pPr>
      <w:r>
        <w:rPr>
          <w:rStyle w:val="HideTWBExt"/>
        </w:rPr>
        <w:t>&lt;RepeatBlock-By&gt;</w:t>
      </w:r>
      <w:r>
        <w:rPr>
          <w:rStyle w:val="HideTWBExt"/>
        </w:rPr>
        <w:t>&lt;Members&gt;</w:t>
      </w:r>
      <w:r>
        <w:t>Stéphanie Yon-Courtin, Gilles Boyer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Na žádost zákazníka podanou elektronickými prostředky zpřístupní držitel údajů uživateli údajů zákaznické údaje uvedené v čl. 2 odst. 1 pro účely, pro které zákazník udělil uživateli údajů povolení. Zákaznické údaje jsou uživateli údajů zpřístupněny bez zbytečného odkladu, nepřetržitě a v reálném čase.</w:t>
            </w:r>
          </w:p>
        </w:tc>
        <w:tc>
          <w:tcPr>
            <w:tcW w:w="4876" w:type="dxa"/>
          </w:tcPr>
          <w:p>
            <w:pPr>
              <w:pStyle w:val="Normal6a"/>
            </w:pPr>
            <w:r>
              <w:t>1.</w:t>
            </w:r>
            <w:r>
              <w:tab/>
            </w:r>
            <w:r>
              <w:t xml:space="preserve">Na </w:t>
            </w:r>
            <w:r>
              <w:rPr>
                <w:b/>
                <w:i/>
              </w:rPr>
              <w:t>výslovnou</w:t>
            </w:r>
            <w:r>
              <w:t xml:space="preserve"> žádost zákazníka podanou elektronickými prostředky zpřístupní držitel údajů uživateli údajů zákaznické údaje uvedené v čl. 2 odst. 1 pro účely, pro které zákazník udělil uživateli údajů povolení</w:t>
            </w:r>
            <w:r>
              <w:rPr>
                <w:b/>
                <w:i/>
              </w:rPr>
              <w:t>.</w:t>
            </w:r>
            <w:r>
              <w:t xml:space="preserve"> </w:t>
            </w:r>
            <w:r>
              <w:rPr>
                <w:b/>
                <w:i/>
              </w:rPr>
              <w:t>Každá žádost zákazníka musí výslovně uvádět konkrétní službu, pro jejíž účel zákazník souhlasí s použitím svých údajů uživatelem údajů</w:t>
            </w:r>
            <w:r>
              <w:t>. Zákaznické údaje jsou uživateli údajů zpřístupněny bez zbytečného odkladu, nepřetržitě a v reálném čase.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Souhlas zákazníka je jádrem návrhu Komise.</w:t>
      </w:r>
      <w:r>
        <w:t xml:space="preserve"> </w:t>
      </w:r>
      <w:r>
        <w:t>V tomto ohledu by měla být posílena ustanovení upravující tento souhlas.</w:t>
      </w:r>
      <w:r>
        <w:t xml:space="preserve"> </w:t>
      </w:r>
      <w:r>
        <w:t>Pokud klient udělí svolení ke sdílení svých údajů, nemělo by to být tak jednoduché jako zaškrtnutí políčka.</w:t>
      </w:r>
      <w:r>
        <w:t xml:space="preserve"> </w:t>
      </w:r>
      <w:r>
        <w:t>Zákazníci musí pochopit, jaké údaje sdílejí a kvůli jaké službě.</w:t>
      </w:r>
    </w:p>
    <w:p>
      <w:r>
        <w:rPr>
          <w:rStyle w:val="HideTWBExt"/>
        </w:rPr>
        <w:t>&lt;/Amend&gt;</w:t>
      </w:r>
    </w:p>
    <w:p>
      <w:pPr>
        <w:pStyle w:val="AmNumberTabs"/>
      </w:pPr>
      <w:r>
        <w:rPr>
          <w:rStyle w:val="HideTWBExt"/>
        </w:rPr>
        <w:t>&lt;Amend&gt;</w:t>
      </w:r>
      <w:r>
        <w:t>Pozměňovací návrh</w:t>
      </w:r>
      <w:r>
        <w:tab/>
      </w:r>
      <w:r>
        <w:tab/>
      </w:r>
      <w:r>
        <w:rPr>
          <w:rStyle w:val="HideTWBExt"/>
        </w:rPr>
        <w:t>&lt;NumAm&gt;</w:t>
      </w:r>
      <w:r>
        <w:t>349</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Na žádost zákazníka </w:t>
            </w:r>
            <w:r>
              <w:rPr>
                <w:b/>
                <w:i/>
              </w:rPr>
              <w:t>podanou elektronickými prostředky</w:t>
            </w:r>
            <w:r>
              <w:t xml:space="preserve"> zpřístupní držitel údajů uživateli údajů zákaznické údaje uvedené v čl. 2 odst. 1 pro účely</w:t>
            </w:r>
            <w:r>
              <w:rPr>
                <w:b/>
                <w:i/>
              </w:rPr>
              <w:t>, pro které</w:t>
            </w:r>
            <w:r>
              <w:t xml:space="preserve"> zákazník udělil </w:t>
            </w:r>
            <w:r>
              <w:rPr>
                <w:b/>
                <w:i/>
              </w:rPr>
              <w:t>uživateli údajů povolení</w:t>
            </w:r>
            <w:r>
              <w:t>. Zákaznické údaje jsou uživateli údajů zpřístupněny bez zbytečného odkladu, nepřetržitě a v reálném čase.</w:t>
            </w:r>
          </w:p>
        </w:tc>
        <w:tc>
          <w:tcPr>
            <w:tcW w:w="4876" w:type="dxa"/>
          </w:tcPr>
          <w:p>
            <w:pPr>
              <w:pStyle w:val="Normal6a"/>
            </w:pPr>
            <w:r>
              <w:t>1.</w:t>
            </w:r>
            <w:r>
              <w:tab/>
            </w:r>
            <w:r>
              <w:t xml:space="preserve">Na </w:t>
            </w:r>
            <w:r>
              <w:rPr>
                <w:b/>
                <w:i/>
              </w:rPr>
              <w:t>výslovnou</w:t>
            </w:r>
            <w:r>
              <w:t xml:space="preserve"> žádost zákazníka </w:t>
            </w:r>
            <w:r>
              <w:rPr>
                <w:b/>
                <w:i/>
              </w:rPr>
              <w:t>autorizovanou silným mechanismem pro autentizaci zákazníka</w:t>
            </w:r>
            <w:r>
              <w:t xml:space="preserve"> zpřístupní držitel údajů uživateli údajů </w:t>
            </w:r>
            <w:r>
              <w:rPr>
                <w:b/>
                <w:i/>
              </w:rPr>
              <w:t>jednajícímu jménem zákazníka</w:t>
            </w:r>
            <w:r>
              <w:t xml:space="preserve"> zákaznické údaje uvedené v čl. 2 odst. 1 </w:t>
            </w:r>
            <w:r>
              <w:rPr>
                <w:b/>
                <w:i/>
              </w:rPr>
              <w:t>pouze</w:t>
            </w:r>
            <w:r>
              <w:t xml:space="preserve"> pro účely </w:t>
            </w:r>
            <w:r>
              <w:rPr>
                <w:b/>
                <w:i/>
              </w:rPr>
              <w:t>související s konkrétní službou, pro kterou</w:t>
            </w:r>
            <w:r>
              <w:t xml:space="preserve"> zákazník udělil </w:t>
            </w:r>
            <w:r>
              <w:rPr>
                <w:b/>
                <w:i/>
              </w:rPr>
              <w:t>výslovné povolení pro použití svých údajů</w:t>
            </w:r>
            <w:r>
              <w:t>. Zákaznické údaje jsou uživateli údajů zpřístupněny bez zbytečného odkladu</w:t>
            </w:r>
            <w:r>
              <w:rPr>
                <w:b/>
                <w:i/>
              </w:rPr>
              <w:t>, a kde je to relevantní a technicky proveditelné</w:t>
            </w:r>
            <w:r>
              <w:t>, nepřetržitě a v reálném čase.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350</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Na žádost zákazníka podanou elektronickými prostředky zpřístupní držitel údajů uživateli údajů zákaznické údaje uvedené v čl. 2 odst. 1 pro účely, pro které zákazník udělil uživateli údajů povolení. Zákaznické údaje jsou uživateli údajů zpřístupněny bez zbytečného odkladu, nepřetržitě a v reálném čase.</w:t>
            </w:r>
          </w:p>
        </w:tc>
        <w:tc>
          <w:tcPr>
            <w:tcW w:w="4876" w:type="dxa"/>
          </w:tcPr>
          <w:p>
            <w:pPr>
              <w:pStyle w:val="Normal6a"/>
            </w:pPr>
            <w:r>
              <w:t>1.</w:t>
            </w:r>
            <w:r>
              <w:tab/>
            </w:r>
            <w:r>
              <w:t>Na žádost zákazníka podanou elektronickými prostředky zpřístupní držitel údajů uživateli údajů zákaznické údaje uvedené v čl. 2 odst. 1 pro účely, pro které zákazník udělil uživateli údajů povolení</w:t>
            </w:r>
            <w:r>
              <w:rPr>
                <w:b/>
                <w:i/>
              </w:rPr>
              <w:t>, a pokud uživatel údajů prokáže platný právní základ podle čl. 6 odst. 1 písm. a) nebo b) nařízení (EU) 2016/679</w:t>
            </w:r>
            <w:r>
              <w:t>. Zákaznické údaje jsou uživateli údajů zpřístupněny bez zbytečného odkladu, nepřetržitě a v reálném čase.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351</w:t>
      </w:r>
      <w:r>
        <w:rPr>
          <w:rStyle w:val="HideTWBExt"/>
        </w:rPr>
        <w:t>&lt;/NumAm&gt;</w:t>
      </w:r>
    </w:p>
    <w:p>
      <w:pPr>
        <w:pStyle w:val="NormalBold"/>
      </w:pPr>
      <w:r>
        <w:rPr>
          <w:rStyle w:val="HideTWBExt"/>
        </w:rPr>
        <w:t>&lt;RepeatBlock-By&gt;</w:t>
      </w:r>
      <w:r>
        <w:rPr>
          <w:rStyle w:val="HideTWBExt"/>
        </w:rPr>
        <w:t>&lt;Members&gt;</w:t>
      </w:r>
      <w:r>
        <w:t>Markus Ferber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Na žádost zákazníka podanou elektronickými prostředky zpřístupní držitel údajů uživateli údajů zákaznické údaje uvedené v čl. 2 odst. 1 pro účely, pro které zákazník udělil uživateli údajů povolení. Zákaznické údaje jsou uživateli údajů zpřístupněny bez zbytečného odkladu, nepřetržitě a v reálném čase.</w:t>
            </w:r>
          </w:p>
        </w:tc>
        <w:tc>
          <w:tcPr>
            <w:tcW w:w="4876" w:type="dxa"/>
          </w:tcPr>
          <w:p>
            <w:pPr>
              <w:pStyle w:val="Normal6a"/>
            </w:pPr>
            <w:r>
              <w:t>1.</w:t>
            </w:r>
            <w:r>
              <w:tab/>
            </w:r>
            <w:r>
              <w:t>Na žádost zákazníka podanou elektronickými prostředky zpřístupní držitel údajů uživateli údajů</w:t>
            </w:r>
            <w:r>
              <w:rPr>
                <w:b/>
                <w:i/>
              </w:rPr>
              <w:t>, který je členem systému sdílení finančních údajů,</w:t>
            </w:r>
            <w:r>
              <w:t xml:space="preserve"> zákaznické údaje uvedené v čl. 2 odst. 1 pro účely, pro které zákazník udělil uživateli údajů povolení. Zákaznické údaje jsou uživateli údajů zpřístupněny bez zbytečného odkladu, nepřetržitě a v reálném čase.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Lepší sladění s ustanoveními hlavy IV tohoto nařízení.</w:t>
      </w:r>
    </w:p>
    <w:p>
      <w:r>
        <w:rPr>
          <w:rStyle w:val="HideTWBExt"/>
        </w:rPr>
        <w:t>&lt;/Amend&gt;</w:t>
      </w:r>
    </w:p>
    <w:p>
      <w:pPr>
        <w:pStyle w:val="AmNumberTabs"/>
      </w:pPr>
      <w:r>
        <w:rPr>
          <w:rStyle w:val="HideTWBExt"/>
        </w:rPr>
        <w:t>&lt;Amend&gt;</w:t>
      </w:r>
      <w:r>
        <w:t>Pozměňovací návrh</w:t>
      </w:r>
      <w:r>
        <w:tab/>
      </w:r>
      <w:r>
        <w:tab/>
      </w:r>
      <w:r>
        <w:rPr>
          <w:rStyle w:val="HideTWBExt"/>
        </w:rPr>
        <w:t>&lt;NumAm&gt;</w:t>
      </w:r>
      <w:r>
        <w:t>352</w:t>
      </w:r>
      <w:r>
        <w:rPr>
          <w:rStyle w:val="HideTWBExt"/>
        </w:rPr>
        <w:t>&lt;/NumAm&gt;</w:t>
      </w:r>
    </w:p>
    <w:p>
      <w:pPr>
        <w:pStyle w:val="NormalBold"/>
      </w:pPr>
      <w:r>
        <w:rPr>
          <w:rStyle w:val="HideTWBExt"/>
        </w:rPr>
        <w:t>&lt;RepeatBlock-By&gt;</w:t>
      </w:r>
      <w:r>
        <w:rPr>
          <w:rStyle w:val="HideTWBExt"/>
        </w:rPr>
        <w:t>&lt;Members&gt;</w:t>
      </w:r>
      <w:r>
        <w:t>Laurence Sailliet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Na žádost zákazníka podanou elektronickými prostředky zpřístupní držitel údajů uživateli údajů zákaznické údaje uvedené v čl. 2 odst. 1 pro účely, pro které zákazník udělil uživateli údajů povolení. Zákaznické údaje jsou uživateli údajů zpřístupněny bez zbytečného odkladu, nepřetržitě a v reálném čase.</w:t>
            </w:r>
          </w:p>
        </w:tc>
        <w:tc>
          <w:tcPr>
            <w:tcW w:w="4876" w:type="dxa"/>
          </w:tcPr>
          <w:p>
            <w:pPr>
              <w:pStyle w:val="Normal6a"/>
            </w:pPr>
            <w:r>
              <w:t>1.</w:t>
            </w:r>
            <w:r>
              <w:tab/>
            </w:r>
            <w:r>
              <w:t>Na žádost zákazníka podanou elektronickými prostředky zpřístupní držitel údajů uživateli údajů zákaznické údaje uvedené v čl. 2 odst. 1 pro účely, pro které zákazník udělil uživateli údajů povolení. Zákaznické údaje jsou uživateli údajů zpřístupněny bez zbytečného odkladu, nepřetržitě a v reálném čase</w:t>
            </w:r>
            <w:r>
              <w:rPr>
                <w:b/>
                <w:i/>
              </w:rPr>
              <w:t>, je-li to za daných okolností náležité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353</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Na žádost zákazníka podanou elektronickými prostředky zpřístupní držitel údajů uživateli údajů zákaznické údaje uvedené v čl. 2 odst. 1 pro účely, pro které zákazník udělil uživateli údajů povolení. Zákaznické údaje jsou uživateli údajů zpřístupněny bez zbytečného odkladu, nepřetržitě a v reálném čase.</w:t>
            </w:r>
          </w:p>
        </w:tc>
        <w:tc>
          <w:tcPr>
            <w:tcW w:w="4876" w:type="dxa"/>
          </w:tcPr>
          <w:p>
            <w:pPr>
              <w:pStyle w:val="Normal6a"/>
            </w:pPr>
            <w:r>
              <w:t>1.</w:t>
            </w:r>
            <w:r>
              <w:tab/>
            </w:r>
            <w:r>
              <w:t xml:space="preserve">Na </w:t>
            </w:r>
            <w:r>
              <w:rPr>
                <w:b/>
                <w:i/>
              </w:rPr>
              <w:t>výslovnou</w:t>
            </w:r>
            <w:r>
              <w:t xml:space="preserve"> žádost zákazníka podanou elektronickými prostředky zpřístupní držitel údajů uživateli údajů zákaznické údaje uvedené v čl. 2 odst. 1 pro účely, pro které zákazník udělil uživateli údajů povolení. Zákaznické údaje jsou uživateli údajů zpřístupněny bez zbytečného odkladu, nepřetržitě a v reálném čase.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354</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Žádný podnik určený jako strážce přístupu podle článku 3 nařízení (EU) 2022/1925 není způsobilým uživatelem údajů podle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355</w:t>
      </w:r>
      <w:r>
        <w:rPr>
          <w:rStyle w:val="HideTWBExt"/>
        </w:rPr>
        <w:t>&lt;/NumAm&gt;</w:t>
      </w:r>
    </w:p>
    <w:p>
      <w:pPr>
        <w:pStyle w:val="NormalBold"/>
      </w:pPr>
      <w:r>
        <w:rPr>
          <w:rStyle w:val="HideTWBExt"/>
        </w:rPr>
        <w:t>&lt;RepeatBlock-By&gt;</w:t>
      </w:r>
      <w:r>
        <w:rPr>
          <w:rStyle w:val="HideTWBExt"/>
        </w:rPr>
        <w:t>&lt;Members&gt;</w:t>
      </w:r>
      <w:r>
        <w:t>Stéphanie Yon-Courtin, Gilles Boyer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Žádný podnik určený jako strážce přístupu podle článku 3 nařízení (EU) 2022/1925 není způsobilým uživatelem údajů podle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Pokud jde o akt o datech, navrhuje se zavést ustanovení, které by bránilo určeným strážcům podle aktu o digitálních trzích v přístupu k údajům podle FIDA.</w:t>
      </w:r>
    </w:p>
    <w:p>
      <w:r>
        <w:rPr>
          <w:rStyle w:val="HideTWBExt"/>
        </w:rPr>
        <w:t>&lt;/Amend&gt;</w:t>
      </w:r>
    </w:p>
    <w:p>
      <w:pPr>
        <w:pStyle w:val="AmNumberTabs"/>
      </w:pPr>
      <w:r>
        <w:rPr>
          <w:rStyle w:val="HideTWBExt"/>
        </w:rPr>
        <w:t>&lt;Amend&gt;</w:t>
      </w:r>
      <w:r>
        <w:t>Pozměňovací návrh</w:t>
      </w:r>
      <w:r>
        <w:tab/>
      </w:r>
      <w:r>
        <w:tab/>
      </w:r>
      <w:r>
        <w:rPr>
          <w:rStyle w:val="HideTWBExt"/>
        </w:rPr>
        <w:t>&lt;NumAm&gt;</w:t>
      </w:r>
      <w:r>
        <w:t>356</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Žádný podnik určený jako strážce přístupu podle článku 3 nařízení (EU) 2022/1925 není způsobilým uživatelem údajů podle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357</w:t>
      </w:r>
      <w:r>
        <w:rPr>
          <w:rStyle w:val="HideTWBExt"/>
        </w:rPr>
        <w:t>&lt;/NumAm&gt;</w:t>
      </w:r>
    </w:p>
    <w:p>
      <w:pPr>
        <w:pStyle w:val="NormalBold"/>
      </w:pPr>
      <w:r>
        <w:rPr>
          <w:rStyle w:val="HideTWBExt"/>
        </w:rPr>
        <w:t>&lt;RepeatBlock-By&gt;</w:t>
      </w:r>
      <w:r>
        <w:rPr>
          <w:rStyle w:val="HideTWBExt"/>
        </w:rPr>
        <w:t>&lt;Members&gt;</w:t>
      </w:r>
      <w:r>
        <w:t>Fabio Massimo Castaldo</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Držitel údajů může od uživatele údajů požadovat náhradu za zpřístupnění zákaznických údajů podle odstavce 1 pouze tehdy, pokud jsou zákaznické údaje zpřístupněny uživateli údajů v souladu s pravidly a podmínkami systému sdílení finančních údajů, jak je stanoveno v článcích 9 a 10, nebo pokud jsou zpřístupněny podle článku 11.</w:t>
            </w:r>
          </w:p>
        </w:tc>
        <w:tc>
          <w:tcPr>
            <w:tcW w:w="4876" w:type="dxa"/>
          </w:tcPr>
          <w:p>
            <w:pPr>
              <w:pStyle w:val="Normal6a"/>
            </w:pPr>
            <w:r>
              <w:t>2.</w:t>
            </w:r>
            <w:r>
              <w:tab/>
            </w:r>
            <w:r>
              <w:t>Držitel údajů může od uživatele údajů požadovat náhradu za zpřístupnění zákaznických údajů podle odstavce 1 pouze tehdy, pokud jsou zákaznické údaje zpřístupněny uživateli údajů v souladu s pravidly a podmínkami systému sdílení finančních údajů, jak je stanoveno v článcích 9 a 10, nebo pokud jsou zpřístupněny podle článku 11.</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Tímto nařízením není dotčen přístup k údajům, jejich sdílení a používání bez využití povinností přístupu k údajům stanovených tímto nařízením na čistě smluvním základě.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358</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Držitel údajů může od uživatele údajů požadovat náhradu za zpřístupnění zákaznických údajů podle odstavce 1 pouze tehdy, pokud jsou zákaznické údaje zpřístupněny uživateli údajů v souladu s pravidly a podmínkami systému sdílení finančních údajů, jak je stanoveno v článcích 9 a 10, nebo pokud jsou zpřístupněny podle článku 11.</w:t>
            </w:r>
          </w:p>
        </w:tc>
        <w:tc>
          <w:tcPr>
            <w:tcW w:w="4876" w:type="dxa"/>
          </w:tcPr>
          <w:p>
            <w:pPr>
              <w:pStyle w:val="Normal6a"/>
            </w:pPr>
            <w:r>
              <w:t>2.</w:t>
            </w:r>
            <w:r>
              <w:tab/>
            </w:r>
            <w:r>
              <w:t>Držitel údajů může od uživatele údajů požadovat náhradu za zpřístupnění zákaznických údajů podle odstavce 1 pouze tehdy, pokud jsou zákaznické údaje zpřístupněny uživateli údajů v souladu s pravidly a podmínkami systému sdílení finančních údajů, jak je stanoveno v článcích 9 a 10, nebo pokud jsou zpřístupněny podle článku 11.</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Tímto nařízením není dotčen přístup k údajům, jejich sdílení a používání bez využití povinností přístupu k údajům stanovených tímto nařízením na čistě smluvním základě.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359</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Držitel údajů může od uživatele údajů požadovat náhradu za zpřístupnění zákaznických údajů podle odstavce 1 pouze tehdy, pokud jsou zákaznické údaje zpřístupněny uživateli údajů v souladu s pravidly a podmínkami systému sdílení finančních údajů, jak je stanoveno v článcích 9 a 10, nebo pokud jsou zpřístupněny podle článku 11.</w:t>
            </w:r>
          </w:p>
        </w:tc>
        <w:tc>
          <w:tcPr>
            <w:tcW w:w="4876" w:type="dxa"/>
          </w:tcPr>
          <w:p>
            <w:pPr>
              <w:pStyle w:val="Normal6a"/>
            </w:pPr>
            <w:r>
              <w:t>2.</w:t>
            </w:r>
            <w:r>
              <w:tab/>
            </w:r>
            <w:r>
              <w:t xml:space="preserve">Držitel údajů může od uživatele údajů požadovat náhradu za zpřístupnění zákaznických údajů podle odstavce 1 pouze tehdy, pokud jsou zákaznické údaje zpřístupněny uživateli údajů v souladu s pravidly a podmínkami systému sdílení finančních údajů, jak je stanoveno v článcích 9 a 10, nebo pokud jsou zpřístupněny podle článku 11. </w:t>
            </w:r>
            <w:r>
              <w:rPr>
                <w:b/>
                <w:i/>
              </w:rPr>
              <w:t>Tím není dotčen přístup k údajům, jejich sdílení a používání bez využití povinností přístupu k údajům stanovených tímto nařízením na čistě smluvním základě.</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Účelem je zohlednit podobné znění v 50. bodě odůvodnění.</w:t>
      </w:r>
    </w:p>
    <w:p>
      <w:r>
        <w:rPr>
          <w:rStyle w:val="HideTWBExt"/>
        </w:rPr>
        <w:t>&lt;/Amend&gt;</w:t>
      </w:r>
    </w:p>
    <w:p>
      <w:pPr>
        <w:pStyle w:val="AmNumberTabs"/>
      </w:pPr>
      <w:r>
        <w:rPr>
          <w:rStyle w:val="HideTWBExt"/>
        </w:rPr>
        <w:t>&lt;Amend&gt;</w:t>
      </w:r>
      <w:r>
        <w:t>Pozměňovací návrh</w:t>
      </w:r>
      <w:r>
        <w:tab/>
      </w:r>
      <w:r>
        <w:tab/>
      </w:r>
      <w:r>
        <w:rPr>
          <w:rStyle w:val="HideTWBExt"/>
        </w:rPr>
        <w:t>&lt;NumAm&gt;</w:t>
      </w:r>
      <w:r>
        <w:t>360</w:t>
      </w:r>
      <w:r>
        <w:rPr>
          <w:rStyle w:val="HideTWBExt"/>
        </w:rPr>
        <w:t>&lt;/NumAm&gt;</w:t>
      </w:r>
    </w:p>
    <w:p>
      <w:pPr>
        <w:pStyle w:val="NormalBold"/>
      </w:pPr>
      <w:r>
        <w:rPr>
          <w:rStyle w:val="HideTWBExt"/>
        </w:rPr>
        <w:t>&lt;RepeatBlock-By&gt;</w:t>
      </w:r>
      <w:r>
        <w:rPr>
          <w:rStyle w:val="HideTWBExt"/>
        </w:rPr>
        <w:t>&lt;Members&gt;</w:t>
      </w:r>
      <w:r>
        <w:t>Laurence Sailliet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Držitel údajů může od uživatele údajů požadovat náhradu za zpřístupnění zákaznických údajů podle odstavce 1 pouze tehdy, pokud jsou zákaznické údaje zpřístupněny uživateli údajů v souladu s pravidly a podmínkami systému sdílení finančních údajů, jak je stanoveno v článcích 9 a 10, nebo pokud jsou zpřístupněny podle článku 11.</w:t>
            </w:r>
          </w:p>
        </w:tc>
        <w:tc>
          <w:tcPr>
            <w:tcW w:w="4876" w:type="dxa"/>
          </w:tcPr>
          <w:p>
            <w:pPr>
              <w:pStyle w:val="Normal6a"/>
            </w:pPr>
            <w:r>
              <w:t>2.</w:t>
            </w:r>
            <w:r>
              <w:tab/>
            </w:r>
            <w:r>
              <w:t xml:space="preserve">Držitel údajů může od uživatele údajů požadovat náhradu za zpřístupnění zákaznických údajů podle odstavce 1 pouze tehdy, pokud jsou zákaznické údaje zpřístupněny uživateli údajů v souladu s pravidly a podmínkami systému sdílení finančních údajů, jak je stanoveno v článcích 9 a 10, nebo pokud jsou zpřístupněny podle článku 11. </w:t>
            </w:r>
            <w:r>
              <w:rPr>
                <w:b/>
                <w:i/>
              </w:rPr>
              <w:t>Tím není dotčen přístup k údajům, jejich sdílení a používání bez využití povinností přístupu k údajům stanovených tímto nařízením na čistě smluvním základě.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361</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3 – písm.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požaduje, aby uživatelé údajů prokázali, že získali povolení zákazníka k přístupu k zákaznickým údajům, které má držitel údajů k dispozici;</w:t>
            </w:r>
          </w:p>
        </w:tc>
        <w:tc>
          <w:tcPr>
            <w:tcW w:w="4876" w:type="dxa"/>
          </w:tcPr>
          <w:p>
            <w:pPr>
              <w:pStyle w:val="Normal6a"/>
            </w:pPr>
            <w:r>
              <w:t>c)</w:t>
            </w:r>
            <w:r>
              <w:tab/>
            </w:r>
            <w:r>
              <w:t xml:space="preserve">požaduje, aby uživatelé údajů prokázali, že </w:t>
            </w:r>
            <w:r>
              <w:rPr>
                <w:b/>
                <w:i/>
              </w:rPr>
              <w:t>mají platný právní základ podle čl. 6 odst. 1 písm. a) nebo b) nařízení (EU) 2016/679, a</w:t>
            </w:r>
            <w:r>
              <w:t xml:space="preserve"> získali povolení zákazníka k přístupu k zákaznickým údajům, které má držitel údajů k dispozici;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362</w:t>
      </w:r>
      <w:r>
        <w:rPr>
          <w:rStyle w:val="HideTWBExt"/>
        </w:rPr>
        <w:t>&lt;/NumAm&gt;</w:t>
      </w:r>
    </w:p>
    <w:p>
      <w:pPr>
        <w:pStyle w:val="NormalBold"/>
      </w:pPr>
      <w:r>
        <w:rPr>
          <w:rStyle w:val="HideTWBExt"/>
        </w:rPr>
        <w:t>&lt;RepeatBlock-By&gt;</w:t>
      </w:r>
      <w:r>
        <w:rPr>
          <w:rStyle w:val="HideTWBExt"/>
        </w:rPr>
        <w:t>&lt;Members&gt;</w:t>
      </w:r>
      <w:r>
        <w:t>Markus Ferber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3 – písm.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e)</w:t>
            </w:r>
            <w:r>
              <w:tab/>
            </w:r>
            <w:r>
              <w:rPr>
                <w:b/>
                <w:i/>
              </w:rPr>
              <w:t>při přístupu k zákaznickým údajům v souladu s čl. 5 odst. 1 dodržuje důvěrnost obchodních tajemství a práv duševního vlastnictví.</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Držitel údajů nemůže posoudit, které údaje se týkají obchodního tajemství nebo práv duševního vlastnictví.</w:t>
      </w:r>
      <w:r>
        <w:t xml:space="preserve"> </w:t>
      </w:r>
      <w:r>
        <w:t>To může učinit pouze zákazník.</w:t>
      </w:r>
      <w:r>
        <w:t xml:space="preserve"> </w:t>
      </w:r>
      <w:r>
        <w:t>Držitel údajů by proto neměl být činěn odpovědným za jakékoli porušení.</w:t>
      </w:r>
    </w:p>
    <w:p>
      <w:r>
        <w:rPr>
          <w:rStyle w:val="HideTWBExt"/>
        </w:rPr>
        <w:t>&lt;/Amend&gt;</w:t>
      </w:r>
    </w:p>
    <w:p>
      <w:pPr>
        <w:pStyle w:val="AmNumberTabs"/>
      </w:pPr>
      <w:r>
        <w:rPr>
          <w:rStyle w:val="HideTWBExt"/>
        </w:rPr>
        <w:t>&lt;Amend&gt;</w:t>
      </w:r>
      <w:r>
        <w:t>Pozměňovací návrh</w:t>
      </w:r>
      <w:r>
        <w:tab/>
      </w:r>
      <w:r>
        <w:tab/>
      </w:r>
      <w:r>
        <w:rPr>
          <w:rStyle w:val="HideTWBExt"/>
        </w:rPr>
        <w:t>&lt;NumAm&gt;</w:t>
      </w:r>
      <w:r>
        <w:t>363</w:t>
      </w:r>
      <w:r>
        <w:rPr>
          <w:rStyle w:val="HideTWBExt"/>
        </w:rPr>
        <w:t>&lt;/NumAm&gt;</w:t>
      </w:r>
    </w:p>
    <w:p>
      <w:pPr>
        <w:pStyle w:val="NormalBold"/>
      </w:pPr>
      <w:r>
        <w:rPr>
          <w:rStyle w:val="HideTWBExt"/>
        </w:rPr>
        <w:t>&lt;RepeatBlock-By&gt;</w:t>
      </w:r>
      <w:r>
        <w:rPr>
          <w:rStyle w:val="HideTWBExt"/>
        </w:rPr>
        <w:t>&lt;Members&gt;</w:t>
      </w:r>
      <w:r>
        <w:t>Laurence Sailliet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Žádný podnik označený za strážce přístupu podle článku 3 nařízení (EU) 2022/1925 o spravedlivých trzích otevřených hospodářské soutěži v digitálním odvětví (akt o digitálních trzích) není způsobilou třetí stranou podle tohoto nařízení, a držitel údajů proto těmto subjektům neudělí přístup k zákaznickým údajům.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364</w:t>
      </w:r>
      <w:r>
        <w:rPr>
          <w:rStyle w:val="HideTWBExt"/>
        </w:rPr>
        <w:t>&lt;/NumAm&gt;</w:t>
      </w:r>
    </w:p>
    <w:p>
      <w:pPr>
        <w:pStyle w:val="NormalBold"/>
      </w:pPr>
      <w:r>
        <w:rPr>
          <w:rStyle w:val="HideTWBExt"/>
        </w:rPr>
        <w:t>&lt;RepeatBlock-By&gt;</w:t>
      </w:r>
      <w:r>
        <w:rPr>
          <w:rStyle w:val="HideTWBExt"/>
        </w:rPr>
        <w:t>&lt;Members&gt;</w:t>
      </w:r>
      <w:r>
        <w:t>Stéphanie Yon-Courtin, Gilles Boyer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5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Článek 5a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Povolení zákazníka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Povolení udělené zákazníkem se uděluje na dobu nepřesahující šest měsíců.</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Povolení udělené zákazníkem nelze automaticky obnovit.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Zákazník může kdykoliv a zdarma odejmout povolení udělené uživateli údajů.</w:t>
            </w:r>
            <w:r>
              <w:t xml:space="preserve"> </w:t>
            </w:r>
            <w:r>
              <w:rPr>
                <w:b/>
                <w:i/>
              </w:rPr>
              <w:t>Pokud je zpracování údajů nezbytné pro plnění smlouvy, může zákazník povolení, které udělil ke zpřístupnění zákaznických údajů uživateli údajů, odejmout v souladu se smluvními závazky, které se na něj vztahují.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Bez souhlasu zákazníka nejsou uživatelům údajů zpřístupněny žádné údaje.</w:t>
      </w:r>
      <w:r>
        <w:t xml:space="preserve"> </w:t>
      </w:r>
      <w:r>
        <w:t>V tomto ohledu by měla být posílena ustanovení upravující tento souhlas:</w:t>
      </w:r>
      <w:r>
        <w:t xml:space="preserve"> </w:t>
      </w:r>
      <w:r>
        <w:t>souhlas zákazníka poskytnutý uživateli údajů musí být pro danou službu výslovný, jasně vymezený a časově omezený, bez možnosti automatického obnovení.</w:t>
      </w:r>
      <w:r>
        <w:t xml:space="preserve"> </w:t>
      </w:r>
      <w:r>
        <w:t>Tato ustanovení musí být zahrnuta do zvláštního článku o povolení zákazníka.</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758.857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126</w:t>
    </w:r>
    <w:r>
      <w:fldChar w:fldCharType="end"/>
    </w:r>
    <w:r>
      <w:t>/</w:t>
    </w:r>
    <w:r>
      <w:fldChar w:fldCharType="begin"/>
    </w:r>
    <w:r>
      <w:instrText xml:space="preserve"> NUMPAGES </w:instrText>
    </w:r>
    <w:r>
      <w:fldChar w:fldCharType="separate"/>
    </w:r>
    <w:r>
      <w:t>127</w:t>
    </w:r>
    <w:r>
      <w:fldChar w:fldCharType="end"/>
    </w:r>
    <w:r>
      <w:tab/>
    </w:r>
    <w:r>
      <w:rPr>
        <w:rStyle w:val="HideTWBExt"/>
      </w:rPr>
      <w:t>&lt;PathFdR&gt;</w:t>
    </w:r>
    <w:r>
      <w:t>AM\1295960CS.docx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AM\1295960CS.docx</w:t>
    </w:r>
    <w:r>
      <w:rPr>
        <w:rStyle w:val="HideTWBExt"/>
      </w:rPr>
      <w:t>&lt;/PathFdR&gt;</w:t>
    </w:r>
    <w:r>
      <w:tab/>
    </w:r>
    <w:r>
      <w:fldChar w:fldCharType="begin"/>
    </w:r>
    <w:r>
      <w:instrText xml:space="preserve"> PAGE </w:instrText>
    </w:r>
    <w:r>
      <w:fldChar w:fldCharType="separate"/>
    </w:r>
    <w:r>
      <w:t>127</w:t>
    </w:r>
    <w:r>
      <w:fldChar w:fldCharType="end"/>
    </w:r>
    <w:r>
      <w:t>/</w:t>
    </w:r>
    <w:r>
      <w:fldChar w:fldCharType="begin"/>
    </w:r>
    <w:r>
      <w:instrText xml:space="preserve"> NUMPAGES </w:instrText>
    </w:r>
    <w:r>
      <w:fldChar w:fldCharType="separate"/>
    </w:r>
    <w:r>
      <w:t>127</w:t>
    </w:r>
    <w:r>
      <w:fldChar w:fldCharType="end"/>
    </w:r>
    <w:r>
      <w:tab/>
    </w:r>
    <w:r>
      <w:t>PE</w:t>
    </w:r>
    <w:r>
      <w:rPr>
        <w:rStyle w:val="HideTWBExt"/>
      </w:rPr>
      <w:t>&lt;NoPE&gt;</w:t>
    </w:r>
    <w:r>
      <w:t>758.857</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AM\1295960CS.docx</w:t>
    </w:r>
    <w:r>
      <w:rPr>
        <w:rStyle w:val="HideTWBExt"/>
      </w:rPr>
      <w:t>&lt;/PathFdR&gt;</w:t>
    </w:r>
    <w:r>
      <w:tab/>
    </w:r>
    <w:r>
      <w:tab/>
    </w:r>
    <w:r>
      <w:t>PE</w:t>
    </w:r>
    <w:r>
      <w:rPr>
        <w:rStyle w:val="HideTWBExt"/>
      </w:rPr>
      <w:t>&lt;NoPE&gt;</w:t>
    </w:r>
    <w:r>
      <w:t>758.857</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127</Pages>
  <Words>32184</Words>
  <Characters>193905</Characters>
  <Application>Microsoft Office Word</Application>
  <DocSecurity>0</DocSecurity>
  <Lines>1</Lines>
  <Paragraphs>2057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1295960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49268</vt:lpwstr>
  </property>
  <property fmtid="{D5CDD505-2E9C-101B-9397-08002B2CF9AE}" pid="7" name="dmxml.render.traceId">
    <vt:lpwstr>65d3235fcc87698dbd9e4840a3430f89</vt:lpwstr>
  </property>
  <property fmtid="{D5CDD505-2E9C-101B-9397-08002B2CF9AE}" pid="8" name="FooterPath">
    <vt:lpwstr>AM\1295960CS.docx</vt:lpwstr>
  </property>
  <property fmtid="{D5CDD505-2E9C-101B-9397-08002B2CF9AE}" pid="9" name="PE Number">
    <vt:lpwstr>758.857</vt:lpwstr>
  </property>
  <property fmtid="{D5CDD505-2E9C-101B-9397-08002B2CF9AE}" pid="10" name="UID">
    <vt:lpwstr>eu.europa.europarl-DIN1-2024-0000007123_01.00-cs-01.00_text-xml</vt:lpwstr>
  </property>
</Properties>
</file>