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6.0 -->
  <w:body>
    <w:tbl>
      <w:tblPr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vAlign w:val="center"/>
          </w:tcPr>
          <w:p>
            <w:pPr>
              <w:pStyle w:val="EPName"/>
            </w:pPr>
            <w:r>
              <w:t>Evropský parlament</w:t>
            </w:r>
          </w:p>
          <w:p>
            <w:pPr>
              <w:pStyle w:val="EPTerm"/>
              <w:jc w:val="left"/>
            </w:pPr>
            <w:r>
              <w:t>2019-2024</w:t>
            </w:r>
          </w:p>
        </w:tc>
        <w:tc>
          <w:tcPr>
            <w:tcW w:w="2268" w:type="dxa"/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Hospodářský a měnový výbor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2023/0205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{02/02/2024}</w:t>
      </w:r>
      <w:r>
        <w:t>2.2.2024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POZMĚŇOVACÍ NÁVRHY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365</w:t>
      </w:r>
      <w:r>
        <w:t xml:space="preserve"> - </w:t>
      </w:r>
      <w:r>
        <w:t>588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Návrh zprávy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Michiel Hoogeveen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(PE757.355v01-00)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o rámci pro přístup k finančním údajům a o změně nařízení (EU) č. 1093/2010, (EU) č. 1094/2010, (EU) č. 1095/2010 a (EU) 2022/2554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(COM(2023)0360 – C9-0215/2023 – 2023/0205(COD))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Uživatel údajů je způsobilý </w:t>
            </w:r>
            <w:r>
              <w:rPr>
                <w:b/>
                <w:i/>
              </w:rPr>
              <w:t>k přístupu k zákaznickým údajům podle čl. 5 odst. 1</w:t>
            </w:r>
            <w:r>
              <w:t xml:space="preserve"> pouze tehdy, pokud tento uživatel údajů </w:t>
            </w:r>
            <w:r>
              <w:rPr>
                <w:b/>
                <w:i/>
              </w:rPr>
              <w:t>podléhá předchozímu povolení příslušného orgánu jako finanční instituce nebo je poskytovatelem</w:t>
            </w:r>
            <w:r>
              <w:t xml:space="preserve"> služeb finančních informací podle článku 14.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Uživatel údajů je způsobilý </w:t>
            </w:r>
            <w:r>
              <w:rPr>
                <w:b/>
                <w:i/>
              </w:rPr>
              <w:t>poskytovat služby finančního informování v Unii</w:t>
            </w:r>
            <w:r>
              <w:t xml:space="preserve"> pouze tehdy, pokud tento uživatel údajů </w:t>
            </w:r>
            <w:r>
              <w:rPr>
                <w:b/>
                <w:i/>
              </w:rPr>
              <w:t>je finanční institucí nebo je právnickou osobou, která má sídlo v Unii a která získala povolení jako poskytovatel</w:t>
            </w:r>
            <w:r>
              <w:t xml:space="preserve"> služeb finančních informací podle článku 14.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Uživatel údajů je způsobilý </w:t>
            </w:r>
            <w:r>
              <w:rPr>
                <w:b/>
                <w:i/>
              </w:rPr>
              <w:t>k přístupu k zákaznickým údajům podle čl. 5 odst. 1</w:t>
            </w:r>
            <w:r>
              <w:t xml:space="preserve"> pouze tehdy, pokud tento uživatel údajů </w:t>
            </w:r>
            <w:r>
              <w:rPr>
                <w:b/>
                <w:i/>
              </w:rPr>
              <w:t>podléhá předchozímu povolení příslušného orgánu jako finanční instituce nebo je poskytovatelem</w:t>
            </w:r>
            <w:r>
              <w:t xml:space="preserve"> služeb finančních informací podle článku 14.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Uživatel údajů je způsobilý </w:t>
            </w:r>
            <w:r>
              <w:rPr>
                <w:b/>
                <w:i/>
              </w:rPr>
              <w:t>poskytovat služby finančního informování v Unii</w:t>
            </w:r>
            <w:r>
              <w:t xml:space="preserve"> pouze tehdy, pokud tento uživatel údajů </w:t>
            </w:r>
            <w:r>
              <w:rPr>
                <w:b/>
                <w:i/>
              </w:rPr>
              <w:t>je finanční institucí nebo je právnickou osobou usazenou v Unii, která získala povolení jako poskytovatel</w:t>
            </w:r>
            <w:r>
              <w:t xml:space="preserve"> služeb finančních informací podle článku 14.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Přístup k údajům o zákaznících podle FIDA by měli mít pouze poskytovatelé finančních služeb usazení v Unii nebo regulované subjekty.</w:t>
      </w:r>
      <w:r>
        <w:t xml:space="preserve"> </w:t>
      </w:r>
      <w:r>
        <w:t>V zájmu ochrany spotřebitelů před možným zneužitím jejich údajů subjekty ze třetích zemí, zajištění lepšího dohledu nad těmito subjekty a rovných podmínek by měl být poskytovatelům finančních služeb umožněn přístup k údajům o zákaznících z EU pouze tehdy, pokud jsou usazeni v EU a schváleni příslušným orgánem, což je proti možnosti podniků ze zemí mimo EU získat povolení jako FISP.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Žádný podnik poskytující hlavní služby platforem, pro něž byla jedna nebo více těchto služeb označeny za strážce podle článku 3 nařízení Evropského parlamentu a Rady (EU) 2022/1925 ze dne 14. září 2022 o spravedlivých trzích otevřených hospodářské soutěži v digitálním odvětví a o změně směrnic (EU) 2019/1937 a (EU) 2020/1828 (akt o digitálních trzích), není pro účely sdílení dat způsobilou třetí stranou, a proto nemůže požádat o přístup k údajům zákazníků ani mu k nim nemůže být poskytnut přístup.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Fabio Massimo Castaldo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Žádný podnik poskytující hlavní služby platforem, pro něž byla jedna nebo více z těchto služeb označena za strážce podle článku 3 nařízení (EU) 2022/1925 (akt o digitálních trzích), není způsobilou třetí stranou pro účely sdílení dat, a proto nemůže požádat o přístup k údajům zákazníků ani mu k nim nemůže být poskytnut přístup.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Uživatelům dat nelze bránit v přístupu k finančnímu produktu pouze proto, že neudělili svolení k přístupu k jejich údajům způsobem stanoveným v čl. 5 odst. 1.</w:t>
            </w:r>
            <w:r>
              <w:t xml:space="preserve"> </w:t>
            </w:r>
            <w:r>
              <w:rPr>
                <w:b/>
                <w:i/>
              </w:rPr>
              <w:t>Pro účely provádění tohoto odstavce je na uživateli dat, aby prokázal, že povolení bylo uděleno.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Uživatel </w:t>
            </w:r>
            <w:r>
              <w:rPr>
                <w:b/>
                <w:i/>
              </w:rPr>
              <w:t>údajů má přístup k zákaznickým údajům zpřístupněným</w:t>
            </w:r>
            <w:r>
              <w:t xml:space="preserve"> podle čl. 5 odst. 1 pouze pro účely a za podmínek, pro </w:t>
            </w:r>
            <w:r>
              <w:rPr>
                <w:b/>
                <w:i/>
              </w:rPr>
              <w:t>které mu</w:t>
            </w:r>
            <w:r>
              <w:t xml:space="preserve"> zákazník udělil </w:t>
            </w:r>
            <w:r>
              <w:rPr>
                <w:b/>
                <w:i/>
              </w:rPr>
              <w:t>povolení</w:t>
            </w:r>
            <w:r>
              <w:t>. Uživatel údajů vymaže zákaznické údaje, pokud již nejsou potřebné k účelům, pro které mu zákazník udělil povolení.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Uživatel </w:t>
            </w:r>
            <w:r>
              <w:rPr>
                <w:b/>
                <w:i/>
              </w:rPr>
              <w:t>dat požaduje přiměřená, relevantní a nezbytná data o zákaznících zpřístupněná</w:t>
            </w:r>
            <w:r>
              <w:t xml:space="preserve"> podle čl. 5 odst. 1 </w:t>
            </w:r>
            <w:r>
              <w:rPr>
                <w:b/>
                <w:i/>
              </w:rPr>
              <w:t>a přístup k nim</w:t>
            </w:r>
            <w:r>
              <w:t xml:space="preserve"> pouze pro účely a za podmínek, pro </w:t>
            </w:r>
            <w:r>
              <w:rPr>
                <w:b/>
                <w:i/>
              </w:rPr>
              <w:t>něž</w:t>
            </w:r>
            <w:r>
              <w:t xml:space="preserve"> zákazník udělil </w:t>
            </w:r>
            <w:r>
              <w:rPr>
                <w:b/>
                <w:i/>
              </w:rPr>
              <w:t>svolení, a pokud prokáží, že mají platný právní základ podle čl. 6 odst. 1 písm. a) nebo b) nařízení (EU) 2016/679</w:t>
            </w:r>
            <w:r>
              <w:t>. Uživatel údajů vymaže zákaznické údaje, pokud již nejsou potřebné k účelům, pro které mu zákazník udělil povolení.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Uživatel údajů </w:t>
            </w:r>
            <w:r>
              <w:rPr>
                <w:b/>
                <w:i/>
              </w:rPr>
              <w:t>má přístup k zákaznickým údajům zpřístupněným</w:t>
            </w:r>
            <w:r>
              <w:t xml:space="preserve"> podle čl. 5 odst. 1 pouze pro účely a za podmínek, pro které mu zákazník udělil povolení. Uživatel údajů vymaže zákaznické údaje, pokud již nejsou potřebné k účelům, pro které mu zákazník udělil povolení.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Uživatel údajů </w:t>
            </w:r>
            <w:r>
              <w:rPr>
                <w:b/>
                <w:i/>
              </w:rPr>
              <w:t>zpřístupněných</w:t>
            </w:r>
            <w:r>
              <w:t xml:space="preserve"> podle čl. 5 odst. 1 </w:t>
            </w:r>
            <w:r>
              <w:rPr>
                <w:b/>
                <w:i/>
              </w:rPr>
              <w:t>vyžádá a má k nim přístup</w:t>
            </w:r>
            <w:r>
              <w:t xml:space="preserve"> pouze pro účely a za podmínek, pro které mu zákazník udělil povolení. Uživatel údajů vymaže zákaznické údaje, pokud již nejsou potřebné k účelům, pro které mu zákazník udělil povolení.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Uživatel údajů má přístup k zákaznickým údajům zpřístupněným podle čl. 5 odst. 1 pouze pro účely a za podmínek, pro které mu zákazník udělil povolení. Uživatel údajů vymaže zákaznické údaje, pokud již nejsou potřebné k účelům, pro které mu zákazník udělil povolení.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Uživatel údajů má přístup k zákaznickým údajům zpřístupněným podle čl. 5 odst. 1 pouze pro účely a za podmínek, pro které mu zákazník udělil povolení. Uživatel údajů </w:t>
            </w:r>
            <w:r>
              <w:rPr>
                <w:b/>
                <w:i/>
              </w:rPr>
              <w:t>bezodkladně</w:t>
            </w:r>
            <w:r>
              <w:t xml:space="preserve"> vymaže </w:t>
            </w:r>
            <w:r>
              <w:rPr>
                <w:b/>
                <w:i/>
              </w:rPr>
              <w:t>tyto</w:t>
            </w:r>
            <w:r>
              <w:t xml:space="preserve"> zákaznické údaje</w:t>
            </w:r>
            <w:r>
              <w:rPr>
                <w:b/>
                <w:i/>
              </w:rPr>
              <w:t>, včetně veškerých záloh</w:t>
            </w:r>
            <w:r>
              <w:t>, pokud již nejsou potřebné k účelům, pro které mu zákazník udělil povolení.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Zákazník může povolení, které udělil uživateli údajů, odejmout.</w:t>
            </w:r>
            <w:r>
              <w:t xml:space="preserve"> </w:t>
            </w:r>
            <w:r>
              <w:rPr>
                <w:b/>
                <w:i/>
              </w:rPr>
              <w:t>Pokud je zpracování údajů nezbytné pro plnění smlouvy, může zákazník povolení, které udělil ke zpřístupnění zákaznických údajů uživateli údajů, odejmout v souladu se smluvními závazky, které se na něj vztahují.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Viz zvláštní nový článek o povolení zákazníka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Zákazník </w:t>
            </w:r>
            <w:r>
              <w:rPr>
                <w:b/>
                <w:i/>
              </w:rPr>
              <w:t>může povolení, které udělil</w:t>
            </w:r>
            <w:r>
              <w:t xml:space="preserve"> uživateli údajů</w:t>
            </w:r>
            <w:r>
              <w:rPr>
                <w:b/>
                <w:i/>
              </w:rPr>
              <w:t>,</w:t>
            </w:r>
            <w:r>
              <w:t xml:space="preserve"> odejmout. Pokud je zpracování údajů nezbytné pro plnění smlouvy, může zákazník povolení, které udělil ke zpřístupnění zákaznických údajů uživateli údajů, odejmout v souladu se smluvními závazky, které se na něj vztahují.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Zákazník </w:t>
            </w:r>
            <w:r>
              <w:rPr>
                <w:b/>
                <w:i/>
              </w:rPr>
              <w:t>by měl mít možnost povolení udělené</w:t>
            </w:r>
            <w:r>
              <w:t xml:space="preserve"> uživateli údajů </w:t>
            </w:r>
            <w:r>
              <w:rPr>
                <w:b/>
                <w:i/>
              </w:rPr>
              <w:t>kdykoliv</w:t>
            </w:r>
            <w:r>
              <w:t xml:space="preserve"> odejmout. Pokud je zpracování údajů nezbytné pro plnění smlouvy, může zákazník povolení, které udělil ke zpřístupnění zákaznických údajů uživateli údajů, odejmout v souladu se smluvními závazky, které se na něj vztahují.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Alfred Sant,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nepředává žádné zákaznické údaje žádné třetí straně bez výslovného souhlasu zákazníka.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</w:t>
            </w:r>
            <w:r>
              <w:tab/>
            </w:r>
            <w:r>
              <w:rPr>
                <w:b/>
                <w:i/>
              </w:rPr>
              <w:t>při přístupu k zákaznickým údajům v souladu s čl. 5 odst. 1 dodržuje důvěrnost obchodních tajemství a práva duševního vlastnictví;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Držitel dat nemůže posoudit, která data se týkají obchodního tajemství nebo práv duševního vlastnictví.</w:t>
      </w:r>
      <w:r>
        <w:t xml:space="preserve"> </w:t>
      </w:r>
      <w:r>
        <w:t>To může učinit pouze zákazník.</w:t>
      </w:r>
      <w:r>
        <w:t xml:space="preserve"> </w:t>
      </w:r>
      <w:r>
        <w:t>Držitel dat by proto neměl být činěn odpovědným za jakékoli porušení.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dodržuje práva subjektů dat na ochranu údajů a úroveň ochrany zaručenou obecným nařízením o ochraně osobních údajů.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dodržuje práva subjektů dat na ochranu údajů a úroveň ochrany zaručenou obecným nařízením o ochraně osobních údajů.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nezpracovává zákaznické údaje</w:t>
            </w:r>
            <w:r>
              <w:t xml:space="preserve"> pro reklamní účely</w:t>
            </w:r>
            <w:r>
              <w:rPr>
                <w:b/>
                <w:i/>
              </w:rPr>
              <w:t>, s výjimkou přímého marketingu v souladu s právem Unie a vnitrostátním právem;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rPr>
                <w:b/>
                <w:i/>
              </w:rPr>
              <w:t>nezpracovávat údaje o zákaznících</w:t>
            </w:r>
            <w:r>
              <w:t xml:space="preserve"> pro reklamní účely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Pojem „přímý marketing“ není v textu jasně definován.</w:t>
      </w:r>
      <w:r>
        <w:t xml:space="preserve"> </w:t>
      </w:r>
      <w:r>
        <w:t>Údaje sdílené zákazníkem nesmí být použity k reklamním nebo cíleným marketingovým účelům.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nezpracovává zákaznické údaje pro reklamní účely, s výjimkou přímého marketingu </w:t>
            </w:r>
            <w:r>
              <w:rPr>
                <w:b/>
                <w:i/>
              </w:rPr>
              <w:t>v souladu s právem Unie a vnitrostátním právem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nezpracovává zákaznické údaje pro reklamní účely, s výjimkou přímého marketingu</w:t>
            </w:r>
            <w:r>
              <w:rPr>
                <w:b/>
                <w:i/>
              </w:rPr>
              <w:t>, s nímž zákazník předem souhlasil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nezpracovává zákaznické údaje pro reklamní účely, s výjimkou přímého marketingu </w:t>
            </w:r>
            <w:r>
              <w:rPr>
                <w:b/>
                <w:i/>
              </w:rPr>
              <w:t>v souladu s právem Unie a vnitrostátním právem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nezpracovává zákaznické údaje pro reklamní účely, s výjimkou přímého marketingu</w:t>
            </w:r>
            <w:r>
              <w:rPr>
                <w:b/>
                <w:i/>
              </w:rPr>
              <w:t>, k němuž byl udělen předběžný souhlas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nezpřístupňuje údaje, které obdrží, podniku označenému jako strážce přístupu podle článku 3 nařízení (EU) 2022/1925;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nezpřístupňuje údaje, které obdrží, podniku označenému jako strážce přístupu podle článku 3 nařízení (EU) 2022/1925;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nepředává údaje o zákaznících žádné třetí straně, a to ani v rámci systému outsourcingu, bez výslovného svolení zákazníka;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Znění stanoví, že pro předání údajů jinému subjektu skupiny je vyžadován souhlas zákazníka.</w:t>
      </w:r>
      <w:r>
        <w:t xml:space="preserve"> </w:t>
      </w:r>
      <w:r>
        <w:t>Tím spíše by mělo být vyžadováno i před jakýmkoli převodem na jiný subjekt, který není součástí skupiny, nebo dokonce v systému outsourcingu.</w:t>
      </w:r>
      <w:r>
        <w:t xml:space="preserve"> </w:t>
      </w:r>
      <w:r>
        <w:t>Spotřebitelé by měli mít kontrolu nad svými údaji v jakékoli situaci.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e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eb)</w:t>
            </w:r>
            <w:r>
              <w:tab/>
            </w:r>
            <w:r>
              <w:rPr>
                <w:b/>
                <w:i/>
              </w:rPr>
              <w:t>nezpřístupňuje údaje, které obdrží, podniku označenému jako strážce přístupu podle článku 3 nařízení (EU) 2022/1925;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využívá data, která obdrží, k vývoji výrobku, který konkuruje výrobku, z něhož zpřístupněná data pocházejí, nebo je za tímto účelem sdílí s jinou třetí stranou;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Fabio Massimo Castaldo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využívá data, která obdrží, k vývoji výrobku, který konkuruje výrobku, z něhož zpřístupněná data pocházejí, nebo je za tímto účelem sdílí s jinou třetí stranou;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Povinnosti obsažené v tomto článku se vztahují na prvotní přijetí dat uživatelem dat.</w:t>
            </w:r>
            <w:r>
              <w:t xml:space="preserve"> </w:t>
            </w:r>
            <w:r>
              <w:rPr>
                <w:b/>
                <w:i/>
              </w:rPr>
              <w:t>Jakmile uživatel dat shromažďuje, uchovává a zpracovává data podle definice v čl. 3 odst. 5, měl by být považován za držitele dat, a proto by se na něj měly vztahovat odpovídající povinnosti držitelů dat uvedené v článku 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Vyjasnění, že uživatel dat se stane držitelem dat, jakmile shromažďuje a ukládá data o zákaznících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Antonio Maria Rinaldi, Valentino Grant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Jakmile uživatel dat shromažďuje, uchovává a zpracovává data podle definice v čl. 3 odst. 5, měl by být považován za držitele dat, a proto by se na něj měly vztahovat povinnosti držitelů dat uvedené v článku 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Fabio Massimo Castaldo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Jakmile uživatel dat shromažďuje, uchovává a zpracovává data podle definice v čl. 3 odst. 5, měl by být považován za držitele dat, a proto by se na něj měly vztahovat povinnosti držitelů dat uvedené v článku 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6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Údaje podle tohoto nařízení se uchovávají na území Unie.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 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Zpracování zákaznických údajů uvedených v čl. 2 odst. 1 tohoto nařízení, které představují osobní údaje, je omezeno na to, co je nezbytné vzhledem k účelům, pro které jsou údaje zpracovávány.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Zpracování zákaznických údajů uvedených v čl. 2 odst. 1 tohoto nařízení, které představují osobní údaje, je omezeno na to, co je nezbytné vzhledem k účelům, pro které jsou údaje zpracovávány. </w:t>
            </w:r>
            <w:r>
              <w:rPr>
                <w:b/>
                <w:i/>
              </w:rPr>
              <w:t>Zákazníkům, kteří odmítnou udělit povolení ke sdílení souborů svých údajů, nesmí být z tohoto důvodu odepřen přístup k finančním produktům.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1 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Zpracování zákaznických údajů uvedených v čl. 2 odst. 1 tohoto nařízení</w:t>
            </w:r>
            <w:r>
              <w:rPr>
                <w:b/>
                <w:i/>
              </w:rPr>
              <w:t>, které představují osobní údaje,</w:t>
            </w:r>
            <w:r>
              <w:t xml:space="preserve"> je omezeno na to, co je nezbytné vzhledem k účelům, pro které jsou údaje zpracovávány.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Zpracování zákaznických údajů uvedených v čl. 2 odst. 1 tohoto nařízení je omezeno na to, co je nezbytné vzhledem k účelům, pro které jsou údaje zpracovávány. </w:t>
            </w:r>
            <w:r>
              <w:rPr>
                <w:b/>
                <w:i/>
              </w:rPr>
              <w:t>Zpracování osobních údajů uvedených v čl. 2 odst. 1 tohoto nařízení se provádí v souladu s čl. 5 odst. 1 nařízení (EU) 2016/679.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 souladu s článkem </w:t>
            </w:r>
            <w:r>
              <w:rPr>
                <w:b/>
                <w:i/>
              </w:rPr>
              <w:t>16</w:t>
            </w:r>
            <w:r>
              <w:t xml:space="preserve"> nařízení (EU) č. 1093/2010 vypracuje Evropský orgán pro bankovnictví (EBA) </w:t>
            </w:r>
            <w:r>
              <w:rPr>
                <w:b/>
                <w:i/>
              </w:rPr>
              <w:t>obecné pokyny</w:t>
            </w:r>
            <w:r>
              <w:t xml:space="preserve"> k provádění odstavce 1 tohoto článku pro produkty a služby související s úvěrovým ohodnocením spotřebitele.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 souladu s článkem </w:t>
            </w:r>
            <w:r>
              <w:rPr>
                <w:b/>
                <w:i/>
              </w:rPr>
              <w:t>10</w:t>
            </w:r>
            <w:r>
              <w:t xml:space="preserve"> nařízení (EU) č. 1093/2010 vypracuje Evropský orgán pro bankovnictví (EBA) </w:t>
            </w:r>
            <w:r>
              <w:rPr>
                <w:b/>
                <w:i/>
              </w:rPr>
              <w:t>regulační technické normy</w:t>
            </w:r>
            <w:r>
              <w:t xml:space="preserve"> k provádění odstavce 1 tohoto článku pro produkty a služby související s úvěrovým ohodnocením spotřebitele</w:t>
            </w:r>
            <w:r>
              <w:rPr>
                <w:b/>
                <w:i/>
              </w:rPr>
              <w:t>, se smlouvami o hypotečním úvěru a s poskytováním platebních služeb, které budou poskytnuty Komisi do prosince 2025.</w:t>
            </w:r>
            <w:r>
              <w:t xml:space="preserve"> </w:t>
            </w:r>
            <w:r>
              <w:rPr>
                <w:b/>
                <w:i/>
              </w:rPr>
              <w:t>Na Evropskou komisi jsou přeneseny pravomoci přijímat a v případě potřeby měnit regulační technické normy pro provádění odstavce 1 tohoto článku pro produkty a služby související s úvěrovým hodnocením spotřebitele.</w:t>
            </w:r>
            <w:r>
              <w:t xml:space="preserve"> </w:t>
            </w:r>
            <w:r>
              <w:rPr>
                <w:b/>
                <w:i/>
              </w:rPr>
              <w:t>Tyto regulační technické normy budou přijaty v souladu s články 10 až 14 nařízení (EU) č. 1093/2010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 souladu s článkem 16 nařízení (EU) č. 1093/2010 vypracuje Evropský orgán pro bankovnictví (EBA) obecné pokyny k provádění odstavce 1 tohoto článku pro produkty a služby související s úvěrovým ohodnocením spotřebitele.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 souladu s článkem 16 nařízení (EU) č. 1093/2010 vypracuje Evropský orgán pro bankovnictví (EBA) obecné pokyny k provádění odstavce 1 tohoto článku pro produkty a služby související s úvěrovým ohodnocením spotřebitele</w:t>
            </w:r>
            <w:r>
              <w:rPr>
                <w:b/>
                <w:i/>
              </w:rPr>
              <w:t>, se smlouvami o hypotečním úvěru, účty zahrnující kreditní karty a investiční proudkty</w:t>
            </w:r>
            <w:r>
              <w:t xml:space="preserve">. </w:t>
            </w:r>
            <w:r>
              <w:rPr>
                <w:b/>
                <w:i/>
              </w:rPr>
              <w:t>Orgán EMA předloží návrh pokynů uvedených v prvním pododstavci Komisi do ... [XX]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V souladu s článkem 16 nařízení (EU) č. 1093/2010 vypracuje Evropský orgán pro bankovnictví (EBA) obecné pokyny k provádění odstavce 1 tohoto článku pro produkty a služby související s úvěrovým ohodnocením spotřebitele.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V souladu s článkem 16 nařízení (EU) č. 1093/2010 vypracuje Evropský orgán pro bankovnictví (EBA) obecné pokyny k provádění odstavce 1 tohoto článku pro produkty a služby související s úvěrovým ohodnocením spotřebitele. </w:t>
            </w:r>
            <w:r>
              <w:rPr>
                <w:b/>
                <w:i/>
              </w:rPr>
              <w:t>Orgán EBA přitom řádně zohlední příslušná ustanovení směrnice (EU) 2023/2225 o smlouvách o spotřebitelském úvěru, včetně následných prováděcích právních předpisů a obecných pokynů.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Sladění s příslušnými ustanoveními směrnice o spotřebitelském úvěru je žádoucí, aby se zabránilo překrývání a zbytečné byrokratické zátěži.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Alfred Sant,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V souladu s článkem 16 nařízení (EU) č. 1093/2010 vypracuje</w:t>
            </w:r>
            <w:r>
              <w:t xml:space="preserve"> Evropský orgán pro bankovnictví (EBA) </w:t>
            </w:r>
            <w:r>
              <w:rPr>
                <w:b/>
                <w:i/>
              </w:rPr>
              <w:t>obecné pokyny k</w:t>
            </w:r>
            <w:r>
              <w:t xml:space="preserve"> provádění odstavce 1 tohoto článku pro produkty a služby související s úvěrovým </w:t>
            </w:r>
            <w:r>
              <w:rPr>
                <w:b/>
                <w:i/>
              </w:rPr>
              <w:t>ohodnocením</w:t>
            </w:r>
            <w:r>
              <w:t xml:space="preserve"> spotřebitele.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Evropský orgán pro bankovnictví (EBA) </w:t>
            </w:r>
            <w:r>
              <w:rPr>
                <w:b/>
                <w:i/>
              </w:rPr>
              <w:t>vypracuje návrhy regulačních technických norem pro</w:t>
            </w:r>
            <w:r>
              <w:t xml:space="preserve"> provádění odstavce 1 tohoto článku pro produkty a služby související s úvěrovým </w:t>
            </w:r>
            <w:r>
              <w:rPr>
                <w:b/>
                <w:i/>
              </w:rPr>
              <w:t>hodnocením</w:t>
            </w:r>
            <w:r>
              <w:t xml:space="preserve"> spotřebitele</w:t>
            </w:r>
            <w:r>
              <w:rPr>
                <w:b/>
                <w:i/>
              </w:rPr>
              <w:t>, smlouvami o hypotečním úvěru a platebními službami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V souladu s článkem 16 nařízení (EU) č. 1094/2010 vypracuje Evropský orgán pro pojišťovnictví a zaměstnanecké penzijní pojištění (EIOPA) obecné pokyny k provádění odstavce 1 tohoto článku pro produkty a služby související s posuzováním rizik a stanovováním cen u spotřebitele v případě produktů životního, zdravotního a nemocenského pojištění.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 souladu s článkem 16 nařízení (EU) č. 1094/2010 vypracuje Evropský orgán pro pojišťovnictví a zaměstnanecké penzijní pojištění (EIOPA) obecné pokyny k provádění odstavce 1 tohoto článku pro produkty a služby související s posuzováním rizik a stanovováním cen u spotřebitele v případě produktů životního, zdravotního a nemocenského pojištění </w:t>
            </w:r>
            <w:r>
              <w:rPr>
                <w:b/>
                <w:i/>
              </w:rPr>
              <w:t>a pojištění vozidel a nemovitostí.</w:t>
            </w:r>
            <w:r>
              <w:t xml:space="preserve"> </w:t>
            </w:r>
            <w:r>
              <w:rPr>
                <w:b/>
                <w:i/>
              </w:rPr>
              <w:t>Tyto obecné pokyny obsahují ustanovení o tom, jak lze údaje používat, aby se zabránilo nadměrné granularitě, která podkopává zásadu sdílení rizik pojištění.</w:t>
            </w:r>
            <w:r>
              <w:t xml:space="preserve"> </w:t>
            </w:r>
            <w:r>
              <w:rPr>
                <w:b/>
                <w:i/>
              </w:rPr>
              <w:t>Orgán EIOPA předloží návrhy pokynů uvedené v prvním pododstavci Komisi do [XX]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399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V souladu s článkem 16 nařízení (EU) č. 1094/2010 vypracuje</w:t>
            </w:r>
            <w:r>
              <w:t xml:space="preserve"> Evropský orgán pro pojišťovnictví a zaměstnanecké penzijní pojištění (EIOPA) </w:t>
            </w:r>
            <w:r>
              <w:rPr>
                <w:b/>
                <w:i/>
              </w:rPr>
              <w:t>obecné pokyny k</w:t>
            </w:r>
            <w:r>
              <w:t xml:space="preserve"> provádění odstavce 1 tohoto článku pro produkty a služby související s posuzováním rizik a stanovováním cen u spotřebitele v případě produktů životního, zdravotního a nemocenského pojištění.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Evropský orgán pro pojišťovnictví a zaměstnanecké penzijní pojištění (EIOPA) </w:t>
            </w:r>
            <w:r>
              <w:rPr>
                <w:b/>
                <w:i/>
              </w:rPr>
              <w:t>vypracuje návrhy regulačních technických norem pro</w:t>
            </w:r>
            <w:r>
              <w:t xml:space="preserve"> provádění odstavce 1 tohoto článku pro produkty a služby související s posuzováním rizik a stanovováním cen u spotřebitele v případě produktů </w:t>
            </w:r>
            <w:r>
              <w:rPr>
                <w:b/>
                <w:i/>
              </w:rPr>
              <w:t>neživotního,</w:t>
            </w:r>
            <w:r>
              <w:t xml:space="preserve"> životního, zdravotního a nemocenského pojištění. </w:t>
            </w:r>
            <w:r>
              <w:rPr>
                <w:b/>
                <w:i/>
              </w:rPr>
              <w:t>Aby se zabránilo tomu, že někteří spotřebitelé nebudou mít přístup k pojištění z důvodu příliš granulárního posouzení rizik ze strany pojistitelů, musí tyto regulační technické normy obsahovat ustanovení o tom, jak mohou být údaje použity, aby se zabránilo nadměrné granularitě, která narušuje zásadu „sdílení rizik“ pojištění.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 souladu s článkem </w:t>
            </w:r>
            <w:r>
              <w:rPr>
                <w:b/>
                <w:i/>
              </w:rPr>
              <w:t>16</w:t>
            </w:r>
            <w:r>
              <w:t xml:space="preserve"> nařízení (EU) č. 1094/2010 vypracuje Evropský orgán pro pojišťovnictví a zaměstnanecké penzijní pojištění (EIOPA) </w:t>
            </w:r>
            <w:r>
              <w:rPr>
                <w:b/>
                <w:i/>
              </w:rPr>
              <w:t>obecné pokyny k</w:t>
            </w:r>
            <w:r>
              <w:t xml:space="preserve"> provádění odstavce 1 tohoto článku pro produkty a služby související s posuzováním rizik a stanovováním cen u spotřebitele v případě produktů životního, zdravotního </w:t>
            </w:r>
            <w:r>
              <w:rPr>
                <w:b/>
                <w:i/>
              </w:rPr>
              <w:t>a nemocenského</w:t>
            </w:r>
            <w:r>
              <w:t xml:space="preserve"> pojištění.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 souladu s článkem </w:t>
            </w:r>
            <w:r>
              <w:rPr>
                <w:b/>
                <w:i/>
              </w:rPr>
              <w:t>10</w:t>
            </w:r>
            <w:r>
              <w:t xml:space="preserve"> nařízení (EU) č. 1094/2010 vypracuje Evropský orgán pro pojišťovnictví a zaměstnanecké penzijní pojištění (EIOPA) </w:t>
            </w:r>
            <w:r>
              <w:rPr>
                <w:b/>
                <w:i/>
              </w:rPr>
              <w:t>regulační technické normy pro</w:t>
            </w:r>
            <w:r>
              <w:t xml:space="preserve"> provádění odstavce 1 tohoto článku pro produkty a služby související s posuzováním rizik a stanovováním cen u spotřebitele v případě produktů životního, zdravotního</w:t>
            </w:r>
            <w:r>
              <w:rPr>
                <w:b/>
                <w:i/>
              </w:rPr>
              <w:t>, nemocenského a základního pojištění a pojištění motorových vozidel a nemovitostí, jako je</w:t>
            </w:r>
            <w:r>
              <w:t xml:space="preserve"> pojištění </w:t>
            </w:r>
            <w:r>
              <w:rPr>
                <w:b/>
                <w:i/>
              </w:rPr>
              <w:t>automobilů a domů nebo majetku, které mají být předloženy Komisi do prosince 2025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 souladu s článkem 16 nařízení (EU) č. 1094/2010 vypracuje Evropský orgán pro pojišťovnictví a zaměstnanecké penzijní pojištění (EIOPA) obecné pokyny k provádění odstavce 1 tohoto článku pro produkty a služby související s posuzováním rizik a stanovováním cen u spotřebitele v případě </w:t>
            </w:r>
            <w:r>
              <w:rPr>
                <w:b/>
                <w:i/>
              </w:rPr>
              <w:t>produktů životního, zdravotního a nemocenského</w:t>
            </w:r>
            <w:r>
              <w:t xml:space="preserve"> pojištění.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 souladu s článkem 16 nařízení (EU) č. 1094/2010 vypracuje Evropský orgán pro pojišťovnictví a zaměstnanecké penzijní pojištění (EIOPA) obecné pokyny k provádění odstavce 1 tohoto článku pro produkty a služby související s posuzováním rizik a stanovováním cen u spotřebitele v případě </w:t>
            </w:r>
            <w:r>
              <w:rPr>
                <w:b/>
                <w:i/>
              </w:rPr>
              <w:t>pojistných produktů, které nejsou investičními produkty na bázi</w:t>
            </w:r>
            <w:r>
              <w:t xml:space="preserve"> pojištění.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Fabio Massimo Castaldo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 souladu s článkem 16 nařízení (EU) č. 1094/2010 vypracuje Evropský orgán pro pojišťovnictví a zaměstnanecké penzijní pojištění (EIOPA) obecné pokyny k provádění odstavce 1 tohoto článku pro produkty a služby související s posuzováním rizik a stanovováním cen u spotřebitele v případě </w:t>
            </w:r>
            <w:r>
              <w:rPr>
                <w:b/>
                <w:i/>
              </w:rPr>
              <w:t>produktů životního, zdravotního a nemocenského</w:t>
            </w:r>
            <w:r>
              <w:t xml:space="preserve"> pojištění.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V souladu s článkem 16 nařízení (EU) č. 1094/2010 vypracuje Evropský orgán pro pojišťovnictví a zaměstnanecké penzijní pojištění (EIOPA) obecné pokyny k provádění odstavce 1 tohoto článku pro produkty a služby související s posuzováním rizik a stanovováním cen u spotřebitele v případě </w:t>
            </w:r>
            <w:r>
              <w:rPr>
                <w:b/>
                <w:i/>
              </w:rPr>
              <w:t>pojistných produktů, které nejsou investičními produkty na bázi</w:t>
            </w:r>
            <w:r>
              <w:t xml:space="preserve"> pojištění.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Alfred Sant,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Pro účely odstavců 2 a 3 tohoto článku by se regulační technické normy měly zabývat: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omezením kombinování „údajů o zákaznících“ získaných na základě návrhu s jinými druhy osobních údajů;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zárukami vysvětlitelnosti, transparentnosti a předcházení předsudkům, které je třeba uplatňovat při zavádění, používání nebo výcviku nástrojů a algoritmů umělé inteligence pro kterýkoli z účelů uvedených v odstavcích 2 a 3 tohoto článku;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povinnostmi finančních institucí poskytovat informace, pokud je zákazníkovi předložena personalizovaná nabídka založená na profilování nebo jiných typech automatizovaného zpracování osobních údajů;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d) jak se „právo být zapomenut“ bývalých onkologických pacientů uplatní v souvislosti s pojistkami nesouvisejícími s úvěry, včetně životního a zdravotního pojištění, v souladu s článkem 124 zprávy Evropského parlamentu z vlastního podnětu za rok 2020/2267 (INI).</w:t>
            </w:r>
            <w:r>
              <w:t xml:space="preserve"> </w:t>
            </w:r>
            <w:r>
              <w:rPr>
                <w:b/>
                <w:i/>
              </w:rPr>
              <w:t>To se rozšíří i na další chronická onemocnění a duševní onemocnění.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V souladu s článkem 10 nařízení (EU) č. 1094/2010 vypracují Evropský orgán pro cenné papíry a trhy a Evropský orgán pro pojišťovnictví a zaměstnanecké penzijní pojištění regulační technické normy pro provádění odstavce 1 tohoto článku pro produkty a služby související s posouzením vhodnosti a přiměřenosti vyžadovaným podle článku 25 směrnice (EU) 2014/65/EU, článku 30 směrnice (EU) 2015/97 a čl. 81 odst. 1 nařízení (EU) 2023/1114, které spotřebitel předloží Komisi do prosince 2025.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Na Evropskou komisi jsou přeneseny pravomoci přijímat regulační technické normy pro provádění odstavců 2, 3 a 3a.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3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3c.</w:t>
            </w:r>
            <w:r>
              <w:tab/>
            </w:r>
            <w:r>
              <w:rPr>
                <w:b/>
                <w:i/>
              </w:rPr>
              <w:t>Pro účely odstavců 2 a 3 tohoto článku se regulační technické normy zabývají: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omezením kombinování „údajů o zákaznících“ získaných na základě tohoto nařízení s jinými druhy osobních údajů;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zárukami vysvětlitelnosti, transparentnosti a předcházení předsudkům, které je třeba uplatňovat při zavádění, používání nebo výcviku nástrojů a algoritmů umělé inteligence pro kterýkoli z účelů uvedených v odstavcích 2, 3 a 3a tohoto článku;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povinnostmi finančních institucí poskytovat informace, pokud je zákazníkovi předložena personalizovaná nabídka založená na profilování nebo jiných typech automatizovaného zpracování osobních údajů;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d) jak se „právo být zapomenut“ bývalých onkologických pacientů uplatní v souvislosti s pojistkami nesouvisejícími s úvěry, včetně životního a zdravotního pojištění, v souladu s článkem 124 zprávy Evropského parlamentu z vlastního podnětu za rok 2020/2267 (INI).</w:t>
            </w:r>
            <w:r>
              <w:rPr>
                <w:b/>
                <w:i/>
              </w:rPr>
              <w:t>To se rozšíří i na další chronická onemocnění.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e) jak lze údaje používat, aby se zabránilo nadměrné granularitě, která podkopává zásadu sdílení rizik pojištění.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Při přípravě </w:t>
            </w:r>
            <w:r>
              <w:rPr>
                <w:b/>
                <w:i/>
              </w:rPr>
              <w:t>obecných pokynů</w:t>
            </w:r>
            <w:r>
              <w:t xml:space="preserve"> uvedených v odstavcích 2 a 3 tohoto článku EIOPA a EBA úzce spolupracují s Evropským sborem pro ochranu osobních údajů zřízeným nařízením (EU) 2016/679.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Při přípravě </w:t>
            </w:r>
            <w:r>
              <w:rPr>
                <w:b/>
                <w:i/>
              </w:rPr>
              <w:t>regulačních technických norem</w:t>
            </w:r>
            <w:r>
              <w:t xml:space="preserve"> uvedených v odstavcích 2 a 3 tohoto článku EIOPA a EBA úzce spolupracují </w:t>
            </w:r>
            <w:r>
              <w:rPr>
                <w:b/>
                <w:i/>
              </w:rPr>
              <w:t>a vedou formální konzultace</w:t>
            </w:r>
            <w:r>
              <w:t xml:space="preserve"> s Evropským sborem pro ochranu osobních údajů zřízeným nařízením (EU) 2016/679. </w:t>
            </w:r>
            <w:r>
              <w:rPr>
                <w:b/>
                <w:i/>
              </w:rPr>
              <w:t>Regulační technické normy vypracované orgány EBA a EIOPA rovněž případně řeší omezení kombinování údajů o spotřebitelích získaných na základě tohoto návrhu s jinými druhy osobních údajů.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Při přípravě </w:t>
            </w:r>
            <w:r>
              <w:rPr>
                <w:b/>
                <w:i/>
              </w:rPr>
              <w:t>obecných pokynů</w:t>
            </w:r>
            <w:r>
              <w:t xml:space="preserve"> uvedených v odstavcích 2 </w:t>
            </w:r>
            <w:r>
              <w:rPr>
                <w:b/>
                <w:i/>
              </w:rPr>
              <w:t>a 3</w:t>
            </w:r>
            <w:r>
              <w:t xml:space="preserve"> tohoto článku EIOPA a EBA </w:t>
            </w:r>
            <w:r>
              <w:rPr>
                <w:b/>
                <w:i/>
              </w:rPr>
              <w:t>úzce spolupracují s Evropským sborem</w:t>
            </w:r>
            <w:r>
              <w:t xml:space="preserve"> pro ochranu osobních údajů zřízeným nařízením (EU) 2016/679.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Při přípravě </w:t>
            </w:r>
            <w:r>
              <w:rPr>
                <w:b/>
                <w:i/>
              </w:rPr>
              <w:t>regulačních technických norem a návrhu regulačních norem</w:t>
            </w:r>
            <w:r>
              <w:t xml:space="preserve"> uvedených v odstavcích 2</w:t>
            </w:r>
            <w:r>
              <w:rPr>
                <w:b/>
                <w:i/>
              </w:rPr>
              <w:t>, 3 a 3a</w:t>
            </w:r>
            <w:r>
              <w:t xml:space="preserve"> tohoto článku EIOPA</w:t>
            </w:r>
            <w:r>
              <w:rPr>
                <w:b/>
                <w:i/>
              </w:rPr>
              <w:t>, ESMA</w:t>
            </w:r>
            <w:r>
              <w:t xml:space="preserve"> a EBA </w:t>
            </w:r>
            <w:r>
              <w:rPr>
                <w:b/>
                <w:i/>
              </w:rPr>
              <w:t>formálně konzultují Evropský sbor</w:t>
            </w:r>
            <w:r>
              <w:t xml:space="preserve"> pro ochranu osobních údajů zřízeným nařízením (EU) 2016/679.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Spotřebitelům nesmí být odepřen přístup k finančnímu produktu, pokud nedají souhlas k přístupu ke svým údajům nebo k jejich sdílení prostřednictvím rámce stanoveného tímto nařízením.</w:t>
            </w:r>
            <w:r>
              <w:t xml:space="preserve"> </w:t>
            </w:r>
            <w:r>
              <w:rPr>
                <w:b/>
                <w:i/>
              </w:rPr>
              <w:t>Pro účely provádění tohoto odstavce nese důkazní břemeno uživatel údajů.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Evropskému orgánu pro bankovnictví (EBA), Evropskému orgánu pro cenné papíry a trhy (ESMA) a Evropskému orgánu pro pojišťovnictví a zaměstnanecké penzijní pojištění (EIOPA) se poskytnou dodatečné finanční a lidské zdroje pro plnění jejich úkolů podle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Evropské orgány dohledu vypracují pokyny pro zpracování údajů o zákaznících uvedených v čl. 2 odst. 1 písm. fa) tohoto nařízení, které představují necitlivé údaje.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7 – odst. 4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4b.</w:t>
            </w:r>
            <w:r>
              <w:tab/>
            </w:r>
            <w:r>
              <w:rPr>
                <w:b/>
                <w:i/>
              </w:rPr>
              <w:t>Evropskému orgánu pro bankovnictví (EBA) a Evropskému orgánu pro pojišťovnictví a zaměstnanecké penzijní pojištění (EIOPA) se poskytnou dodatečné finanční a lidské zdroje pro plnění jejich úkolů podle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Držitel údajů poskytne zákazníkovi přehled o povoleních</w:t>
            </w:r>
            <w:r>
              <w:rPr>
                <w:b/>
                <w:i/>
              </w:rPr>
              <w:t>, aby mohl zákazník sledovat a spravovat</w:t>
            </w:r>
            <w:r>
              <w:t xml:space="preserve"> povolení, která </w:t>
            </w:r>
            <w:r>
              <w:rPr>
                <w:b/>
                <w:i/>
              </w:rPr>
              <w:t>udělil</w:t>
            </w:r>
            <w:r>
              <w:t xml:space="preserve"> uživatelům </w:t>
            </w:r>
            <w:r>
              <w:rPr>
                <w:b/>
                <w:i/>
              </w:rPr>
              <w:t>údajů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Držitel údajů poskytne zákazníkovi přehled o povoleních </w:t>
            </w:r>
            <w:r>
              <w:rPr>
                <w:b/>
                <w:i/>
              </w:rPr>
              <w:t>v souladu se specifikacemi požadovanými pro ovládací panely pro povolení k údajům, jak je stanoveno v nařízení Evropského parlamentu a Rady (EU) [XXXX/XXXX] (PSR/PSD3), ke sledování a správě</w:t>
            </w:r>
            <w:r>
              <w:t xml:space="preserve"> povolení, která </w:t>
            </w:r>
            <w:r>
              <w:rPr>
                <w:b/>
                <w:i/>
              </w:rPr>
              <w:t>zákazník poskytl</w:t>
            </w:r>
            <w:r>
              <w:t xml:space="preserve"> uživatelům </w:t>
            </w:r>
            <w:r>
              <w:rPr>
                <w:b/>
                <w:i/>
              </w:rPr>
              <w:t>dat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Držitel údajů poskytne zákazníkovi přehled o povoleních, aby mohl </w:t>
            </w:r>
            <w:r>
              <w:rPr>
                <w:b/>
                <w:i/>
              </w:rPr>
              <w:t>zákazník</w:t>
            </w:r>
            <w:r>
              <w:t xml:space="preserve"> sledovat a spravovat povolení, která udělil uživatelům údajů.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Držitel údajů poskytne zákazníkovi přehled o povoleních, </w:t>
            </w:r>
            <w:r>
              <w:rPr>
                <w:b/>
                <w:i/>
              </w:rPr>
              <w:t>který je zákazníkovi trvale k dispozici,</w:t>
            </w:r>
            <w:r>
              <w:t xml:space="preserve"> aby mohl sledovat a spravovat povolení, která udělil uživatelům údajů.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poskytuje</w:t>
            </w:r>
            <w:r>
              <w:t xml:space="preserve"> zákazníkovi přehled o </w:t>
            </w:r>
            <w:r>
              <w:rPr>
                <w:b/>
                <w:i/>
              </w:rPr>
              <w:t>všech aktuálních povoleních udělených</w:t>
            </w:r>
            <w:r>
              <w:t xml:space="preserve"> uživatelům </w:t>
            </w:r>
            <w:r>
              <w:rPr>
                <w:b/>
                <w:i/>
              </w:rPr>
              <w:t>údajů, včetně těchto informací</w:t>
            </w:r>
            <w:r>
              <w:t>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poskytnout</w:t>
            </w:r>
            <w:r>
              <w:t xml:space="preserve"> zákazníkovi přehled o </w:t>
            </w:r>
            <w:r>
              <w:rPr>
                <w:b/>
                <w:i/>
              </w:rPr>
              <w:t>každém probíhajícím povolení uděleném</w:t>
            </w:r>
            <w:r>
              <w:t xml:space="preserve"> uživatelům </w:t>
            </w:r>
            <w:r>
              <w:rPr>
                <w:b/>
                <w:i/>
              </w:rPr>
              <w:t>dat v rozsahu, v jakém tyto informace držiteli dat poskytl uživatel dat, včetně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poskytuje zákazníkovi přehled o </w:t>
            </w:r>
            <w:r>
              <w:rPr>
                <w:b/>
                <w:i/>
              </w:rPr>
              <w:t>všech aktuálních povoleních udělených</w:t>
            </w:r>
            <w:r>
              <w:t xml:space="preserve"> uživatelům </w:t>
            </w:r>
            <w:r>
              <w:rPr>
                <w:b/>
                <w:i/>
              </w:rPr>
              <w:t>údajů, včetně těchto informací</w:t>
            </w:r>
            <w:r>
              <w:t>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poskytuje zákazníkovi přehled o </w:t>
            </w:r>
            <w:r>
              <w:rPr>
                <w:b/>
                <w:i/>
              </w:rPr>
              <w:t>každém probíhajícím povolení uděleném</w:t>
            </w:r>
            <w:r>
              <w:t xml:space="preserve"> uživatelům </w:t>
            </w:r>
            <w:r>
              <w:rPr>
                <w:b/>
                <w:i/>
              </w:rPr>
              <w:t>dat v rozsahu, který uživatel dat poskytl, včetně</w:t>
            </w:r>
            <w:r>
              <w:t>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poskytuje zákazníkovi přehled o všech aktuálních povoleních udělených uživatelům údajů, včetně těchto informací: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poskytuje zákazníkovi přehled o všech aktuálních povoleních udělených uživatelům údajů, </w:t>
            </w:r>
            <w:r>
              <w:rPr>
                <w:b/>
                <w:i/>
              </w:rPr>
              <w:t>ve snadno srozumitelném formátu, a to</w:t>
            </w:r>
            <w:r>
              <w:t xml:space="preserve"> včetně těchto informací: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poskytuje zákazníkovi přehled o všech aktuálních povoleních udělených uživatelům údajů, včetně těchto informací: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poskytuje zákazníkovi </w:t>
            </w:r>
            <w:r>
              <w:rPr>
                <w:b/>
                <w:i/>
              </w:rPr>
              <w:t>kdykoli</w:t>
            </w:r>
            <w:r>
              <w:t xml:space="preserve"> přehled o všech aktuálních povoleních udělených uživatelům údajů, včetně těchto informací: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jména </w:t>
            </w:r>
            <w:r>
              <w:rPr>
                <w:b/>
                <w:i/>
              </w:rPr>
              <w:t>nebo názvu uživatele</w:t>
            </w:r>
            <w:r>
              <w:t xml:space="preserve"> údajů, kterému byl přístup udělen;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jména </w:t>
            </w:r>
            <w:r>
              <w:rPr>
                <w:b/>
                <w:i/>
              </w:rPr>
              <w:t>a podrobnosti o uživateli</w:t>
            </w:r>
            <w:r>
              <w:t xml:space="preserve"> údajů, kterému byl přístup udělen;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bod 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iii)</w:t>
            </w:r>
            <w:r>
              <w:tab/>
            </w:r>
            <w:r>
              <w:t>účelu povolení;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iii)</w:t>
            </w:r>
            <w:r>
              <w:tab/>
            </w:r>
            <w:r>
              <w:rPr>
                <w:b/>
                <w:i/>
              </w:rPr>
              <w:t>podrobný popis</w:t>
            </w:r>
            <w:r>
              <w:t xml:space="preserve"> účelu povolení;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bod iv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iv)</w:t>
            </w:r>
            <w:r>
              <w:tab/>
            </w:r>
            <w:r>
              <w:t>kategorií sdílených údajů;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iv)</w:t>
            </w:r>
            <w:r>
              <w:tab/>
            </w:r>
            <w:r>
              <w:t xml:space="preserve">kategorií </w:t>
            </w:r>
            <w:r>
              <w:rPr>
                <w:b/>
                <w:i/>
              </w:rPr>
              <w:t>specifických</w:t>
            </w:r>
            <w:r>
              <w:t xml:space="preserve"> sdílených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bod v a (nový) 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va)</w:t>
            </w:r>
            <w:r>
              <w:tab/>
            </w:r>
            <w:r>
              <w:rPr>
                <w:b/>
                <w:i/>
              </w:rPr>
              <w:t>datum, kdy zákazník udělil uživateli dat přístup;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Přehled poskytnutý držiteli dat by měl zákazníkům umožnit přesně zjistit, kdy udělili svolení danému uživateli údajů nebo poskytovateli finančních informačních služeb.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a – bod v b (nový) 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vb)</w:t>
            </w:r>
            <w:r>
              <w:tab/>
            </w:r>
            <w:r>
              <w:rPr>
                <w:b/>
                <w:i/>
              </w:rPr>
              <w:t>umístění sdílených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Přehled poskytnutý držiteli by měl zákazníkům umožnit kdykoli zjistit, kde přesně jsou jejich údaje uloženy.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umožňuje zákazníkovi odejmout povolení udělené uživateli údajů;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umožňuje zákazníkovi </w:t>
            </w:r>
            <w:r>
              <w:rPr>
                <w:b/>
                <w:i/>
              </w:rPr>
              <w:t>kdykoliv a zdarma</w:t>
            </w:r>
            <w:r>
              <w:t xml:space="preserve"> odejmout povolení udělené uživateli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umožňuje zákazníkovi odejmout povolení udělené uživateli údajů;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umožňuje zákazníkovi </w:t>
            </w:r>
            <w:r>
              <w:rPr>
                <w:b/>
                <w:i/>
              </w:rPr>
              <w:t>kdykoliv</w:t>
            </w:r>
            <w:r>
              <w:t xml:space="preserve"> odejmout povolení udělené uživateli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</w:t>
            </w:r>
            <w:r>
              <w:tab/>
            </w:r>
            <w:r>
              <w:rPr>
                <w:b/>
                <w:i/>
              </w:rPr>
              <w:t>umožňuje zákazníkovi obnovit všechna odejmutá povolení;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2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>umožňuje zákazníkovi obnovit všechna odejmutá povolení;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umožňuje zákazníkovi </w:t>
            </w:r>
            <w:r>
              <w:rPr>
                <w:b/>
                <w:i/>
              </w:rPr>
              <w:t>kdykoliv</w:t>
            </w:r>
            <w:r>
              <w:t xml:space="preserve"> obnovit všechna odejmutá povolení;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Držitel údajů zajistí, aby bylo možné přehled o povoleních v jeho uživatelském rozhraní snadno nalézt a aby informace v tomto přehledu zobrazené byly jasné, přesné a pro zákazníka snadno srozumitelné.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Držitel údajů zajistí, aby bylo možné přehled o povoleních v jeho uživatelském rozhraní snadno nalézt a aby informace v tomto přehledu zobrazené byly jasné, přesné a pro zákazníka snadno srozumitelné </w:t>
            </w:r>
            <w:r>
              <w:rPr>
                <w:b/>
                <w:i/>
              </w:rPr>
              <w:t>a aby byly v souladu s evropskými právními rámci pro ochranu údajů a spotřebitele, zejména s nařízením (EU) 2016/679, směrnicí (EU) 2019/2161, směrnicí 93/13/EHS a směrnicí 2011/83 EU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Držitel dat zajistí, aby přehled údajů nebyl navržen způsobem, aby motivoval zákazníka k udělování nebo odejmutí povolení nebo jej nepřiměřeně ovlivňoval.</w:t>
            </w:r>
            <w:r>
              <w:rPr>
                <w:b/>
                <w:i/>
              </w:rPr>
              <w:t>K tomu patří: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postup pro odvolání souhlasu nesmí být obtížnější než postup pro udělení přístupu;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poskytovatelé přehledu nesmějí své rozhraní koncipovat, uspořádat ani provozovat způsobem, který klame příjemce jejich služby nebo jimi manipuluje, či jinak podstatně narušuje či omezuje schopnost příjemců jejich služeb činit svobodná a informovaná rozhodnutí.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Držitel dat zajistí, aby přehled nebyl navržen tak, aby motivoval zákazníka k udělování nebo odnímání povolení nebo je nepatřičně ovlivňoval, a to i prostřednictvím používání temných vzorců a předsunutých políček.</w:t>
            </w:r>
            <w:r>
              <w:t xml:space="preserve"> </w:t>
            </w:r>
            <w:r>
              <w:rPr>
                <w:b/>
                <w:i/>
              </w:rPr>
              <w:t>Například postup pro odvolání souhlasu nesmí být obtížnější než postup pro udělení přístupu;</w:t>
            </w:r>
            <w:r>
              <w:t xml:space="preserve"> </w:t>
            </w:r>
            <w:r>
              <w:rPr>
                <w:b/>
                <w:i/>
              </w:rPr>
              <w:t>Orgány EBA a EIOPA jsou povinny v úzké spolupráci s Evropským sborem pro ochranu osobních údajů zřízeným nařízením (EU) 2016/679 vypracovat pokyny k provádění tohoto odstavce.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3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Držitel dat zajistí, aby přehled údajů byl navržen uživatelsky vstřícným způsobem, kdy budou informace prezentovány neutrálně a nebudou zákazníka motivovat k udělování nebo odejmutí povolení nebo jej nepřiměřeně ovlivňovat.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3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Držitelé dat používají evropskou peněženku digitální identity vydanou členským státem, jak je uvedeno v návrhu, kterým se mění nařízení (EU) č. 910/2014, pokud jde o zřízení rámce pro evropskou digitální identitu pro spotřebitele, s cílem pomoci identifikovat zákazníka online a ověřit souhlas s poskytováním svolení spotřebitelů prostřednictvím přehledů povolení přístupu k datům.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Držitel údajů a uživatel údajů, pro kterého zákazník udělil povolení, spolupracují na zpřístupnění informací zákazníkovi prostřednictvím přehledu </w:t>
            </w:r>
            <w:r>
              <w:rPr>
                <w:b/>
                <w:i/>
              </w:rPr>
              <w:t>v reálném čase</w:t>
            </w:r>
            <w:r>
              <w:t>. Pro splnění povinností uvedených v odst. 2 písm. a), b), c) a d) tohoto článku: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Držitel údajů a uživatel údajů, pro kterého zákazník udělil povolení, spolupracují na </w:t>
            </w:r>
            <w:r>
              <w:rPr>
                <w:b/>
                <w:i/>
              </w:rPr>
              <w:t>okamžitém</w:t>
            </w:r>
            <w:r>
              <w:t xml:space="preserve"> zpřístupnění informací zákazníkovi prostřednictvím přehledu. Pro splnění povinností uvedených v odst. 2 písm. a), b), c) a d) tohoto článku: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Držitel údajů a uživatel údajů, pro kterého zákazník udělil povolení, spolupracují na zpřístupnění informací zákazníkovi prostřednictvím přehledu </w:t>
            </w:r>
            <w:r>
              <w:rPr>
                <w:b/>
                <w:i/>
              </w:rPr>
              <w:t>v reálném čase</w:t>
            </w:r>
            <w:r>
              <w:t>. Pro splnění povinností uvedených v odst. 2 písm. a), b), c) a d) tohoto článku: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Držitel údajů a uživatel údajů, pro kterého zákazník udělil povolení, spolupracují na </w:t>
            </w:r>
            <w:r>
              <w:rPr>
                <w:b/>
                <w:i/>
              </w:rPr>
              <w:t>okamžitém</w:t>
            </w:r>
            <w:r>
              <w:t xml:space="preserve"> zpřístupnění informací zákazníkovi prostřednictvím přehledu. Pro splnění povinností uvedených v odst. 2 písm. a), b), c) a d) tohoto článku: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držitel údajů informuje uživatele údajů o změnách povolení týkajících se tohoto uživatele údajů, které provedl zákazník prostřednictvím přehledu;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držitel údajů informuje uživatele údajů o změnách povolení</w:t>
            </w:r>
            <w:r>
              <w:rPr>
                <w:b/>
                <w:i/>
              </w:rPr>
              <w:t>, včetně odejmutí,</w:t>
            </w:r>
            <w:r>
              <w:t xml:space="preserve"> týkajících se tohoto uživatele údajů, které provedl zákazník prostřednictvím přehledu;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písm. b – písm. iii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iii a)</w:t>
            </w:r>
            <w:r>
              <w:tab/>
            </w:r>
            <w:r>
              <w:rPr>
                <w:b/>
                <w:i/>
              </w:rPr>
              <w:t>právní základ podle čl. 6 odst. 1 nařízení GDPR a případně výjimka podle čl. 9 odst. 2 nařízení GDPR, na kterou by se spoléhaly při přístupu k osobním údajům obsaženým v souboru údajů o zákaznících;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Držitel dat musí mít kontrolu nad správou totožnosti a přístupu zákazníka i všech uživatelů dat, jakož i nad přehledem povolení, jehož prostřednictvím jsou žádosti podávány.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Fabio Massimo Castaldo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Držitel dat musí mít kontrolu nad správou totožnosti a přístupu zákazníka i všech uživatelů dat, jakož i nad přehledem povolení, jehož prostřednictvím jsou žádosti podávány.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Uživatel dat odpovídá za přesnost dat poskytnutých držiteli dat.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písm. b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ba)</w:t>
            </w:r>
            <w:r>
              <w:tab/>
            </w:r>
            <w:r>
              <w:rPr>
                <w:b/>
                <w:i/>
              </w:rPr>
              <w:t>Uživatel dat neprodleně informuje držitele dat o odnětí povolení.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– písm. b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bb)</w:t>
            </w:r>
            <w:r>
              <w:tab/>
            </w:r>
            <w:r>
              <w:rPr>
                <w:b/>
                <w:i/>
              </w:rPr>
              <w:t>Uživatel dat odpovídá za přesnost dat poskytnutých držiteli dat.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8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Informacemi uvedenými v přehledu o povoleních nejsou dotčeny požadavky podle nařízení 2016/679.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Do 18 měsíců od vstupu tohoto nařízení v platnost se držitelé a uživatelé údajů</w:t>
            </w:r>
            <w:r>
              <w:t xml:space="preserve"> stanou členy systému sdílení finančních </w:t>
            </w:r>
            <w:r>
              <w:rPr>
                <w:b/>
                <w:i/>
              </w:rPr>
              <w:t>údajů, který upravuje</w:t>
            </w:r>
            <w:r>
              <w:t xml:space="preserve"> přístup k </w:t>
            </w:r>
            <w:r>
              <w:rPr>
                <w:b/>
                <w:i/>
              </w:rPr>
              <w:t>zákaznickým údajům</w:t>
            </w:r>
            <w:r>
              <w:t xml:space="preserve"> v souladu s článkem 10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Držitelé dat a uživatelé dat se</w:t>
            </w:r>
            <w:r>
              <w:t xml:space="preserve"> stanou členy systému sdílení finančních </w:t>
            </w:r>
            <w:r>
              <w:rPr>
                <w:b/>
                <w:i/>
              </w:rPr>
              <w:t>dat, kterým se řídí</w:t>
            </w:r>
            <w:r>
              <w:t xml:space="preserve"> přístup k </w:t>
            </w:r>
            <w:r>
              <w:rPr>
                <w:b/>
                <w:i/>
              </w:rPr>
              <w:t>údajům o zákaznících</w:t>
            </w:r>
            <w:r>
              <w:t xml:space="preserve"> v souladu s článkem 10</w:t>
            </w:r>
            <w:r>
              <w:rPr>
                <w:b/>
                <w:i/>
              </w:rPr>
              <w:t>, v souladu s touto lhůtou: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36 měsíců od vstupu tohoto nařízení v platnost pro první stupeň údajů o zákaznících týkajících se účtů (kromě platebních účtů), úspor (kromě strukturovaných vkladů);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48 měsíců od vstupu tohoto nařízení v platnost pro druhý stupeň údajů o zákaznících týkajících se úvěrů, hypotečních úvěrů a kryptoaktiv (za předpokladu, že banka vědomě drží aktiva v úschově jménem zákazníka);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iii) 60 měsíců od vstupu tohoto nařízení v platnost pro třetí úroveň údajů o zákaznících týkajících se investic do finančních nástrojů, strukturovaných vkladů, pojistných produktů s investiční složkou, jiných souvisejících finančních aktiv (za předpokladu, že banka vědomě drží aktiva v úschově jménem zákazníka), produkty neživotního pojištění, zaměstnaneckých penzijních plánů a celoevropských soukromých penzijních systémů.</w:t>
            </w:r>
            <w:r>
              <w:t xml:space="preserve"> </w:t>
            </w:r>
            <w:r>
              <w:rPr>
                <w:b/>
                <w:i/>
              </w:rPr>
              <w:t>Toto opatření by mělo být zavedeno až po odpovídající fázi testování a posouzení s cílem ověřit přínosy pro zákazníky a jejich zájmy.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Do 18 měsíců od vstupu tohoto nařízení v platnost se držitelé a uživatelé údajů</w:t>
            </w:r>
            <w:r>
              <w:t xml:space="preserve"> stanou členy systému sdílení finančních </w:t>
            </w:r>
            <w:r>
              <w:rPr>
                <w:b/>
                <w:i/>
              </w:rPr>
              <w:t>údajů, který upravuje</w:t>
            </w:r>
            <w:r>
              <w:t xml:space="preserve"> přístup k </w:t>
            </w:r>
            <w:r>
              <w:rPr>
                <w:b/>
                <w:i/>
              </w:rPr>
              <w:t>zákaznickým údajům</w:t>
            </w:r>
            <w:r>
              <w:t xml:space="preserve"> v souladu s článkem 10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Držitelé dat a uživatelé dat se</w:t>
            </w:r>
            <w:r>
              <w:t xml:space="preserve"> stanou členy systému sdílení finančních </w:t>
            </w:r>
            <w:r>
              <w:rPr>
                <w:b/>
                <w:i/>
              </w:rPr>
              <w:t>dat, kterým se řídí</w:t>
            </w:r>
            <w:r>
              <w:t xml:space="preserve"> přístup k </w:t>
            </w:r>
            <w:r>
              <w:rPr>
                <w:b/>
                <w:i/>
              </w:rPr>
              <w:t>údajům o zákaznících</w:t>
            </w:r>
            <w:r>
              <w:t xml:space="preserve"> v souladu s článkem 10</w:t>
            </w:r>
            <w:r>
              <w:rPr>
                <w:b/>
                <w:i/>
              </w:rPr>
              <w:t>, v souladu s touto lhůtou: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i) 36 měsíců od vstupu tohoto nařízení v platnost pro první stupeň údajů o zákaznících týkajících se účtů (kromě platebních účtů), úspor (kromě strukturovaných vkladů);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ii) 48 měsíců od vstupu tohoto nařízení v platnost pro druhý stupeň údajů o zákaznících týkajících se úvěrů, hypotečních úvěrů a kryptoaktiv (za předpokladu, že banka vědomě drží aktiva v úschově jménem zákazníka);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iii) 60 měsíců od vstupu tohoto nařízení v platnost pro třetí úroveň údajů o zákaznících týkajících se investic do finančních nástrojů, strukturovaných vkladů, pojistných produktů s investiční složkou, jiných souvisejících finančních aktiv (za předpokladu, že banka vědomě drží aktiva v úschově jménem zákazníka), produkty neživotního pojištění, zaměstnaneckých penzijních plánů a celoevropských soukromých penzijních systémů.</w:t>
            </w:r>
            <w:r>
              <w:t xml:space="preserve"> </w:t>
            </w:r>
            <w:r>
              <w:rPr>
                <w:b/>
                <w:i/>
              </w:rPr>
              <w:t>Toto opatření by mělo být zavedeno až po odpovídající fázi testování a posouzení s cílem ověřit přínosy pro zákazníky a jejich zájmy.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Do 18 měsíců od vstupu tohoto nařízení v platnost se</w:t>
            </w:r>
            <w:r>
              <w:t xml:space="preserve"> držitelé a uživatelé údajů stanou členy systému sdílení finančních údajů, který upravuje přístup k zákaznickým údajům v souladu s článkem 10.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Držitelé a uživatelé údajů </w:t>
            </w:r>
            <w:r>
              <w:rPr>
                <w:b/>
                <w:i/>
              </w:rPr>
              <w:t>se</w:t>
            </w:r>
            <w:r>
              <w:t xml:space="preserve"> stanou členy systému sdílení finančních údajů, který upravuje přístup k zákaznickým údajům v souladu s článkem 10.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Kovařík, Martin Hlaváček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</w:t>
            </w:r>
            <w:r>
              <w:rPr>
                <w:b/>
                <w:i/>
              </w:rPr>
              <w:t>18</w:t>
            </w:r>
            <w:r>
              <w:t xml:space="preserve"> měsíců od vstupu tohoto nařízení v platnost se držitelé a uživatelé údajů stanou členy systému sdílení finančních údajů, který upravuje přístup k zákaznickým údajům v souladu s článkem 10.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</w:t>
            </w:r>
            <w:r>
              <w:rPr>
                <w:b/>
                <w:i/>
              </w:rPr>
              <w:t>36</w:t>
            </w:r>
            <w:r>
              <w:t xml:space="preserve"> měsíců od vstupu tohoto nařízení v platnost se držitelé a uživatelé údajů stanou členy systému sdílení finančních údajů, který upravuje přístup k zákaznickým údajům v souladu s článkem 10.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Caroline Nagtegaal, Esther de Lange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</w:t>
            </w:r>
            <w:r>
              <w:rPr>
                <w:b/>
                <w:i/>
              </w:rPr>
              <w:t>18</w:t>
            </w:r>
            <w:r>
              <w:t xml:space="preserve"> měsíců od vstupu tohoto nařízení v platnost se držitelé a uživatelé údajů </w:t>
            </w:r>
            <w:r>
              <w:rPr>
                <w:b/>
                <w:i/>
              </w:rPr>
              <w:t>stanou</w:t>
            </w:r>
            <w:r>
              <w:t xml:space="preserve"> členy systému sdílení finančních údajů, který upravuje přístup k zákaznickým údajům v souladu s článkem 10.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</w:t>
            </w:r>
            <w:r>
              <w:rPr>
                <w:b/>
                <w:i/>
              </w:rPr>
              <w:t>36</w:t>
            </w:r>
            <w:r>
              <w:t xml:space="preserve"> měsíců od vstupu tohoto nařízení v platnost se držitelé a uživatelé údajů </w:t>
            </w:r>
            <w:r>
              <w:rPr>
                <w:b/>
                <w:i/>
              </w:rPr>
              <w:t>mohou stát</w:t>
            </w:r>
            <w:r>
              <w:t xml:space="preserve"> členy systému sdílení finančních údajů, který upravuje přístup k zákaznickým údajům v souladu s článkem 10.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K zajištění řádného provádění je zapotřebí více času.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Laurence Sailliet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</w:t>
            </w:r>
            <w:r>
              <w:rPr>
                <w:b/>
                <w:i/>
              </w:rPr>
              <w:t>18 měsíců</w:t>
            </w:r>
            <w:r>
              <w:t xml:space="preserve"> od vstupu tohoto nařízení v platnost se držitelé a uživatelé údajů </w:t>
            </w:r>
            <w:r>
              <w:rPr>
                <w:b/>
                <w:i/>
              </w:rPr>
              <w:t>stanou</w:t>
            </w:r>
            <w:r>
              <w:t xml:space="preserve"> členy systému sdílení finančních údajů, který upravuje přístup k zákaznickým údajům v souladu s článkem 10.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</w:t>
            </w:r>
            <w:r>
              <w:rPr>
                <w:b/>
                <w:i/>
              </w:rPr>
              <w:t>5 let</w:t>
            </w:r>
            <w:r>
              <w:t xml:space="preserve"> od vstupu tohoto nařízení v platnost se držitelé a uživatelé údajů </w:t>
            </w:r>
            <w:r>
              <w:rPr>
                <w:b/>
                <w:i/>
              </w:rPr>
              <w:t>mohou stát</w:t>
            </w:r>
            <w:r>
              <w:t xml:space="preserve"> členy systému sdílení finančních údajů, který upravuje přístup k zákaznickým údajům v souladu s článkem 10.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Do 18 měsíců od vstupu tohoto nařízení v platnost se</w:t>
            </w:r>
            <w:r>
              <w:t xml:space="preserve"> držitelé a uživatelé údajů stanou členy systému sdílení finančních údajů, který upravuje přístup k zákaznickým údajům v souladu s </w:t>
            </w:r>
            <w:r>
              <w:rPr>
                <w:b/>
                <w:i/>
              </w:rPr>
              <w:t>článkem 10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Držitelé a uživatelé údajů </w:t>
            </w:r>
            <w:r>
              <w:rPr>
                <w:b/>
                <w:i/>
              </w:rPr>
              <w:t>se</w:t>
            </w:r>
            <w:r>
              <w:t xml:space="preserve"> stanou členy systému sdílení finančních údajů, který upravuje přístup k zákaznickým údajům v souladu s </w:t>
            </w:r>
            <w:r>
              <w:rPr>
                <w:b/>
                <w:i/>
              </w:rPr>
              <w:t>lhůtou stanovenou v čl. 9 odst. 1a až 1c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Michiel Hoogeveen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Provádění systému přístupu k finančním údajům je strukturováno takto: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Do šesti měsíců od vstupu tohoto nařízení v platnost se členové dohodnou na obecných pravidlech pro systém přístupu k finančním údajům v souladu s čl. 10 odst. 1 písm. a) až f) a čl. 10 odst. 1 písm. i) až j) („fáze vývoje“).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Do 18 měsíců od vstupu tohoto nařízení v platnost se členové dohodnou na společných normách a modelu pro stanovení náhrady v souladu s požadavky stanovenými v čl. 10 odst. 1 písm. g) a v čl. 10 odst. 1 písm. h).</w:t>
            </w:r>
            <w:r>
              <w:rPr>
                <w:b/>
                <w:i/>
              </w:rPr>
              <w:t>Členové rovněž oznámí systém přístupu k finančním údajům v souladu s čl. 10 odst. 4 (dále jen „fáze provádění“).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Do 24 měsíců od vstupu tohoto nařízení v platnost členové zajistí, aby všechny prvky systému přístupu k finančním údajům byly plně funkční do doby, než se toto nařízení začne používat v plném rozsahu.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Za účelem objasnění systémů podle nařízení FIDA se navrhuje přístup založený na třech fázích.</w:t>
      </w:r>
      <w:r>
        <w:t xml:space="preserve"> </w:t>
      </w:r>
      <w:r>
        <w:t>Ve fázi vývoje by se členové měli dohodnout na celkové správě a horizontálních pravidlech systému, včetně odpovědnosti.</w:t>
      </w:r>
      <w:r>
        <w:t xml:space="preserve"> </w:t>
      </w:r>
      <w:r>
        <w:t>Ve fázi provádění by se měli dohodnout na společných normách, modelu pro stanovení náhrady a povinnosti systém oznámit.</w:t>
      </w:r>
      <w:r>
        <w:t xml:space="preserve"> </w:t>
      </w:r>
      <w:r>
        <w:t>Třetí fáze objasňuje, že šestiměsíční okno mezi vývojem / oznámením systému a používáním nařízení v plném rozsahu lze využít k zajištění toho, aby byl systém plně funkční.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Systém sdílení finančních údajů uvedený v odstavci 1 vypracují účastníci trhu ve stanoveném časovém rámci.</w:t>
            </w:r>
            <w:r>
              <w:t xml:space="preserve"> </w:t>
            </w:r>
            <w:r>
              <w:rPr>
                <w:b/>
                <w:i/>
              </w:rPr>
              <w:t>V případech, kdy takový systém není v tomto časovém rámci vypracován v souladu s tímto nařízením, spolupracují subjekty zapojené do vytváření systémů s příslušnými orgány na vnitrostátní a evropské úrovni na vývoji systému, přičemž zohlední zkušenosti z celého trhu a vždy zohlední koncepci standardizace systémů.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Do 36 měsíců od vstupu tohoto nařízení v platnost se stanou členy systému držitelé a uživatelé těchto kategorií zákaznických údajů:</w:t>
            </w:r>
            <w:r>
              <w:t xml:space="preserve"> </w:t>
            </w:r>
            <w:r>
              <w:rPr>
                <w:b/>
                <w:i/>
              </w:rPr>
              <w:t>účty, včetně účtů kreditních karet, s výjimkou platebních účtů, jak jsou definovány ve směrnici (EU) 2015/2366 o platebních službách, a technických účtů, úspor, představovaných termínovanými vklady, a spořicí účty.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–odst. 1 b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1b.</w:t>
            </w:r>
            <w:r>
              <w:tab/>
            </w:r>
            <w:r>
              <w:rPr>
                <w:b/>
                <w:i/>
              </w:rPr>
              <w:t>Do 48 měsíců od vstupu tohoto nařízení v platnost se stanou členy systému držitelé a uživatelé těchto kategorií zákaznických údajů:</w:t>
            </w:r>
            <w:r>
              <w:t xml:space="preserve"> </w:t>
            </w:r>
            <w:r>
              <w:rPr>
                <w:b/>
                <w:i/>
              </w:rPr>
              <w:t>smlouvy o hypotečním úvěru ve smyslu směrnice (EU) 2014/17 a údaje týkající se úvěrů se splátkami poskytnutých držitelem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1 c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1c.</w:t>
            </w:r>
            <w:r>
              <w:tab/>
            </w:r>
            <w:r>
              <w:rPr>
                <w:b/>
                <w:i/>
              </w:rPr>
              <w:t>Do 60 měsíců od vstupu tohoto nařízení v platnost se stanou členy systému držitelé a uživatelé těchto kategorií zákaznických údajů:</w:t>
            </w:r>
            <w:r>
              <w:t xml:space="preserve"> </w:t>
            </w:r>
            <w:r>
              <w:rPr>
                <w:b/>
                <w:i/>
              </w:rPr>
              <w:t>investice do finančních nástrojů v souladu s oddílem C přílohy I směrnice (EU) 2014/65 a s výjimkou derivátových transakcí používaných pro účely řízení rizik, pojistných produktů s investiční složkou, dalších souvisejících finančních aktiv, strukturovaných vkladů a kryptoaktiv ve smyslu čl. 3 odst. 1 bodu 5 nařízení (EU) 2023/1114, produktů neživotního pojištění, plánů zaměstnaneckého penzijního pojištění, celoevropských soukromých penzijních systémů a zbývajících kategorií, na něž se rovněž vztahuje čl. 2 odst. 1;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Laurence Sailliet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2 – pododstavec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Držitelé a uživatelé údajů se mohou stát členy </w:t>
            </w:r>
            <w:r>
              <w:rPr>
                <w:b/>
                <w:i/>
              </w:rPr>
              <w:t>více než jednoho</w:t>
            </w:r>
            <w:r>
              <w:t xml:space="preserve"> systému sdílení finančních údajů.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Držitelé a uživatelé údajů se mohou stát členy </w:t>
            </w:r>
            <w:r>
              <w:rPr>
                <w:b/>
                <w:i/>
              </w:rPr>
              <w:t>jednoho nebo více systémů sdílení finančních údajů za účelem sdílení údajů v souladu s pravidly a způsoby</w:t>
            </w:r>
            <w:r>
              <w:t xml:space="preserve"> systému sdílení finančních </w:t>
            </w:r>
            <w:r>
              <w:rPr>
                <w:b/>
                <w:i/>
              </w:rPr>
              <w:t>údajů, jehož členy jsou jak uživatel, tak držitel</w:t>
            </w:r>
            <w:r>
              <w:t xml:space="preserve"> údajů.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Laurence Sailliet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2 – pododstavec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Jakékoli sdílení údajů se provádí v souladu s pravidly a podmínkami systému sdílení finančních údajů, jehož jsou uživatel i držitel údajů členy.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2 – pododstavec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Jakékoli sdílení údajů </w:t>
            </w:r>
            <w:r>
              <w:rPr>
                <w:b/>
                <w:i/>
              </w:rPr>
              <w:t>se provádí</w:t>
            </w:r>
            <w:r>
              <w:t xml:space="preserve"> v souladu s pravidly a podmínkami systému sdílení finančních údajů, jehož jsou uživatel i držitel údajů členy.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Jakékoli sdílení údajů </w:t>
            </w:r>
            <w:r>
              <w:rPr>
                <w:b/>
                <w:i/>
              </w:rPr>
              <w:t>musí proběhnout</w:t>
            </w:r>
            <w:r>
              <w:t xml:space="preserve"> v souladu s pravidly a podmínkami </w:t>
            </w:r>
            <w:r>
              <w:rPr>
                <w:b/>
                <w:i/>
              </w:rPr>
              <w:t>a pouze prostřednictvím</w:t>
            </w:r>
            <w:r>
              <w:t xml:space="preserve"> systému sdílení finančních údajů, jehož jsou uživatel i držitel údajů členy.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9 – odst.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Tímto nařízením není dotčena žádná výměna údajů, k níž může dojít na základě smluvních ujednání mimo oblast působnosti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a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držitelé údajů a uživatelé údajů, kteří představují významnou část trhu s daným produktem nebo službou, </w:t>
            </w:r>
            <w:r>
              <w:rPr>
                <w:b/>
                <w:i/>
              </w:rPr>
              <w:t>přičemž každá strana má spravedlivé a rovné zastoupení v rámci interních rozhodovacích procesů systému a stejnou váhu při případném hlasování;</w:t>
            </w:r>
            <w:r>
              <w:t xml:space="preserve"> </w:t>
            </w:r>
            <w:r>
              <w:rPr>
                <w:b/>
                <w:i/>
              </w:rPr>
              <w:t>pokud je člen zároveň držitelem i uživatelem údajů, započítává se jeho členství rovnoměrně na obě strany;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držitelé údajů a uživatelé údajů, kteří představují významnou část trhu s daným produktem nebo službou,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a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držitelé údajů a uživatelé údajů, kteří představují významnou část trhu s daným produktem nebo službou, přičemž každá strana má spravedlivé </w:t>
            </w:r>
            <w:r>
              <w:rPr>
                <w:b/>
                <w:i/>
              </w:rPr>
              <w:t>a rovné</w:t>
            </w:r>
            <w:r>
              <w:t xml:space="preserve"> zastoupení v rámci interních rozhodovacích procesů systému </w:t>
            </w:r>
            <w:r>
              <w:rPr>
                <w:b/>
                <w:i/>
              </w:rPr>
              <w:t>a stejnou váhu při případném hlasování;</w:t>
            </w:r>
            <w:r>
              <w:t xml:space="preserve"> </w:t>
            </w:r>
            <w:r>
              <w:rPr>
                <w:b/>
                <w:i/>
              </w:rPr>
              <w:t>pokud je člen zároveň držitelem i uživatelem údajů, započítává se jeho členství rovnoměrně na obě strany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držitelé údajů a uživatelé údajů, kteří představují významnou část trhu s daným produktem nebo službou, přičemž každá strana má spravedlivé zastoupení v rámci interních rozhodovacích procesů systému;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Nařízení by mělo ponechat účastníkům trhu dostatečnou flexibilitu, aby se mohli dohodnout na různých mechanismech správy a řízení.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a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držitelé údajů a uživatelé údajů, kteří představují významnou část trhu s daným produktem nebo službou, přičemž každá strana má spravedlivé </w:t>
            </w:r>
            <w:r>
              <w:rPr>
                <w:b/>
                <w:i/>
              </w:rPr>
              <w:t>a rovné</w:t>
            </w:r>
            <w:r>
              <w:t xml:space="preserve"> zastoupení v rámci interních rozhodovacích procesů systému a </w:t>
            </w:r>
            <w:r>
              <w:rPr>
                <w:b/>
                <w:i/>
              </w:rPr>
              <w:t>stejnou váhu</w:t>
            </w:r>
            <w:r>
              <w:t xml:space="preserve"> při případném hlasování; pokud je člen zároveň držitelem i uživatelem údajů, započítává se jeho členství </w:t>
            </w:r>
            <w:r>
              <w:rPr>
                <w:b/>
                <w:i/>
              </w:rPr>
              <w:t>rovnoměrně</w:t>
            </w:r>
            <w:r>
              <w:t xml:space="preserve"> na obě strany;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držitelé údajů a uživatelé údajů, kteří představují významnou část trhu s daným produktem nebo službou, přičemž každá strana má spravedlivé zastoupení v rámci interních rozhodovacích procesů systému a při případném hlasování; pokud je člen zároveň držitelem i uživatelem údajů, započítává se jeho členství na obě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a – bod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ii)</w:t>
            </w:r>
            <w:r>
              <w:tab/>
            </w:r>
            <w:r>
              <w:t>zákaznické organizace a sdružení spotřebitelů</w:t>
            </w:r>
            <w:r>
              <w:rPr>
                <w:b/>
                <w:i/>
              </w:rP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ii)</w:t>
            </w:r>
            <w:r>
              <w:tab/>
            </w:r>
            <w:r>
              <w:t xml:space="preserve">zákaznické organizace a sdružení spotřebitelů </w:t>
            </w:r>
            <w:r>
              <w:rPr>
                <w:b/>
                <w:i/>
              </w:rPr>
              <w:t>s odbornými znalostmi v oblasti finančních služeb, které plní úlohu pozorovatele.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Isabel Benjumea Benjumea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a – bod ii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iia)</w:t>
            </w:r>
            <w:r>
              <w:tab/>
            </w:r>
            <w:r>
              <w:rPr>
                <w:b/>
                <w:i/>
              </w:rPr>
              <w:t>sdružení a příslušné profesní organizace.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Alfred Sant,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každá ze stran uvedených v písmenu a) musí mít spravedlivé a rovné zastoupení ve vnitřních rozhodovacích procesech systému, jakož i stejnou váhu ve všech postupech hlasování;</w:t>
            </w:r>
            <w:r>
              <w:t xml:space="preserve"> </w:t>
            </w:r>
            <w:r>
              <w:rPr>
                <w:b/>
                <w:i/>
              </w:rPr>
              <w:t>pokud je člen zároveň držitelem i uživatelem údajů, započítává se jeho členství rovnoměrně na obě strany;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a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aa)</w:t>
            </w:r>
            <w:r>
              <w:tab/>
            </w:r>
            <w:r>
              <w:rPr>
                <w:b/>
                <w:i/>
              </w:rPr>
              <w:t>každá ze stran uvedených v písmenu a) musí mít spravedlivé a rovné zastoupení ve vnitřních rozhodovacích procesech systému, jakož i stejnou váhu ve všech postupech hlasování;</w:t>
            </w:r>
            <w:r>
              <w:t xml:space="preserve"> </w:t>
            </w:r>
            <w:r>
              <w:rPr>
                <w:b/>
                <w:i/>
              </w:rPr>
              <w:t>pokud je člen zároveň držitelem i uživatelem údajů, započítává se jeho členství rovnoměrně na obě strany.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systém sdílení finančních údajů obsahuje mechanismus, jehož prostřednictvím lze jeho pravidla měnit na základě analýzy dopadů a souhlasu většiny každého společenství držitelů </w:t>
            </w:r>
            <w:r>
              <w:rPr>
                <w:b/>
                <w:i/>
              </w:rPr>
              <w:t>a uživatelů údajů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systém sdílení finančních údajů obsahuje mechanismus, jehož prostřednictvím lze jeho pravidla měnit na základě analýzy dopadů a souhlasu většiny každého společenství držitelů</w:t>
            </w:r>
            <w:r>
              <w:rPr>
                <w:b/>
                <w:i/>
              </w:rPr>
              <w:t>, uživatelů údajů a spotřebitelských organizací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 xml:space="preserve">systém sdílení finančních údajů obsahuje mechanismus, jehož prostřednictvím lze jeho pravidla měnit na základě analýzy dopadů a souhlasu většiny každého společenství držitelů </w:t>
            </w:r>
            <w:r>
              <w:rPr>
                <w:b/>
                <w:i/>
              </w:rPr>
              <w:t>a uživatelů údajů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e)</w:t>
            </w:r>
            <w:r>
              <w:tab/>
            </w:r>
            <w:r>
              <w:t>systém sdílení finančních údajů obsahuje mechanismus, jehož prostřednictvím lze jeho pravidla měnit na základě analýzy dopadů a souhlasu většiny každého společenství držitelů</w:t>
            </w:r>
            <w:r>
              <w:rPr>
                <w:b/>
                <w:i/>
              </w:rPr>
              <w:t>, uživatelů údajů a sdružení spotřebitelů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systém </w:t>
            </w:r>
            <w:r>
              <w:rPr>
                <w:b/>
                <w:i/>
              </w:rPr>
              <w:t>sdílení finančních údajů</w:t>
            </w:r>
            <w:r>
              <w:t xml:space="preserve"> zahrnuje společné standardy pro údaje a technická rozhraní, která zákazníkům umožňují požádat o </w:t>
            </w:r>
            <w:r>
              <w:rPr>
                <w:b/>
                <w:i/>
              </w:rPr>
              <w:t>sdílení údajů</w:t>
            </w:r>
            <w:r>
              <w:t xml:space="preserve"> v souladu s čl. 5 odst. 1. Společné standardy pro údaje a technická rozhraní, na jejichž používání se členové systému dohodnou, mohou vypracovat členové systému nebo jiné strany či subjekty;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systém </w:t>
            </w:r>
            <w:r>
              <w:rPr>
                <w:b/>
                <w:i/>
              </w:rPr>
              <w:t>přístupu k finančním údajům</w:t>
            </w:r>
            <w:r>
              <w:t xml:space="preserve"> zahrnuje společné standardy pro údaje a technická rozhraní, která zákazníkům umožňují požádat o </w:t>
            </w:r>
            <w:r>
              <w:rPr>
                <w:b/>
                <w:i/>
              </w:rPr>
              <w:t>přístup k údajům</w:t>
            </w:r>
            <w:r>
              <w:t xml:space="preserve"> v souladu s čl. 5 odst. 1. Společné standardy pro údaje a technická rozhraní, na jejichž používání se členové systému dohodnou, </w:t>
            </w:r>
            <w:r>
              <w:rPr>
                <w:b/>
                <w:i/>
              </w:rPr>
              <w:t>vycházejí ze stávajících mezinárodních nebo průmyslově uznávaných norem nebo je</w:t>
            </w:r>
            <w:r>
              <w:t xml:space="preserve"> mohou vypracovat členové systému nebo jiné strany či subjekty </w:t>
            </w:r>
            <w:r>
              <w:rPr>
                <w:b/>
                <w:i/>
              </w:rPr>
              <w:t>v koordinaci s Evropským sborem pro datové inovace zřízeným nařízením (EU) 2022/868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g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>systém sdílení finančních údajů zahrnuje společné standardy pro údaje a technická rozhraní, která zákazníkům umožňují požádat o sdílení údajů v souladu s čl. 5 odst. 1. Společné standardy pro údaje a technická rozhraní, na jejichž používání se členové systému dohodnou, mohou vypracovat členové systému nebo jiné strany či subjekty;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g)</w:t>
            </w:r>
            <w:r>
              <w:tab/>
            </w:r>
            <w:r>
              <w:t xml:space="preserve">systém sdílení finančních údajů zahrnuje společné standardy pro údaje a technická rozhraní, která zákazníkům umožňují požádat o sdílení údajů v souladu s čl. 5 odst. 1. Společné standardy pro údaje a technická rozhraní, na jejichž používání se členové systému dohodnou, mohou vypracovat členové systému nebo jiné strany či subjekty; </w:t>
            </w:r>
            <w:r>
              <w:rPr>
                <w:b/>
                <w:i/>
              </w:rPr>
              <w:t>vypracování společných norem pro údaje a technická rozhraní vychází ze stávajících mezinárodních nebo průmyslově uznávaných norem;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g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ga)</w:t>
            </w:r>
            <w:r>
              <w:tab/>
            </w:r>
            <w:r>
              <w:rPr>
                <w:b/>
                <w:i/>
              </w:rPr>
              <w:t>systém přístupu k finančním údajům zahrnuje minimální technická a organizační opatření, která členové systému přístupu k finančním údajům zavedou, aby zajistili odpovídající úroveň bezpečnosti vyměňovaných údajů, včetně opatření k prevenci a zmírnění rizika podvodu.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Alfred Sant,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g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ga)</w:t>
            </w:r>
            <w:r>
              <w:tab/>
            </w:r>
            <w:r>
              <w:rPr>
                <w:b/>
                <w:i/>
              </w:rPr>
              <w:t>systém sdílení finančních údajů rovněž stanoví minimální technická a organizační opatření k zajištění odpovídající úrovně bezpečnosti pro výměnu osobních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Laurence Sailliet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h)</w:t>
            </w:r>
            <w:r>
              <w:tab/>
            </w:r>
            <w:r>
              <w:rPr>
                <w:b/>
                <w:i/>
              </w:rPr>
              <w:t>systém sdílení finančních údajů stanoví model pro určení maximální náhrady, kterou je držitel údajů oprávněn účtovat za zpřístupnění údajů prostřednictvím vhodného technického rozhraní pro sdílení údajů s uživateli údajů v souladu se společnými standardy vypracovanými podle písmene g).</w:t>
            </w:r>
            <w:r>
              <w:t xml:space="preserve"> </w:t>
            </w:r>
            <w:r>
              <w:rPr>
                <w:b/>
                <w:i/>
              </w:rPr>
              <w:t>Tento model je založen na následujících zásadách: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i) měl by být omezen na přiměřenou náhradu, která přímo souvisí se zpřístupněním údajů uživateli údajů a kterou lze přičíst žádosti;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ii) měl by být založen na objektivní, transparentní a nediskriminační metodice odsouhlasené členy systému;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iii) měl by být založen na komplexních tržních údajích shromážděných od uživatelů a držitelů údajů o každém ze zvažovaných nákladových prvků, které budou jasně určeny v souladu s modelem;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iv) měl by být pravidelně přezkoumáván a sledován s ohledem na technologický pokrok;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 xml:space="preserve">v) měl by </w:t>
              <w:tab/>
              <w:t>být navržen tak, aby se náhrada blížila nejnižším úrovním převládajícím na trhu;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a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vi) měl by být omezen na žádosti o zákaznické údaje podle čl. 2 odst. 1 nebo být úměrný souvisejícím souborům údajů v oblasti působnosti uvedeného ustanovení v případě kombinovaných žádostí o údaje.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systém sdílení finančních údajů stanoví model pro určení maximální náhrady, kterou je držitel údajů oprávněn účtovat za zpřístupnění údajů prostřednictvím vhodného technického rozhraní pro sdílení údajů s uživateli údajů v souladu se společnými standardy vypracovanými podle písmene g). Tento model je založen na následujících zásadách: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>systém sdílení finančních údajů stanoví model pro určení maximální náhrady, kterou je držitel údajů oprávněn účtovat za zpřístupnění údajů prostřednictvím vhodného technického rozhraní pro sdílení údajů s uživateli údajů v souladu se společnými standardy vypracovanými podle písmene g)</w:t>
            </w:r>
            <w:r>
              <w:rPr>
                <w:b/>
                <w:i/>
              </w:rPr>
              <w:t>, přičemž zohlední iniciativy vedené trhem v oblasti dalších systémů kompenzace</w:t>
            </w:r>
            <w:r>
              <w:t>. Tento model je založen na následujících zásadách: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systém sdílení finančních údajů stanoví model pro určení </w:t>
            </w:r>
            <w:r>
              <w:rPr>
                <w:b/>
                <w:i/>
              </w:rPr>
              <w:t>maximální</w:t>
            </w:r>
            <w:r>
              <w:t xml:space="preserve"> náhrady, kterou je držitel údajů oprávněn účtovat za zpřístupnění údajů prostřednictvím vhodného technického rozhraní pro sdílení údajů s uživateli údajů v souladu se společnými standardy vypracovanými podle písmene g). Tento model je založen na následujících zásadách: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systém sdílení finančních údajů stanoví model pro určení </w:t>
            </w:r>
            <w:r>
              <w:rPr>
                <w:b/>
                <w:i/>
              </w:rPr>
              <w:t>odpovídající</w:t>
            </w:r>
            <w:r>
              <w:t xml:space="preserve"> náhrady, kterou je držitel údajů oprávněn účtovat za zpřístupnění údajů prostřednictvím vhodného technického rozhraní pro sdílení údajů s uživateli údajů v souladu se společnými standardy vypracovanými podle písmene g). Tento model je založen na následujících zásadách: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systém sdílení finančních údajů stanoví model pro určení </w:t>
            </w:r>
            <w:r>
              <w:rPr>
                <w:b/>
                <w:i/>
              </w:rPr>
              <w:t>maximální</w:t>
            </w:r>
            <w:r>
              <w:t xml:space="preserve"> náhrady, kterou </w:t>
            </w:r>
            <w:r>
              <w:rPr>
                <w:b/>
                <w:i/>
              </w:rPr>
              <w:t>je</w:t>
            </w:r>
            <w:r>
              <w:t xml:space="preserve"> držitel údajů </w:t>
            </w:r>
            <w:r>
              <w:rPr>
                <w:b/>
                <w:i/>
              </w:rPr>
              <w:t>oprávněn</w:t>
            </w:r>
            <w:r>
              <w:t xml:space="preserve"> účtovat za zpřístupnění údajů prostřednictvím vhodného technického rozhraní pro sdílení údajů s uživateli údajů v souladu se společnými standardy vypracovanými podle písmene g). Tento model je založen na následujících zásadách: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systém sdílení finančních údajů stanoví model pro určení </w:t>
            </w:r>
            <w:r>
              <w:rPr>
                <w:b/>
                <w:i/>
              </w:rPr>
              <w:t>přiměřené</w:t>
            </w:r>
            <w:r>
              <w:t xml:space="preserve"> náhrady, kterou </w:t>
            </w:r>
            <w:r>
              <w:rPr>
                <w:b/>
                <w:i/>
              </w:rPr>
              <w:t>může</w:t>
            </w:r>
            <w:r>
              <w:t xml:space="preserve"> držitel údajů účtovat za zpřístupnění údajů prostřednictvím vhodného technického rozhraní pro sdílení údajů s uživateli údajů v souladu se společnými standardy vypracovanými podle písmene g). Tento model je založen na následujících zásadách: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systém sdílení finančních údajů stanoví model pro určení </w:t>
            </w:r>
            <w:r>
              <w:rPr>
                <w:b/>
                <w:i/>
              </w:rPr>
              <w:t>maximální</w:t>
            </w:r>
            <w:r>
              <w:t xml:space="preserve"> náhrady, kterou </w:t>
            </w:r>
            <w:r>
              <w:rPr>
                <w:b/>
                <w:i/>
              </w:rPr>
              <w:t>je</w:t>
            </w:r>
            <w:r>
              <w:t xml:space="preserve"> držitel údajů </w:t>
            </w:r>
            <w:r>
              <w:rPr>
                <w:b/>
                <w:i/>
              </w:rPr>
              <w:t>oprávněn</w:t>
            </w:r>
            <w:r>
              <w:t xml:space="preserve"> účtovat za zpřístupnění údajů prostřednictvím vhodného technického rozhraní pro sdílení údajů s uživateli údajů v souladu se společnými standardy vypracovanými podle písmene g). Tento model je založen na následujících zásadách: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h)</w:t>
            </w:r>
            <w:r>
              <w:tab/>
            </w:r>
            <w:r>
              <w:t xml:space="preserve">systém sdílení finančních údajů stanoví model pro určení </w:t>
            </w:r>
            <w:r>
              <w:rPr>
                <w:b/>
                <w:i/>
              </w:rPr>
              <w:t>přiměřené</w:t>
            </w:r>
            <w:r>
              <w:t xml:space="preserve"> náhrady, kterou </w:t>
            </w:r>
            <w:r>
              <w:rPr>
                <w:b/>
                <w:i/>
              </w:rPr>
              <w:t>může</w:t>
            </w:r>
            <w:r>
              <w:t xml:space="preserve"> držitel údajů účtovat za zpřístupnění údajů prostřednictvím vhodného technického rozhraní pro sdílení údajů s uživateli údajů v souladu se společnými standardy vypracovanými podle písmene g). Tento model je založen na následujících zásadách: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Fabio Massimo Castaldo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měl by být omezen na přiměřenou náhradu, která přímo souvisí se zpřístupněním</w:t>
            </w:r>
            <w:r>
              <w:t xml:space="preserve"> údajů </w:t>
            </w:r>
            <w:r>
              <w:rPr>
                <w:b/>
                <w:i/>
              </w:rPr>
              <w:t>uživateli</w:t>
            </w:r>
            <w:r>
              <w:t xml:space="preserve"> údajů a </w:t>
            </w:r>
            <w:r>
              <w:rPr>
                <w:b/>
                <w:i/>
              </w:rPr>
              <w:t>kterou lze přičíst žádosti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v souladu s článkem 9 nařízení (EU) 2023/2854 (akt o datech) musí být jakákoli náhrada – včetně nákladů vzniklých při zpřístupnění údajů a investic do shromažďování a tvorby</w:t>
            </w:r>
            <w:r>
              <w:t xml:space="preserve"> údajů</w:t>
            </w:r>
            <w:r>
              <w:rPr>
                <w:b/>
                <w:i/>
              </w:rPr>
              <w:t>, jakož i marže – dohodnutá mezi držitelem</w:t>
            </w:r>
            <w:r>
              <w:t xml:space="preserve"> údajů a </w:t>
            </w:r>
            <w:r>
              <w:rPr>
                <w:b/>
                <w:i/>
              </w:rPr>
              <w:t>uživatelem údajů za zpřístupnění údajů přiměřená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měl by být omezen na přiměřenou náhradu, která přímo souvisí se zpřístupněním</w:t>
            </w:r>
            <w:r>
              <w:t xml:space="preserve"> údajů </w:t>
            </w:r>
            <w:r>
              <w:rPr>
                <w:b/>
                <w:i/>
              </w:rPr>
              <w:t>uživateli</w:t>
            </w:r>
            <w:r>
              <w:t xml:space="preserve"> údajů </w:t>
            </w:r>
            <w:r>
              <w:rPr>
                <w:b/>
                <w:i/>
              </w:rPr>
              <w:t>a kterou lze přičíst žádosti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rPr>
                <w:b/>
                <w:i/>
              </w:rPr>
              <w:t>jakákoli odměna – včetně nákladů vzniklých při zpřístupnění údajů a investic do shromažďování a tvorby dat, jakož i marže – dohodnutá mezi držitelem</w:t>
            </w:r>
            <w:r>
              <w:t xml:space="preserve"> údajů </w:t>
            </w:r>
            <w:r>
              <w:rPr>
                <w:b/>
                <w:i/>
              </w:rPr>
              <w:t>a uživatelem</w:t>
            </w:r>
            <w:r>
              <w:t xml:space="preserve"> údajů </w:t>
            </w:r>
            <w:r>
              <w:rPr>
                <w:b/>
                <w:i/>
              </w:rPr>
              <w:t>za zpřístupnění dat musí být přiměřená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měl by být omezen na přiměřenou náhradu</w:t>
            </w:r>
            <w:r>
              <w:rPr>
                <w:b/>
                <w:i/>
              </w:rPr>
              <w:t>, která přímo souvisí se zpřístupněním údajů uživateli údajů a kterou lze přičíst žádosti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>měl by být omezen na přiměřenou náhradu;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měl by být omezen na přiměřenou náhradu, která přímo souvisí </w:t>
            </w:r>
            <w:r>
              <w:rPr>
                <w:b/>
                <w:i/>
              </w:rPr>
              <w:t>se zpřístupněním</w:t>
            </w:r>
            <w:r>
              <w:t xml:space="preserve"> údajů uživateli údajů a kterou lze přičíst žádosti;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i)</w:t>
            </w:r>
            <w:r>
              <w:tab/>
            </w:r>
            <w:r>
              <w:t xml:space="preserve">měl by být omezen na přiměřenou náhradu, která přímo souvisí </w:t>
            </w:r>
            <w:r>
              <w:rPr>
                <w:b/>
                <w:i/>
              </w:rPr>
              <w:t>s náklady vzniklými při zpřístupnění</w:t>
            </w:r>
            <w:r>
              <w:t xml:space="preserve"> údajů uživateli údajů a kterou lze přičíst žádosti;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ii)</w:t>
            </w:r>
            <w:r>
              <w:tab/>
            </w:r>
            <w:r>
              <w:t>měl by být založen na objektivní, transparentní a nediskriminační metodice odsouhlasené členy systému;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ii)</w:t>
            </w:r>
            <w:r>
              <w:tab/>
            </w:r>
            <w:r>
              <w:t xml:space="preserve">měl by být založen na objektivní, transparentní a nediskriminační metodice odsouhlasené členy systému </w:t>
            </w:r>
            <w:r>
              <w:rPr>
                <w:b/>
                <w:i/>
              </w:rPr>
              <w:t>a může zahrnovat marži a dodržovat ustanovení čl. 9 odst. 1 aktu o datech (nařízení (EU) XX)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ii)</w:t>
            </w:r>
            <w:r>
              <w:tab/>
            </w:r>
            <w:r>
              <w:t>měl by být založen na objektivní, transparentní a nediskriminační metodice odsouhlasené členy systému;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ii)</w:t>
            </w:r>
            <w:r>
              <w:tab/>
            </w:r>
            <w:r>
              <w:t xml:space="preserve">měl by být založen na objektivní, transparentní a nediskriminační metodice odsouhlasené členy systému </w:t>
            </w:r>
            <w:r>
              <w:rPr>
                <w:b/>
                <w:i/>
              </w:rPr>
              <w:t>a může zahrnovat marži a dodržovat ustanovení čl. 9 odst. 1 aktu o datech (nařízení (EU) XX)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v)</w:t>
            </w:r>
            <w:r>
              <w:tab/>
            </w:r>
            <w:r>
              <w:rPr>
                <w:b/>
                <w:i/>
              </w:rPr>
              <w:t xml:space="preserve">měl by </w:t>
              <w:tab/>
              <w:t>být navržen tak, aby se náhrada blížila nejnižším úrovním převládajícím na trhu;</w:t>
            </w:r>
            <w:r>
              <w:t xml:space="preserve"> </w:t>
            </w:r>
            <w:r>
              <w:rPr>
                <w:b/>
                <w:i/>
              </w:rPr>
              <w:t>a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v)</w:t>
            </w:r>
            <w:r>
              <w:tab/>
            </w:r>
            <w:r>
              <w:rPr>
                <w:b/>
                <w:i/>
              </w:rPr>
              <w:t xml:space="preserve">měl by </w:t>
              <w:tab/>
              <w:t>být navržen tak, aby se náhrada blížila nejnižším úrovním převládajícím na trhu;</w:t>
            </w:r>
            <w:r>
              <w:t xml:space="preserve"> </w:t>
            </w:r>
            <w:r>
              <w:rPr>
                <w:b/>
                <w:i/>
              </w:rPr>
              <w:t>a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Toto nařízení by nemělo zavádět de facto regulaci cen.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v)</w:t>
            </w:r>
            <w:r>
              <w:tab/>
            </w:r>
            <w:r>
              <w:rPr>
                <w:b/>
                <w:i/>
              </w:rPr>
              <w:t xml:space="preserve">měl by </w:t>
              <w:tab/>
              <w:t>být navržen tak, aby se náhrada blížila nejnižším úrovním převládajícím na trhu;</w:t>
            </w:r>
            <w:r>
              <w:t xml:space="preserve"> </w:t>
            </w:r>
            <w:r>
              <w:rPr>
                <w:b/>
                <w:i/>
              </w:rPr>
              <w:t>a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v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v)</w:t>
            </w:r>
            <w:r>
              <w:tab/>
            </w:r>
            <w:r>
              <w:t>měl by</w:t>
            </w:r>
            <w:r>
              <w:rPr>
                <w:b/>
                <w:i/>
              </w:rPr>
              <w:t xml:space="preserve"> </w:t>
              <w:tab/>
            </w:r>
            <w:r>
              <w:t xml:space="preserve">být navržen tak, aby se náhrada blížila </w:t>
            </w:r>
            <w:r>
              <w:rPr>
                <w:b/>
                <w:i/>
              </w:rPr>
              <w:t>nejnižším</w:t>
            </w:r>
            <w:r>
              <w:t xml:space="preserve"> úrovním převládajícím na trhu; </w:t>
            </w:r>
            <w:r>
              <w:rPr>
                <w:b/>
                <w:i/>
              </w:rPr>
              <w:t>a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v)</w:t>
            </w:r>
            <w:r>
              <w:tab/>
            </w:r>
            <w:r>
              <w:t xml:space="preserve">měl by být navržen tak, aby se náhrada blížila </w:t>
            </w:r>
            <w:r>
              <w:rPr>
                <w:b/>
                <w:i/>
              </w:rPr>
              <w:t>nižším</w:t>
            </w:r>
            <w:r>
              <w:t xml:space="preserve"> úrovním převládajícím na trhu;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– bod vi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via)</w:t>
            </w:r>
            <w:r>
              <w:tab/>
            </w:r>
            <w:r>
              <w:rPr>
                <w:b/>
                <w:i/>
              </w:rPr>
              <w:t>měl by zajistit, aby odměnu pro držitele údajů nenesl zákazník.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Laurence Sailliet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Jakákoli odměna za zpřístupnění dat ve vztazích mezi podniky dohodnutá mezi držitelem údajů a uživatelem údajů musí být nediskriminační a přiměřená a může zahrnovat marži.</w:t>
            </w:r>
            <w:r>
              <w:rPr>
                <w:b/>
                <w:i/>
              </w:rPr>
              <w:t>Držitel údajů a uživatel údajů zohlední zejména: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náklady vzniklé v souvislosti se zpřístupněním údajů, zejména včetně nákladů nezbytných pro formátování údajů, jejich šíření elektronickými prostředky a jejich uchovávání;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případné investice do shromažďování a vytváření údajů, s přihlédnutím k tomu, zda k získání, vytvoření nebo shromáždění dotčených údajů přispěly jiné strany.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The aim is to ensure a coherent approach to compensation under the Data Act and to incorporate the same provision as in Article 9 of the Data Act, which allows compensation for both the costs incurred in making data available and the investment in data collection and production, as well as the possibility of including a margin.</w:t>
      </w:r>
      <w:r>
        <w:t xml:space="preserve"> </w:t>
      </w:r>
      <w:r>
        <w:t>Recital 29 provides that data holders may request reasonable compensation from data users for the implementation of application programming interfaces in order to ensure sufficient economic incentives.</w:t>
      </w:r>
      <w:r>
        <w:t xml:space="preserve"> </w:t>
      </w:r>
      <w:r>
        <w:t>The possibility of recovering initial investment costs does not, however, appear anywhere in the articles.</w:t>
      </w:r>
      <w:r>
        <w:t xml:space="preserve"> </w:t>
      </w:r>
      <w:r>
        <w:t>This proposal seeks to give effect to the Commission's intention by using the existing wording of the Data Act.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1 – písm. h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ha)</w:t>
            </w:r>
            <w:r>
              <w:tab/>
            </w:r>
            <w:r>
              <w:rPr>
                <w:b/>
                <w:i/>
              </w:rPr>
              <w:t>S ohledem na úroveň kompenzace na trhu, zejména pokud jde o vývoj ve výpočtu, orgán EBA ve spolupráci s orgány ESMA a EIOPA každoročně informuje Komisi o vývoji vyrovnávacích poplatků.</w:t>
            </w:r>
            <w:r>
              <w:t xml:space="preserve"> </w:t>
            </w:r>
            <w:r>
              <w:rPr>
                <w:b/>
                <w:i/>
              </w:rPr>
              <w:t>Komise v případě potřeby přijme akt v přenesené pravomoci v souladu s článkem 30 s cílem řešit selhání trhu za použití přiměřených a vhodných nástrojů.</w:t>
            </w:r>
            <w:r>
              <w:t xml:space="preserve"> </w:t>
            </w:r>
            <w:r>
              <w:rPr>
                <w:b/>
                <w:i/>
              </w:rPr>
              <w:t>EBA, ESMA a EIOPA konzultují s držiteli údajů a uživateli údajů vypracování těchto zpráv.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1 – pododstavec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Pokud je uživatelem údajů mikropodnik či malý nebo střední podnik ve smyslu článku 2 přílohy doporučení Komise 2003/361/ES ze dne 6. května 2003</w:t>
            </w:r>
            <w:r>
              <w:rPr>
                <w:b/>
                <w:i/>
                <w:vertAlign w:val="superscript"/>
              </w:rPr>
              <w:t>42</w:t>
            </w:r>
            <w:r>
              <w:rPr>
                <w:b/>
                <w:i/>
              </w:rPr>
              <w:t>, nesmí dohodnutá náhrada překročit náklady, které přímo souvisejí se zpřístupněním údajů příjemci údajů a které lze přičíst žádosti;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i) systém sdílení finančních údajů stanoví smluvní odpovědnost svých členů, a to i v případě, že jsou údaje nepřesné nebo nedostatečné kvality, nebo je ohroženo zabezpečení údajů nebo jsou údaje zneužity.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V případě osobních údajů musí být ustanovení o odpovědnosti v rámci systému sdílení finančních údajů v souladu s ustanoveními nařízení (EU) 2016/679;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j) systém sdílení finančních údajů zajistí nezávislý, nestranný, transparentní a účinný způsob řešení sporů mezi členy systému a problémů týkajících se členství v souladu s požadavky na kvalitu stanovenými směrnicí Evropského parlamentu a Rady 2013/11/EU</w:t>
            </w:r>
            <w:r>
              <w:rPr>
                <w:b/>
                <w:i/>
                <w:vertAlign w:val="superscript"/>
              </w:rPr>
              <w:t>43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42</w:t>
            </w:r>
            <w:r>
              <w:t xml:space="preserve"> </w:t>
            </w:r>
            <w:r>
              <w:rPr>
                <w:b/>
                <w:i/>
              </w:rPr>
              <w:t>Doporučení Komise ze dne 6. května 2003 o definici mikropodniků, malých a středních podniků (C(2003) 1422) (Úř. věst. L 124, 20.5.2003, s. 36).</w:t>
            </w:r>
          </w:p>
        </w:tc>
        <w:tc>
          <w:tcPr>
            <w:tcW w:w="4876" w:type="dxa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43</w:t>
            </w:r>
            <w:r>
              <w:t xml:space="preserve"> </w:t>
            </w:r>
            <w:r>
              <w:rPr>
                <w:b/>
                <w:i/>
              </w:rPr>
              <w:t>Směrnice Evropského parlamentu a Rady 2013/11/EU ze dne 21. května 2013 o alternativním řešení spotřebitelských sporů a o změně nařízení (ES) č. 2006/2004 a směrnice 2009/22/ES (směrnice o alternativním řešení spotřebitelských sporů) (Úř. věst. L 165, 18.6.2013, s. 63).</w:t>
            </w:r>
          </w:p>
        </w:tc>
        <w:tc>
          <w:tcPr>
            <w:tcW w:w="4876" w:type="dxa"/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Toto nařízení by nemělo zavádět de facto regulaci cen.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Michiel Hoogeveen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Držitel</w:t>
            </w:r>
            <w:r>
              <w:t xml:space="preserve"> údajů </w:t>
            </w:r>
            <w:r>
              <w:rPr>
                <w:b/>
                <w:i/>
              </w:rPr>
              <w:t>informuje příslušný orgán členského státu, v němž je usazen, o systémech sdílení finančních údajů, jichž je součástí, a to do jednoho měsíce od vstupu do systému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Systém přístupu k finančním údajům zřízený v souladu s tímto článkem se oznámí příslušnému orgánu usazení tří nejvýznamnějších držitelů</w:t>
            </w:r>
            <w:r>
              <w:t xml:space="preserve"> údajů</w:t>
            </w:r>
            <w:r>
              <w:rPr>
                <w:b/>
                <w:i/>
              </w:rPr>
              <w:t>, kteří jsou členy tohoto systému v době jeho zřízení.</w:t>
            </w:r>
            <w:r>
              <w:t xml:space="preserve"> </w:t>
            </w:r>
            <w:r>
              <w:rPr>
                <w:b/>
                <w:i/>
              </w:rPr>
              <w:t>Příslušný orgán členského státu sdělí toto oznámení orgánu EBA, ESMA nebo případně orgánu EIOPA na základě jejich příslušných pravomocí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Měla by být posílena úloha evropských orgánů dohledu.</w:t>
      </w:r>
      <w:r>
        <w:t xml:space="preserve"> </w:t>
      </w:r>
      <w:r>
        <w:t>Přístup k údajům je záležitostí velkého rozsahu a systémy by měly mít možnost účinněji a plynuleji expandovat přes hranice.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Michiel Hoogeveen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Systém </w:t>
            </w:r>
            <w:r>
              <w:rPr>
                <w:b/>
                <w:i/>
              </w:rPr>
              <w:t>sdílení finančních údajů</w:t>
            </w:r>
            <w:r>
              <w:t xml:space="preserve"> zřízený v souladu s tímto článkem se oznámí </w:t>
            </w:r>
            <w:r>
              <w:rPr>
                <w:b/>
                <w:i/>
              </w:rPr>
              <w:t>příslušnému</w:t>
            </w:r>
            <w:r>
              <w:t xml:space="preserve"> orgánu </w:t>
            </w:r>
            <w:r>
              <w:rPr>
                <w:b/>
                <w:i/>
              </w:rPr>
              <w:t>usazení tří nejvýznamnějších držitelů údajů, kteří jsou členy tohoto systému v době jeho zřízení.</w:t>
            </w:r>
            <w:r>
              <w:t xml:space="preserve"> </w:t>
            </w:r>
            <w:r>
              <w:rPr>
                <w:b/>
                <w:i/>
              </w:rPr>
              <w:t>Pokud jsou tři nejvýznamnější držitelé údajů usazeni v různých členských státech nebo pokud je v členském státě usazení tří nejvýznamnějších držitelů údajů více než jeden příslušný orgán, oznámí se systém všem těmto orgánům;</w:t>
            </w:r>
            <w:r>
              <w:t xml:space="preserve"> </w:t>
            </w:r>
            <w:r>
              <w:rPr>
                <w:b/>
                <w:i/>
              </w:rPr>
              <w:t>ty se mezi sebou dohodnou, který orgán provede</w:t>
            </w:r>
            <w:r>
              <w:t xml:space="preserve"> posouzení uvedené v odstavci 6.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Systém </w:t>
            </w:r>
            <w:r>
              <w:rPr>
                <w:b/>
                <w:i/>
              </w:rPr>
              <w:t>přístupu k finančním údajům</w:t>
            </w:r>
            <w:r>
              <w:t xml:space="preserve"> zřízený v souladu s tímto článkem se oznámí </w:t>
            </w:r>
            <w:r>
              <w:rPr>
                <w:b/>
                <w:i/>
              </w:rPr>
              <w:t>přímo</w:t>
            </w:r>
            <w:r>
              <w:t xml:space="preserve"> orgánu </w:t>
            </w:r>
            <w:r>
              <w:rPr>
                <w:b/>
                <w:i/>
              </w:rPr>
              <w:t>EBA, ESMA nebo EIOPA na základě jejich příslušných pravomocí, které provedou</w:t>
            </w:r>
            <w:r>
              <w:t xml:space="preserve"> posouzení uvedené v odstavci 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Měla by být posílena úloha evropských orgánů dohledu.</w:t>
      </w:r>
      <w:r>
        <w:t xml:space="preserve"> </w:t>
      </w:r>
      <w:r>
        <w:t>Přístup k údajům je záležitostí velkého rozsahu a systémy by měly mít možnost účinněji a plynuleji expandovat přes hranice.</w:t>
      </w:r>
      <w:r>
        <w:t xml:space="preserve"> </w:t>
      </w:r>
      <w:r>
        <w:t>Tento pozměňovací návrh je alternativou/rozpracováním pozměňovacího návrhu 108 návrhu zprávy.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Systém sdílení finančních údajů zřízený v souladu s tímto článkem se oznámí </w:t>
            </w:r>
            <w:r>
              <w:rPr>
                <w:b/>
                <w:i/>
              </w:rPr>
              <w:t>příslušnému</w:t>
            </w:r>
            <w:r>
              <w:t xml:space="preserve"> orgánu </w:t>
            </w:r>
            <w:r>
              <w:rPr>
                <w:b/>
                <w:i/>
              </w:rPr>
              <w:t>usazení tří nejvýznamnějších držitelů údajů, kteří jsou členy tohoto systému v době jeho zřízení.</w:t>
            </w:r>
            <w:r>
              <w:t xml:space="preserve"> </w:t>
            </w:r>
            <w:r>
              <w:rPr>
                <w:b/>
                <w:i/>
              </w:rPr>
              <w:t>Pokud jsou tři nejvýznamnější držitelé údajů usazeni v různých členských státech nebo pokud je v členském státě usazení tří nejvýznamnějších držitelů údajů více než jeden příslušný orgán, oznámí se systém všem těmto orgánům;</w:t>
            </w:r>
            <w:r>
              <w:t xml:space="preserve"> </w:t>
            </w:r>
            <w:r>
              <w:rPr>
                <w:b/>
                <w:i/>
              </w:rPr>
              <w:t>ty se mezi sebou dohodnou, který orgán provede posouzení uvedené v odstavci 6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Systém sdílení finančních údajů zřízený v souladu s tímto článkem se oznámí </w:t>
            </w:r>
            <w:r>
              <w:rPr>
                <w:b/>
                <w:i/>
              </w:rPr>
              <w:t>Evropskému</w:t>
            </w:r>
            <w:r>
              <w:t xml:space="preserve"> orgánu </w:t>
            </w:r>
            <w:r>
              <w:rPr>
                <w:b/>
                <w:i/>
              </w:rPr>
              <w:t>pro bankovnictví, Evropskému orgánu pro pojišťovnictví a zaměstnanecké penzijní pojištění a Evropskému orgánu pro cenné papíry a trhy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Je důležité, aby systémy byly posuzovány na evropské úrovni evropskými orgány dohledu, a nikoli na vnitrostátní úrovni příslušnými orgány.</w:t>
      </w:r>
      <w:r>
        <w:t xml:space="preserve"> </w:t>
      </w:r>
      <w:r>
        <w:t>Určitá úroveň centralizace je již v textu stanovena zřízením rejstříku definovaného v článku 15, včetně systémů.</w:t>
      </w:r>
      <w:r>
        <w:t xml:space="preserve"> </w:t>
      </w:r>
      <w:r>
        <w:t>Bylo by proto logičtější ponechat toto hodnocení na evropských orgánech dohledu, aby se předešlo rozdílnému posuzování systémů vnitrostátními orgány a vzniku nerovných podmínek.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6 – pododstavec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Do jednoho měsíce od obdržení oznámení podle odstavce 4 </w:t>
            </w:r>
            <w:r>
              <w:rPr>
                <w:b/>
                <w:i/>
              </w:rPr>
              <w:t>příslušný orgán</w:t>
            </w:r>
            <w:r>
              <w:t xml:space="preserve"> posoudí, zda jsou způsoby řízení a charakteristiky systému sdílení finančních údajů v souladu s odstavcem 1. </w:t>
            </w:r>
            <w:r>
              <w:rPr>
                <w:b/>
                <w:i/>
              </w:rPr>
              <w:t>Při posuzování souladu systému sdílení finančních údajů s odstavcem 1 může příslušný orgán konzultovat jiné příslušné orgány.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Do jednoho měsíce od obdržení oznámení podle odstavce 4 </w:t>
            </w:r>
            <w:r>
              <w:rPr>
                <w:b/>
                <w:i/>
              </w:rPr>
              <w:t>tři evropské orgány dohledu</w:t>
            </w:r>
            <w:r>
              <w:t xml:space="preserve"> posoudí, zda jsou způsoby řízení a charakteristiky systému sdílení finančních údajů v souladu s odstavcem 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Michiel Hoogeveen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6 – pododstavec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Do jednoho měsíce od obdržení oznámení podle odstavce 4 </w:t>
            </w:r>
            <w:r>
              <w:rPr>
                <w:b/>
                <w:i/>
              </w:rPr>
              <w:t>příslušný orgán</w:t>
            </w:r>
            <w:r>
              <w:t xml:space="preserve"> posoudí, zda jsou způsoby řízení a charakteristiky systému </w:t>
            </w:r>
            <w:r>
              <w:rPr>
                <w:b/>
                <w:i/>
              </w:rPr>
              <w:t>sdílení finančních údajů</w:t>
            </w:r>
            <w:r>
              <w:t xml:space="preserve"> v souladu s odstavcem 1. Při posuzování souladu systému </w:t>
            </w:r>
            <w:r>
              <w:rPr>
                <w:b/>
                <w:i/>
              </w:rPr>
              <w:t>sdílení finančních údajů</w:t>
            </w:r>
            <w:r>
              <w:t xml:space="preserve"> s odstavcem 1 může </w:t>
            </w:r>
            <w:r>
              <w:rPr>
                <w:b/>
                <w:i/>
              </w:rPr>
              <w:t>příslušný</w:t>
            </w:r>
            <w:r>
              <w:t xml:space="preserve"> orgán konzultovat jiné </w:t>
            </w:r>
            <w:r>
              <w:rPr>
                <w:b/>
                <w:i/>
              </w:rPr>
              <w:t>příslušné</w:t>
            </w:r>
            <w:r>
              <w:t xml:space="preserve"> orgány.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Do jednoho měsíce od obdržení oznámení podle odstavce 4 </w:t>
            </w:r>
            <w:r>
              <w:rPr>
                <w:b/>
                <w:i/>
              </w:rPr>
              <w:t>orgán EBA, ESMA nebo EIOPA</w:t>
            </w:r>
            <w:r>
              <w:t xml:space="preserve"> posoudí, zda jsou způsoby řízení a charakteristiky systému </w:t>
            </w:r>
            <w:r>
              <w:rPr>
                <w:b/>
                <w:i/>
              </w:rPr>
              <w:t>přístupu k finančním údajům</w:t>
            </w:r>
            <w:r>
              <w:t xml:space="preserve"> v souladu s odstavcem 1. Při posuzování souladu systému </w:t>
            </w:r>
            <w:r>
              <w:rPr>
                <w:b/>
                <w:i/>
              </w:rPr>
              <w:t>přístupu k finančním údajům</w:t>
            </w:r>
            <w:r>
              <w:t xml:space="preserve"> s odstavcem 1 může </w:t>
            </w:r>
            <w:r>
              <w:rPr>
                <w:b/>
                <w:i/>
              </w:rPr>
              <w:t>evropský</w:t>
            </w:r>
            <w:r>
              <w:t xml:space="preserve"> orgán </w:t>
            </w:r>
            <w:r>
              <w:rPr>
                <w:b/>
                <w:i/>
              </w:rPr>
              <w:t>dohledu odpovědný za posouzení</w:t>
            </w:r>
            <w:r>
              <w:t xml:space="preserve"> konzultovat jiné </w:t>
            </w:r>
            <w:r>
              <w:rPr>
                <w:b/>
                <w:i/>
              </w:rPr>
              <w:t>evropské</w:t>
            </w:r>
            <w:r>
              <w:t xml:space="preserve"> orgány </w:t>
            </w:r>
            <w:r>
              <w:rPr>
                <w:b/>
                <w:i/>
              </w:rPr>
              <w:t>dohledu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Měla by být posílena úloha evropských orgánů dohledu.</w:t>
      </w:r>
      <w:r>
        <w:t xml:space="preserve"> </w:t>
      </w:r>
      <w:r>
        <w:t>Přístup k údajům je záležitostí velkého rozsahu a systémy by měly mít možnost účinněji a plynuleji expandovat přes hranice.</w:t>
      </w:r>
      <w:r>
        <w:t xml:space="preserve"> </w:t>
      </w:r>
      <w:r>
        <w:t>Tento pozměňovací návrh je alternativou/rozpracováním pozměňovacího návrhu 109 návrhu zprávy.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6 – pododstavec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Do jednoho měsíce od obdržení oznámení podle odstavce 4 příslušný orgán posoudí, zda jsou způsoby řízení a charakteristiky systému sdílení finančních údajů v souladu s odstavcem 1. Při posuzování souladu systému sdílení finančních údajů s odstavcem 1 </w:t>
            </w:r>
            <w:r>
              <w:rPr>
                <w:b/>
                <w:i/>
              </w:rPr>
              <w:t>může</w:t>
            </w:r>
            <w:r>
              <w:t xml:space="preserve"> příslušný orgán </w:t>
            </w:r>
            <w:r>
              <w:rPr>
                <w:b/>
                <w:i/>
              </w:rPr>
              <w:t>konzultovat jiné příslušné orgány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Do jednoho měsíce od obdržení oznámení podle odstavce 4 příslušný orgán posoudí, zda jsou způsoby řízení a charakteristiky systému sdílení finančních údajů v souladu s odstavcem 1. Při posuzování souladu systému sdílení finančních údajů s odstavcem 1 </w:t>
            </w:r>
            <w:r>
              <w:rPr>
                <w:b/>
                <w:i/>
              </w:rPr>
              <w:t>konzultuje</w:t>
            </w:r>
            <w:r>
              <w:t xml:space="preserve"> příslušný orgán </w:t>
            </w:r>
            <w:r>
              <w:rPr>
                <w:b/>
                <w:i/>
              </w:rPr>
              <w:t>příslušné orgány dohledu podle nařízení (EU) 2016/679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6 – pododstavec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 dokončení </w:t>
            </w:r>
            <w:r>
              <w:rPr>
                <w:b/>
                <w:i/>
              </w:rPr>
              <w:t>posouzení příslušný orgán informuje EBA o oznámeném systému</w:t>
            </w:r>
            <w:r>
              <w:t xml:space="preserve"> sdílení finančních údajů</w:t>
            </w:r>
            <w:r>
              <w:rPr>
                <w:b/>
                <w:i/>
              </w:rPr>
              <w:t>, který splňuje ustanovení odstavce 1.</w:t>
            </w:r>
            <w:r>
              <w:t xml:space="preserve"> </w:t>
            </w:r>
            <w:r>
              <w:rPr>
                <w:b/>
                <w:i/>
              </w:rPr>
              <w:t>Systém oznámený orgánu EBA v souladu s tímto odstavcem se uznává ve všech členských státech pro účely přístupu k údajům podle čl. 5 odst. 1 a nevyžaduje další oznámení v žádném jiném členském státě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 dokončení </w:t>
            </w:r>
            <w:r>
              <w:rPr>
                <w:b/>
                <w:i/>
              </w:rPr>
              <w:t>tohoto posouzení se oznámený systém</w:t>
            </w:r>
            <w:r>
              <w:t xml:space="preserve"> sdílení finančních údajů </w:t>
            </w:r>
            <w:r>
              <w:rPr>
                <w:b/>
                <w:i/>
              </w:rPr>
              <w:t>zpřístupní v registru definovaném v článku 15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Michiel Hoogeveen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6 – pododstavec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 dokončení posouzení </w:t>
            </w:r>
            <w:r>
              <w:rPr>
                <w:b/>
                <w:i/>
              </w:rPr>
              <w:t>příslušný orgán informuje EBA o oznámeném</w:t>
            </w:r>
            <w:r>
              <w:t xml:space="preserve"> systému </w:t>
            </w:r>
            <w:r>
              <w:rPr>
                <w:b/>
                <w:i/>
              </w:rPr>
              <w:t>sdílení finančních údajů, který</w:t>
            </w:r>
            <w:r>
              <w:t xml:space="preserve"> splňuje </w:t>
            </w:r>
            <w:r>
              <w:rPr>
                <w:b/>
                <w:i/>
              </w:rPr>
              <w:t>ustanovení odstavce 1.</w:t>
            </w:r>
            <w:r>
              <w:t xml:space="preserve"> Systém oznámený orgánu EBA v souladu s tímto odstavcem se uznává ve všech členských státech pro účely přístupu k údajům podle čl. 5 odst. 1 a nevyžaduje další oznámení v žádném jiném členském státě.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 dokončení posouzení </w:t>
            </w:r>
            <w:r>
              <w:rPr>
                <w:b/>
                <w:i/>
              </w:rPr>
              <w:t>informují orgány EBA, ESMA nebo EIOPA členy</w:t>
            </w:r>
            <w:r>
              <w:t xml:space="preserve"> systému </w:t>
            </w:r>
            <w:r>
              <w:rPr>
                <w:b/>
                <w:i/>
              </w:rPr>
              <w:t>přístupu k finančním údajům o tom, zda systém</w:t>
            </w:r>
            <w:r>
              <w:t xml:space="preserve"> splňuje </w:t>
            </w:r>
            <w:r>
              <w:rPr>
                <w:b/>
                <w:i/>
              </w:rPr>
              <w:t>požadavky stanovené v odstavci 1.</w:t>
            </w:r>
            <w:r>
              <w:t xml:space="preserve"> </w:t>
            </w:r>
            <w:r>
              <w:rPr>
                <w:b/>
                <w:i/>
              </w:rPr>
              <w:t>Po pozitivním posouzení se</w:t>
            </w:r>
            <w:r>
              <w:t xml:space="preserve"> systém oznámený orgánu EBA</w:t>
            </w:r>
            <w:r>
              <w:rPr>
                <w:b/>
                <w:i/>
              </w:rPr>
              <w:t>, ESMA či EIOPA</w:t>
            </w:r>
            <w:r>
              <w:t xml:space="preserve"> v souladu s tímto odstavcem se uznává ve všech členských státech pro účely přístupu k údajům podle čl. 5 odst. 1 a nevyžaduje další oznámení v žádném jiném členském státě.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Měla by být posílena úloha evropských orgánů dohledu.</w:t>
      </w:r>
      <w:r>
        <w:t xml:space="preserve"> </w:t>
      </w:r>
      <w:r>
        <w:t>Přístup k údajům je záležitostí velkého rozsahu a systémy by měly mít možnost účinněji a plynuleji expandovat přes hranice.</w:t>
      </w:r>
      <w:r>
        <w:t xml:space="preserve"> </w:t>
      </w:r>
      <w:r>
        <w:t>Tento pozměňovací návrh je alternativou/rozpracováním pozměňovacího návrhu 110 návrhu zprávy.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499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6 – pododstavec 2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Příslušné orgány provádějí pravidelné komplexní přezkumy opatření pro správu systémů sdílení údajů stanovených v čl. 10 odst. 1.</w:t>
            </w:r>
            <w:r>
              <w:t xml:space="preserve"> </w:t>
            </w:r>
            <w:r>
              <w:rPr>
                <w:b/>
                <w:i/>
              </w:rPr>
              <w:t>Tyto přezkumy zahrnují důkladné a zdokumentované posouzení, zda jsou opatření systémů vhodná a důvěryhodná pro účely zajištění odpovědného zacházení s údaji zákazníků.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10 – odst.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Příslušné orgány provádějí pravidelné komplexní přezkumy opatření pro správu systémů sdílení údajů stanovených v čl. 10 odst. 1.</w:t>
            </w:r>
            <w:r>
              <w:t xml:space="preserve"> </w:t>
            </w:r>
            <w:r>
              <w:rPr>
                <w:b/>
                <w:i/>
              </w:rPr>
              <w:t>Tyto přezkumy zahrnují důkladné a zdokumentované posouzení, zda jsou opatření systémů vhodná a důvěryhodná pro účely zajištění odpovědného zacházení s údaji zákazníků.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Laurence Sailliet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11</w:t>
            </w:r>
            <w:r>
              <w:tab/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Zmocnění k aktu v přenesené pravomoci v případě, že neexistuje systém sdílení finančních údajů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 případě, že pro jednu nebo více kategorií zákaznických údajů uvedených v čl. 2 odst. 1 není zřízen systém sdílení finančních údajů a nelze realisticky předpokládat, že by byl takový systém v přiměřené době zřízen, je Komise zmocněna přijmout v souladu s článkem 30 akt v přenesené pravomoci, kterým toto nařízení doplní stanovením následujících podmínek, za nichž držitel údajů zpřístupní zákaznické údaje podle čl. 5 odst. 1 pro danou kategorii údajů: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společné standardy pro údaje a případně technická rozhraní, která zákazníkům umožní požádat o sdílení údajů podle čl. 5 odst. 1;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model pro stanovení maximální náhrady, kterou je držitel údajů oprávněn účtovat za zpřístupnění údajů;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odpovědnost subjektů zapojených do zpřístupňování zákaznických údajů.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Kovařík, Martin Hlaváček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11</w:t>
            </w:r>
            <w:r>
              <w:tab/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Zmocnění k aktu v přenesené pravomoci v případě, že neexistuje systém sdílení finančních údajů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 případě, že pro jednu nebo více kategorií zákaznických údajů uvedených v čl. 2 odst. 1 není zřízen systém sdílení finančních údajů a nelze realisticky předpokládat, že by byl takový systém v přiměřené době zřízen, je Komise zmocněna přijmout v souladu s článkem 30 akt v přenesené pravomoci, kterým toto nařízení doplní stanovením následujících podmínek, za nichž držitel údajů zpřístupní zákaznické údaje podle čl. 5 odst. 1 pro danou kategorii údajů: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společné standardy pro údaje a případně technická rozhraní, která zákazníkům umožní požádat o sdílení údajů podle čl. 5 odst. 1;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model pro stanovení maximální náhrady, kterou je držitel údajů oprávněn účtovat za zpřístupnění údajů;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odpovědnost subjektů zapojených do zpřístupňování zákaznických údajů.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11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 případě, že pro jednu nebo více kategorií zákaznických údajů uvedených v čl. 2 odst. 1 není zřízen systém sdílení finančních údajů a nelze realisticky předpokládat, že by byl takový systém v přiměřené době zřízen, je Komise zmocněna přijmout v souladu s článkem 30 akt v přenesené pravomoci, kterým toto nařízení doplní stanovením následujících podmínek, za nichž držitel údajů zpřístupní zákaznické údaje podle čl. 5 odst. 1 pro danou kategorii údajů: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společné standardy pro údaje a případně technická rozhraní, která zákazníkům umožní požádat o sdílení údajů podle čl. 5 odst. 1;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model pro stanovení maximální náhrady, kterou je držitel údajů oprávněn účtovat za zpřístupnění údajů;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odpovědnost subjektů zapojených do zpřístupňování zákaznických údajů.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11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V případě, že pro jednu nebo více kategorií zákaznických údajů uvedených v čl. 2 odst. 1 </w:t>
            </w:r>
            <w:r>
              <w:rPr>
                <w:b/>
                <w:i/>
              </w:rPr>
              <w:t>není zřízen systém sdílení finančních údajů a nelze realisticky předpokládat, že by byl takový systém v přiměřené době zřízen, je Komise zmocněna přijmout v souladu s článkem 30 akt v přenesené pravomoci, kterým toto nařízení doplní stanovením následujících podmínek, za nichž</w:t>
            </w:r>
            <w:r>
              <w:t xml:space="preserve"> držitel údajů </w:t>
            </w:r>
            <w:r>
              <w:rPr>
                <w:b/>
                <w:i/>
              </w:rPr>
              <w:t>zpřístupní</w:t>
            </w:r>
            <w:r>
              <w:t xml:space="preserve"> zákaznické údaje podle čl. 5 odst. 1 pro </w:t>
            </w:r>
            <w:r>
              <w:rPr>
                <w:b/>
                <w:i/>
              </w:rPr>
              <w:t>danou</w:t>
            </w:r>
            <w:r>
              <w:t xml:space="preserve"> kategorii údajů: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V případě, že</w:t>
            </w:r>
            <w:r>
              <w:rPr>
                <w:b/>
                <w:i/>
              </w:rPr>
              <w:t>systém sdílení finančních údajů není dokončen</w:t>
            </w:r>
            <w:r>
              <w:t>pro jednu nebo více kategorií zákaznických údajů uvedených v čl. 2 odst. 1</w:t>
            </w:r>
            <w:r>
              <w:rPr>
                <w:b/>
                <w:i/>
              </w:rPr>
              <w:t>, konzultuje Evropská komise všechny zúčastněné strany a předloží Evropskému parlamentu a Radě zprávu, v níž uvede důvody pro zásah Evropské komise.</w:t>
            </w:r>
            <w:r>
              <w:rPr>
                <w:b/>
                <w:i/>
              </w:rPr>
              <w:t>Zpráva zohlední veškerou stávající práci na vytvoření systému, kterou již vykonalo odvětví.</w:t>
            </w:r>
            <w:r>
              <w:rPr>
                <w:b/>
                <w:i/>
              </w:rPr>
              <w:t>Zpráva stanoví podmínky, za kterých může</w:t>
            </w:r>
            <w:r>
              <w:t>držitel údajů</w:t>
            </w:r>
            <w:r>
              <w:rPr>
                <w:b/>
                <w:i/>
              </w:rPr>
              <w:t>zpřístupnit</w:t>
            </w:r>
            <w:r>
              <w:t>zákaznické údaje podle čl. 5 odst. 1 pro</w:t>
            </w:r>
            <w:r>
              <w:rPr>
                <w:b/>
                <w:i/>
              </w:rPr>
              <w:t>tuto</w:t>
            </w:r>
            <w:r>
              <w:t>kategorii údajů: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společné standardy pro údaje a případně technická rozhraní, která zákazníkům umožní požádat o sdílení údajů podle čl. 5 odst. 1;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model pro stanovení maximální náhrady, kterou je držitel údajů oprávněn účtovat za zpřístupnění údajů;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odpovědnost subjektů zapojených do zpřístupňování zákaznických údajů.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 případě, že pro jednu nebo více kategorií zákaznických údajů uvedených v čl. 2 odst. 1 není zřízen systém sdílení finančních údajů a nelze realisticky předpokládat, že by byl takový systém v přiměřené době zřízen, je Komise po konzultaci se všemi zúčastněnými stranami zmocněna přijmout v souladu s článkem 30 akt v přenesené pravomoci, kterým toto nařízení doplní stanovením následujících podmínek, za nichž držitel údajů zpřístupní zákaznické údaje podle čl. 5 odst. 1 pro danou kategorii údajů: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11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V případě, že pro jednu nebo více kategorií zákaznických údajů uvedených v čl. 2 odst. 1 není zřízen systém sdílení finančních údajů a nelze realisticky předpokládat, že by byl takový systém v přiměřené době zřízen, je Komise zmocněna přijmout v souladu s článkem 30 akt v přenesené pravomoci, kterým toto nařízení doplní stanovením následujících podmínek, za nichž držitel údajů zpřístupní zákaznické údaje podle čl. 5 odst. 1 pro danou kategorii údajů: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V případě, že pro jednu nebo více kategorií zákaznických údajů uvedených v čl. 2 odst. 1 není zřízen systém sdílení finančních údajů a nelze realisticky předpokládat, že by byl takový systém v přiměřené době zřízen, je Komise </w:t>
            </w:r>
            <w:r>
              <w:rPr>
                <w:b/>
                <w:i/>
              </w:rPr>
              <w:t>po konzultaci s Evropským sborem pro ochranu osobních údajů</w:t>
            </w:r>
            <w:r>
              <w:t xml:space="preserve"> zmocněna přijmout v souladu s článkem 30 akt v přenesené pravomoci, kterým toto nařízení doplní stanovením následujících podmínek, za nichž držitel údajů zpřístupní zákaznické údaje podle čl. 5 odst. 1 pro danou kategorii údajů: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11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model pro stanovení </w:t>
            </w:r>
            <w:r>
              <w:rPr>
                <w:b/>
                <w:i/>
              </w:rPr>
              <w:t>maximální</w:t>
            </w:r>
            <w:r>
              <w:t xml:space="preserve"> náhrady, kterou je držitel údajů oprávněn účtovat za zpřístupnění údajů;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model pro stanovení </w:t>
            </w:r>
            <w:r>
              <w:rPr>
                <w:b/>
                <w:i/>
              </w:rPr>
              <w:t>přiměřené</w:t>
            </w:r>
            <w:r>
              <w:t xml:space="preserve"> náhrady, kterou je držitel údajů oprávněn účtovat za zpřístupnění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Poskytovatel služeb finančních informací je způsobilý k přístupu k zákaznickým údajům podle čl. 5 odst. 1, pokud obdrží povolení od příslušného orgánu členského státu.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Poskytovatel služeb finančních informací je způsobilý k přístupu k zákaznickým údajům podle čl. 5 odst. 1 </w:t>
            </w:r>
            <w:r>
              <w:rPr>
                <w:b/>
                <w:i/>
              </w:rPr>
              <w:t>za účelem poskytování služeb finančních informací</w:t>
            </w:r>
            <w:r>
              <w:t>, pokud obdrží povolení od příslušného orgánu členského státu.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Poskytovatel služeb finančních informací je způsobilý k přístupu k zákaznickým údajům podle čl. 5 odst. 1, pokud obdrží povolení od příslušného orgánu členského státu.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Poskytovatel služeb finančních informací je způsobilý k přístupu k zákaznickým údajům podle čl. 5 odst. 1 </w:t>
            </w:r>
            <w:r>
              <w:rPr>
                <w:b/>
                <w:i/>
              </w:rPr>
              <w:t>za účelem poskytování služeb finančních informací</w:t>
            </w:r>
            <w:r>
              <w:t>, pokud obdrží povolení od příslušného orgánu členského státu.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Poskytovatel služeb informování o účtu registrovaný podle směrnice (EU) 2015/2366 je způsobilý k přístupu k zákaznickým údajům podle čl. 5 odst. 1, pouze pokud získal povolení jako poskytovatel finančních informačních služeb.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1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Registrovaný poskytovatel služeb informování o účtu ve smyslu směrnice 2015/2366/EU má přístup k údajům podle čl. 5 odst. 1, pouze pokud získal povolení jako poskytovatel finančních informačních služeb.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Aby bylo možné řešit šedé zóny a vzhledem k odlišnému procesu udělování povolení a rozdílům v přístupu k údajům, měli by poskytovatelé služeb informování o účtu k účasti na FIDA vyžadovat povolení jako poskytovatelé finančních informací.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2 – pododstavec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Poskytovatel služeb finančních informací podá žádost o povolení příslušnému orgánu členského státu, v němž má sídlo, a přiloží k ní: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Poskytovatel služeb finančních informací podá žádost o povolení příslušnému orgánu členského státu, v němž má sídlo, </w:t>
            </w:r>
            <w:r>
              <w:rPr>
                <w:b/>
                <w:i/>
              </w:rPr>
              <w:t>nebo v případě právnické osoby nebo jiného podniku usazeného ve třetí zemi v členském státě, v němž tyto právnické osoby jmenovaly svého zástupce,</w:t>
            </w:r>
            <w:r>
              <w:t xml:space="preserve"> a přiloží k ní: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2 – pododstavec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plán činností uvádějící zejména druh plánovaného přístupu k údajům;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plán činností uvádějící zejména druh plánovaného přístupu k údajům </w:t>
            </w:r>
            <w:r>
              <w:rPr>
                <w:b/>
                <w:i/>
              </w:rPr>
              <w:t>a službám finančních informací a zda má poskytovatel finančních informačních služeb v držení jakékoli kategorie zákaznických údajů podle čl. 2 odst. 1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2 – pododstavec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plán činností uvádějící zejména druh plánovaného přístupu k údajům;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plán činností uvádějící zejména druh plánovaného přístupu k údajům </w:t>
            </w:r>
            <w:r>
              <w:rPr>
                <w:b/>
                <w:i/>
              </w:rPr>
              <w:t>a zda má poskytovatel finančních informačních služeb v držení jakékoli zákaznické údaje podle čl. 2 odst. 1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2 – pododstavec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obchodní plán </w:t>
            </w:r>
            <w:r>
              <w:rPr>
                <w:b/>
                <w:i/>
              </w:rPr>
              <w:t>včetně kalkulace předpokládaného rozpočtu na první tři účetní období</w:t>
            </w:r>
            <w:r>
              <w:t>, který prokazuje, že žadatel je schopen používat vhodné a přiměřené systémy, zdroje a postupy nutné pro řádnou činnost;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obchodní plán, který prokazuje, že žadatel je schopen používat vhodné a přiměřené systémy, zdroje a postupy nutné pro řádnou činnost;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Kovařík, Martin Hlaváček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2 – pododstavec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obchodní plán včetně kalkulace předpokládaného rozpočtu </w:t>
            </w:r>
            <w:r>
              <w:rPr>
                <w:b/>
                <w:i/>
              </w:rPr>
              <w:t>na první tři účetní období</w:t>
            </w:r>
            <w:r>
              <w:t>, který prokazuje, že žadatel je schopen používat vhodné a přiměřené systémy, zdroje a postupy nutné pro řádnou činnost;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obchodní plán</w:t>
            </w:r>
            <w:r>
              <w:rPr>
                <w:b/>
                <w:i/>
              </w:rPr>
              <w:t>, případně</w:t>
            </w:r>
            <w:r>
              <w:t xml:space="preserve"> včetně kalkulace předpokládaného rozpočtu, který prokazuje, že žadatel je schopen používat vhodné a přiměřené systémy, zdroje a postupy nutné pro řádnou činnost;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2 – pododstavec 1 – písm.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>adresu ústředí žadatele;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j)</w:t>
            </w:r>
            <w:r>
              <w:tab/>
            </w:r>
            <w:r>
              <w:t xml:space="preserve">adresu ústředí žadatele </w:t>
            </w:r>
            <w:r>
              <w:rPr>
                <w:b/>
                <w:i/>
              </w:rPr>
              <w:t>a identifikační kód právnické osoby (LEI), pokud je k dispozici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3 – pododstavec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Poskytovatelé služeb finančních informací musí mít pojištění odpovědnosti za škodu způsobenou při výkonu povolání, které se vztahuje na území, kde </w:t>
            </w:r>
            <w:r>
              <w:rPr>
                <w:b/>
                <w:i/>
              </w:rPr>
              <w:t>mají přístup k údajům</w:t>
            </w:r>
            <w:r>
              <w:t>, nebo jinou srovnatelnou záruku, a musí zajistit následující: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Poskytovatelé služeb finančních informací musí mít pojištění odpovědnosti za škodu způsobenou při výkonu povolání, které se vztahuje na území, kde </w:t>
            </w:r>
            <w:r>
              <w:rPr>
                <w:b/>
                <w:i/>
              </w:rPr>
              <w:t>chtějí nabízet finanční produkty nebo služby</w:t>
            </w:r>
            <w:r>
              <w:t>, nebo jinou srovnatelnou záruku, a musí zajistit následující: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3 – pododstavec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Poskytovatelé služeb finančních informací musí mít pojištění odpovědnosti za škodu způsobenou při výkonu povolání, které se </w:t>
            </w:r>
            <w:r>
              <w:rPr>
                <w:b/>
                <w:i/>
              </w:rPr>
              <w:t>vztahuje</w:t>
            </w:r>
            <w:r>
              <w:t xml:space="preserve"> na území, kde mají přístup k údajům, nebo jinou srovnatelnou záruku, a musí zajistit následující: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Poskytovatelé služeb finančních informací musí mít pojištění odpovědnosti za škodu způsobenou při výkonu povolání </w:t>
            </w:r>
            <w:r>
              <w:rPr>
                <w:b/>
                <w:i/>
              </w:rPr>
              <w:t>nebo jinou srovnatelnou záruku</w:t>
            </w:r>
            <w:r>
              <w:t xml:space="preserve">, které se </w:t>
            </w:r>
            <w:r>
              <w:rPr>
                <w:b/>
                <w:i/>
              </w:rPr>
              <w:t>vztahují</w:t>
            </w:r>
            <w:r>
              <w:t xml:space="preserve"> na území, kde mají přístup k údajům, nebo jinou srovnatelnou záruku, a musí zajistit následující: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4 – pododstavec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informace poskytované příslušnému orgánu v žádosti o povolení poskytovatelů služeb finančních informací, včetně požadavků stanovených v odst. </w:t>
            </w:r>
            <w:r>
              <w:rPr>
                <w:b/>
                <w:i/>
              </w:rPr>
              <w:t>1</w:t>
            </w:r>
            <w:r>
              <w:t xml:space="preserve"> písm. a) až</w:t>
            </w:r>
            <w:r>
              <w:rPr>
                <w:b/>
                <w:i/>
              </w:rPr>
              <w:t xml:space="preserve"> l)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informace poskytované příslušnému orgánu v žádosti o povolení poskytovatelů služeb finančních informací, včetně požadavků stanovených v odst. </w:t>
            </w:r>
            <w:r>
              <w:rPr>
                <w:b/>
                <w:i/>
              </w:rPr>
              <w:t>2</w:t>
            </w:r>
            <w:r>
              <w:t xml:space="preserve"> písm. a) až</w:t>
            </w:r>
            <w:r>
              <w:rPr>
                <w:b/>
                <w:i/>
              </w:rPr>
              <w:t xml:space="preserve"> k)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4 – pododstavec 1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co je srovnatelná záruka, jak je uvedeno v odstavci </w:t>
            </w:r>
            <w:r>
              <w:rPr>
                <w:b/>
                <w:i/>
              </w:rPr>
              <w:t>2</w:t>
            </w:r>
            <w:r>
              <w:t>, která by měla být zaměnitelná s pojištěním odpovědnosti za škodu způsobenou při výkonu povolání;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co je srovnatelná záruka, jak je uvedeno v odstavci </w:t>
            </w:r>
            <w:r>
              <w:rPr>
                <w:b/>
                <w:i/>
              </w:rPr>
              <w:t>3</w:t>
            </w:r>
            <w:r>
              <w:t>, která by měla být zaměnitelná s pojištěním odpovědnosti za škodu způsobenou při výkonu povolání;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4 – pododstavec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kritéria pro stanovení minimální peněžní částky pojištění odpovědnosti za škodu způsobenou při výkonu povolání nebo jiné srovnatelné záruky uvedené v odstavci </w:t>
            </w:r>
            <w:r>
              <w:rPr>
                <w:b/>
                <w:i/>
              </w:rPr>
              <w:t>2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t xml:space="preserve">kritéria pro stanovení minimální peněžní částky pojištění odpovědnosti za škodu způsobenou při výkonu povolání nebo jiné srovnatelné záruky uvedené v odstavci </w:t>
            </w:r>
            <w:r>
              <w:rPr>
                <w:b/>
                <w:i/>
              </w:rPr>
              <w:t>3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4 – pododstavec 2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zda podnik poskytuje jiné druhy služeb </w:t>
            </w:r>
            <w:r>
              <w:rPr>
                <w:b/>
                <w:i/>
              </w:rPr>
              <w:t>nebo se zabývá jinými obchodními činnostmi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zda podnik poskytuje jiné druhy služeb</w:t>
            </w:r>
            <w:r>
              <w:rPr>
                <w:b/>
                <w:i/>
              </w:rPr>
              <w:t>, vykonává jinou činnost nebo má některou z kategorií údajů o zákaznících podle čl. 2 odst. 1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4 – pododstavec 2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>zda podnik poskytuje jiné druhy služeb nebo se zabývá jinými obchodními činnostmi;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t xml:space="preserve">zda podnik poskytuje jiné druhy služeb nebo se zabývá jinými obchodními činnostmi </w:t>
            </w:r>
            <w:r>
              <w:rPr>
                <w:b/>
                <w:i/>
              </w:rPr>
              <w:t>nebo je držitelem údajů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12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Jakýkoli podnik určený jako strážce přístupu podle článku 3 nařízení (EU) 2022/1925 není způsobilý pro povolení jako poskytovatel služeb finančních informací podle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13</w:t>
            </w:r>
            <w:r>
              <w:tab/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Právní zástupci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informací, kteří nejsou usazeni v Unii, ale potřebují přístup k finančním údajům v Unii, písemně určí právnickou nebo fyzickou osobu jako svého právního zástupce v jednom z členských států, odkud poskytovatel služeb finančních informací zamýšlí získat přístup k finančním údajům.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 pověří své právní zástupce, aby se na ně příslušné orgány obracely kromě poskytovatele služeb finančních informací nebo místo něj ve všech záležitostech nezbytných pro přijetí, dodržování a prosazování tohoto nařízení.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 poskytnou svému právnímu zástupci nezbytné pravomoci a zdroje, které mu umožní spolupracovat s příslušnými orgány a zajistit dodržování jejich rozhodnutí.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Určený právní zástupce může být činěn odpovědným za nedodržení povinností podle tohoto nařízení, aniž je dotčena odpovědnost a právní kroky, které by mohly být zahájeny proti poskytovateli služeb finančních informací.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 oznámí jméno, adresu, adresu elektronické pošty a telefonní číslo svého právního zástupce příslušnému orgánu v členském státě, kde má tento právní zástupce bydliště či sídlo nebo je v něm usazen.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Zajistí, aby tyto informace byly aktuální.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Určení právního zástupce v Unii podle odstavce 1 nepředstavuje usazení v Unii.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Přístup k údajům o zákaznících podle FIDA by měli mít pouze poskytovatelé finančních služeb usazení v Unii nebo regulované subjekty.</w:t>
      </w:r>
      <w:r>
        <w:t xml:space="preserve"> </w:t>
      </w:r>
      <w:r>
        <w:t>V zájmu ochrany spotřebitelů před možným zneužitím jejich údajů subjekty ze třetích zemí, zajištění lepšího dohledu nad těmito subjekty a rovných podmínek by měl být poskytovatelům finančních služeb umožněn přístup k údajům o zákaznících z EU pouze tehdy, pokud jsou usazeni v EU a schváleni příslušným orgánem, což je proti možnosti podniků ze zemí mimo EU získat povolení jako FISP.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13</w:t>
            </w:r>
            <w:r>
              <w:tab/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Právní zástupci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informací, kteří nejsou usazeni v Unii, ale potřebují přístup k finančním údajům v Unii, písemně určí právnickou nebo fyzickou osobu jako svého právního zástupce v jednom z členských států, odkud poskytovatel služeb finančních informací zamýšlí získat přístup k finančním údajům.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 pověří své právní zástupce, aby se na ně příslušné orgány obracely kromě poskytovatele služeb finančních informací nebo místo něj ve všech záležitostech nezbytných pro přijetí, dodržování a prosazování tohoto nařízení.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 poskytnou svému právnímu zástupci nezbytné pravomoci a zdroje, které mu umožní spolupracovat s příslušnými orgány a zajistit dodržování jejich rozhodnutí.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Určený právní zástupce může být činěn odpovědným za nedodržení povinností podle tohoto nařízení, aniž je dotčena odpovědnost a právní kroky, které by mohly být zahájeny proti poskytovateli služeb finančních informací.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Poskytovatelé služeb finančních informací oznámí jméno, adresu, adresu elektronické pošty a telefonní číslo svého právního zástupce příslušnému orgánu v členském státě, kde má tento právní zástupce bydliště či sídlo nebo je v něm usazen.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Zajistí, aby tyto informace byly aktuální.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Určení právního zástupce v Unii podle odstavce 1 nepředstavuje usazení v Unii.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13 – odst.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Poskytovatelé služeb finančních informací oznámí jméno, adresu, adresu elektronické pošty a telefonní číslo svého právního zástupce příslušnému orgánu v členském státě, kde má tento právní zástupce bydliště či sídlo nebo je v něm usazen. Zajistí, aby tyto informace byly aktuální.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Poskytovatelé služeb finančních informací oznámí jméno, adresu, adresu elektronické pošty a telefonní číslo svého právního zástupce příslušnému orgánu v členském státě, kde má tento právní zástupce bydliště či sídlo nebo je v něm usazen. Zajistí, aby tyto informace byly </w:t>
            </w:r>
            <w:r>
              <w:rPr>
                <w:b/>
                <w:i/>
              </w:rPr>
              <w:t>průběžně</w:t>
            </w:r>
            <w:r>
              <w:t xml:space="preserve"> aktuální.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 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Příslušný orgán povolení udělí, pokud údaje a doklady připojené k žádosti vyhovují požadavkům stanoveným v čl. </w:t>
            </w:r>
            <w:r>
              <w:rPr>
                <w:b/>
                <w:i/>
              </w:rPr>
              <w:t>11 odst. 1 a</w:t>
            </w:r>
            <w:r>
              <w:t xml:space="preserve"> 2. Před udělením povolení může příslušný orgán případně konzultovat další relevantní orgány veřejné správy.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Příslušný orgán povolení udělí, pokud údaje a doklady připojené k žádosti vyhovují požadavkům stanoveným v čl. </w:t>
            </w:r>
            <w:r>
              <w:rPr>
                <w:b/>
                <w:i/>
              </w:rPr>
              <w:t>12 odst. 1, 2 a 3, a v případě poskytovatelů finančních informačních služeb ze třetích zemí čl. 14 odst.</w:t>
            </w:r>
            <w:r>
              <w:t xml:space="preserve"> 2. Před udělením povolení může příslušný orgán případně konzultovat další relevantní orgány veřejné správy.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 odst.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Příslušný orgán povolení udělí, pokud údaje a doklady připojené k žádosti vyhovují požadavkům stanoveným v čl. 11 odst. 1 a 2. Před udělením povolení </w:t>
            </w:r>
            <w:r>
              <w:rPr>
                <w:b/>
                <w:i/>
              </w:rPr>
              <w:t>může</w:t>
            </w:r>
            <w:r>
              <w:t xml:space="preserve"> příslušný orgán </w:t>
            </w:r>
            <w:r>
              <w:rPr>
                <w:b/>
                <w:i/>
              </w:rPr>
              <w:t>případně konzultovat</w:t>
            </w:r>
            <w:r>
              <w:t xml:space="preserve"> další relevantní orgány veřejné správy.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Příslušný orgán povolení udělí, pokud údaje a doklady připojené k žádosti vyhovují požadavkům stanoveným v čl. 11 odst. 1 a 2. Před udělením povolení příslušný orgán </w:t>
            </w:r>
            <w:r>
              <w:rPr>
                <w:b/>
                <w:i/>
              </w:rPr>
              <w:t>konzultuje</w:t>
            </w:r>
            <w:r>
              <w:t xml:space="preserve"> další relevantní orgány veřejné správy</w:t>
            </w:r>
            <w:r>
              <w:rPr>
                <w:b/>
                <w:i/>
              </w:rPr>
              <w:t>, především relevantní orgány dohledu podle nařízení (EU) 2016/679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Stéphanie Yon-Courtin, Gilles Boyer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Příslušný orgán udělí povolení poskytovateli služeb finančních informací ze třetí země, pokud jsou splněny všechny následující podmínky: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poskytovatel služeb finančních informací ze třetí země splnil všechny podmínky stanovené v článcích 12 a 16;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poskytovatel služeb finančních informací ze třetí země určil právního zástupce podle článku 13;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pokud poskytovatel služeb finančních informací ze třetí země podléhá dohledu, usiluje příslušný orgán o zavedení vhodného systému spolupráce s příslušným orgánem třetí země, v níž je poskytovatel služeb finančních informací usazen, aby byla zajištěna účinná výměna informací;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d) třetí země, v níž je poskytovatel služeb finančních informací usazen, není uvedena na seznamu nespolupracujících jurisdikcí pro daňové účely vypracovaném v rámci příslušné politiky Unie, nebo na seznamu vysoce rizikových jurisdikcí třetích zemí, které vykazují nedostatky v souladu s nařízením Komise v přenesené pravomoci (EU) 2016/1675</w:t>
            </w:r>
            <w:r>
              <w:rPr>
                <w:b/>
                <w:i/>
                <w:vertAlign w:val="superscript"/>
              </w:rPr>
              <w:t>44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44</w:t>
            </w:r>
            <w:r>
              <w:t xml:space="preserve"> </w:t>
            </w:r>
            <w:r>
              <w:rPr>
                <w:b/>
                <w:i/>
              </w:rPr>
              <w:t>Nařízení Komise v přenesené pravomoci (EU) 2016/1675 ze dne 14. července 2016, kterým se směrnice (EU) 2015/849 Evropského parlamentu a Rady doplňuje o identifikaci vysoce rizikových třetích zemí se strategickými nedostatky</w:t>
            </w:r>
          </w:p>
        </w:tc>
        <w:tc>
          <w:tcPr>
            <w:tcW w:w="4876" w:type="dxa"/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Přístup k údajům o zákaznících podle FIDA by měli mít pouze poskytovatelé finančních služeb usazení v Unii nebo regulované subjekty.</w:t>
      </w:r>
      <w:r>
        <w:t xml:space="preserve"> </w:t>
      </w:r>
      <w:r>
        <w:t>V zájmu ochrany spotřebitelů před možným zneužitím jejich údajů subjekty ze třetích zemí, zajištění lepšího dohledu nad těmito subjekty a rovných podmínek by měl být poskytovatelům finančních služeb umožněn přístup k údajům o zákaznících z EU pouze tehdy, pokud jsou usazeni v EU a schváleni příslušným orgánem, což je proti možnosti podniků ze zemí mimo EU získat povolení jako FISP.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Příslušný orgán udělí povolení poskytovateli služeb finančních informací ze třetí země, pokud jsou splněny všechny následující podmínky: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poskytovatel služeb finančních informací ze třetí země splnil všechny podmínky stanovené v článcích 12 a 16;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poskytovatel služeb finančních informací ze třetí země určil právního zástupce podle článku 13;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c) pokud poskytovatel služeb finančních informací ze třetí země podléhá dohledu, usiluje příslušný orgán o zavedení vhodného systému spolupráce s příslušným orgánem třetí země, v níž je poskytovatel služeb finančních informací usazen, aby byla zajištěna účinná výměna informací;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d) třetí země, v níž je poskytovatel služeb finančních informací usazen, není uvedena na seznamu nespolupracujících jurisdikcí pro daňové účely vypracovaném v rámci příslušné politiky Unie, nebo na seznamu vysoce rizikových jurisdikcí třetích zemí, které vykazují nedostatky v souladu s nařízením Komise v přenesené pravomoci (EU) 2016/1675</w:t>
            </w:r>
            <w:r>
              <w:rPr>
                <w:b/>
                <w:i/>
                <w:vertAlign w:val="superscript"/>
              </w:rPr>
              <w:t>44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44</w:t>
            </w:r>
            <w:r>
              <w:t xml:space="preserve"> </w:t>
            </w:r>
            <w:r>
              <w:rPr>
                <w:b/>
                <w:i/>
              </w:rPr>
              <w:t>Nařízení Komise v přenesené pravomoci (EU) 2016/1675 ze dne 14. července 2016, kterým se směrnice (EU) 2015/849 Evropského parlamentu a Rady doplňuje o identifikaci vysoce rizikových třetích zemí se strategickými nedostatky</w:t>
            </w:r>
          </w:p>
        </w:tc>
        <w:tc>
          <w:tcPr>
            <w:tcW w:w="4876" w:type="dxa"/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2 – písm.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rPr>
                <w:b/>
                <w:i/>
              </w:rPr>
              <w:t>pokud</w:t>
            </w:r>
            <w:r>
              <w:t xml:space="preserve"> poskytovatel služeb finančních informací ze třetí země podléhá dohledu</w:t>
            </w:r>
            <w:r>
              <w:rPr>
                <w:b/>
                <w:i/>
              </w:rPr>
              <w:t>, usiluje</w:t>
            </w:r>
            <w:r>
              <w:t xml:space="preserve"> příslušný orgán o zavedení vhodného systému spolupráce s příslušným orgánem třetí země, v níž je poskytovatel služeb finančních informací usazen, aby byla zajištěna účinná výměna informací;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c)</w:t>
            </w:r>
            <w:r>
              <w:tab/>
            </w:r>
            <w:r>
              <w:t xml:space="preserve">poskytovatel služeb finančních informací ze třetí země podléhá dohledu </w:t>
            </w:r>
            <w:r>
              <w:rPr>
                <w:b/>
                <w:i/>
              </w:rPr>
              <w:t>a</w:t>
            </w:r>
            <w:r>
              <w:t xml:space="preserve"> příslušný orgán </w:t>
            </w:r>
            <w:r>
              <w:rPr>
                <w:b/>
                <w:i/>
              </w:rPr>
              <w:t>usiluje</w:t>
            </w:r>
            <w:r>
              <w:t xml:space="preserve"> o zavedení vhodného systému spolupráce s příslušným orgánem třetí země, v níž je poskytovatel služeb finančních informací usazen, aby byla zajištěna účinná výměna informací;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4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Příslušný orgán udělí povolení pouze v případě, že je přesvědčen, že řídicí opatření poskytovatele služeb finančních informací prokazují, že má v úmyslu vykonávat podstatné obchodní činnosti v členském státě, kde má sídlo.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Příslušný orgán udělí povolení pouze </w:t>
            </w:r>
            <w:r>
              <w:rPr>
                <w:b/>
                <w:i/>
              </w:rPr>
              <w:t>v případě, že je</w:t>
            </w:r>
            <w:r>
              <w:t xml:space="preserve"> přesvědčen, že </w:t>
            </w:r>
            <w:r>
              <w:rPr>
                <w:b/>
                <w:i/>
              </w:rPr>
              <w:t>žádná</w:t>
            </w:r>
            <w:r>
              <w:t xml:space="preserve"> ujednání o externím </w:t>
            </w:r>
            <w:r>
              <w:rPr>
                <w:b/>
                <w:i/>
              </w:rPr>
              <w:t>zajištění</w:t>
            </w:r>
            <w:r>
              <w:t xml:space="preserve"> služeb nebo činností </w:t>
            </w:r>
            <w:r>
              <w:rPr>
                <w:b/>
                <w:i/>
              </w:rPr>
              <w:t>nečiní z poskytovatele služeb finančních informací subjekt typu „poštovní schránka“</w:t>
            </w:r>
            <w:r>
              <w:t xml:space="preserve"> nebo že nejsou </w:t>
            </w:r>
            <w:r>
              <w:rPr>
                <w:b/>
                <w:i/>
              </w:rPr>
              <w:t>prováděna</w:t>
            </w:r>
            <w:r>
              <w:t xml:space="preserve"> jako prostředek k obcházení ustanovení tohoto nařízení.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Příslušný orgán udělí povolení pouze </w:t>
            </w:r>
            <w:r>
              <w:rPr>
                <w:b/>
                <w:i/>
              </w:rPr>
              <w:t>tehdy, je-li</w:t>
            </w:r>
            <w:r>
              <w:t xml:space="preserve"> přesvědčen, že </w:t>
            </w:r>
            <w:r>
              <w:rPr>
                <w:b/>
                <w:i/>
              </w:rPr>
              <w:t>jakákoli</w:t>
            </w:r>
            <w:r>
              <w:t xml:space="preserve"> ujednání o externím </w:t>
            </w:r>
            <w:r>
              <w:rPr>
                <w:b/>
                <w:i/>
              </w:rPr>
              <w:t>zajišťování</w:t>
            </w:r>
            <w:r>
              <w:t xml:space="preserve"> služeb nebo činností </w:t>
            </w:r>
            <w:r>
              <w:rPr>
                <w:b/>
                <w:i/>
              </w:rPr>
              <w:t>nejsou prováděna za účelem využití regulačního rámce v jurisdikci, v níž vykonávají jen malé nebo žádné významné operace,</w:t>
            </w:r>
            <w:r>
              <w:t xml:space="preserve"> nebo že nejsou </w:t>
            </w:r>
            <w:r>
              <w:rPr>
                <w:b/>
                <w:i/>
              </w:rPr>
              <w:t>prováděny</w:t>
            </w:r>
            <w:r>
              <w:t xml:space="preserve"> jako prostředek k obcházení ustanovení tohoto nařízení.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Příslušný orgán uvědomí žadatele o tom, zda jeho žádosti bylo vyhověno, nebo zda byla zamítnuta, do </w:t>
            </w:r>
            <w:r>
              <w:rPr>
                <w:b/>
                <w:i/>
              </w:rPr>
              <w:t>tří</w:t>
            </w:r>
            <w:r>
              <w:t xml:space="preserve"> měsíců od obdržení žádosti, nebo v případě neúplné žádosti do tří měsíců od obdržení všech informací, jež jsou k rozhodnutí požadovány. </w:t>
            </w:r>
            <w:r>
              <w:rPr>
                <w:b/>
                <w:i/>
              </w:rPr>
              <w:t>Zamítnutí žádosti musí být příslušným orgánem odůvodněno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Příslušný orgán uvědomí žadatele o tom, zda jeho žádosti bylo vyhověno, nebo zda byla zamítnuta, do </w:t>
            </w:r>
            <w:r>
              <w:rPr>
                <w:b/>
                <w:i/>
              </w:rPr>
              <w:t>dvou</w:t>
            </w:r>
            <w:r>
              <w:t xml:space="preserve"> měsíců od obdržení žádosti, nebo v případě neúplné žádosti do tří měsíců od obdržení všech informací, jež jsou k rozhodnutí požadovány. </w:t>
            </w:r>
            <w:r>
              <w:rPr>
                <w:b/>
                <w:i/>
              </w:rPr>
              <w:t>Příslušný orgán předloží žadateli podrobnou zprávu o důvodech svého rozhodnutí, pokud povolení zamítne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7 – pododstavec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pokud dozorový úřad podle nařízení (EU) 2016/679 zjistí, že poskytovatel finančních informačních služeb porušil své povinnosti podle právních předpisů EU o ochraně údajů;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7 – pododstavec 1 – písm. d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da)</w:t>
            </w:r>
            <w:r>
              <w:tab/>
            </w:r>
            <w:r>
              <w:rPr>
                <w:b/>
                <w:i/>
              </w:rPr>
              <w:t>bylo by zjištěno porušení nařízení (EU) 2016/679.</w:t>
            </w:r>
            <w:r>
              <w:t xml:space="preserve"> </w:t>
            </w:r>
            <w:r>
              <w:rPr>
                <w:b/>
                <w:i/>
              </w:rPr>
              <w:t>Orgány dozoru zřízené podle článku 51 téhož nařízení oznámí, že bylo zjištěno porušení předpisů.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7 – pododstavec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Každé odnětí povolení musí příslušný orgán odůvodnit a musí o této skutečnosti informovat dotčené osoby. Příslušný orgán zveřejní odnětí povolení </w:t>
            </w:r>
            <w:r>
              <w:rPr>
                <w:b/>
                <w:i/>
              </w:rPr>
              <w:t>v anonymizované verzi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Každé odnětí povolení musí příslušný orgán odůvodnit a musí o této skutečnosti informovat dotčené osoby. Příslušný orgán zveřejní odnětí povolení.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14 – odst. 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V systémech sdílení finančních údajů se zavede vhodný systém odměňování, který spotřebitelům umožní účast na jejich správě.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15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povolené poskytovatele služeb finančních informací;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>povolené poskytovatele služeb finančních informací</w:t>
            </w:r>
            <w:r>
              <w:rPr>
                <w:b/>
                <w:i/>
              </w:rPr>
              <w:t>, včetně názvu, adresy a případně čísla povolení a popisu nabízených služeb finančních informací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15 – odst. 1 – písm. c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ca)</w:t>
            </w:r>
            <w:r>
              <w:tab/>
            </w:r>
            <w:r>
              <w:rPr>
                <w:b/>
                <w:i/>
              </w:rPr>
              <w:t>informace uvedené v čl. 28 odst. 2;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Rejstřík uvedený v odstavci 1 obsahuje pouze anonymizované údaje.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15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Rejstřík uvedený v odstavci 1 obsahuje pouze anonymizované údaje.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15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Rejstřík je veřejně přístupný na internetových stránkách EBA a umožňuje snadné vyhledávání a přístup k uvedeným informacím.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Rejstřík je veřejně přístupný na internetových stránkách EBA a umožňuje snadné vyhledávání a přístup k uvedeným informacím </w:t>
            </w:r>
            <w:r>
              <w:rPr>
                <w:b/>
                <w:i/>
              </w:rPr>
              <w:t>a měl by být strojově čitelný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15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Rejstřík je veřejně přístupný na internetových stránkách EBA a umožňuje snadné vyhledávání a přístup k uvedeným informacím.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Rejstřík je veřejně přístupný na internetových stránkách EBA a umožňuje snadné vyhledávání a přístup k uvedeným informacím</w:t>
            </w:r>
            <w:r>
              <w:rPr>
                <w:b/>
                <w:i/>
              </w:rPr>
              <w:t>, a to bezplatně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Sladění se systémem PSD3.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15 – odst.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Příslušné orgány členských států neprodleně sdělí EBA informace nezbytné pro plnění jeho úkolů podle odstavců 1 </w:t>
            </w:r>
            <w:r>
              <w:rPr>
                <w:b/>
                <w:i/>
              </w:rPr>
              <w:t>a 3</w:t>
            </w:r>
            <w:r>
              <w:t>. Příslušné orgány odpovídají za přesnost informací uvedených v odstavcích 1 a 3 a za jejich aktualizaci. Pokud je to technicky možné, předávají tyto informace orgánu EBA automatizovaně.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Příslušné orgány členských států neprodleně sdělí EBA informace nezbytné pro plnění jeho úkolů podle odstavců 1</w:t>
            </w:r>
            <w:r>
              <w:rPr>
                <w:b/>
                <w:i/>
              </w:rPr>
              <w:t>, 3 a 4</w:t>
            </w:r>
            <w:r>
              <w:t>. Příslušné orgány odpovídají za přesnost informací uvedených v odstavcích 1 a 3 a za jejich aktualizaci. Pokud je to technicky možné, předávají tyto informace orgánu EBA automatizovaně.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18 – odst. 1 – pododstavec 1 – písm. b – bod viii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viii)</w:t>
            </w:r>
            <w:r>
              <w:tab/>
            </w:r>
            <w:r>
              <w:rPr>
                <w:b/>
                <w:i/>
              </w:rPr>
              <w:t>požadovat</w:t>
            </w:r>
            <w:r>
              <w:t xml:space="preserve"> zmrazení nebo </w:t>
            </w:r>
            <w:r>
              <w:rPr>
                <w:b/>
                <w:i/>
              </w:rPr>
              <w:t>obstavení aktiv či obojí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viii)</w:t>
            </w:r>
            <w:r>
              <w:tab/>
            </w:r>
            <w:r>
              <w:rPr>
                <w:b/>
                <w:i/>
              </w:rPr>
              <w:t>požádat o</w:t>
            </w:r>
            <w:r>
              <w:t xml:space="preserve"> zmrazení nebo </w:t>
            </w:r>
            <w:r>
              <w:rPr>
                <w:b/>
                <w:i/>
              </w:rPr>
              <w:t>zabavení majetku nebo obojího v souladu s příslušnými vnitrostátními právními předpisy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Michiel Hoogeveen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18 – odst. 1 – pododstavec 1 – písm. c – bod iii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iii)</w:t>
            </w:r>
            <w:r>
              <w:tab/>
            </w:r>
            <w:r>
              <w:t xml:space="preserve">nařídit registrům nebo registrátorům </w:t>
            </w:r>
            <w:r>
              <w:rPr>
                <w:b/>
                <w:i/>
              </w:rPr>
              <w:t>domén</w:t>
            </w:r>
            <w:r>
              <w:t xml:space="preserve"> vymazat plně kvalifikované doménové jméno a umožnit </w:t>
            </w:r>
            <w:r>
              <w:rPr>
                <w:b/>
                <w:i/>
              </w:rPr>
              <w:t>dotčenému příslušnému orgánu tento výmaz zaznamenat.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iii)</w:t>
            </w:r>
            <w:r>
              <w:tab/>
            </w:r>
            <w:r>
              <w:rPr>
                <w:b/>
                <w:i/>
              </w:rPr>
              <w:t>případně</w:t>
            </w:r>
            <w:r>
              <w:t xml:space="preserve"> nařídit registrům nebo registrátorům </w:t>
            </w:r>
            <w:r>
              <w:rPr>
                <w:b/>
                <w:i/>
              </w:rPr>
              <w:t>domény</w:t>
            </w:r>
            <w:r>
              <w:t xml:space="preserve"> vymazat plně kvalifikované doménové jméno a umožnit </w:t>
            </w:r>
            <w:r>
              <w:rPr>
                <w:b/>
                <w:i/>
              </w:rPr>
              <w:t>toto jméno zaregistrovat dotčenému příslušnému orgánu;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Cílem tohoto pozměňovacího návrhu je více sladit toto ustanovení se stávajícími právními předpisy EU v oblasti ochrany spotřebitele, tj. s nařízením o spolupráci v oblasti ochrany spotřebitele (nařízení (EU) 2017/2394), zejména s čl. 9 odst. 4 písm. g) bodem iii) uvedeného nařízení.</w:t>
      </w:r>
      <w:r>
        <w:t xml:space="preserve"> </w:t>
      </w:r>
      <w:r>
        <w:t>Musí být specifikována technická opatření na úrovni doménových jmen, aby se zajistilo, že příslušný orgán má kontrolu nad vlastnictvím doménového jména.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18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 18a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Stížnosti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Aniž by byly vyloučeny jakékoli jiné správní nebo soudní opravné prostředky, mají fyzické a právnické osoby právo podat stížnost, jednotlivě nebo případně kolektivně, u příslušných orgánů podle článku 17 tohoto nařízení týkající se ustanovení tohoto nařízení.</w:t>
            </w:r>
            <w:r>
              <w:t xml:space="preserve"> </w:t>
            </w:r>
            <w:r>
              <w:rPr>
                <w:b/>
                <w:i/>
              </w:rPr>
              <w:t>Pokud se stížnost týká práv fyzických osob podle nařízení (EU) 2016/679, předá příslušný orgán stížnost dozorovým úřadům podle nařízení (EU) 2016/679 a při vyřizování takových stížnosti s nimi vede konzultace a spolupracuje.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20 – odst. 3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</w:t>
            </w:r>
            <w:r>
              <w:tab/>
            </w:r>
            <w:r>
              <w:rPr>
                <w:b/>
                <w:i/>
              </w:rPr>
              <w:t>veřejné oznámení, v němž je uvedena fyzická nebo právnická osoba, která je za porušení odpovědná, a povaha daného porušení;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20 – odst. 3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v případě fyzické osoby maximální správní pokuty až do výše </w:t>
            </w:r>
            <w:r>
              <w:rPr>
                <w:b/>
                <w:i/>
              </w:rPr>
              <w:t>25 000 EUR za každé porušení a až do celkové výše 250 000</w:t>
            </w:r>
            <w:r>
              <w:t xml:space="preserve"> EUR za rok nebo, v členských státech, jejichž úřední měnou není euro, v odpovídající výši v úřední měně tohoto členského státu ke dni ... [Úřad pro publikace: vložte datum vstupu tohoto nařízení v platnost];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v případě fyzické osoby maximální správní pokuty až do výše </w:t>
            </w:r>
            <w:r>
              <w:rPr>
                <w:b/>
                <w:i/>
              </w:rPr>
              <w:t>5 000 000</w:t>
            </w:r>
            <w:r>
              <w:t xml:space="preserve"> EUR za rok nebo, v členských státech, jejichž úřední měnou není euro, v odpovídající výši v úřední měně tohoto členského státu ke dni ... [Úřad pro publikace: vložte datum vstupu tohoto nařízení v platnost];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Sladěno s nařízením o platebních službách.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20 – odst. 3 – písm.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v případě fyzické osoby maximální správní pokuty až do výše </w:t>
            </w:r>
            <w:r>
              <w:rPr>
                <w:b/>
                <w:i/>
              </w:rPr>
              <w:t>25 000</w:t>
            </w:r>
            <w:r>
              <w:t xml:space="preserve"> EUR za každé porušení a až do celkové výše </w:t>
            </w:r>
            <w:r>
              <w:rPr>
                <w:b/>
                <w:i/>
              </w:rPr>
              <w:t>250 000</w:t>
            </w:r>
            <w:r>
              <w:t xml:space="preserve"> EUR za rok nebo, v členských státech, jejichž úřední měnou není euro, v odpovídající výši v úřední měně tohoto členského státu ke dni ... [Úřad pro publikace: vložte datum vstupu tohoto nařízení v platnost];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f)</w:t>
            </w:r>
            <w:r>
              <w:tab/>
            </w:r>
            <w:r>
              <w:t xml:space="preserve">v případě fyzické osoby maximální správní pokuty až do výše </w:t>
            </w:r>
            <w:r>
              <w:rPr>
                <w:b/>
                <w:i/>
              </w:rPr>
              <w:t>50 000</w:t>
            </w:r>
            <w:r>
              <w:t xml:space="preserve"> EUR za každé porušení a až do celkové výše </w:t>
            </w:r>
            <w:r>
              <w:rPr>
                <w:b/>
                <w:i/>
              </w:rPr>
              <w:t>500 000</w:t>
            </w:r>
            <w:r>
              <w:t xml:space="preserve"> EUR za rok nebo, v členských státech, jejichž úřední měnou není euro, v odpovídající výši v úřední měně tohoto členského státu ke dni ... [Úřad pro publikace: vložte datum vstupu tohoto nařízení v platnost]; </w:t>
            </w:r>
            <w:r>
              <w:rPr>
                <w:b/>
                <w:i/>
              </w:rP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20 – odst. 4 – pododstavec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</w:t>
            </w:r>
            <w:r>
              <w:tab/>
            </w:r>
            <w:r>
              <w:rPr>
                <w:b/>
                <w:i/>
              </w:rPr>
              <w:t>až do výše 50 000 EUR za každé porušení a až do celkové výše 500 000 EUR za rok nebo, v členských státech, jejichž úřední měnou není euro, v odpovídající výši v úřední měně tohoto členského státu ke dni ... [Úřad pro publikace:</w:t>
            </w:r>
            <w:r>
              <w:t xml:space="preserve"> </w:t>
            </w:r>
            <w:r>
              <w:rPr>
                <w:b/>
                <w:i/>
              </w:rPr>
              <w:t>vložte datum vstupu tohoto nařízení v platnost];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20 – odst. 4 – pododstavec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až do </w:t>
            </w:r>
            <w:r>
              <w:rPr>
                <w:b/>
                <w:i/>
              </w:rPr>
              <w:t>výše 50 000 EUR za každé porušení a až do</w:t>
            </w:r>
            <w:r>
              <w:t xml:space="preserve"> celkové výše </w:t>
            </w:r>
            <w:r>
              <w:rPr>
                <w:b/>
                <w:i/>
              </w:rPr>
              <w:t>500 000</w:t>
            </w:r>
            <w:r>
              <w:t xml:space="preserve"> EUR za rok nebo, v členských státech, jejichž úřední měnou není euro, v odpovídající výši v úřední měně tohoto členského státu ke dni ... [Úřad pro publikace: vložte datum vstupu tohoto nařízení v platnost];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až do celkové výše </w:t>
            </w:r>
            <w:r>
              <w:rPr>
                <w:b/>
                <w:i/>
              </w:rPr>
              <w:t>5 000 000</w:t>
            </w:r>
            <w:r>
              <w:t xml:space="preserve"> EUR za rok nebo, v členských státech, jejichž úřední měnou není euro, v odpovídající výši v úřední měně tohoto členského státu ke dni ... [Úřad pro publikace: vložte datum vstupu tohoto nařízení v platnost];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20 – odst. 4 – pododstavec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2</w:t>
            </w:r>
            <w:r>
              <w:t xml:space="preserve"> % z celkového ročního obratu právnické osoby podle poslední dostupné účetní závěrky schválené vedoucím orgánem.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10</w:t>
            </w:r>
            <w:r>
              <w:t xml:space="preserve"> % z celkového </w:t>
            </w:r>
            <w:r>
              <w:rPr>
                <w:b/>
                <w:i/>
              </w:rPr>
              <w:t>celosvětového</w:t>
            </w:r>
            <w:r>
              <w:t xml:space="preserve"> ročního obratu právnické osoby </w:t>
            </w:r>
            <w:r>
              <w:rPr>
                <w:b/>
                <w:i/>
              </w:rPr>
              <w:t>z předešlého účetního období</w:t>
            </w:r>
            <w:r>
              <w:t xml:space="preserve"> podle poslední dostupné účetní závěrky schválené vedoucím orgánem.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Sladěno s nařízením o veřejných službách a obecným nařízením o ochraně osobních údajů.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20 – odst. 4 – pododstavec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2</w:t>
            </w:r>
            <w:r>
              <w:t xml:space="preserve"> % z celkového ročního obratu právnické osoby podle poslední dostupné účetní závěrky schválené vedoucím orgánem.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b)</w:t>
            </w:r>
            <w:r>
              <w:tab/>
            </w:r>
            <w:r>
              <w:rPr>
                <w:b/>
                <w:i/>
              </w:rPr>
              <w:t>10</w:t>
            </w:r>
            <w:r>
              <w:t xml:space="preserve"> % z celkového ročního obratu právnické osoby podle poslední dostupné účetní závěrky schválené vedoucím orgánem.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22 – odst. 1 – písm.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t xml:space="preserve">závažnost a </w:t>
            </w:r>
            <w:r>
              <w:rPr>
                <w:b/>
                <w:i/>
              </w:rPr>
              <w:t>dobu</w:t>
            </w:r>
            <w:r>
              <w:t xml:space="preserve"> trvání porušení;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a)</w:t>
            </w:r>
            <w:r>
              <w:tab/>
            </w:r>
            <w:r>
              <w:rPr>
                <w:b/>
                <w:i/>
              </w:rPr>
              <w:t>povaha,</w:t>
            </w:r>
            <w:r>
              <w:t xml:space="preserve"> závažnost a </w:t>
            </w:r>
            <w:r>
              <w:rPr>
                <w:b/>
                <w:i/>
              </w:rPr>
              <w:t>délka</w:t>
            </w:r>
            <w:r>
              <w:t xml:space="preserve"> trvání porušení </w:t>
            </w:r>
            <w:r>
              <w:rPr>
                <w:b/>
                <w:i/>
              </w:rPr>
              <w:t>s přihlédnutím k povaze, rozsahu či účelu dotčeného zpracování, jakož i k počtu dotčených subjektů údajů a míře škody, jež jim byla způsobena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22 – odst. 1 – písm. f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fa)</w:t>
            </w:r>
            <w:r>
              <w:tab/>
            </w:r>
            <w:r>
              <w:rPr>
                <w:b/>
                <w:i/>
              </w:rPr>
              <w:t>kategorie osobních údajů dotčené daným porušením;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22 – odst. 1 – písm. k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ka)</w:t>
            </w:r>
            <w:r>
              <w:tab/>
            </w:r>
            <w:r>
              <w:rPr>
                <w:b/>
                <w:i/>
              </w:rPr>
              <w:t>způsob, jakým se dozorový úřad dozvěděl o porušení, zejména zda správce či zpracovatel porušení oznámil, a pokud ano, v jaké míře;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27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27a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Úloha příslušných orgánů při vytváření programů sdílení finančních údajů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Příslušné orgány mohou být konzultovány ohledně tržně orientovaných iniciativ, pokud jde o zřízení systémů sdílení finančních údajů, jak je stanoveno v článku 9.</w:t>
            </w:r>
            <w:r>
              <w:t xml:space="preserve"> </w:t>
            </w:r>
            <w:r>
              <w:rPr>
                <w:b/>
                <w:i/>
              </w:rPr>
              <w:t>V rámci této poradní úlohy mohou sdílet údaje, které nejsou citlivé, s cílem pomoci při vytváření těchto systémů s cílem podpořit normalizaci, rozhraní vstřícná vůči zákazníkům a sdílení osvědčených postupů.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Kovařík, Martin Hlaváček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30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Pravomoc přijmout akt v přenesené pravomoci uvedená v článku 11 je svěřena Komisi na dobu XX měsíců od ... [Úřad pro publikace:</w:t>
            </w:r>
            <w:r>
              <w:t xml:space="preserve"> </w:t>
            </w:r>
            <w:r>
              <w:rPr>
                <w:b/>
                <w:i/>
              </w:rPr>
              <w:t>vložte:</w:t>
            </w:r>
            <w:r>
              <w:t xml:space="preserve"> </w:t>
            </w:r>
            <w:r>
              <w:rPr>
                <w:b/>
                <w:i/>
              </w:rPr>
              <w:t>datum vstupu tohoto nařízení v platnost].</w:t>
            </w:r>
            <w:r>
              <w:t xml:space="preserve"> </w:t>
            </w:r>
            <w:r>
              <w:rPr>
                <w:b/>
                <w:i/>
              </w:rPr>
              <w:t>Komise vypracuje zprávu o přenesení pravomoci nejpozději devět měsíců před koncem tohoto XXměsíčního období.</w:t>
            </w:r>
            <w:r>
              <w:t xml:space="preserve"> </w:t>
            </w:r>
            <w:r>
              <w:rPr>
                <w:b/>
                <w:i/>
              </w:rPr>
              <w:t>Přenesení pravomoci se automaticky prodlužuje o stejně dlouhá období, pokud Evropský parlament ani Rada nevysloví proti tomuto prodloužení námitku nejpozději tři měsíce před koncem každého z těchto období.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Kovařík, Martin Hlaváček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30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Evropský parlament nebo Rada mohou přenesení pravomoci uvedené v článku 11 kdykoli zrušit.</w:t>
            </w:r>
            <w:r>
              <w:t xml:space="preserve"> </w:t>
            </w:r>
            <w:r>
              <w:rPr>
                <w:b/>
                <w:i/>
              </w:rPr>
              <w:t>Rozhodnutím o zrušení se ukončuje přenesení pravomoci v něm upřesněné.</w:t>
            </w:r>
            <w:r>
              <w:t xml:space="preserve"> </w:t>
            </w:r>
            <w:r>
              <w:rPr>
                <w:b/>
                <w:i/>
              </w:rPr>
              <w:t>Rozhodnutí nabývá účinku prvním dnem po zveřejnění v Úředním věstníku Evropské unie, nebo k pozdějšímu dni, který je v něm upřesněn.</w:t>
            </w:r>
            <w:r>
              <w:t xml:space="preserve"> </w:t>
            </w:r>
            <w:r>
              <w:rPr>
                <w:b/>
                <w:i/>
              </w:rPr>
              <w:t>Nedotýká se platnosti již platných aktů v přenesené pravomoci.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30 – odst.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Evropský parlament nebo Rada mohou přenesení pravomoci uvedené v článku 11 kdykoli zrušit. Rozhodnutím o zrušení se ukončuje přenesení pravomoci v něm </w:t>
            </w:r>
            <w:r>
              <w:rPr>
                <w:b/>
                <w:i/>
              </w:rPr>
              <w:t>upřesněné</w:t>
            </w:r>
            <w:r>
              <w:t>. Rozhodnutí nabývá účinku prvním dnem po zveřejnění v Úředním věstníku Evropské unie</w:t>
            </w:r>
            <w:r>
              <w:rPr>
                <w:b/>
                <w:i/>
              </w:rPr>
              <w:t>,</w:t>
            </w:r>
            <w:r>
              <w:t xml:space="preserve"> nebo k pozdějšímu dni, který je v něm upřesněn. Nedotýká se platnosti již platných aktů v přenesené pravomoci.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Evropský parlament nebo Rada mohou přenesení pravomoci uvedené v </w:t>
            </w:r>
            <w:r>
              <w:rPr>
                <w:b/>
                <w:i/>
              </w:rPr>
              <w:t>čl. 2 odst. 4a), čl. 2 odst. 4b), a</w:t>
            </w:r>
            <w:r>
              <w:t xml:space="preserve"> článku 11 kdykoli zrušit. Rozhodnutím o zrušení se ukončuje přenesení pravomoci v něm </w:t>
            </w:r>
            <w:r>
              <w:rPr>
                <w:b/>
                <w:i/>
              </w:rPr>
              <w:t>určené</w:t>
            </w:r>
            <w:r>
              <w:t>. Rozhodnutí nabývá účinku prvním dnem po zveřejnění v Úředním věstníku Evropské unie nebo k pozdějšímu dni, který je v něm upřesněn. Nedotýká se platnosti již platných aktů v přenesené pravomoci.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30 – odst.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Před přijetím aktu v přenesené pravomoci Komise vede konzultace </w:t>
            </w:r>
            <w:r>
              <w:rPr>
                <w:b/>
                <w:i/>
              </w:rPr>
              <w:t>s</w:t>
            </w:r>
            <w:r>
              <w:t xml:space="preserve"> odborníky jmenovanými jednotlivými členskými státy v souladu se zásadami stanovenými v interinstitucionální dohodě ze dne 13. dubna 2016 o zdokonalení tvorby právních předpisů.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Před přijetím aktu v přenesené pravomoci Komise vede konzultace </w:t>
            </w:r>
            <w:r>
              <w:rPr>
                <w:b/>
                <w:i/>
              </w:rPr>
              <w:t>se zúčastněnými stranami a</w:t>
            </w:r>
            <w:r>
              <w:t xml:space="preserve"> odborníky jmenovanými jednotlivými členskými státy v souladu se zásadami stanovenými v interinstitucionální dohodě ze dne 13. dubna 2016 o zdokonalení tvorby právních předpisů.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Kovařík, Martin Hlaváček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30 – odst.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Akt v přenesené pravomoci přijatý podle článku 11 vstoupí v platnost pouze tehdy, pokud proti němu Evropský parlament ani Rada nevysloví námitky ve lhůtě tří měsíců ode dne, kdy jim byl tento akt oznámen, nebo pokud Evropský parlament i Rada před uplynutím této lhůty informují Komisi o tom, že námitky nevysloví.</w:t>
            </w:r>
            <w:r>
              <w:t xml:space="preserve"> </w:t>
            </w:r>
            <w:r>
              <w:rPr>
                <w:b/>
                <w:i/>
              </w:rPr>
              <w:t>Z podnětu Evropského parlamentu nebo Rady se tato lhůta prodlouží o tři měsíce.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30 – odst.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Akt v přenesené pravomoci přijatý podle článku 11 vstoupí v platnost pouze tehdy, pokud proti němu Evropský parlament ani Rada nevysloví námitky ve lhůtě tří měsíců ode dne, kdy jim byl tento akt oznámen, nebo pokud Evropský parlament i Rada před uplynutím této lhůty informují Komisi o tom, že námitky nevysloví. Z podnětu Evropského parlamentu nebo Rady se tato lhůta prodlouží o tři měsíce.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Akt v přenesené pravomoci přijatý podle </w:t>
            </w:r>
            <w:r>
              <w:rPr>
                <w:b/>
                <w:i/>
              </w:rPr>
              <w:t>čl. 2 odst. 4a), čl. 2 odst. 4b) a</w:t>
            </w:r>
            <w:r>
              <w:t xml:space="preserve"> článku 11 vstoupí v platnost pouze tehdy, pokud proti němu Evropský parlament ani Rada nevysloví námitky ve lhůtě tří měsíců ode dne, kdy jim byl tento akt oznámen, nebo pokud Evropský parlament i Rada před uplynutím této lhůty informují Komisi o tom, že námitky nevysloví. Z podnětu Evropského parlamentu nebo Rady se tato lhůta prodlouží o tři měsíce.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30 – odst. 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Při uplatňování čl. 2 odst. 4a, čl. 2 odst. 4b a článku 11 konzultuje Evropská komise všechny příslušné zúčastněné strany a evropské orgány dohledu ohledně vývoje a změn případů použití.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[Úřad pro publikace: vložte datum = </w:t>
            </w:r>
            <w:r>
              <w:rPr>
                <w:b/>
                <w:i/>
              </w:rPr>
              <w:t>4 roky</w:t>
            </w:r>
            <w:r>
              <w:t xml:space="preserve"> od data použitelnosti tohoto nařízení] provede Komise hodnocení tohoto nařízení a předloží zprávu o hlavních zjištěních Evropskému parlamentu a Radě, jakož i Evropskému hospodářskému a sociálnímu výboru. V tomto hodnocení se posuzuje zejména: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[Úřad pro publikace: vložte datum = </w:t>
            </w:r>
            <w:r>
              <w:rPr>
                <w:b/>
                <w:i/>
              </w:rPr>
              <w:t>5 let</w:t>
            </w:r>
            <w:r>
              <w:t xml:space="preserve"> od data použitelnosti tohoto nařízení] provede Komise hodnocení tohoto nařízení a předloží zprávu o hlavních zjištěních Evropskému parlamentu a Radě, jakož i Evropskému hospodářskému a sociálnímu výboru. V tomto hodnocení se posuzuje zejména: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návětí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[Úřad pro publikace: vložte datum = </w:t>
            </w:r>
            <w:r>
              <w:rPr>
                <w:b/>
                <w:i/>
              </w:rPr>
              <w:t>4 roky</w:t>
            </w:r>
            <w:r>
              <w:t xml:space="preserve"> od data použitelnosti tohoto nařízení] provede Komise hodnocení tohoto nařízení a předloží zprávu o hlavních zjištěních Evropskému parlamentu a Radě, jakož i Evropskému hospodářskému a sociálnímu výboru. V tomto hodnocení se posuzuje zejména: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Do [Úřad pro publikace: vložte datum = </w:t>
            </w:r>
            <w:r>
              <w:rPr>
                <w:b/>
                <w:i/>
              </w:rPr>
              <w:t>8 let</w:t>
            </w:r>
            <w:r>
              <w:t xml:space="preserve"> od data použitelnosti tohoto nařízení] provede Komise hodnocení tohoto nařízení a předloží zprávu o hlavních zjištěních Evropskému parlamentu a Radě, jakož i Evropskému hospodářskému a sociálnímu výboru. V tomto hodnocení se posuzuje zejména: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písm.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</w:t>
            </w:r>
            <w:r>
              <w:tab/>
            </w:r>
            <w:r>
              <w:rPr>
                <w:b/>
                <w:i/>
              </w:rPr>
              <w:t>vyloučení určitých kategorií údajů a subjektů z oblasti působnosti;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Isabel Benjumea Benjumea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písm.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rPr>
                <w:b/>
                <w:i/>
              </w:rPr>
              <w:t>začlenění</w:t>
            </w:r>
            <w:r>
              <w:t xml:space="preserve"> dalších </w:t>
            </w:r>
            <w:r>
              <w:rPr>
                <w:b/>
                <w:i/>
              </w:rPr>
              <w:t>typů</w:t>
            </w:r>
            <w:r>
              <w:t xml:space="preserve"> subjektů </w:t>
            </w:r>
            <w:r>
              <w:rPr>
                <w:b/>
                <w:i/>
              </w:rPr>
              <w:t>k subjektům, kterým bylo uděleno právo přístupu k údajům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d)</w:t>
            </w:r>
            <w:r>
              <w:tab/>
            </w:r>
            <w:r>
              <w:rPr>
                <w:b/>
                <w:i/>
              </w:rPr>
              <w:t>zahrnutí</w:t>
            </w:r>
            <w:r>
              <w:t xml:space="preserve"> dalších </w:t>
            </w:r>
            <w:r>
              <w:rPr>
                <w:b/>
                <w:i/>
              </w:rPr>
              <w:t>druhů</w:t>
            </w:r>
            <w:r>
              <w:t xml:space="preserve"> subjektů </w:t>
            </w:r>
            <w:r>
              <w:rPr>
                <w:b/>
                <w:i/>
              </w:rPr>
              <w:t>na seznam držitelů dat a uživatelů dat podle tohoto nařízení, včetně dobrovolného zahrnutí určitých kategorií subjektů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dopad nařízení na finanční začlenění a jednoduchost finančních produktů a služeb;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dopad nařízení na finanční vyloučení.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přiměřenost správních sankcí a opatření.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Isabel Benjumea Benjumea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písm. e a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ea)</w:t>
            </w:r>
            <w:r>
              <w:tab/>
            </w:r>
            <w:r>
              <w:rPr>
                <w:b/>
                <w:i/>
              </w:rPr>
              <w:t>náklady na dodržování tohoto nařízení;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Ville Niinistö</w:t>
      </w:r>
      <w:r>
        <w:rPr>
          <w:rStyle w:val="HideTWBExt"/>
        </w:rPr>
        <w:t>&lt;/Members&gt;</w:t>
      </w:r>
    </w:p>
    <w:p>
      <w:r>
        <w:rPr>
          <w:rStyle w:val="HideTWBExt"/>
        </w:rPr>
        <w:t>&lt;AuNomDe&gt;</w:t>
      </w:r>
      <w:r>
        <w:rPr>
          <w:rStyle w:val="HideTWBInt"/>
        </w:rPr>
        <w:t>{Verts/ALE}</w:t>
      </w:r>
      <w:r>
        <w:t>za skupinu Verts/ALE</w:t>
      </w:r>
      <w:r>
        <w:rPr>
          <w:rStyle w:val="HideTWBExt"/>
        </w:rPr>
        <w:t>&lt;/AuNomDe&gt;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1 – písm. e b (nové)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eb)</w:t>
            </w:r>
            <w:r>
              <w:tab/>
            </w:r>
            <w:r>
              <w:rPr>
                <w:b/>
                <w:i/>
              </w:rPr>
              <w:t>dopad tohoto nařízení na udržitelné finance;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Eero Heinäluoma, Jonás Fernández, Costas Mavrides, Aurore Lalucq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Do [Úřad pro publikace:</w:t>
            </w:r>
            <w:r>
              <w:t xml:space="preserve"> </w:t>
            </w:r>
            <w:r>
              <w:rPr>
                <w:b/>
                <w:i/>
              </w:rPr>
              <w:t>vložte datum = 4 roky po vstupu tohoto nařízení v platnost] předloží Komise Evropskému parlamentu a Radě zprávu, v níž posoudí podmínky přístupu k finančním údajům, které se vztahují na poskytovatele služeb informování o účtu podle tohoto nařízení a podle směrnice (EU) 2015/2366.</w:t>
            </w:r>
            <w:r>
              <w:t xml:space="preserve"> </w:t>
            </w:r>
            <w:r>
              <w:rPr>
                <w:b/>
                <w:i/>
              </w:rPr>
              <w:t>V případě potřeby může být doplněna legislativním návrhem.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vypouští se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31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Do [Úřad pro publikace: vložte datum = </w:t>
            </w:r>
            <w:r>
              <w:rPr>
                <w:b/>
                <w:i/>
              </w:rPr>
              <w:t>4 roky</w:t>
            </w:r>
            <w:r>
              <w:t xml:space="preserve"> po vstupu tohoto nařízení v platnost] předloží Komise Evropskému parlamentu a Radě zprávu, v níž posoudí podmínky přístupu k finančním údajům, které se vztahují na poskytovatele služeb informování o účtu podle tohoto nařízení a podle směrnice (EU) 2015/2366. V případě potřeby může být doplněna legislativním návrhem.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Do [Úřad pro publikace: vložte datum = </w:t>
            </w:r>
            <w:r>
              <w:rPr>
                <w:b/>
                <w:i/>
              </w:rPr>
              <w:t>5 let</w:t>
            </w:r>
            <w:r>
              <w:t xml:space="preserve"> po vstupu tohoto nařízení v platnost] předloží Komise Evropskému parlamentu a Radě zprávu, v níž posoudí podmínky přístupu k finančním údajům, které se vztahují na poskytovatele služeb informování o účtu podle tohoto nařízení a podle směrnice (EU) 2015/2366. V případě potřeby může být doplněna legislativním návrhem.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Frances Fitzgerald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Použije se od [Úřad pro publikace: vložte datum = 24 měsíců ode dne vstupu tohoto nařízení v platnost]. Články 9 až 13 se však použijí od [Úřad pro publikace: vložte datum = 18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24 měsíců ode dne vstupu tohoto nařízení v platnost]. Články 9 až 13 se však použijí od [Úřad pro publikace: vložte datum = 18 měsíců ode dne vstupu tohoto nařízení v platnost]. </w:t>
            </w:r>
            <w:r>
              <w:rPr>
                <w:b/>
                <w:i/>
              </w:rPr>
              <w:t>Použití tohoto nařízení musí být v souladu s daty použitelnosti nařízení (EU)... [XXX – PSR] a směrnice (EU)... [XXX – PSD3] a ne dříve.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Lídia Pereira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24 měsíců ode dne vstupu tohoto nařízení v platnost].</w:t>
            </w:r>
            <w:r>
              <w:t xml:space="preserve"> </w:t>
            </w:r>
            <w:r>
              <w:rPr>
                <w:b/>
                <w:i/>
              </w:rPr>
              <w:t>Články 9 až 13 se však použijí od [Úřad pro publikace:</w:t>
            </w:r>
            <w:r>
              <w:t xml:space="preserve"> </w:t>
            </w:r>
            <w:r>
              <w:rPr>
                <w:b/>
                <w:i/>
              </w:rPr>
              <w:t>vložte datum = 18</w:t>
            </w:r>
            <w:r>
              <w:t xml:space="preserve">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36</w:t>
            </w:r>
            <w:r>
              <w:t xml:space="preserve"> měsíců ode dne vstupu tohoto nařízení v 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Fabio Massimo Castaldo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24 měsíců ode dne vstupu tohoto nařízení v platnost]. </w:t>
            </w:r>
            <w:r>
              <w:rPr>
                <w:b/>
                <w:i/>
              </w:rPr>
              <w:t>Články 9 až 13 se však použijí od [Úřad pro publikace:</w:t>
            </w:r>
            <w:r>
              <w:t xml:space="preserve"> </w:t>
            </w:r>
            <w:r>
              <w:rPr>
                <w:b/>
                <w:i/>
              </w:rPr>
              <w:t>vložte datum = 18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Použije se od [Úřad pro publikace: vložte datum = 24 měsíců ode dne vstupu tohoto nařízení v 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Marco Zanni, Valentino Grant, Antonio Maria Rinaldi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 Články 9 až 13 se však použijí od [Úřad pro publikace: vložte datum = </w:t>
            </w:r>
            <w:r>
              <w:rPr>
                <w:b/>
                <w:i/>
              </w:rPr>
              <w:t>18</w:t>
            </w:r>
            <w:r>
              <w:t xml:space="preserve">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48</w:t>
            </w:r>
            <w:r>
              <w:t xml:space="preserve"> měsíců ode dne vstupu tohoto nařízení v platnost]. Články 9 až 13 se však použijí od [Úřad pro publikace: vložte datum = </w:t>
            </w:r>
            <w:r>
              <w:rPr>
                <w:b/>
                <w:i/>
              </w:rPr>
              <w:t>36,48, 60</w:t>
            </w:r>
            <w:r>
              <w:t xml:space="preserve"> měsíců ode dne vstupu tohoto nařízení v 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Ondřej Kovařík, Martin Hlaváček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 Články 9 až 13 se však použijí od [Úřad pro publikace: vložte datum = </w:t>
            </w:r>
            <w:r>
              <w:rPr>
                <w:b/>
                <w:i/>
              </w:rPr>
              <w:t>18</w:t>
            </w:r>
            <w:r>
              <w:t xml:space="preserve">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42</w:t>
            </w:r>
            <w:r>
              <w:t xml:space="preserve"> měsíců ode dne vstupu tohoto nařízení v platnost]. Články 9 až 13 se však použijí od [Úřad pro publikace: vložte datum = </w:t>
            </w:r>
            <w:r>
              <w:rPr>
                <w:b/>
                <w:i/>
              </w:rPr>
              <w:t>36</w:t>
            </w:r>
            <w:r>
              <w:t xml:space="preserve"> měsíců ode dne vstupu tohoto nařízení v 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Giuseppe Ferrandino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 Články 9 až 13 se však použijí od [Úřad pro publikace: vložte datum = </w:t>
            </w:r>
            <w:r>
              <w:rPr>
                <w:b/>
                <w:i/>
              </w:rPr>
              <w:t>18</w:t>
            </w:r>
            <w:r>
              <w:t xml:space="preserve">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36</w:t>
            </w:r>
            <w:r>
              <w:t xml:space="preserve"> měsíců ode dne vstupu tohoto nařízení v platnost]. Články 9 až 13 se však použijí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Odůvodnění</w:t>
      </w:r>
      <w:r>
        <w:rPr>
          <w:rStyle w:val="HideTWBExt"/>
        </w:rPr>
        <w:t>&lt;/TitreJust&gt;</w:t>
      </w:r>
    </w:p>
    <w:p>
      <w:pPr>
        <w:pStyle w:val="AmJustText"/>
      </w:pPr>
      <w:r>
        <w:t>Navrhuje se prodloužit navrhované prováděcí období pro nařízení FIDA z 24 na 36 měsíců a odložit období vývoje systému FDSS z 18 na 24 měsíců.</w:t>
      </w:r>
      <w:r>
        <w:t xml:space="preserve"> </w:t>
      </w:r>
      <w:r>
        <w:t>Toto prodloužení by poskytlo uživatelům dat a držitelům dat dostatek času na vypracování praktických a bezpečných rámců pro sdílení dat, což by v konečném důsledku vedlo ke zlepšení výsledků jak pro podniky, tak pro zákazníky.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 Články 9 až 13 se však použijí od [Úřad pro publikace: vložte datum = </w:t>
            </w:r>
            <w:r>
              <w:rPr>
                <w:b/>
                <w:i/>
              </w:rPr>
              <w:t>18</w:t>
            </w:r>
            <w:r>
              <w:t xml:space="preserve">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30</w:t>
            </w:r>
            <w:r>
              <w:t xml:space="preserve"> měsíců ode dne vstupu tohoto nařízení v platnost]. Články 9 až 13 se však použijí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Isabel Benjumea Benjumea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 Články 9 až 13 se však použijí </w:t>
            </w:r>
            <w:r>
              <w:rPr>
                <w:b/>
                <w:i/>
              </w:rPr>
              <w:t>od</w:t>
            </w:r>
            <w:r>
              <w:t xml:space="preserve"> [Úřad pro publikace: vložte datum </w:t>
            </w:r>
            <w:r>
              <w:rPr>
                <w:b/>
                <w:i/>
              </w:rPr>
              <w:t>= 18</w:t>
            </w:r>
            <w:r>
              <w:t xml:space="preserve"> měsíců </w:t>
            </w:r>
            <w:r>
              <w:rPr>
                <w:b/>
                <w:i/>
              </w:rPr>
              <w:t>ode dne</w:t>
            </w:r>
            <w:r>
              <w:t xml:space="preserve"> vstupu </w:t>
            </w:r>
            <w:r>
              <w:rPr>
                <w:b/>
                <w:i/>
              </w:rPr>
              <w:t>tohoto nařízení</w:t>
            </w:r>
            <w:r>
              <w:t xml:space="preserve">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30</w:t>
            </w:r>
            <w:r>
              <w:t xml:space="preserve"> měsíců ode dne vstupu tohoto nařízení v platnost]. Články 9 až 13 se však použijí </w:t>
            </w:r>
            <w:r>
              <w:rPr>
                <w:b/>
                <w:i/>
              </w:rPr>
              <w:t>ode dne</w:t>
            </w:r>
            <w:r>
              <w:t xml:space="preserve"> [Úřad pro publikace: vložte </w:t>
            </w:r>
            <w:r>
              <w:rPr>
                <w:b/>
                <w:i/>
              </w:rPr>
              <w:t>prosím</w:t>
            </w:r>
            <w:r>
              <w:t xml:space="preserve"> datum </w:t>
            </w:r>
            <w:r>
              <w:rPr>
                <w:b/>
                <w:i/>
              </w:rPr>
              <w:t>24</w:t>
            </w:r>
            <w:r>
              <w:t xml:space="preserve"> měsíců </w:t>
            </w:r>
            <w:r>
              <w:rPr>
                <w:b/>
                <w:i/>
              </w:rPr>
              <w:t>po</w:t>
            </w:r>
            <w:r>
              <w:t xml:space="preserve"> vstupu v 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Fulvio Martusciello, Herbert Dorfmann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Čl. 36 – odst.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24</w:t>
            </w:r>
            <w:r>
              <w:t xml:space="preserve"> měsíců ode dne vstupu tohoto nařízení v platnost]. Články 9 až 13 se však použijí od [Úřad pro publikace: vložte datum = </w:t>
            </w:r>
            <w:r>
              <w:rPr>
                <w:b/>
                <w:i/>
              </w:rPr>
              <w:t>18</w:t>
            </w:r>
            <w:r>
              <w:t xml:space="preserve"> měsíců ode dne vstupu tohoto nařízení v platnost].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Použije se od [Úřad pro publikace: vložte datum = </w:t>
            </w:r>
            <w:r>
              <w:rPr>
                <w:b/>
                <w:i/>
              </w:rPr>
              <w:t>48</w:t>
            </w:r>
            <w:r>
              <w:t xml:space="preserve"> měsíců ode dne vstupu tohoto nařízení v platnost]. Články 9 až 13 se však použijí od [Úřad pro publikace: vložte datum = </w:t>
            </w:r>
            <w:r>
              <w:rPr>
                <w:b/>
                <w:i/>
              </w:rPr>
              <w:t>36,48, 60</w:t>
            </w:r>
            <w:r>
              <w:t xml:space="preserve"> měsíců ode dne vstupu tohoto nařízení v platnost].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Pozměňovací návrh</w:t>
      </w:r>
      <w:r>
        <w:tab/>
      </w:r>
      <w:r>
        <w:tab/>
      </w:r>
      <w:r>
        <w:rPr>
          <w:rStyle w:val="HideTWBExt"/>
        </w:rPr>
        <w:t>&lt;NumAm&gt;</w:t>
      </w:r>
      <w:r>
        <w:t>588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Markus Ferber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Návrh nařízení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Článek 36 a (nový)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Znění navržené Komisí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Pozměňovací návrh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Článek 36a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Přezkum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5 let od vstupu tohoto nařízení v platnost přezkoumá Evropská komise uplatňování tohoto nařízení a předloží zprávu Evropskému parlamentu a Radě.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Tato zpráva posoudí zejména: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a) zda by oblast působnosti měla být rozšířena na údaje shromažďované pro účely posouzení vhodnosti a náležitosti a jaké legislativní změny by byly odůvodněné, aby se takové rozšíření oblasti působnosti umožnilo;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b) zda systémy finančních údajů zavedené tímto nařízením fungují tak, jak bylo zamýšleno, zejména pro malé a střední podniky;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dopad na celkovou hospodářskou soutěž a strukturu trhu;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V případě potřeby se ke zprávě připojí legislativní návrh.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758.858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103</w:t>
    </w:r>
    <w:r>
      <w:fldChar w:fldCharType="end"/>
    </w:r>
    <w:r>
      <w:tab/>
    </w:r>
    <w:r>
      <w:rPr>
        <w:rStyle w:val="HideTWBExt"/>
      </w:rPr>
      <w:t>&lt;PathFdR&gt;</w:t>
    </w:r>
    <w:r>
      <w:t>AM\1295976CS.docx</w:t>
    </w:r>
    <w:r>
      <w:rPr>
        <w:rStyle w:val="HideTWBExt"/>
      </w:rPr>
      <w:t>&lt;/PathFdR&gt;</w:t>
    </w:r>
  </w:p>
  <w:p>
    <w:pPr>
      <w:pStyle w:val="EPFooter2"/>
    </w:pPr>
    <w:r>
      <w:t>CS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AM\1295976CS.docx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103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103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758.858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CS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AM\1295976CS.docx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758.858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CS</w:t>
    </w:r>
    <w:r>
      <w:tab/>
    </w:r>
    <w:r>
      <w:rPr>
        <w:rStyle w:val="EPFooter2Motto"/>
      </w:rPr>
      <w:t>Jednotná v rozmanitosti</w:t>
    </w:r>
    <w:r>
      <w:tab/>
    </w:r>
    <w:r>
      <w:t>CS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clear" w:color="0000BF" w:fill="0000BF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103</Pages>
  <Words>19894</Words>
  <Characters>113134</Characters>
  <Application>Microsoft Office Word</Application>
  <DocSecurity>0</DocSecurity>
  <Lines>1</Lines>
  <Paragraphs>2132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1295976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49265</vt:lpwstr>
  </property>
  <property fmtid="{D5CDD505-2E9C-101B-9397-08002B2CF9AE}" pid="7" name="dmxml.render.traceId">
    <vt:lpwstr>65d3235a3124e312d4e7c65bd37ece6a</vt:lpwstr>
  </property>
  <property fmtid="{D5CDD505-2E9C-101B-9397-08002B2CF9AE}" pid="8" name="FooterPath">
    <vt:lpwstr>AM\1295976CS.docx</vt:lpwstr>
  </property>
  <property fmtid="{D5CDD505-2E9C-101B-9397-08002B2CF9AE}" pid="9" name="PE Number">
    <vt:lpwstr>758.858</vt:lpwstr>
  </property>
  <property fmtid="{D5CDD505-2E9C-101B-9397-08002B2CF9AE}" pid="10" name="UID">
    <vt:lpwstr>eu.europa.europarl-DIN1-2024-0000007124_01.00-cs-01.00_text-xml</vt:lpwstr>
  </property>
</Properties>
</file>