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{ECON}</w:t>
      </w:r>
      <w:r>
        <w:t>Økonomi- og Valutaudvalget</w:t>
      </w:r>
      <w:r>
        <w:rPr>
          <w:rStyle w:val="HideTWBExt"/>
        </w:rPr>
        <w:t>&lt;/Commission&gt;</w:t>
      </w:r>
    </w:p>
    <w:p>
      <w:pPr>
        <w:pStyle w:val="LineBottom"/>
      </w:pPr>
      <w:r>
        <w:t xml:space="preserve"> </w:t>
      </w:r>
    </w:p>
    <w:p>
      <w:pPr>
        <w:pStyle w:val="CoverReference"/>
      </w:pPr>
      <w:r>
        <w:rPr>
          <w:rStyle w:val="HideTWBExt"/>
        </w:rPr>
        <w:t>&lt;RefProc&gt;</w:t>
      </w:r>
      <w:r>
        <w:t>2024/2054</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{13/11/2024}</w:t>
      </w:r>
      <w:r>
        <w:t>13.11.2024</w:t>
      </w:r>
      <w:r>
        <w:rPr>
          <w:rStyle w:val="HideTWBExt"/>
        </w:rPr>
        <w:t>&lt;/Date&gt;</w:t>
      </w:r>
    </w:p>
    <w:p>
      <w:pPr>
        <w:pStyle w:val="CoverDocType"/>
      </w:pPr>
      <w:r>
        <w:rPr>
          <w:rStyle w:val="HideTWBExt"/>
        </w:rPr>
        <w:t>&lt;TypeAM&gt;</w:t>
      </w:r>
      <w:r>
        <w:t>ÆNDRINGSFORSLAG</w:t>
      </w:r>
      <w:r>
        <w:rPr>
          <w:rStyle w:val="HideTWBExt"/>
        </w:rPr>
        <w:t>&lt;/TypeAM&gt;</w:t>
      </w:r>
    </w:p>
    <w:p>
      <w:pPr>
        <w:pStyle w:val="CoverDocType24a"/>
      </w:pPr>
      <w:r>
        <w:rPr>
          <w:rStyle w:val="HideTWBExt"/>
        </w:rPr>
        <w:t>&lt;RangeAM&gt;</w:t>
      </w:r>
      <w:r>
        <w:t>1</w:t>
      </w:r>
      <w:r>
        <w:t xml:space="preserve"> - </w:t>
      </w:r>
      <w:r>
        <w:t>314</w:t>
      </w:r>
      <w:r>
        <w:rPr>
          <w:rStyle w:val="HideTWBExt"/>
        </w:rPr>
        <w:t>&lt;/RangeAM&gt;</w:t>
      </w:r>
    </w:p>
    <w:p>
      <w:pPr>
        <w:pStyle w:val="CoverBold"/>
      </w:pPr>
      <w:r>
        <w:rPr>
          <w:rStyle w:val="HideTWBExt"/>
        </w:rPr>
        <w:t>&lt;TitreType&gt;</w:t>
      </w:r>
      <w:r>
        <w:t>Udkast til betænkning</w:t>
      </w:r>
      <w:r>
        <w:rPr>
          <w:rStyle w:val="HideTWBExt"/>
        </w:rPr>
        <w:t>&lt;/TitreType&gt;</w:t>
      </w:r>
    </w:p>
    <w:p>
      <w:pPr>
        <w:pStyle w:val="CoverBold"/>
      </w:pPr>
      <w:r>
        <w:rPr>
          <w:rStyle w:val="HideTWBExt"/>
        </w:rPr>
        <w:t>&lt;Rapporteur&gt;</w:t>
      </w:r>
      <w:r>
        <w:t>Anouk Van Brug</w:t>
      </w:r>
      <w:r>
        <w:rPr>
          <w:rStyle w:val="HideTWBExt"/>
        </w:rPr>
        <w:t>&lt;/Rapporteur&gt;</w:t>
      </w:r>
    </w:p>
    <w:p>
      <w:pPr>
        <w:pStyle w:val="CoverNormal24a"/>
      </w:pPr>
      <w:r>
        <w:rPr>
          <w:rStyle w:val="HideTWBExt"/>
        </w:rPr>
        <w:t>&lt;DocRefPE&gt;</w:t>
      </w:r>
      <w:r>
        <w:t>(PE765.056v01-00)</w:t>
      </w:r>
      <w:r>
        <w:rPr>
          <w:rStyle w:val="HideTWBExt"/>
        </w:rPr>
        <w:t>&lt;/DocRefPE&gt;</w:t>
      </w:r>
    </w:p>
    <w:p>
      <w:pPr>
        <w:pStyle w:val="CoverNormal"/>
      </w:pPr>
      <w:r>
        <w:rPr>
          <w:rStyle w:val="HideTWBExt"/>
        </w:rPr>
        <w:t>&lt;Titre&gt;</w:t>
      </w:r>
      <w:r>
        <w:t>Den Europæiske Centralbank – årsberetning 2024</w:t>
      </w:r>
      <w:r>
        <w:rPr>
          <w:rStyle w:val="HideTWBExt"/>
        </w:rPr>
        <w:t>&lt;/Titre&gt;</w:t>
      </w:r>
    </w:p>
    <w:p>
      <w:pPr>
        <w:pStyle w:val="CoverNormal24a"/>
      </w:pPr>
      <w:r>
        <w:rPr>
          <w:rStyle w:val="HideTWBExt"/>
        </w:rPr>
        <w:t>&lt;DocRef&gt;</w:t>
      </w:r>
      <w:r>
        <w:t>(2024/2054(INI))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Ændringsforslag</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11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den europæiske søjle for sociale rettigheder,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13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EU-Domstolens dom af 11. december 2018, sag C-493/17, Weiss m.fl.,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13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EU-Domstolens dom af 16. juni 2015, sag C-62/14, Peter Gauweiler m.fl. mod Deutscher Bundestag,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14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Europa-Parlamentets beslutning af 19. maj 2022 om de sociale og økonomiske konsekvenser for EU af den russiske krig i Ukraine – styrkelse af EU's handleevne (2022/2653(RSP)),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23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ECB's klima- og naturplan 2024-2025,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26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Parisaftalen, der er vedtaget inden for rammerne af De Forenede Nationers rammekonvention om klimaændringer,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Gilles Boyer, Stéphanie Yon-Courtin, Pascal Canfin, Billy Kelleher, Gerben-Jan Gerbrandy, 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der henviser til, at ifølge </w:t>
            </w:r>
            <w:r>
              <w:rPr>
                <w:b/>
                <w:i/>
              </w:rPr>
              <w:t>de makroøkonomiske fremskrivninger for euroområdet fra Eurosystemets personale fra september 2024</w:t>
            </w:r>
            <w:r>
              <w:t xml:space="preserve"> nåede inflationen i det harmoniserede forbrugerprisindeks (HICP) op på 1,7 % i euroområdet i september 2024;</w:t>
            </w:r>
          </w:p>
        </w:tc>
        <w:tc>
          <w:tcPr>
            <w:tcW w:w="4876" w:type="dxa"/>
            <w:tcBorders>
              <w:top w:val="nil"/>
              <w:left w:val="nil"/>
              <w:bottom w:val="nil"/>
              <w:right w:val="nil"/>
            </w:tcBorders>
          </w:tcPr>
          <w:p>
            <w:pPr>
              <w:pStyle w:val="Normal6a"/>
            </w:pPr>
            <w:r>
              <w:t>A.</w:t>
            </w:r>
            <w:r>
              <w:tab/>
            </w:r>
            <w:r>
              <w:t xml:space="preserve">der henviser til, at ifølge </w:t>
            </w:r>
            <w:r>
              <w:rPr>
                <w:b/>
                <w:i/>
              </w:rPr>
              <w:t>Eurostat</w:t>
            </w:r>
            <w:r>
              <w:t xml:space="preserve"> nåede inflationen i det harmoniserede forbrugerprisindeks (HICP) op på 1,7 % i euroområdet i september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A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der henviser til, at den samlede inflation i euroområdet lå på 2,9 % i september 2023 sammenlignet med 9,2 % i december 2022, hvilket viser et stadig mere generelt fald på tværs af de forskellige komponenter og i alt -6,3 procentpoint;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Gilles Boyer, Stéphanie Yon-Courtin, Pascal Canfin, Billy Kelleher, Gerben-Jan Gerbrandy, 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der henviser til, at HICP-inflationen forventes at stige noget i sidste kvartal af 2024, inden den falder til 2,2 % i 2025 og 1,9 % i 2026</w:t>
            </w:r>
            <w:r>
              <w:rPr>
                <w:vertAlign w:val="superscript"/>
              </w:rPr>
              <w:t>4</w:t>
            </w:r>
            <w:r>
              <w:t>;</w:t>
            </w:r>
          </w:p>
        </w:tc>
        <w:tc>
          <w:tcPr>
            <w:tcW w:w="4876" w:type="dxa"/>
            <w:tcBorders>
              <w:top w:val="nil"/>
              <w:left w:val="nil"/>
              <w:bottom w:val="nil"/>
              <w:right w:val="nil"/>
            </w:tcBorders>
          </w:tcPr>
          <w:p>
            <w:pPr>
              <w:pStyle w:val="Normal6a"/>
            </w:pPr>
            <w:r>
              <w:t>B.</w:t>
            </w:r>
            <w:r>
              <w:tab/>
            </w:r>
            <w:r>
              <w:t xml:space="preserve">der henviser til, at HICP-inflationen </w:t>
            </w:r>
            <w:r>
              <w:rPr>
                <w:b/>
                <w:i/>
              </w:rPr>
              <w:t>ifølge de makroøkonomiske fremskrivninger for euroområdet fra Eurosystemets personale fra september 2024</w:t>
            </w:r>
            <w:r>
              <w:t xml:space="preserve"> forventes at stige noget i sidste kvartal af 2024, inden den falder til 2,2 % i 2025 og 1,9 % i 2026</w:t>
            </w:r>
            <w:r>
              <w:rPr>
                <w:vertAlign w:val="superscript"/>
              </w:rPr>
              <w:t>4</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https://www.ecb.europa.eu/press/projections/html/ecb.projections202409_ecbstaff~9c88364c57.da.html#toc6.</w:t>
            </w:r>
          </w:p>
        </w:tc>
        <w:tc>
          <w:tcPr>
            <w:tcW w:w="4876" w:type="dxa"/>
            <w:tcBorders>
              <w:top w:val="nil"/>
              <w:left w:val="nil"/>
              <w:bottom w:val="nil"/>
              <w:right w:val="nil"/>
            </w:tcBorders>
          </w:tcPr>
          <w:p>
            <w:pPr>
              <w:pStyle w:val="Normal6a"/>
            </w:pPr>
            <w:r>
              <w:rPr>
                <w:vertAlign w:val="superscript"/>
              </w:rPr>
              <w:t>4</w:t>
            </w:r>
            <w:r>
              <w:t xml:space="preserve"> </w:t>
            </w:r>
            <w:r>
              <w:t>https://www.ecb.europa.eu/press/projections/html/ecb.projections202409_ecbstaff~9c88364c57.da.html#toc6.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der henviser til, at HICP-inflationen forventes at stige noget i sidste kvartal af 2024, inden den </w:t>
            </w:r>
            <w:r>
              <w:rPr>
                <w:b/>
                <w:i/>
              </w:rPr>
              <w:t>falder til 2,2 % i</w:t>
            </w:r>
            <w:r>
              <w:t xml:space="preserve"> 2025 og 1,9 % i 2026</w:t>
            </w:r>
            <w:r>
              <w:rPr>
                <w:vertAlign w:val="superscript"/>
              </w:rPr>
              <w:t>4</w:t>
            </w:r>
            <w:r>
              <w:t>;</w:t>
            </w:r>
          </w:p>
        </w:tc>
        <w:tc>
          <w:tcPr>
            <w:tcW w:w="4876" w:type="dxa"/>
            <w:tcBorders>
              <w:top w:val="nil"/>
              <w:left w:val="nil"/>
              <w:bottom w:val="nil"/>
              <w:right w:val="nil"/>
            </w:tcBorders>
          </w:tcPr>
          <w:p>
            <w:pPr>
              <w:pStyle w:val="Normal6a"/>
            </w:pPr>
            <w:r>
              <w:t>B.</w:t>
            </w:r>
            <w:r>
              <w:tab/>
            </w:r>
            <w:r>
              <w:t xml:space="preserve">der henviser til, at HICP-inflationen forventes at stige noget i sidste kvartal af 2024, inden den </w:t>
            </w:r>
            <w:r>
              <w:rPr>
                <w:b/>
                <w:i/>
              </w:rPr>
              <w:t>når inflationsmålet på 2 % i fjerde kvartal af</w:t>
            </w:r>
            <w:r>
              <w:t xml:space="preserve"> 2025 og 1,9 % i 2026</w:t>
            </w:r>
            <w:r>
              <w:rPr>
                <w:vertAlign w:val="superscript"/>
              </w:rPr>
              <w:t>4</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https://www.ecb.europa.eu/press/projections/html/ecb.projections202409_ecbstaff~9c88364c57.da.html#toc6.</w:t>
            </w:r>
          </w:p>
        </w:tc>
        <w:tc>
          <w:tcPr>
            <w:tcW w:w="4876" w:type="dxa"/>
            <w:tcBorders>
              <w:top w:val="nil"/>
              <w:left w:val="nil"/>
              <w:bottom w:val="nil"/>
              <w:right w:val="nil"/>
            </w:tcBorders>
          </w:tcPr>
          <w:p>
            <w:pPr>
              <w:pStyle w:val="Normal6a"/>
            </w:pPr>
            <w:r>
              <w:rPr>
                <w:vertAlign w:val="superscript"/>
              </w:rPr>
              <w:t>4</w:t>
            </w:r>
            <w:r>
              <w:t xml:space="preserve"> </w:t>
            </w:r>
            <w:r>
              <w:t>https://www.ecb.europa.eu/press/projections/html/ecb.projections202409_ecbstaff~9c88364c57.da.html#toc6.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der henviser til, at inflationsraten på trods af denne nedadgående tendens fortsat er et gennemsnit af forskellige nationale forhold, der varierer mellem 0 % og 4,3 %;</w:t>
            </w:r>
            <w:r>
              <w:t xml:space="preserve"> </w:t>
            </w:r>
            <w:r>
              <w:rPr>
                <w:b/>
                <w:i/>
              </w:rPr>
              <w:t>der henviser til, at denne forskelligartethed også ses på tværs af HICP-segmenterne;</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der henviser til, at den samlede HICP-inflation i euroområdet lå på 2,9 % i december 2023, hvilket er 6,3 procentpoint lavere end i december 2022;</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der henviser til, at ECB's hovedformål er at fastholde prisstabiliteten, som den har fastsat til et inflationsniveau på 2 % på mellemlang sigt;</w:t>
            </w:r>
          </w:p>
        </w:tc>
        <w:tc>
          <w:tcPr>
            <w:tcW w:w="4876" w:type="dxa"/>
            <w:tcBorders>
              <w:top w:val="nil"/>
              <w:left w:val="nil"/>
              <w:bottom w:val="nil"/>
              <w:right w:val="nil"/>
            </w:tcBorders>
          </w:tcPr>
          <w:p>
            <w:pPr>
              <w:pStyle w:val="Normal6a"/>
            </w:pPr>
            <w:r>
              <w:t>C.</w:t>
            </w:r>
            <w:r>
              <w:tab/>
            </w:r>
            <w:r>
              <w:t xml:space="preserve">der henviser til, at ECB's hovedformål er at fastholde prisstabiliteten, som den har fastsat til et inflationsniveau på 2 % på mellemlang sigt; </w:t>
            </w:r>
            <w:r>
              <w:rPr>
                <w:b/>
                <w:i/>
              </w:rPr>
              <w:t>der henviser til, at ECB's sekundære mandat kræver, at den, uden at det berører dens primære mandat, støtter de generelle økonomiske mål i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der henviser til, at ECB </w:t>
            </w:r>
            <w:r>
              <w:rPr>
                <w:b/>
                <w:i/>
              </w:rPr>
              <w:t>er</w:t>
            </w:r>
            <w:r>
              <w:t xml:space="preserve"> politisk </w:t>
            </w:r>
            <w:r>
              <w:rPr>
                <w:b/>
                <w:i/>
              </w:rPr>
              <w:t>uafhængig</w:t>
            </w:r>
            <w:r>
              <w:t>, hvilket betyder, at hverken Den Europæiske Unions (EU's) institutioner og agenturer eller medlemsstaternes regeringer søger at påvirke ECB;</w:t>
            </w:r>
          </w:p>
        </w:tc>
        <w:tc>
          <w:tcPr>
            <w:tcW w:w="4876" w:type="dxa"/>
            <w:tcBorders>
              <w:top w:val="nil"/>
              <w:left w:val="nil"/>
              <w:bottom w:val="nil"/>
              <w:right w:val="nil"/>
            </w:tcBorders>
          </w:tcPr>
          <w:p>
            <w:pPr>
              <w:pStyle w:val="Normal6a"/>
            </w:pPr>
            <w:r>
              <w:t>D.</w:t>
            </w:r>
            <w:r>
              <w:tab/>
            </w:r>
            <w:r>
              <w:t xml:space="preserve">der henviser til, at ECB </w:t>
            </w:r>
            <w:r>
              <w:rPr>
                <w:b/>
                <w:i/>
              </w:rPr>
              <w:t>kan træffe beslutninger for at opfylde sit primære mål om at fastholde prisstabiliteten uden anden</w:t>
            </w:r>
            <w:r>
              <w:t xml:space="preserve"> politisk </w:t>
            </w:r>
            <w:r>
              <w:rPr>
                <w:b/>
                <w:i/>
              </w:rPr>
              <w:t>indblanding end at blive holdt ansvarlig</w:t>
            </w:r>
            <w:r>
              <w:t>, hvilket betyder, at hverken Den Europæiske Unions (EU's) institutioner og agenturer eller medlemsstaternes regeringer søger at påvirke ECB;</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w:t>
            </w:r>
            <w:r>
              <w:tab/>
            </w:r>
            <w:r>
              <w:rPr>
                <w:b/>
                <w:i/>
              </w:rPr>
              <w:t>der henviser til, at politisk uafhængighed forudsætter, at ECB undlader at træffe politiske beslutninger;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der henviser til, at politisk uafhængighed forudsætter, at ECB undlader at træffe politiske </w:t>
            </w:r>
            <w:r>
              <w:rPr>
                <w:b/>
                <w:i/>
              </w:rPr>
              <w:t>beslutninger</w:t>
            </w:r>
            <w:r>
              <w:t>;</w:t>
            </w:r>
          </w:p>
        </w:tc>
        <w:tc>
          <w:tcPr>
            <w:tcW w:w="4876" w:type="dxa"/>
            <w:tcBorders>
              <w:top w:val="nil"/>
              <w:left w:val="nil"/>
              <w:bottom w:val="nil"/>
              <w:right w:val="nil"/>
            </w:tcBorders>
          </w:tcPr>
          <w:p>
            <w:pPr>
              <w:pStyle w:val="Normal6a"/>
            </w:pPr>
            <w:r>
              <w:t>E.</w:t>
            </w:r>
            <w:r>
              <w:tab/>
            </w:r>
            <w:r>
              <w:t xml:space="preserve">der henviser til, at politisk uafhængighed forudsætter, at ECB undlader at træffe politiske </w:t>
            </w:r>
            <w:r>
              <w:rPr>
                <w:b/>
                <w:i/>
              </w:rPr>
              <w:t>foranstaltninger, herunder at instruere de nationale regeringer i specifikke finanspolitiske og strukturpolitiske foranstaltninger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Francisco Assis, Bruno Gonçalves, Carla Tavares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w:t>
            </w:r>
            <w:r>
              <w:tab/>
            </w:r>
            <w:r>
              <w:rPr>
                <w:b/>
                <w:i/>
              </w:rPr>
              <w:t>der henviser til, at artikel 123 i TEUF og artikel 21 i statutten for ESCB og ECB forbyder monetær finansiering af regeringer;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Irene Tinagli, Evelyn Regner,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der henviser til, at artikel 123 i TEUF og artikel 21 i statutten for ESCB og ECB forbyder monetær finansiering af regeringer;</w:t>
            </w:r>
          </w:p>
        </w:tc>
        <w:tc>
          <w:tcPr>
            <w:tcW w:w="4876" w:type="dxa"/>
            <w:tcBorders>
              <w:top w:val="nil"/>
              <w:left w:val="nil"/>
              <w:bottom w:val="nil"/>
              <w:right w:val="nil"/>
            </w:tcBorders>
          </w:tcPr>
          <w:p>
            <w:pPr>
              <w:pStyle w:val="Normal6a"/>
            </w:pPr>
            <w:r>
              <w:t>F.</w:t>
            </w:r>
            <w:r>
              <w:tab/>
            </w:r>
            <w:r>
              <w:t xml:space="preserve">der henviser til, at artikel 123 i TEUF og artikel 21 i statutten for ESCB og ECB forbyder </w:t>
            </w:r>
            <w:r>
              <w:rPr>
                <w:b/>
                <w:i/>
              </w:rPr>
              <w:t>direkte</w:t>
            </w:r>
            <w:r>
              <w:t xml:space="preserve"> monetær finansiering af regeringer; </w:t>
            </w:r>
            <w:r>
              <w:rPr>
                <w:b/>
                <w:i/>
              </w:rPr>
              <w:t>der henviser til, at ECB kan købe gældsinstrumenter på det sekundære marked, hvis dette er nødvendigt for at forfølge dens 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der henviser til, at artikel 123 i TEUF og artikel 21 i statutten for ESCB og ECB forbyder </w:t>
            </w:r>
            <w:r>
              <w:rPr>
                <w:b/>
                <w:i/>
              </w:rPr>
              <w:t>monetær finansiering af</w:t>
            </w:r>
            <w:r>
              <w:t xml:space="preserve"> regeringer;</w:t>
            </w:r>
          </w:p>
        </w:tc>
        <w:tc>
          <w:tcPr>
            <w:tcW w:w="4876" w:type="dxa"/>
            <w:tcBorders>
              <w:top w:val="nil"/>
              <w:left w:val="nil"/>
              <w:bottom w:val="nil"/>
              <w:right w:val="nil"/>
            </w:tcBorders>
          </w:tcPr>
          <w:p>
            <w:pPr>
              <w:pStyle w:val="Normal6a"/>
            </w:pPr>
            <w:r>
              <w:t>F.</w:t>
            </w:r>
            <w:r>
              <w:tab/>
            </w:r>
            <w:r>
              <w:t xml:space="preserve">der henviser til, at artikel 123 i TEUF og artikel 21 i statutten for ESCB og ECB forbyder </w:t>
            </w:r>
            <w:r>
              <w:rPr>
                <w:b/>
                <w:i/>
              </w:rPr>
              <w:t>ECB at købe gældsinstrumenter direkte fra</w:t>
            </w:r>
            <w:r>
              <w:t xml:space="preserve"> regeringer;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F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der henviser til, at People's Bank of China (PBOC) i 2021 indførte en CO</w:t>
            </w:r>
            <w:r>
              <w:rPr>
                <w:b/>
                <w:i/>
                <w:vertAlign w:val="subscript"/>
              </w:rPr>
              <w:t>2</w:t>
            </w:r>
            <w:r>
              <w:rPr>
                <w:b/>
                <w:i/>
              </w:rPr>
              <w:t>-emissionsreduktionsfacilitet (CERF), der gør det muligt for banker at låne til en præferencesats på 1,75 % for et beløb svarende til 60 % af deres lånevolumen til støtte for omstillingen til en lavemissionsøkonomi;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F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der henviser til, at ECB skal fremme de generelle økonomiske politikker i EU og derved bidrage til opfyldelsen af EU's mål som fastsat i artikel 3 i TEUF;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F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der henviser til, at Eurosystemet er baseret på princippet om monetær dominans;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F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Fb.</w:t>
            </w:r>
            <w:r>
              <w:tab/>
            </w:r>
            <w:r>
              <w:rPr>
                <w:b/>
                <w:i/>
              </w:rPr>
              <w:t>der henviser til, at Bank of Japan i 2022 lancerede programmet "Transactions for Climate Response Financing Operations", under hvilket japanske banker kunne låne 11,963 mia. yen til en rente på 0 %;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Gilles Boyer, Stéphanie Yon-Courtin, Pascal Canfin, Billy Kelleher, Gerben-Jan Gerbrandy, 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der henviser til, at afdrag på hovedstolen af forfaldne værdipapirer, som er købt under programmet til køb af aktiver (APP) </w:t>
            </w:r>
            <w:r>
              <w:rPr>
                <w:b/>
                <w:i/>
              </w:rPr>
              <w:t>og fra januar 2025</w:t>
            </w:r>
            <w:r>
              <w:t xml:space="preserve"> under opkøbsprogrammet på foranledning af den pandemiske nødsituation (PEPP), ikke længere </w:t>
            </w:r>
            <w:r>
              <w:rPr>
                <w:b/>
                <w:i/>
              </w:rPr>
              <w:t>alle geninvesteres</w:t>
            </w:r>
            <w:r>
              <w:t>;</w:t>
            </w:r>
          </w:p>
        </w:tc>
        <w:tc>
          <w:tcPr>
            <w:tcW w:w="4876" w:type="dxa"/>
            <w:tcBorders>
              <w:top w:val="nil"/>
              <w:left w:val="nil"/>
              <w:bottom w:val="nil"/>
              <w:right w:val="nil"/>
            </w:tcBorders>
          </w:tcPr>
          <w:p>
            <w:pPr>
              <w:pStyle w:val="Normal6a"/>
            </w:pPr>
            <w:r>
              <w:t>G.</w:t>
            </w:r>
            <w:r>
              <w:tab/>
            </w:r>
            <w:r>
              <w:t>der henviser til, at afdrag på hovedstolen af forfaldne værdipapirer, som er købt under programmet til køb af aktiver (APP)</w:t>
            </w:r>
            <w:r>
              <w:rPr>
                <w:b/>
                <w:i/>
              </w:rPr>
              <w:t>, ikke længere geninvesteres, og at afdrag på hovedstolen af forfaldne værdipapirer, som er købt</w:t>
            </w:r>
            <w:r>
              <w:t xml:space="preserve"> under opkøbsprogrammet på foranledning af den pandemiske nødsituation (PEPP), ikke længere </w:t>
            </w:r>
            <w:r>
              <w:rPr>
                <w:b/>
                <w:i/>
              </w:rPr>
              <w:t>vil blive geninvesteret fra januar 2025</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G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der henviser til, at kreditinstitutternes bankreserver i ECB beløb sig til 4,3 bio. EUR i juni 2023;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G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Gb.</w:t>
            </w:r>
            <w:r>
              <w:tab/>
            </w:r>
            <w:r>
              <w:rPr>
                <w:b/>
                <w:i/>
              </w:rPr>
              <w:t>der henviser til, at ECB ligesom de store centralbanker betaler renter af forretningsbankernes beholdninger af bankreserver, hvilket under den nuværende politik medfører store rentebetalinger til forretningsbankerne;</w:t>
            </w:r>
            <w:r>
              <w:t xml:space="preserve"> </w:t>
            </w:r>
            <w:r>
              <w:rPr>
                <w:b/>
                <w:i/>
              </w:rPr>
              <w:t>der henviser til, at de fleste centralbanker først er begyndt at forrente forretningsbankernes reserver i de seneste tyve 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der henviser til, at </w:t>
            </w:r>
            <w:r>
              <w:rPr>
                <w:b/>
                <w:i/>
              </w:rPr>
              <w:t>euroen</w:t>
            </w:r>
            <w:r>
              <w:t xml:space="preserve"> er den næstvigtigste valuta på verdensplan og halter betydeligt bagefter den amerikanske dollar på trods af euroområdets økonomiske størrelse i den globale handel;</w:t>
            </w:r>
          </w:p>
        </w:tc>
        <w:tc>
          <w:tcPr>
            <w:tcW w:w="4876" w:type="dxa"/>
            <w:tcBorders>
              <w:top w:val="nil"/>
              <w:left w:val="nil"/>
              <w:bottom w:val="nil"/>
              <w:right w:val="nil"/>
            </w:tcBorders>
          </w:tcPr>
          <w:p>
            <w:pPr>
              <w:pStyle w:val="Normal6a"/>
            </w:pPr>
            <w:r>
              <w:t>H.</w:t>
            </w:r>
            <w:r>
              <w:tab/>
            </w:r>
            <w:r>
              <w:t xml:space="preserve">der henviser til, at </w:t>
            </w:r>
            <w:r>
              <w:rPr>
                <w:b/>
                <w:i/>
              </w:rPr>
              <w:t>euroens eksterne værdi er blevet forringet siden 2020, selv om den fortsat</w:t>
            </w:r>
            <w:r>
              <w:t xml:space="preserve"> er den næstvigtigste valuta på verdensplan</w:t>
            </w:r>
            <w:r>
              <w:rPr>
                <w:b/>
                <w:i/>
              </w:rPr>
              <w:t>,</w:t>
            </w:r>
            <w:r>
              <w:t xml:space="preserve"> og halter betydeligt bagefter den amerikanske dollar </w:t>
            </w:r>
            <w:r>
              <w:rPr>
                <w:b/>
                <w:i/>
              </w:rPr>
              <w:t>med hensyn til indflydelse og anvendelse</w:t>
            </w:r>
            <w:r>
              <w:t xml:space="preserve"> på trods af euroområdets økonomiske størrelse i den globale handel;</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der henviser til, at euroen er den næstvigtigste valuta på verdensplan </w:t>
            </w:r>
            <w:r>
              <w:rPr>
                <w:b/>
                <w:i/>
              </w:rPr>
              <w:t>og halter betydeligt bagefter den amerikanske dollar på trods af euroområdets økonomiske størrelse i den globale handel</w:t>
            </w:r>
            <w:r>
              <w:t>;</w:t>
            </w:r>
          </w:p>
        </w:tc>
        <w:tc>
          <w:tcPr>
            <w:tcW w:w="4876" w:type="dxa"/>
            <w:tcBorders>
              <w:top w:val="nil"/>
              <w:left w:val="nil"/>
              <w:bottom w:val="nil"/>
              <w:right w:val="nil"/>
            </w:tcBorders>
          </w:tcPr>
          <w:p>
            <w:pPr>
              <w:pStyle w:val="Normal6a"/>
            </w:pPr>
            <w:r>
              <w:t>H.</w:t>
            </w:r>
            <w:r>
              <w:tab/>
            </w:r>
            <w:r>
              <w:t>der henviser til, at euroen er den næstvigtigste valuta på verdensplan;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Auke Zijlstra, 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H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der henviser til, at euroens værdi i forhold til dollaren er faldet betydeligt siden udgangen af 2020;</w:t>
            </w:r>
            <w:r>
              <w:t xml:space="preserve"> </w:t>
            </w:r>
            <w:r>
              <w:rPr>
                <w:b/>
                <w:i/>
              </w:rPr>
              <w:t>der henviser til, at energiderivater handles i dollar, og at et fald i euroens vekselkurs over for dollaren bidrager yderligere til inflationen;</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der henviser til, at ECB </w:t>
            </w:r>
            <w:r>
              <w:rPr>
                <w:b/>
                <w:i/>
              </w:rPr>
              <w:t>står til ansvar over for</w:t>
            </w:r>
            <w:r>
              <w:t xml:space="preserve"> Parlamentet som den EU-institution, der repræsenterer EU's borgere;</w:t>
            </w:r>
          </w:p>
        </w:tc>
        <w:tc>
          <w:tcPr>
            <w:tcW w:w="4876" w:type="dxa"/>
            <w:tcBorders>
              <w:top w:val="nil"/>
              <w:left w:val="nil"/>
              <w:bottom w:val="nil"/>
              <w:right w:val="nil"/>
            </w:tcBorders>
          </w:tcPr>
          <w:p>
            <w:pPr>
              <w:pStyle w:val="Normal6a"/>
            </w:pPr>
            <w:r>
              <w:t>I.</w:t>
            </w:r>
            <w:r>
              <w:tab/>
            </w:r>
            <w:r>
              <w:t xml:space="preserve">der henviser til, at ECB </w:t>
            </w:r>
            <w:r>
              <w:rPr>
                <w:b/>
                <w:i/>
              </w:rPr>
              <w:t>skal søge at opretholde et retfærdigt og gennemsigtigt samarbejde med</w:t>
            </w:r>
            <w:r>
              <w:t xml:space="preserve"> Parlamentet som den EU-institution, der repræsenterer EU's borgere; </w:t>
            </w:r>
            <w:r>
              <w:rPr>
                <w:b/>
                <w:i/>
              </w:rPr>
              <w:t>der henviser til, at dette samarbejde er blevet opretholdt på højeste niveau med den regelmæssige tilrettelæggelse af den monetære dialog, ECB's formands regelmæssige fremmøde på Parlamentets plenarmøder og forskellige besøg og møder mellem medlemmer af Parlamentet og medlemmer af ECB's direktion;</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der henviser til, at ECB står til ansvar over for </w:t>
            </w:r>
            <w:r>
              <w:rPr>
                <w:b/>
                <w:i/>
              </w:rPr>
              <w:t>Parlamentet som den EU-institution, der repræsenterer EU's borgere</w:t>
            </w:r>
            <w:r>
              <w:t>;</w:t>
            </w:r>
          </w:p>
        </w:tc>
        <w:tc>
          <w:tcPr>
            <w:tcW w:w="4876" w:type="dxa"/>
            <w:tcBorders>
              <w:top w:val="nil"/>
              <w:left w:val="nil"/>
              <w:bottom w:val="nil"/>
              <w:right w:val="nil"/>
            </w:tcBorders>
          </w:tcPr>
          <w:p>
            <w:pPr>
              <w:pStyle w:val="Normal6a"/>
            </w:pPr>
            <w:r>
              <w:t>I.</w:t>
            </w:r>
            <w:r>
              <w:tab/>
            </w:r>
            <w:r>
              <w:t xml:space="preserve">der henviser til, at ECB står til ansvar over for </w:t>
            </w:r>
            <w:r>
              <w:rPr>
                <w:b/>
                <w:i/>
              </w:rPr>
              <w:t>Europa-Parlamentet, Rådet for Den Europæiske Union og Den Europæiske Revisionsret</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I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der henviser til, at ECB, uden at den primære målsætning om prisstabilitet berøres, også bør støtte de generelle økonomiske politikker i EU med henblik på at bidrage til opfyldelsen af EU's mål som fastsat i artikel 3 i TEU;</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I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der henviser til, at ECB's beslutninger bør baseres på økonomiske og finansielle indikatorer og fremskrivninger, der er udviklet og undersøgt af institutionen, for at sikre, at dens beslutninger understøttes af en solid solvens;</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I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der henviser til, at ECB's Styrelsesråd afspejler en skæv kønsfordeling;</w:t>
            </w:r>
            <w:r>
              <w:t xml:space="preserve"> </w:t>
            </w:r>
            <w:r>
              <w:rPr>
                <w:b/>
                <w:i/>
              </w:rPr>
              <w:t>opfordrer medlemsstaterne til at fremme en ligelig kønsfordeling gennem ligelig repræsentation af de respektive centralbankchefer;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glæder sig over ECB's rolle med hensyn til at sikre monetær stabilitet; understreger, at ECB er den institution, der er ansvarlig for at fastholde prisstabilitet i euroområdet;</w:t>
            </w:r>
          </w:p>
        </w:tc>
        <w:tc>
          <w:tcPr>
            <w:tcW w:w="4876" w:type="dxa"/>
            <w:tcBorders>
              <w:top w:val="nil"/>
              <w:left w:val="nil"/>
              <w:bottom w:val="nil"/>
              <w:right w:val="nil"/>
            </w:tcBorders>
          </w:tcPr>
          <w:p>
            <w:pPr>
              <w:pStyle w:val="Normal6a"/>
            </w:pPr>
            <w:r>
              <w:t>1.</w:t>
            </w:r>
            <w:r>
              <w:tab/>
            </w:r>
            <w:r>
              <w:t xml:space="preserve">glæder sig over ECB's rolle med hensyn til at sikre monetær stabilitet; understreger, at ECB er den institution, der er ansvarlig for at fastholde prisstabilitet i euroområdet; </w:t>
            </w:r>
            <w:r>
              <w:rPr>
                <w:b/>
                <w:i/>
              </w:rPr>
              <w:t>understreger betydningen af ECB's sekundære mandat til at fremme EU's generelle økonomiske mål som fastsat i artikel 3 i TEUF, som omfatter fuld beskæftigelse, sociale fremskridt og miljøbeskyttelse;</w:t>
            </w:r>
            <w:r>
              <w:t xml:space="preserve"> </w:t>
            </w:r>
            <w:r>
              <w:rPr>
                <w:b/>
                <w:i/>
              </w:rPr>
              <w:t>der henviser til, at ECB's mandat, som defineret i dens formål, er fastsat i artikel 127 i TEUF og derved er juridisk bindende;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glæder sig over ECB's rolle med hensyn til at sikre monetær stabilitet; understreger, at ECB er den institution, der er ansvarlig for at fastholde prisstabilitet i euroområdet;</w:t>
            </w:r>
          </w:p>
        </w:tc>
        <w:tc>
          <w:tcPr>
            <w:tcW w:w="4876" w:type="dxa"/>
            <w:tcBorders>
              <w:top w:val="nil"/>
              <w:left w:val="nil"/>
              <w:bottom w:val="nil"/>
              <w:right w:val="nil"/>
            </w:tcBorders>
          </w:tcPr>
          <w:p>
            <w:pPr>
              <w:pStyle w:val="Normal6a"/>
            </w:pPr>
            <w:r>
              <w:t>1.</w:t>
            </w:r>
            <w:r>
              <w:tab/>
            </w:r>
            <w:r>
              <w:t>glæder sig over ECB's rolle med hensyn til at sikre monetær stabilitet; understreger, at ECB er den institution, der er ansvarlig for at fastholde prisstabilitet i euroområdet</w:t>
            </w:r>
            <w:r>
              <w:rPr>
                <w:b/>
                <w:i/>
              </w:rPr>
              <w:t>, samtidig med at den også tager hensyn til EU's bredere økonomiske velfærd, herunder økonomisk vækst, hvor det er foreneligt med dens mandat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glæder sig over ECB's rolle med hensyn til at sikre </w:t>
            </w:r>
            <w:r>
              <w:rPr>
                <w:b/>
                <w:i/>
              </w:rPr>
              <w:t>monetær</w:t>
            </w:r>
            <w:r>
              <w:t xml:space="preserve"> stabilitet; understreger, at ECB er den institution, der er ansvarlig for at fastholde prisstabilitet i euroområdet;</w:t>
            </w:r>
          </w:p>
        </w:tc>
        <w:tc>
          <w:tcPr>
            <w:tcW w:w="4876" w:type="dxa"/>
            <w:tcBorders>
              <w:top w:val="nil"/>
              <w:left w:val="nil"/>
              <w:bottom w:val="nil"/>
              <w:right w:val="nil"/>
            </w:tcBorders>
          </w:tcPr>
          <w:p>
            <w:pPr>
              <w:pStyle w:val="Normal6a"/>
            </w:pPr>
            <w:r>
              <w:t>1.</w:t>
            </w:r>
            <w:r>
              <w:tab/>
            </w:r>
            <w:r>
              <w:t xml:space="preserve">glæder sig over ECB's rolle med hensyn til at sikre </w:t>
            </w:r>
            <w:r>
              <w:rPr>
                <w:b/>
                <w:i/>
              </w:rPr>
              <w:t>euroens monetære og finansielle stabilitet;</w:t>
            </w:r>
            <w:r>
              <w:t xml:space="preserve"> </w:t>
            </w:r>
            <w:r>
              <w:rPr>
                <w:b/>
                <w:i/>
              </w:rPr>
              <w:t>støtter ECB's mål om at træffe foranstaltninger, hvor det er nødvendigt for at sikre</w:t>
            </w:r>
            <w:r>
              <w:t xml:space="preserve"> stabilitet; understreger, at ECB er den institution, der er ansvarlig for at fastholde prisstabilitet i euroområdet;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Auke Zijlstra, 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glæder sig over ECB's rolle med hensyn til at sikre monetær stabilitet;</w:t>
            </w:r>
            <w:r>
              <w:t xml:space="preserve"> </w:t>
            </w:r>
            <w:r>
              <w:rPr>
                <w:b/>
                <w:i/>
              </w:rPr>
              <w:t>understreger, at ECB er den institution, der er ansvarlig for at fastholde prisstabilitet i euroområdet</w:t>
            </w:r>
            <w:r>
              <w:t>;</w:t>
            </w:r>
          </w:p>
        </w:tc>
        <w:tc>
          <w:tcPr>
            <w:tcW w:w="4876" w:type="dxa"/>
            <w:tcBorders>
              <w:top w:val="nil"/>
              <w:left w:val="nil"/>
              <w:bottom w:val="nil"/>
              <w:right w:val="nil"/>
            </w:tcBorders>
          </w:tcPr>
          <w:p>
            <w:pPr>
              <w:pStyle w:val="Normal6a"/>
            </w:pPr>
            <w:r>
              <w:t>1.</w:t>
            </w:r>
            <w:r>
              <w:tab/>
            </w:r>
            <w:r>
              <w:rPr>
                <w:b/>
                <w:i/>
              </w:rPr>
              <w:t>understreger, at ECB er den institution, der er ansvarlig for at fastholde prisstabilitet i euroområdet;</w:t>
            </w:r>
            <w:r>
              <w:t xml:space="preserve"> </w:t>
            </w:r>
            <w:r>
              <w:rPr>
                <w:b/>
                <w:i/>
              </w:rPr>
              <w:t>mener endvidere, at fastholdelse af prisstabilitet er en nødvendig forudsætning for gennemførelsen af EU's øvrige politiske mål</w:t>
            </w:r>
            <w:r>
              <w:t>;</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glæder sig over ECB's rolle med hensyn til at sikre monetær stabilitet; understreger, at ECB er den institution, der er ansvarlig for at fastholde prisstabilitet i euroområdet;</w:t>
            </w:r>
          </w:p>
        </w:tc>
        <w:tc>
          <w:tcPr>
            <w:tcW w:w="4876" w:type="dxa"/>
            <w:tcBorders>
              <w:top w:val="nil"/>
              <w:left w:val="nil"/>
              <w:bottom w:val="nil"/>
              <w:right w:val="nil"/>
            </w:tcBorders>
          </w:tcPr>
          <w:p>
            <w:pPr>
              <w:pStyle w:val="Normal6a"/>
            </w:pPr>
            <w:r>
              <w:t>1.</w:t>
            </w:r>
            <w:r>
              <w:tab/>
            </w:r>
            <w:r>
              <w:t>glæder sig over ECB's rolle med hensyn til at sikre monetær stabilitet; understreger, at ECB er den institution, der er ansvarlig for at fastholde prisstabilitet i euroområdet</w:t>
            </w:r>
            <w:r>
              <w:rPr>
                <w:b/>
                <w:i/>
              </w:rPr>
              <w:t>, og at denne stabilitet ikke kan påvirkes af sekundære mål</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glæder sig over ECB's rolle med hensyn til at sikre monetær stabilitet; understreger, at ECB er den institution, der er ansvarlig for at fastholde prisstabilitet i euroområdet;</w:t>
            </w:r>
          </w:p>
        </w:tc>
        <w:tc>
          <w:tcPr>
            <w:tcW w:w="4876" w:type="dxa"/>
            <w:tcBorders>
              <w:top w:val="nil"/>
              <w:left w:val="nil"/>
              <w:bottom w:val="nil"/>
              <w:right w:val="nil"/>
            </w:tcBorders>
          </w:tcPr>
          <w:p>
            <w:pPr>
              <w:pStyle w:val="Normal6a"/>
            </w:pPr>
            <w:r>
              <w:t>1.</w:t>
            </w:r>
            <w:r>
              <w:tab/>
            </w:r>
            <w:r>
              <w:t>glæder sig over ECB's rolle med hensyn til at sikre monetær stabilitet</w:t>
            </w:r>
            <w:r>
              <w:rPr>
                <w:b/>
                <w:i/>
              </w:rPr>
              <w:t>, som er en nødvendig forudsætning for vækst og økonomisk stabilitet</w:t>
            </w:r>
            <w:r>
              <w:t>; understreger, at ECB er den institution, der er ansvarlig for at fastholde prisstabilitet i euroområdet;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glæder sig over ECB's rolle med hensyn til at sikre monetær stabilitet; understreger, at ECB er den institution, der er ansvarlig for at fastholde prisstabilitet i euroområdet;</w:t>
            </w:r>
          </w:p>
        </w:tc>
        <w:tc>
          <w:tcPr>
            <w:tcW w:w="4876" w:type="dxa"/>
            <w:tcBorders>
              <w:top w:val="nil"/>
              <w:left w:val="nil"/>
              <w:bottom w:val="nil"/>
              <w:right w:val="nil"/>
            </w:tcBorders>
          </w:tcPr>
          <w:p>
            <w:pPr>
              <w:pStyle w:val="Normal6a"/>
            </w:pPr>
            <w:r>
              <w:t>1.</w:t>
            </w:r>
            <w:r>
              <w:tab/>
            </w:r>
            <w:r>
              <w:t xml:space="preserve">glæder sig over ECB's rolle med hensyn til at sikre monetær stabilitet; understreger, at ECB er den institution, der er ansvarlig for at fastholde prisstabilitet i euroområdet </w:t>
            </w:r>
            <w:r>
              <w:rPr>
                <w:b/>
                <w:i/>
              </w:rPr>
              <w:t>til støtte for en stabil og forudsigelig økonomisk vækst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glæder sig over</w:t>
            </w:r>
            <w:r>
              <w:t xml:space="preserve"> ECB's rolle med hensyn til at sikre monetær stabilitet; </w:t>
            </w:r>
            <w:r>
              <w:rPr>
                <w:b/>
                <w:i/>
              </w:rPr>
              <w:t>understreger, at ECB er den institution, der er ansvarlig for at fastholde prisstabilitet i euroområdet</w:t>
            </w:r>
            <w:r>
              <w:t>;</w:t>
            </w:r>
          </w:p>
        </w:tc>
        <w:tc>
          <w:tcPr>
            <w:tcW w:w="4876" w:type="dxa"/>
            <w:tcBorders>
              <w:top w:val="nil"/>
              <w:left w:val="nil"/>
              <w:bottom w:val="nil"/>
              <w:right w:val="nil"/>
            </w:tcBorders>
          </w:tcPr>
          <w:p>
            <w:pPr>
              <w:pStyle w:val="Normal6a"/>
            </w:pPr>
            <w:r>
              <w:t>1.</w:t>
            </w:r>
            <w:r>
              <w:tab/>
            </w:r>
            <w:r>
              <w:rPr>
                <w:b/>
                <w:i/>
              </w:rPr>
              <w:t>bemærker</w:t>
            </w:r>
            <w:r>
              <w:t xml:space="preserve"> ECB's rolle med hensyn til at sikre monetær stabilitet; </w:t>
            </w:r>
            <w:r>
              <w:rPr>
                <w:b/>
                <w:i/>
              </w:rPr>
              <w:t>fremhæver ECB's rolle med hensyn til at støtte Unionens mål for den økonomiske politik</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understreger, at prisstabilitet er en forudsætning for, at ECB kan opfylde sit mandat om at støtte Unionens generelle økonomiske politikker, såsom økonomisk vækst, respekt for markedsøkonomien og fri konkurrence, som har til formål at opnå fuld beskæftigelse, økonomisk, social og territorial samhørighed, samordning af pengepolitikken og velfungerende offentlige finanser;</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minder om, at prisstabilitet er afgørende for at tiltrække investeringer, øge den økonomiske vækst, skabe job, udvikle nye investeringsprojekter og bidrage til økonomisk velstand på lang sigt;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opfordrer til, at en hurtig gennemførelse af de ressourcer, der er til rådighed under NextGenerationEU, prioriteres blandt Unionens økonomiske politikker, således at de når ud til produktionsstrukturen, dvs. realøkonomien;</w:t>
            </w:r>
            <w:r>
              <w:t xml:space="preserve"> </w:t>
            </w:r>
            <w:r>
              <w:rPr>
                <w:b/>
                <w:i/>
              </w:rPr>
              <w:t>dette kræver samarbejde med nationale, regionale og lokale myndigheder i overensstemmelse med forordningen om genopretnings- og resiliensfaciliteten for at vurdere virkningen af reformer i forbindelse med de nationale genopretningsplaner,</w:t>
            </w:r>
            <w:r>
              <w:t xml:space="preserve"> </w:t>
            </w:r>
            <w:r>
              <w:rPr>
                <w:b/>
                <w:i/>
              </w:rPr>
              <w:t>etablering af forvaltningsmekanismer for at fremskynde investeringer og overvinde flaskehalse og bureaukrati, der hæmmer adgangen til midler, og</w:t>
            </w:r>
            <w:r>
              <w:t xml:space="preserve"> </w:t>
            </w:r>
            <w:r>
              <w:rPr>
                <w:b/>
                <w:i/>
              </w:rPr>
              <w:t>sikring af gennemsigtighed og adgang til data om endelige modtagere og overførsler;</w:t>
            </w:r>
            <w:r>
              <w:t xml:space="preserve"> </w:t>
            </w:r>
            <w:r>
              <w:rPr>
                <w:b/>
                <w:i/>
              </w:rPr>
              <w:t>kort sagt handler det om at gennemføre foranstaltninger, der ændrer den hidtidige kurs, og opnå de forventede økonomiske virkninger, da denne historiske økonomiske stimuleringsplan blev udformet;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 d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1d.</w:t>
            </w:r>
            <w:r>
              <w:tab/>
            </w:r>
            <w:r>
              <w:rPr>
                <w:b/>
                <w:i/>
              </w:rPr>
              <w:t>ECB skal, ligesom de øvrige EU-institutioner, gøre en hurtig gennemførelse af alle tilgængelige ressourcer til en af sine nye handlingsprioriteter;</w:t>
            </w:r>
            <w:r>
              <w:t xml:space="preserve"> </w:t>
            </w:r>
            <w:r>
              <w:rPr>
                <w:b/>
                <w:i/>
              </w:rPr>
              <w:t>i lyset af en række økonomiske kriser, de igangværende omstillinger og deres sociale konsekvenser, krige og natur- eller sundhedskatastrofer har borgerne brug for hurtig og øjeblikkelig handling for at afbøde virkningerne af disse alvorlige problemer;</w:t>
            </w:r>
            <w:r>
              <w:t xml:space="preserve"> </w:t>
            </w:r>
            <w:r>
              <w:rPr>
                <w:b/>
                <w:i/>
              </w:rPr>
              <w:t>det er derfor nødvendigt at analysere og evaluere de mange eksisterende europæiske programmer, fonde og tilskud, som langt fra fungerer på en koordineret måde, men fører til administrative flaskehalse og dobbeltarbejde, hvilket i sidste ende resulterer i lave gennemførelsesgrader og forsinkelser i modtagelsen af midler;</w:t>
            </w:r>
            <w:r>
              <w:t xml:space="preserve"> </w:t>
            </w:r>
            <w:r>
              <w:rPr>
                <w:b/>
                <w:i/>
              </w:rPr>
              <w:t>effektiv forvaltning af disse programmer, effektiv formidling af deres indhold til de europæiske borgere og de berørte sektorer, koordineret arbejde mellem programmer og forvaltninger med forskellige kompetencer og skabelse af nye forvaltningsredskaber til fleksible overførsler mellem programmer samt kanalisering af ressourcer til de berørte områder eller sektorer skal være økonomiske prioriteter for EU-institutionerne;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understreger, at ECB's lovbestemte uafhængighed som fastlagt i traktaterne er en forudsætning for indfrielsen af dens mandat;</w:t>
            </w:r>
          </w:p>
        </w:tc>
        <w:tc>
          <w:tcPr>
            <w:tcW w:w="4876" w:type="dxa"/>
            <w:tcBorders>
              <w:top w:val="nil"/>
              <w:left w:val="nil"/>
              <w:bottom w:val="nil"/>
              <w:right w:val="nil"/>
            </w:tcBorders>
          </w:tcPr>
          <w:p>
            <w:pPr>
              <w:pStyle w:val="Normal6a"/>
            </w:pPr>
            <w:r>
              <w:t>2.</w:t>
            </w:r>
            <w:r>
              <w:tab/>
            </w:r>
            <w:r>
              <w:t>understreger, at ECB's lovbestemte uafhængighed som fastlagt i traktaterne er en forudsætning for indfrielsen af dens mandat</w:t>
            </w:r>
            <w:r>
              <w:rPr>
                <w:b/>
                <w:i/>
              </w:rPr>
              <w:t>, som er at fastholde prisstabilitet i euroområdet og derved bidrage til økonomisk vækst og jobskabelse</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understreger, at</w:t>
            </w:r>
            <w:r>
              <w:t xml:space="preserve"> ECB's lovbestemte uafhængighed som fastlagt i traktaterne </w:t>
            </w:r>
            <w:r>
              <w:rPr>
                <w:b/>
                <w:i/>
              </w:rPr>
              <w:t>er en forudsætning for indfrielsen af dens mandat</w:t>
            </w:r>
            <w:r>
              <w:t>;</w:t>
            </w:r>
          </w:p>
        </w:tc>
        <w:tc>
          <w:tcPr>
            <w:tcW w:w="4876" w:type="dxa"/>
            <w:tcBorders>
              <w:top w:val="nil"/>
              <w:left w:val="nil"/>
              <w:bottom w:val="nil"/>
              <w:right w:val="nil"/>
            </w:tcBorders>
          </w:tcPr>
          <w:p>
            <w:pPr>
              <w:pStyle w:val="Normal6a"/>
            </w:pPr>
            <w:r>
              <w:t>2.</w:t>
            </w:r>
            <w:r>
              <w:tab/>
            </w:r>
            <w:r>
              <w:rPr>
                <w:b/>
                <w:i/>
              </w:rPr>
              <w:t>bemærker</w:t>
            </w:r>
            <w:r>
              <w:t xml:space="preserve"> ECB's lovbestemte uafhængighed som fastlagt i traktaterne;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understreger</w:t>
            </w:r>
            <w:r>
              <w:rPr>
                <w:b/>
                <w:i/>
              </w:rPr>
              <w:t>, at</w:t>
            </w:r>
            <w:r>
              <w:t xml:space="preserve"> ECB's lovbestemte uafhængighed som fastlagt i traktaterne </w:t>
            </w:r>
            <w:r>
              <w:rPr>
                <w:b/>
                <w:i/>
              </w:rPr>
              <w:t>er en forudsætning for indfrielsen af dens mandat</w:t>
            </w:r>
            <w:r>
              <w:t>;</w:t>
            </w:r>
          </w:p>
        </w:tc>
        <w:tc>
          <w:tcPr>
            <w:tcW w:w="4876" w:type="dxa"/>
            <w:tcBorders>
              <w:top w:val="nil"/>
              <w:left w:val="nil"/>
              <w:bottom w:val="nil"/>
              <w:right w:val="nil"/>
            </w:tcBorders>
          </w:tcPr>
          <w:p>
            <w:pPr>
              <w:pStyle w:val="Normal6a"/>
            </w:pPr>
            <w:r>
              <w:t>2.</w:t>
            </w:r>
            <w:r>
              <w:tab/>
            </w:r>
            <w:r>
              <w:t>understreger ECB's lovbestemte uafhængighed som fastlagt i traktaterne;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Auke Zijlstra,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fremhæver betydningen af ECB's politiske uafhængighed, som bør forblive uberørt; understreger, at denne uafhængighed kræver, at ECB til gengæld undlader at træffe politiske beslutninger;</w:t>
            </w:r>
          </w:p>
        </w:tc>
        <w:tc>
          <w:tcPr>
            <w:tcW w:w="4876" w:type="dxa"/>
            <w:tcBorders>
              <w:top w:val="nil"/>
              <w:left w:val="nil"/>
              <w:bottom w:val="nil"/>
              <w:right w:val="nil"/>
            </w:tcBorders>
          </w:tcPr>
          <w:p>
            <w:pPr>
              <w:pStyle w:val="Normal6a"/>
            </w:pPr>
            <w:r>
              <w:t>3.</w:t>
            </w:r>
            <w:r>
              <w:tab/>
            </w:r>
            <w:r>
              <w:t xml:space="preserve">fremhæver betydningen af ECB's politiske uafhængighed, som bør forblive uberørt; understreger, at denne uafhængighed kræver, at ECB til gengæld undlader at træffe politiske beslutninger; </w:t>
            </w:r>
            <w:r>
              <w:rPr>
                <w:b/>
                <w:i/>
              </w:rPr>
              <w:t>understreger, at ECB's uafhængighed er i strid med dens sekundære mandat, som er at støtte de generelle økonomiske politikker i EU med henblik på at bidrage til gennemførelsen af de politiske mål som fastsat i artikel 3 i TEU;</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Evelyn Regner, René Repasi, Irene Tinagli,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fremhæver betydningen af ECB's politiske uafhængighed, som bør forblive uberørt; understreger, at denne uafhængighed kræver, at ECB </w:t>
            </w:r>
            <w:r>
              <w:rPr>
                <w:b/>
                <w:i/>
              </w:rPr>
              <w:t>til gengæld</w:t>
            </w:r>
            <w:r>
              <w:t xml:space="preserve"> undlader at træffe politiske beslutninger;</w:t>
            </w:r>
          </w:p>
        </w:tc>
        <w:tc>
          <w:tcPr>
            <w:tcW w:w="4876" w:type="dxa"/>
            <w:tcBorders>
              <w:top w:val="nil"/>
              <w:left w:val="nil"/>
              <w:bottom w:val="nil"/>
              <w:right w:val="nil"/>
            </w:tcBorders>
          </w:tcPr>
          <w:p>
            <w:pPr>
              <w:pStyle w:val="Normal6a"/>
            </w:pPr>
            <w:r>
              <w:t>3.</w:t>
            </w:r>
            <w:r>
              <w:tab/>
            </w:r>
            <w:r>
              <w:t xml:space="preserve">fremhæver betydningen af ECB's politiske uafhængighed, som bør forblive uberørt; understreger, at denne uafhængighed kræver, at ECB undlader at træffe politiske beslutninger; </w:t>
            </w:r>
            <w:r>
              <w:rPr>
                <w:b/>
                <w:i/>
              </w:rPr>
              <w:t>glæder sig over det institutionelle samarbejde og understreger i den forbindelse betydningen af det tilsvarende niveau af ansvarlighed over for Europa-Parlamentet;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fremhæver betydningen af ECB's politiske uafhængighed, som bør forblive uberørt; understreger, at denne uafhængighed kræver, at ECB til gengæld undlader at træffe politiske beslutninger;</w:t>
            </w:r>
          </w:p>
        </w:tc>
        <w:tc>
          <w:tcPr>
            <w:tcW w:w="4876" w:type="dxa"/>
            <w:tcBorders>
              <w:top w:val="nil"/>
              <w:left w:val="nil"/>
              <w:bottom w:val="nil"/>
              <w:right w:val="nil"/>
            </w:tcBorders>
          </w:tcPr>
          <w:p>
            <w:pPr>
              <w:pStyle w:val="Normal6a"/>
            </w:pPr>
            <w:r>
              <w:t>3.</w:t>
            </w:r>
            <w:r>
              <w:tab/>
            </w:r>
            <w:r>
              <w:t xml:space="preserve">fremhæver betydningen af ECB's politiske uafhængighed, som bør forblive uberørt; understreger, at denne uafhængighed kræver, at ECB til gengæld undlader at træffe politiske beslutninger </w:t>
            </w:r>
            <w:r>
              <w:rPr>
                <w:b/>
                <w:i/>
              </w:rPr>
              <w:t>og afsætter alle sine ressourcer til sit primære mål om prisstabilitet og dermed bidrager til økonomisk vækst og jobskabelse</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fremhæver betydningen af ECB's politiske uafhængighed</w:t>
            </w:r>
            <w:r>
              <w:rPr>
                <w:b/>
                <w:i/>
              </w:rPr>
              <w:t>, som bør forblive uberørt</w:t>
            </w:r>
            <w:r>
              <w:t xml:space="preserve">; understreger, at denne uafhængighed kræver, at ECB til gengæld undlader at træffe politiske </w:t>
            </w:r>
            <w:r>
              <w:rPr>
                <w:b/>
                <w:i/>
              </w:rPr>
              <w:t>beslutninger</w:t>
            </w:r>
            <w:r>
              <w:t>;</w:t>
            </w:r>
          </w:p>
        </w:tc>
        <w:tc>
          <w:tcPr>
            <w:tcW w:w="4876" w:type="dxa"/>
            <w:tcBorders>
              <w:top w:val="nil"/>
              <w:left w:val="nil"/>
              <w:bottom w:val="nil"/>
              <w:right w:val="nil"/>
            </w:tcBorders>
          </w:tcPr>
          <w:p>
            <w:pPr>
              <w:pStyle w:val="Normal6a"/>
            </w:pPr>
            <w:r>
              <w:t>3.</w:t>
            </w:r>
            <w:r>
              <w:tab/>
            </w:r>
            <w:r>
              <w:t xml:space="preserve">fremhæver betydningen af ECB's politiske uafhængighed; understreger, at denne uafhængighed kræver, at ECB til gengæld undlader at træffe politiske </w:t>
            </w:r>
            <w:r>
              <w:rPr>
                <w:b/>
                <w:i/>
              </w:rPr>
              <w:t>foranstaltninger, herunder at instruere de nationale regeringer i specifikke finanspolitiske og strukturpolitiske foranstaltninger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fremhæver betydningen af ECB's politiske uafhængighed, som bør forblive uberørt; understreger, at denne uafhængighed kræver, at ECB til gengæld undlader at træffe politiske beslutninger;</w:t>
            </w:r>
          </w:p>
        </w:tc>
        <w:tc>
          <w:tcPr>
            <w:tcW w:w="4876" w:type="dxa"/>
            <w:tcBorders>
              <w:top w:val="nil"/>
              <w:left w:val="nil"/>
              <w:bottom w:val="nil"/>
              <w:right w:val="nil"/>
            </w:tcBorders>
          </w:tcPr>
          <w:p>
            <w:pPr>
              <w:pStyle w:val="Normal6a"/>
            </w:pPr>
            <w:r>
              <w:t>3.</w:t>
            </w:r>
            <w:r>
              <w:tab/>
            </w:r>
            <w:r>
              <w:t>fremhæver betydningen af ECB's politiske uafhængighed, som bør forblive uberørt; understreger, at denne uafhængighed kræver, at ECB til gengæld undlader at træffe politiske beslutninger</w:t>
            </w:r>
            <w:r>
              <w:rPr>
                <w:b/>
                <w:i/>
              </w:rPr>
              <w:t>, herunder klimapolitikker, og derfor holder sig til princippet om markedsneutralitet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fremhæver</w:t>
            </w:r>
            <w:r>
              <w:t xml:space="preserve"> betydningen af ECB's </w:t>
            </w:r>
            <w:r>
              <w:rPr>
                <w:b/>
                <w:i/>
              </w:rPr>
              <w:t>politiske uafhængighed, som bør forblive uberørt;</w:t>
            </w:r>
            <w:r>
              <w:t xml:space="preserve"> </w:t>
            </w:r>
            <w:r>
              <w:rPr>
                <w:b/>
                <w:i/>
              </w:rPr>
              <w:t>understreger, at denne uafhængighed kræver, at ECB til gengæld undlader at træffe politiske beslutninger</w:t>
            </w:r>
            <w:r>
              <w:t>;</w:t>
            </w:r>
          </w:p>
        </w:tc>
        <w:tc>
          <w:tcPr>
            <w:tcW w:w="4876" w:type="dxa"/>
            <w:tcBorders>
              <w:top w:val="nil"/>
              <w:left w:val="nil"/>
              <w:bottom w:val="nil"/>
              <w:right w:val="nil"/>
            </w:tcBorders>
          </w:tcPr>
          <w:p>
            <w:pPr>
              <w:pStyle w:val="Normal6a"/>
            </w:pPr>
            <w:r>
              <w:t>3.</w:t>
            </w:r>
            <w:r>
              <w:tab/>
            </w:r>
            <w:r>
              <w:rPr>
                <w:b/>
                <w:i/>
              </w:rPr>
              <w:t>understreger</w:t>
            </w:r>
            <w:r>
              <w:t xml:space="preserve"> betydningen af ECB's </w:t>
            </w:r>
            <w:r>
              <w:rPr>
                <w:b/>
                <w:i/>
              </w:rPr>
              <w:t>ansvarlighed over for Europa-Parlamentet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fremhæver betydningen af ECB's politiske uafhængighed, som bør forblive uberørt; understreger, at denne uafhængighed kræver, at ECB til gengæld undlader at træffe politiske beslutninger;</w:t>
            </w:r>
          </w:p>
        </w:tc>
        <w:tc>
          <w:tcPr>
            <w:tcW w:w="4876" w:type="dxa"/>
            <w:tcBorders>
              <w:top w:val="nil"/>
              <w:left w:val="nil"/>
              <w:bottom w:val="nil"/>
              <w:right w:val="nil"/>
            </w:tcBorders>
          </w:tcPr>
          <w:p>
            <w:pPr>
              <w:pStyle w:val="Normal6a"/>
            </w:pPr>
            <w:r>
              <w:t>3.</w:t>
            </w:r>
            <w:r>
              <w:tab/>
            </w:r>
            <w:r>
              <w:t xml:space="preserve">fremhæver betydningen af ECB's politiske uafhængighed, som bør forblive uberørt; understreger, at denne uafhængighed kræver, at ECB til gengæld undlader at træffe politiske beslutninger </w:t>
            </w:r>
            <w:r>
              <w:rPr>
                <w:b/>
                <w:i/>
              </w:rPr>
              <w:t>uden for sit mandat</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opfordrer ECB og Europa-Parlamentet til at gøre fuld brug af ansvarligheds- og gennemsigtighedsordningerne og, hvor det er muligt, yderligere styrke disse ordninger, uden at dette berører ECB's uafhængighed;</w:t>
            </w:r>
            <w:r>
              <w:t xml:space="preserve"> </w:t>
            </w:r>
            <w:r>
              <w:rPr>
                <w:b/>
                <w:i/>
              </w:rPr>
              <w:t>opfordrer ECB til at styrke dialogen med de nationale parlamenter;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understreger, at gennemførelsen af monetære operationer på en markedsneutral måde logisk følger af princippet om centralbankens uafhængighed;</w:t>
            </w:r>
            <w:r>
              <w:t xml:space="preserve"> </w:t>
            </w:r>
            <w:r>
              <w:rPr>
                <w:b/>
                <w:i/>
              </w:rPr>
              <w:t>understreger, at en afvigelse fra dette princip indebærer, at ECB begunstiger én markedsdeltager frem for en anden på grundlag af sine egne præferencer;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4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anerkender, at selv om en stram pengepolitik kan være effektiv, når inflationen hovedsagelig skyldes efterspørgselsfaktorer såsom overdreven lønvækst, forbrug eller udgifter på de offentlige budgetter, kan dens indvirkning være mere begrænset i forbindelse med håndtering af udbudschok;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4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understreger, at geopolitiske spændinger og klima- og miljøkrisen påvirker prisdannelsesmekanismen ved at forstyrre forsyningen i systemisk vigtige sektorer såsom energi, fødevarer og kommerciel infrastruktur;</w:t>
            </w:r>
            <w:r>
              <w:t xml:space="preserve"> </w:t>
            </w:r>
            <w:r>
              <w:rPr>
                <w:b/>
                <w:i/>
              </w:rPr>
              <w:t>er bekymret over, at virksomhederne som reaktion på hyppigere forsyningschok koordinerer prisstigninger for at beskytte og endda øge fortjenstmargener, der spreder og forstærker sektorchok;</w:t>
            </w:r>
            <w:r>
              <w:t xml:space="preserve"> </w:t>
            </w:r>
            <w:r>
              <w:rPr>
                <w:b/>
                <w:i/>
              </w:rPr>
              <w:t>opfordrer i denne forbindelse til en ny ramme for inflationsstyring, der vil koordinere en bred vifte af interessenter og politikområder, herunder myndigheder med ansvar for konkurrence, finanspolitik, pengepolitik og statistik, for at forebygge og afbøde sådanne forstyrrelser;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beklager, at inflationsniveauet fortsat ligger over ECB's mål på 2 % i nogle medlemsstater</w:t>
            </w:r>
            <w:r>
              <w:t xml:space="preserve">; understreger, at </w:t>
            </w:r>
            <w:r>
              <w:rPr>
                <w:b/>
                <w:i/>
              </w:rPr>
              <w:t>inflationen mindsker købekraften for faste indkomster, opsparinger og pensioner, og at den forvrider prisernes signalfunktion, der sikrer en effektiv ressourceallokering</w:t>
            </w:r>
            <w:r>
              <w:t>;</w:t>
            </w:r>
          </w:p>
        </w:tc>
        <w:tc>
          <w:tcPr>
            <w:tcW w:w="4876" w:type="dxa"/>
            <w:tcBorders>
              <w:top w:val="nil"/>
              <w:left w:val="nil"/>
              <w:bottom w:val="nil"/>
              <w:right w:val="nil"/>
            </w:tcBorders>
          </w:tcPr>
          <w:p>
            <w:pPr>
              <w:pStyle w:val="Normal6a"/>
            </w:pPr>
            <w:r>
              <w:t>5.</w:t>
            </w:r>
            <w:r>
              <w:tab/>
            </w:r>
            <w:r>
              <w:rPr>
                <w:b/>
                <w:i/>
              </w:rPr>
              <w:t>understreger, at høj inflation især er skadelig for lavindkomsthusholdninger, der lider under høje fødevare- og energipriser</w:t>
            </w:r>
            <w:r>
              <w:t xml:space="preserve">; understreger, at </w:t>
            </w:r>
            <w:r>
              <w:rPr>
                <w:b/>
                <w:i/>
              </w:rPr>
              <w:t>det ekstraordinære inflationsniveau i euroområdet i 2022 og 2023 ikke var drevet af efterspørgselsfaktorer, men af chok på udbudssiden for økonomien;</w:t>
            </w:r>
            <w:r>
              <w:t xml:space="preserve"> </w:t>
            </w:r>
            <w:r>
              <w:rPr>
                <w:b/>
                <w:i/>
              </w:rPr>
              <w:t>fremhæver pengepolitikkens ineffektivitet med hensyn til chok på udbudssiden og behovet for at anvende andre midler i den økonomiske politik, såsom priskontrol, til at nedbringe de høje priser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Bruno Gonçalves, Carla Tavares,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beklager, at inflationsniveauet fortsat ligger over ECB's mål på 2 % i nogle medlemsstater;</w:t>
            </w:r>
            <w:r>
              <w:t xml:space="preserve"> </w:t>
            </w:r>
            <w:r>
              <w:rPr>
                <w:b/>
                <w:i/>
              </w:rPr>
              <w:t>understreger</w:t>
            </w:r>
            <w:r>
              <w:t>, at inflationen mindsker købekraften for faste indkomster, opsparinger og pensioner, og at den forvrider prisernes signalfunktion, der sikrer en effektiv ressourceallokering;</w:t>
            </w:r>
          </w:p>
        </w:tc>
        <w:tc>
          <w:tcPr>
            <w:tcW w:w="4876" w:type="dxa"/>
            <w:tcBorders>
              <w:top w:val="nil"/>
              <w:left w:val="nil"/>
              <w:bottom w:val="nil"/>
              <w:right w:val="nil"/>
            </w:tcBorders>
          </w:tcPr>
          <w:p>
            <w:pPr>
              <w:pStyle w:val="Normal6a"/>
            </w:pPr>
            <w:r>
              <w:t>5.</w:t>
            </w:r>
            <w:r>
              <w:tab/>
            </w:r>
            <w:r>
              <w:rPr>
                <w:b/>
                <w:i/>
              </w:rPr>
              <w:t>roser ECB for at bringe inflationen i overensstemmelse med sit mål;</w:t>
            </w:r>
            <w:r>
              <w:t xml:space="preserve"> </w:t>
            </w:r>
            <w:r>
              <w:rPr>
                <w:b/>
                <w:i/>
              </w:rPr>
              <w:t>understreger ulemperne ved høje rentesatser, navnlig de restriktive virkninger på den disponible indkomst;</w:t>
            </w:r>
            <w:r>
              <w:t xml:space="preserve"> </w:t>
            </w:r>
            <w:r>
              <w:rPr>
                <w:b/>
                <w:i/>
              </w:rPr>
              <w:t>bemærker</w:t>
            </w:r>
            <w:r>
              <w:t>, at inflationen mindsker købekraften for faste indkomster, opsparinger og pensioner, og at den forvrider prisernes signalfunktion, der sikrer en effektiv ressourceallokering;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Gilles Boyer, Stéphanie Yon-Courtin, Pascal Canfin, Gerben-Jan Gerbrandy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beklager, at inflationsniveauet fortsat ligger over ECB's mål på 2 % i nogle medlemsstater;</w:t>
            </w:r>
            <w:r>
              <w:t xml:space="preserve"> understreger, at inflationen mindsker købekraften for faste indkomster, opsparinger og pensioner, og at den forvrider prisernes signalfunktion, der sikrer en effektiv ressourceallokering;</w:t>
            </w:r>
          </w:p>
        </w:tc>
        <w:tc>
          <w:tcPr>
            <w:tcW w:w="4876" w:type="dxa"/>
            <w:tcBorders>
              <w:top w:val="nil"/>
              <w:left w:val="nil"/>
              <w:bottom w:val="nil"/>
              <w:right w:val="nil"/>
            </w:tcBorders>
          </w:tcPr>
          <w:p>
            <w:pPr>
              <w:pStyle w:val="Normal6a"/>
            </w:pPr>
            <w:r>
              <w:t>5.</w:t>
            </w:r>
            <w:r>
              <w:tab/>
            </w:r>
            <w:r>
              <w:t>understreger, at inflationen mindsker købekraften for faste indkomster, opsparinger og pensioner, og at den forvrider prisernes signalfunktion, der sikrer en effektiv ressourceallokering;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beklager, at inflationsniveauet fortsat ligger over ECB's mål på 2 % i nogle medlemsstater; understreger, at inflationen mindsker købekraften for faste indkomster, opsparinger og pensioner, og at den forvrider prisernes signalfunktion, der sikrer en effektiv ressourceallokering;</w:t>
            </w:r>
          </w:p>
        </w:tc>
        <w:tc>
          <w:tcPr>
            <w:tcW w:w="4876" w:type="dxa"/>
            <w:tcBorders>
              <w:top w:val="nil"/>
              <w:left w:val="nil"/>
              <w:bottom w:val="nil"/>
              <w:right w:val="nil"/>
            </w:tcBorders>
          </w:tcPr>
          <w:p>
            <w:pPr>
              <w:pStyle w:val="Normal6a"/>
            </w:pPr>
            <w:r>
              <w:t>5.</w:t>
            </w:r>
            <w:r>
              <w:tab/>
            </w:r>
            <w:r>
              <w:t xml:space="preserve">beklager, at inflationsniveauet fortsat ligger over ECB's mål på 2 % i nogle medlemsstater; understreger, at inflationen mindsker købekraften for faste indkomster, opsparinger og pensioner, og at den forvrider prisernes signalfunktion, der sikrer en effektiv ressourceallokering </w:t>
            </w:r>
            <w:r>
              <w:rPr>
                <w:b/>
                <w:i/>
              </w:rPr>
              <w:t>og har en negativ indvirkning på den økonomiske stabilitet</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beklager, at inflationsniveauet fortsat ligger over</w:t>
            </w:r>
            <w:r>
              <w:t xml:space="preserve"> ECB's mål på 2 % </w:t>
            </w:r>
            <w:r>
              <w:rPr>
                <w:b/>
                <w:i/>
              </w:rPr>
              <w:t>i nogle medlemsstater</w:t>
            </w:r>
            <w:r>
              <w:t>; understreger, at inflationen mindsker købekraften for faste indkomster, opsparinger og pensioner, og at den forvrider prisernes signalfunktion, der sikrer en effektiv ressourceallokering;</w:t>
            </w:r>
          </w:p>
        </w:tc>
        <w:tc>
          <w:tcPr>
            <w:tcW w:w="4876" w:type="dxa"/>
            <w:tcBorders>
              <w:top w:val="nil"/>
              <w:left w:val="nil"/>
              <w:bottom w:val="nil"/>
              <w:right w:val="nil"/>
            </w:tcBorders>
          </w:tcPr>
          <w:p>
            <w:pPr>
              <w:pStyle w:val="Normal6a"/>
            </w:pPr>
            <w:r>
              <w:t>5.</w:t>
            </w:r>
            <w:r>
              <w:tab/>
            </w:r>
            <w:r>
              <w:rPr>
                <w:b/>
                <w:i/>
              </w:rPr>
              <w:t>bemærker forskellene mellem medlemsstaterne med hensyn til inflationsniveauer over/under</w:t>
            </w:r>
            <w:r>
              <w:t xml:space="preserve"> ECB's mål på 2 %; understreger, at inflationen mindsker købekraften for faste indkomster, opsparinger og pensioner, og at den forvrider prisernes signalfunktion, der sikrer en effektiv ressourceallokering;</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beklager</w:t>
            </w:r>
            <w:r>
              <w:t xml:space="preserve">, at inflationsniveauet fortsat ligger over ECB's mål på 2 % </w:t>
            </w:r>
            <w:r>
              <w:rPr>
                <w:b/>
                <w:i/>
              </w:rPr>
              <w:t>i nogle medlemsstater</w:t>
            </w:r>
            <w:r>
              <w:t>; understreger, at inflationen mindsker købekraften for faste indkomster, opsparinger og pensioner, og at den forvrider prisernes signalfunktion, der sikrer en effektiv ressourceallokering;</w:t>
            </w:r>
          </w:p>
        </w:tc>
        <w:tc>
          <w:tcPr>
            <w:tcW w:w="4876" w:type="dxa"/>
            <w:tcBorders>
              <w:top w:val="nil"/>
              <w:left w:val="nil"/>
              <w:bottom w:val="nil"/>
              <w:right w:val="nil"/>
            </w:tcBorders>
          </w:tcPr>
          <w:p>
            <w:pPr>
              <w:pStyle w:val="Normal6a"/>
            </w:pPr>
            <w:r>
              <w:t>5.</w:t>
            </w:r>
            <w:r>
              <w:tab/>
            </w:r>
            <w:r>
              <w:rPr>
                <w:b/>
                <w:i/>
              </w:rPr>
              <w:t>bemærker</w:t>
            </w:r>
            <w:r>
              <w:t>, at inflationsniveauet fortsat ligger over ECB's mål på 2 %; understreger, at inflationen mindsker købekraften for faste indkomster, opsparinger og pensioner, og at den forvrider prisernes signalfunktion, der sikrer en effektiv ressourceallokering;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understreger, at penge- og finanspolitikken bør fungere sammen for at hjælpe europæiske borgere og husholdninger samt små virksomheder, der er hårdest ramt af den aktuelle geopolitiske krise;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Auke Zijlstra, Enikő Győri,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understreger, at høje inflationsniveauer har en uforholdsmæssig stor indvirkning på lavindkomsthusstande, der bruger en større andel af deres budget på fornødenheder;</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Niels Fuglsang, Matthias Ecke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understreger, at inflationen udløste en "leveomkostningskrise" for EU-borgerne, og understreger derfor, at det er bydende nødvendigt at begrænse inflationen til den ønskede kerneinflationsrate på 2 %;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Evelyn Regner, René Repasi, Irene Tinagli, Francisco Assis, Jonás Fernández,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beklager, at kerneinflationen fortsat er høj, idet kun to medlemsstater i euroområdet indberettede kerneinflationsrater på under 2 % i september 2024;</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beklager, at kerneinflationen fortsat er høj, idet kun to medlemsstater i euroområdet indberettede kerneinflationsrater på under 2 % i september 2024;</w:t>
            </w:r>
          </w:p>
        </w:tc>
        <w:tc>
          <w:tcPr>
            <w:tcW w:w="4876" w:type="dxa"/>
            <w:tcBorders>
              <w:top w:val="nil"/>
              <w:left w:val="nil"/>
              <w:bottom w:val="nil"/>
              <w:right w:val="nil"/>
            </w:tcBorders>
          </w:tcPr>
          <w:p>
            <w:pPr>
              <w:pStyle w:val="Normal6a"/>
            </w:pPr>
            <w:r>
              <w:t>6.</w:t>
            </w:r>
            <w:r>
              <w:tab/>
            </w:r>
            <w:r>
              <w:t xml:space="preserve">beklager, at kerneinflationen fortsat er høj, idet kun to medlemsstater i euroområdet indberettede kerneinflationsrater på under 2 % i september 2024; </w:t>
            </w:r>
            <w:r>
              <w:rPr>
                <w:b/>
                <w:i/>
              </w:rPr>
              <w:t>minder om, at denne situation skaber økonomisk usikkerhed, modvirker opsparing og øger borgernes leveomkostninger, især for dem med faste og begrænsede indkomster, hvilket kan føre til inflationsforventninger, som opretholder en cyklus med prisstigninger og undergraver den økonomiske stabilitet;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rPr>
                <w:b/>
                <w:i/>
              </w:rPr>
              <w:t>beklager, at kerneinflationen fortsat er høj, idet kun to medlemsstater i euroområdet indberettede kerneinflationsrater på under 2 % i september 2024</w:t>
            </w:r>
            <w:r>
              <w:t>;</w:t>
            </w:r>
          </w:p>
        </w:tc>
        <w:tc>
          <w:tcPr>
            <w:tcW w:w="4876" w:type="dxa"/>
            <w:tcBorders>
              <w:top w:val="nil"/>
              <w:left w:val="nil"/>
              <w:bottom w:val="nil"/>
              <w:right w:val="nil"/>
            </w:tcBorders>
          </w:tcPr>
          <w:p>
            <w:pPr>
              <w:pStyle w:val="Normal6a"/>
            </w:pPr>
            <w:r>
              <w:t>6.</w:t>
            </w:r>
            <w:r>
              <w:tab/>
            </w:r>
            <w:r>
              <w:rPr>
                <w:b/>
                <w:i/>
              </w:rPr>
              <w:t>bemærker, at inflationen i euroområdet i oktober 2024 var på 2,0 %, hvilket er i overensstemmelse med ECB's inflationsmål på 2 % på mellemlang sigt;</w:t>
            </w:r>
            <w:r>
              <w:t xml:space="preserve"> </w:t>
            </w:r>
            <w:r>
              <w:rPr>
                <w:b/>
                <w:i/>
              </w:rPr>
              <w:t>fremhæver den europæiske økonomis skrøbelige tilstand og udtrykker bekymring over ECB's alt for restriktive pengepolitik</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Gilles Boyer, Stéphanie Yon-Courtin, Pascal Canfin, Gerben-Jan Gerbrandy, 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beklager, at kerneinflationen fortsat er høj</w:t>
            </w:r>
            <w:r>
              <w:rPr>
                <w:b/>
                <w:i/>
              </w:rPr>
              <w:t>, idet kun to medlemsstater</w:t>
            </w:r>
            <w:r>
              <w:t xml:space="preserve"> i euroområdet </w:t>
            </w:r>
            <w:r>
              <w:rPr>
                <w:b/>
                <w:i/>
              </w:rPr>
              <w:t>indberettede kerneinflationsrater på under 2</w:t>
            </w:r>
            <w:r>
              <w:t> % i september 2024;</w:t>
            </w:r>
          </w:p>
        </w:tc>
        <w:tc>
          <w:tcPr>
            <w:tcW w:w="4876" w:type="dxa"/>
            <w:tcBorders>
              <w:top w:val="nil"/>
              <w:left w:val="nil"/>
              <w:bottom w:val="nil"/>
              <w:right w:val="nil"/>
            </w:tcBorders>
          </w:tcPr>
          <w:p>
            <w:pPr>
              <w:pStyle w:val="Normal6a"/>
            </w:pPr>
            <w:r>
              <w:t>6.</w:t>
            </w:r>
            <w:r>
              <w:tab/>
            </w:r>
            <w:r>
              <w:t xml:space="preserve">beklager, at kerneinflationen fortsat er høj i euroområdet </w:t>
            </w:r>
            <w:r>
              <w:rPr>
                <w:b/>
                <w:i/>
              </w:rPr>
              <w:t>(2,7</w:t>
            </w:r>
            <w:r>
              <w:t> % i september 2024</w:t>
            </w:r>
            <w:r>
              <w:rPr>
                <w:b/>
                <w:i/>
              </w:rPr>
              <w: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beklager, at kerneinflationen fortsat er høj, idet kun to medlemsstater i euroområdet indberettede kerneinflationsrater på under 2 % i september 2024;</w:t>
            </w:r>
          </w:p>
        </w:tc>
        <w:tc>
          <w:tcPr>
            <w:tcW w:w="4876" w:type="dxa"/>
            <w:tcBorders>
              <w:top w:val="nil"/>
              <w:left w:val="nil"/>
              <w:bottom w:val="nil"/>
              <w:right w:val="nil"/>
            </w:tcBorders>
          </w:tcPr>
          <w:p>
            <w:pPr>
              <w:pStyle w:val="Normal6a"/>
            </w:pPr>
            <w:r>
              <w:t>6.</w:t>
            </w:r>
            <w:r>
              <w:tab/>
            </w:r>
            <w:r>
              <w:t xml:space="preserve">beklager, at kerneinflationen fortsat er </w:t>
            </w:r>
            <w:r>
              <w:rPr>
                <w:b/>
                <w:i/>
              </w:rPr>
              <w:t>for</w:t>
            </w:r>
            <w:r>
              <w:t xml:space="preserve"> høj, idet kun to medlemsstater i euroområdet indberettede kerneinflationsrater på under 2 % i september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rPr>
                <w:b/>
                <w:i/>
              </w:rPr>
              <w:t>beklager</w:t>
            </w:r>
            <w:r>
              <w:t>, at kerneinflationen fortsat er høj, idet kun to medlemsstater i euroområdet indberettede kerneinflationsrater på under 2 % i september 2024;</w:t>
            </w:r>
          </w:p>
        </w:tc>
        <w:tc>
          <w:tcPr>
            <w:tcW w:w="4876" w:type="dxa"/>
            <w:tcBorders>
              <w:top w:val="nil"/>
              <w:left w:val="nil"/>
              <w:bottom w:val="nil"/>
              <w:right w:val="nil"/>
            </w:tcBorders>
          </w:tcPr>
          <w:p>
            <w:pPr>
              <w:pStyle w:val="Normal6a"/>
            </w:pPr>
            <w:r>
              <w:t>6.</w:t>
            </w:r>
            <w:r>
              <w:tab/>
            </w:r>
            <w:r>
              <w:rPr>
                <w:b/>
                <w:i/>
              </w:rPr>
              <w:t>minder om</w:t>
            </w:r>
            <w:r>
              <w:t>, at kerneinflationen fortsat er høj, idet kun to medlemsstater i euroområdet indberettede kerneinflationsrater på under 2 % i september 2024;</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bemærker den nedadgående tendens i inflationen i euroområdet;</w:t>
            </w:r>
            <w:r>
              <w:t xml:space="preserve"> </w:t>
            </w:r>
            <w:r>
              <w:rPr>
                <w:b/>
                <w:i/>
              </w:rPr>
              <w:t>udtrykker imidlertid bekymring over de høje leveomkostninger og fødevare- og energipriser og den opadrettede risiko for priser, der f.eks. skyldes en mulig handelskrig;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7.</w:t>
            </w:r>
            <w:r>
              <w:tab/>
            </w:r>
            <w:r>
              <w:rPr>
                <w:b/>
                <w:i/>
              </w:rPr>
              <w:t>advarer ECB mod fristelsen til at sænke rentesatserne for hurtigt i betragtning af risikoen for, at inflationsniveauet kan begynde at stige igen;</w:t>
            </w:r>
            <w:r>
              <w:t xml:space="preserve"> </w:t>
            </w:r>
            <w:r>
              <w:rPr>
                <w:b/>
                <w:i/>
              </w:rPr>
              <w:t>understreger, at ECB selv forventer en midlertidig stigning i inflationsniveauet i sidste kvartal af 2024, da tidligere kraftige fald i energipriserne ikke længere indgår i den årlige inflation;</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Gilles Boyer, Stéphanie Yon-Courtin, Pascal Canfin, Billy Kelleher, Gerben-Jan Gerbrandy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7.</w:t>
            </w:r>
            <w:r>
              <w:tab/>
            </w:r>
            <w:r>
              <w:rPr>
                <w:b/>
                <w:i/>
              </w:rPr>
              <w:t>advarer ECB mod fristelsen til at sænke rentesatserne for hurtigt i betragtning af risikoen for, at inflationsniveauet kan begynde at stige igen;</w:t>
            </w:r>
            <w:r>
              <w:t xml:space="preserve"> </w:t>
            </w:r>
            <w:r>
              <w:rPr>
                <w:b/>
                <w:i/>
              </w:rPr>
              <w:t>understreger, at ECB selv forventer en midlertidig stigning i inflationsniveauet i sidste kvartal af 2024, da tidligere kraftige fald i energipriserne ikke længere indgår i den årlige inflation;</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advarer ECB mod fristelsen</w:t>
            </w:r>
            <w:r>
              <w:t xml:space="preserve"> til at sænke rentesatserne </w:t>
            </w:r>
            <w:r>
              <w:rPr>
                <w:b/>
                <w:i/>
              </w:rPr>
              <w:t>for hurtigt i betragtning af risikoen for, at inflationsniveauet kan begynde at stige igen;</w:t>
            </w:r>
            <w:r>
              <w:t xml:space="preserve"> </w:t>
            </w:r>
            <w:r>
              <w:rPr>
                <w:b/>
                <w:i/>
              </w:rPr>
              <w:t>understreger, at ECB selv forventer en midlertidig stigning i inflationsniveauet i sidste kvartal af 2024, da tidligere kraftige fald i energipriserne ikke længere indgår i den årlige inflation</w:t>
            </w:r>
            <w:r>
              <w:t>;</w:t>
            </w:r>
          </w:p>
        </w:tc>
        <w:tc>
          <w:tcPr>
            <w:tcW w:w="4876" w:type="dxa"/>
            <w:tcBorders>
              <w:top w:val="nil"/>
              <w:left w:val="nil"/>
              <w:bottom w:val="nil"/>
              <w:right w:val="nil"/>
            </w:tcBorders>
          </w:tcPr>
          <w:p>
            <w:pPr>
              <w:pStyle w:val="Normal6a"/>
            </w:pPr>
            <w:r>
              <w:t>7.</w:t>
            </w:r>
            <w:r>
              <w:tab/>
            </w:r>
            <w:r>
              <w:rPr>
                <w:b/>
                <w:i/>
              </w:rPr>
              <w:t>opfordrer ECB</w:t>
            </w:r>
            <w:r>
              <w:t xml:space="preserve"> til </w:t>
            </w:r>
            <w:r>
              <w:rPr>
                <w:b/>
                <w:i/>
              </w:rPr>
              <w:t>gradvist</w:t>
            </w:r>
            <w:r>
              <w:t xml:space="preserve"> at sænke rentesatserne </w:t>
            </w:r>
            <w:r>
              <w:rPr>
                <w:b/>
                <w:i/>
              </w:rPr>
              <w:t>under hensyntagen til de tilsynsprincipper, som altid skal være fremherskende i et system, der kombinerer monetær stabilitet med støtte til økonomien</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advarer ECB mod fristelsen til at sænke rentesatserne for hurtigt i betragtning af risikoen for, at inflationsniveauet kan begynde at stige igen;</w:t>
            </w:r>
            <w:r>
              <w:t xml:space="preserve"> </w:t>
            </w:r>
            <w:r>
              <w:rPr>
                <w:b/>
                <w:i/>
              </w:rPr>
              <w:t>understreger</w:t>
            </w:r>
            <w:r>
              <w:t xml:space="preserve">, at ECB selv forventer en midlertidig stigning i inflationsniveauet i sidste kvartal af 2024, </w:t>
            </w:r>
            <w:r>
              <w:rPr>
                <w:b/>
                <w:i/>
              </w:rPr>
              <w:t>da tidligere kraftige fald i energipriserne ikke længere indgår i den årlige inflation</w:t>
            </w:r>
            <w:r>
              <w:t>;</w:t>
            </w:r>
          </w:p>
        </w:tc>
        <w:tc>
          <w:tcPr>
            <w:tcW w:w="4876" w:type="dxa"/>
            <w:tcBorders>
              <w:top w:val="nil"/>
              <w:left w:val="nil"/>
              <w:bottom w:val="nil"/>
              <w:right w:val="nil"/>
            </w:tcBorders>
          </w:tcPr>
          <w:p>
            <w:pPr>
              <w:pStyle w:val="Normal6a"/>
            </w:pPr>
            <w:r>
              <w:t>7.</w:t>
            </w:r>
            <w:r>
              <w:tab/>
            </w:r>
            <w:r>
              <w:rPr>
                <w:b/>
                <w:i/>
              </w:rPr>
              <w:t>bemærker</w:t>
            </w:r>
            <w:r>
              <w:t xml:space="preserve">, at ECB selv forventer en midlertidig stigning i inflationsniveauet i sidste kvartal af 2024, </w:t>
            </w:r>
            <w:r>
              <w:rPr>
                <w:b/>
                <w:i/>
              </w:rPr>
              <w:t>inden den falder igen i 2025</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advarer ECB mod fristelsen til at sænke rentesatserne for hurtigt i betragtning af risikoen for, at inflationsniveauet kan begynde at stige igen; understreger, at ECB selv forventer en midlertidig stigning i inflationsniveauet i sidste kvartal af 2024, da tidligere kraftige fald i energipriserne ikke længere indgår i den årlige inflation;</w:t>
            </w:r>
          </w:p>
        </w:tc>
        <w:tc>
          <w:tcPr>
            <w:tcW w:w="4876" w:type="dxa"/>
            <w:tcBorders>
              <w:top w:val="nil"/>
              <w:left w:val="nil"/>
              <w:bottom w:val="nil"/>
              <w:right w:val="nil"/>
            </w:tcBorders>
          </w:tcPr>
          <w:p>
            <w:pPr>
              <w:pStyle w:val="Normal6a"/>
            </w:pPr>
            <w:r>
              <w:t>7.</w:t>
            </w:r>
            <w:r>
              <w:tab/>
            </w:r>
            <w:r>
              <w:t xml:space="preserve">advarer ECB mod fristelsen til at sænke rentesatserne for hurtigt i betragtning af risikoen for, at inflationsniveauet kan begynde at stige igen; </w:t>
            </w:r>
            <w:r>
              <w:rPr>
                <w:b/>
                <w:i/>
              </w:rPr>
              <w:t>fremhæver den centrale rolle, som inflationsforventningerne spiller, og at for stor volatilitet i inflationsraterne kan forvride inflationsforventningerne;</w:t>
            </w:r>
            <w:r>
              <w:t xml:space="preserve"> understreger, at ECB selv forventer en midlertidig stigning i inflationsniveauet i sidste kvartal af 2024, da tidligere kraftige fald i energipriserne ikke længere indgår i den årlige inflation;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Bruno Gonçalves, Carla Tavares,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advarer ECB mod fristelsen til at sænke rentesatserne for </w:t>
            </w:r>
            <w:r>
              <w:rPr>
                <w:b/>
                <w:i/>
              </w:rPr>
              <w:t>hurtigt</w:t>
            </w:r>
            <w:r>
              <w:t xml:space="preserve"> i betragtning af </w:t>
            </w:r>
            <w:r>
              <w:rPr>
                <w:b/>
                <w:i/>
              </w:rPr>
              <w:t>risikoen for, at inflationsniveauet kan begynde at stige igen</w:t>
            </w:r>
            <w:r>
              <w:t xml:space="preserve">; understreger, at ECB </w:t>
            </w:r>
            <w:r>
              <w:rPr>
                <w:b/>
                <w:i/>
              </w:rPr>
              <w:t>selv forventer</w:t>
            </w:r>
            <w:r>
              <w:t xml:space="preserve"> en midlertidig stigning i inflationsniveauet i sidste kvartal af 2024, da tidligere kraftige fald i energipriserne ikke længere indgår i den årlige inflation;</w:t>
            </w:r>
          </w:p>
        </w:tc>
        <w:tc>
          <w:tcPr>
            <w:tcW w:w="4876" w:type="dxa"/>
            <w:tcBorders>
              <w:top w:val="nil"/>
              <w:left w:val="nil"/>
              <w:bottom w:val="nil"/>
              <w:right w:val="nil"/>
            </w:tcBorders>
          </w:tcPr>
          <w:p>
            <w:pPr>
              <w:pStyle w:val="Normal6a"/>
            </w:pPr>
            <w:r>
              <w:t>7.</w:t>
            </w:r>
            <w:r>
              <w:tab/>
            </w:r>
            <w:r>
              <w:t xml:space="preserve">advarer ECB mod fristelsen til at sænke rentesatserne for </w:t>
            </w:r>
            <w:r>
              <w:rPr>
                <w:b/>
                <w:i/>
              </w:rPr>
              <w:t>langsomt</w:t>
            </w:r>
            <w:r>
              <w:t xml:space="preserve"> i betragtning af </w:t>
            </w:r>
            <w:r>
              <w:rPr>
                <w:b/>
                <w:i/>
              </w:rPr>
              <w:t>den negative indvirkning på husholdningernes lånekapacitet og låntagernes evne til at tilbagebetale gæld, navnlig i forbindelse med boliglån, men også de lavere vækstudsigter for euroområdet</w:t>
            </w:r>
            <w:r>
              <w:t xml:space="preserve">; understreger, at ECB </w:t>
            </w:r>
            <w:r>
              <w:rPr>
                <w:b/>
                <w:i/>
              </w:rPr>
              <w:t>kun forventede</w:t>
            </w:r>
            <w:r>
              <w:t xml:space="preserve"> en midlertidig stigning i inflationsniveauet i sidste kvartal af 2024, da tidligere kraftige fald i energipriserne ikke længere indgår i den årlige inflation;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advarer ECB </w:t>
            </w:r>
            <w:r>
              <w:rPr>
                <w:b/>
                <w:i/>
              </w:rPr>
              <w:t>mod fristelsen til at sænke rentesatserne for hurtigt i betragtning af risikoen for, at inflationsniveauet kan begynde at stige igen</w:t>
            </w:r>
            <w:r>
              <w:t>; understreger</w:t>
            </w:r>
            <w:r>
              <w:rPr>
                <w:b/>
                <w:i/>
              </w:rPr>
              <w:t>, at ECB selv forventer en midlertidig stigning i inflationsniveauet i sidste kvartal af 2024, da tidligere kraftige fald i energipriserne ikke længere indgår i den årlige inflation</w:t>
            </w:r>
            <w:r>
              <w:t>;</w:t>
            </w:r>
          </w:p>
        </w:tc>
        <w:tc>
          <w:tcPr>
            <w:tcW w:w="4876" w:type="dxa"/>
            <w:tcBorders>
              <w:top w:val="nil"/>
              <w:left w:val="nil"/>
              <w:bottom w:val="nil"/>
              <w:right w:val="nil"/>
            </w:tcBorders>
          </w:tcPr>
          <w:p>
            <w:pPr>
              <w:pStyle w:val="Normal6a"/>
            </w:pPr>
            <w:r>
              <w:t>7.</w:t>
            </w:r>
            <w:r>
              <w:tab/>
            </w:r>
            <w:r>
              <w:t xml:space="preserve">advarer ECB </w:t>
            </w:r>
            <w:r>
              <w:rPr>
                <w:b/>
                <w:i/>
              </w:rPr>
              <w:t>om, at fastholdelse af høje rentesatser kan skade den økonomiske vækst;</w:t>
            </w:r>
            <w:r>
              <w:t xml:space="preserve"> </w:t>
            </w:r>
            <w:r>
              <w:rPr>
                <w:b/>
                <w:i/>
              </w:rPr>
              <w:t>tallene viser faktisk en meget lav vækst i långivning og realkreditlån</w:t>
            </w:r>
            <w:r>
              <w:t xml:space="preserve">; understreger </w:t>
            </w:r>
            <w:r>
              <w:rPr>
                <w:b/>
                <w:i/>
              </w:rPr>
              <w:t>desuden, at der i øjeblikket kan være risiko for både højere inflation end forventet, som følge af geopolitiske spændinger og klimaændringernes indvirkning på fødevareproduktionen, og for lav inflation, hvis økonomien bremser op</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advarer ECB mod fristelsen til at sænke rentesatserne for </w:t>
            </w:r>
            <w:r>
              <w:rPr>
                <w:b/>
                <w:i/>
              </w:rPr>
              <w:t>hurtigt</w:t>
            </w:r>
            <w:r>
              <w:t xml:space="preserve"> i betragtning af </w:t>
            </w:r>
            <w:r>
              <w:rPr>
                <w:b/>
                <w:i/>
              </w:rPr>
              <w:t>risikoen for, at inflationsniveauet kan begynde at stige igen;</w:t>
            </w:r>
            <w:r>
              <w:t xml:space="preserve"> </w:t>
            </w:r>
            <w:r>
              <w:rPr>
                <w:b/>
                <w:i/>
              </w:rPr>
              <w:t>understreger, at ECB selv forventer en midlertidig stigning i inflationsniveauet i sidste kvartal af 2024, da tidligere kraftige fald i energipriserne ikke længere indgår i den årlige inflation</w:t>
            </w:r>
            <w:r>
              <w:t>;</w:t>
            </w:r>
          </w:p>
        </w:tc>
        <w:tc>
          <w:tcPr>
            <w:tcW w:w="4876" w:type="dxa"/>
            <w:tcBorders>
              <w:top w:val="nil"/>
              <w:left w:val="nil"/>
              <w:bottom w:val="nil"/>
              <w:right w:val="nil"/>
            </w:tcBorders>
          </w:tcPr>
          <w:p>
            <w:pPr>
              <w:pStyle w:val="Normal6a"/>
            </w:pPr>
            <w:r>
              <w:t>7.</w:t>
            </w:r>
            <w:r>
              <w:tab/>
            </w:r>
            <w:r>
              <w:t xml:space="preserve">advarer ECB mod fristelsen til at sænke rentesatserne for </w:t>
            </w:r>
            <w:r>
              <w:rPr>
                <w:b/>
                <w:i/>
              </w:rPr>
              <w:t>langsomt</w:t>
            </w:r>
            <w:r>
              <w:t xml:space="preserve"> i betragtning af </w:t>
            </w:r>
            <w:r>
              <w:rPr>
                <w:b/>
                <w:i/>
              </w:rPr>
              <w:t>de usikre økonomiske udsigter i euroområdet og de underliggende svagheder i den europæiske økonomi, såsom lave investeringer og utilstrækkelig samlet efterspørgsel;</w:t>
            </w:r>
            <w:r>
              <w:t xml:space="preserve"> </w:t>
            </w:r>
            <w:r>
              <w:rPr>
                <w:b/>
                <w:i/>
              </w:rPr>
              <w:t>understreger de negative virkninger for beskæftigelsen, der skyldes høje rentesatser og en alt for restriktiv pengepolitik</w:t>
            </w:r>
            <w:r>
              <w:t>;</w:t>
            </w:r>
            <w:r>
              <w:br/>
            </w:r>
            <w:r>
              <w:br/>
            </w:r>
            <w:r>
              <w:br/>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advarer ECB mod fristelsen til at sænke rentesatserne for hurtigt i betragtning af risikoen for, at inflationsniveauet kan begynde at stige igen;</w:t>
            </w:r>
            <w:r>
              <w:t xml:space="preserve"> </w:t>
            </w:r>
            <w:r>
              <w:rPr>
                <w:b/>
                <w:i/>
              </w:rPr>
              <w:t>understreger, at ECB selv forventer en midlertidig stigning i inflationsniveauet i sidste kvartal af 2024, da tidligere kraftige fald i energipriserne ikke længere indgår i den årlige inflation</w:t>
            </w:r>
            <w:r>
              <w:t>;</w:t>
            </w:r>
          </w:p>
        </w:tc>
        <w:tc>
          <w:tcPr>
            <w:tcW w:w="4876" w:type="dxa"/>
            <w:tcBorders>
              <w:top w:val="nil"/>
              <w:left w:val="nil"/>
              <w:bottom w:val="nil"/>
              <w:right w:val="nil"/>
            </w:tcBorders>
          </w:tcPr>
          <w:p>
            <w:pPr>
              <w:pStyle w:val="Normal6a"/>
            </w:pPr>
            <w:r>
              <w:t>7.</w:t>
            </w:r>
            <w:r>
              <w:tab/>
            </w:r>
            <w:r>
              <w:rPr>
                <w:b/>
                <w:i/>
              </w:rPr>
              <w:t>anerkender, at de pengepolitiske beslutninger, som ECB's Styrelsesråd har truffet siden inflationskrisen som følge af stigningen i energipriserne, har bragt inflationen på en kurs, der er forenelig med opfyldelsen af målet om prisstabilitet, samtidig med at man har undgået en alvorlig forværring af den økonomiske aktivitet eller beskæftigelsen</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advarer ECB </w:t>
            </w:r>
            <w:r>
              <w:rPr>
                <w:b/>
                <w:i/>
              </w:rPr>
              <w:t>mod fristelsen til</w:t>
            </w:r>
            <w:r>
              <w:t xml:space="preserve"> at sænke rentesatserne for hurtigt i betragtning af risikoen for, at inflationsniveauet kan begynde at stige igen; understreger, at ECB selv forventer en midlertidig stigning i inflationsniveauet i sidste kvartal af 2024, da tidligere kraftige fald i energipriserne ikke længere indgår i den årlige inflation;</w:t>
            </w:r>
          </w:p>
        </w:tc>
        <w:tc>
          <w:tcPr>
            <w:tcW w:w="4876" w:type="dxa"/>
            <w:tcBorders>
              <w:top w:val="nil"/>
              <w:left w:val="nil"/>
              <w:bottom w:val="nil"/>
              <w:right w:val="nil"/>
            </w:tcBorders>
          </w:tcPr>
          <w:p>
            <w:pPr>
              <w:pStyle w:val="Normal6a"/>
            </w:pPr>
            <w:r>
              <w:t>7.</w:t>
            </w:r>
            <w:r>
              <w:tab/>
            </w:r>
            <w:r>
              <w:t xml:space="preserve">advarer ECB </w:t>
            </w:r>
            <w:r>
              <w:rPr>
                <w:b/>
                <w:i/>
              </w:rPr>
              <w:t>om ikke</w:t>
            </w:r>
            <w:r>
              <w:t xml:space="preserve"> at sænke rentesatserne for hurtigt i betragtning af risikoen for, at inflationsniveauet kan begynde at stige igen; understreger, at ECB selv forventer en midlertidig stigning i inflationsniveauet i sidste kvartal af 2024, da tidligere kraftige fald i energipriserne ikke længere indgår i den årlige inflation;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understreger, at virkningen af højere satser ikke er ensartet på tværs af sektorer, da nogle økonomiske sektorer er mere følsomme over for sådanne stigninger på grund af deres større afhængighed af gældsfinansieringsomkostninger;</w:t>
            </w:r>
            <w:r>
              <w:t xml:space="preserve"> </w:t>
            </w:r>
            <w:r>
              <w:rPr>
                <w:b/>
                <w:i/>
              </w:rPr>
              <w:t>er bekymret over, at projekter vedrørende vedvarende energi, energieffektivitet, lagring og net på grund af høje startkapitalomkostninger til at opbygge og installere den nødvendige infrastruktur er særligt berørt af rentestigninger, der fører til en nedgang i de investeringer, der er nødvendige for den grønne omstilling;</w:t>
            </w:r>
            <w:r>
              <w:t xml:space="preserve"> </w:t>
            </w:r>
            <w:r>
              <w:rPr>
                <w:b/>
                <w:i/>
              </w:rPr>
              <w:t>opfordrer ECB til at vurdere, i hvilket omfang højere rentesatser har bremset grønne investeringer;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understreger betydningen af lavere rentesatser, der tilskynder til højere investeringer, som er nødvendige for at finansiere den grønne og den digitale omstilling, og minder om Draghi-rapportens krav om investeringer til en værdi af 800 mia. EUR;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opfordrer ECB til under alle omstændigheder at træffe effektive foranstaltninger til at støtte konkurrenceevnen og de offentlige investeringer;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opfordrer ECB til at revurdere gennemførligheden af at anvende differentierede rentesatser til at støtte investeringer, der er klart gearet til energieffektivitet og vedvarende energikilder;</w:t>
            </w:r>
            <w:r>
              <w:t xml:space="preserve"> </w:t>
            </w:r>
            <w:r>
              <w:rPr>
                <w:b/>
                <w:i/>
              </w:rPr>
              <w:t>mener, at denne tilgang vil gøre det muligt for ECB at handle samtidigt på efterspørgsels- og udbudsfaktorer ved at hæve satserne for at reducere den samlede efterspørgsel og samtidig sænke den grønne rente for at beskytte specifikke faktorer på udbudssiden mod unødig stramning;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minder om, at Den Økonomiske og Monetære Union forudsætter en robust finanspolitik i medlemsstaterne for at kunne reagere på eksterne chok;</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minder om, at Den Økonomiske og Monetære Union forudsætter en robust finanspolitik i medlemsstaterne for at kunne reagere på eksterne chok;</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Auke Zijlstra, Enikő Győri,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minder om, at Den Økonomiske og Monetære Union forudsætter en robust finanspolitik i medlemsstaterne for at kunne reagere på eksterne chok;</w:t>
            </w:r>
          </w:p>
        </w:tc>
        <w:tc>
          <w:tcPr>
            <w:tcW w:w="4876" w:type="dxa"/>
            <w:tcBorders>
              <w:top w:val="nil"/>
              <w:left w:val="nil"/>
              <w:bottom w:val="nil"/>
              <w:right w:val="nil"/>
            </w:tcBorders>
          </w:tcPr>
          <w:p>
            <w:pPr>
              <w:pStyle w:val="Normal6a"/>
            </w:pPr>
            <w:r>
              <w:t>8.</w:t>
            </w:r>
            <w:r>
              <w:tab/>
            </w:r>
            <w:r>
              <w:t>minder om, at Den Økonomiske og Monetære Union forudsætter en robust finanspolitik i medlemsstaterne</w:t>
            </w:r>
            <w:r>
              <w:rPr>
                <w:b/>
                <w:i/>
              </w:rPr>
              <w:t>, hvilket betyder et maksimalt offentligt underskud på 3 % af BNP og en offentlig gæld på 60 % af BNP, og en troværdig vej til at reducere uforholdsmæssigt stor gæld og uforholdsmæssigt store underskud og opbygge tilstrækkelige reserver i tider med økonomisk vækst</w:t>
            </w:r>
            <w:r>
              <w:t xml:space="preserve"> for at kunne reagere på eksterne chok; </w:t>
            </w:r>
            <w:r>
              <w:rPr>
                <w:b/>
                <w:i/>
              </w:rPr>
              <w:t>understreger derfor behovet for at inkludere alle offentlige udgifter, herunder grønne udgifter og investeringer;</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Bruno Gonçalves, Carla Tavares,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minder om, at Den Økonomiske og Monetære Union forudsætter en robust finanspolitik i medlemsstaterne for at kunne reagere på eksterne chok;</w:t>
            </w:r>
          </w:p>
        </w:tc>
        <w:tc>
          <w:tcPr>
            <w:tcW w:w="4876" w:type="dxa"/>
            <w:tcBorders>
              <w:top w:val="nil"/>
              <w:left w:val="nil"/>
              <w:bottom w:val="nil"/>
              <w:right w:val="nil"/>
            </w:tcBorders>
          </w:tcPr>
          <w:p>
            <w:pPr>
              <w:pStyle w:val="Normal6a"/>
            </w:pPr>
            <w:r>
              <w:t>8.</w:t>
            </w:r>
            <w:r>
              <w:tab/>
            </w:r>
            <w:r>
              <w:t xml:space="preserve">minder om, at Den Økonomiske og Monetære Union forudsætter en </w:t>
            </w:r>
            <w:r>
              <w:rPr>
                <w:b/>
                <w:i/>
              </w:rPr>
              <w:t>permanent finanspolitisk kapacitet for at blive et optimalt valutaområde;</w:t>
            </w:r>
            <w:r>
              <w:t xml:space="preserve"> </w:t>
            </w:r>
            <w:r>
              <w:rPr>
                <w:b/>
                <w:i/>
              </w:rPr>
              <w:t>bemærker betydningen af offentlige investeringer og en</w:t>
            </w:r>
            <w:r>
              <w:t xml:space="preserve"> robust finanspolitik i medlemsstaterne for at kunne reagere på eksterne chok; </w:t>
            </w:r>
            <w:r>
              <w:rPr>
                <w:b/>
                <w:i/>
              </w:rPr>
              <w:t>glæder sig over centralbankens formand Lagardes erklæring om, at den aktuelle geopolitiske krise kræver, at vi gør fremskridt med hensyn til EU's finanspolitiske integration;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minder om, at Den Økonomiske og Monetære Union forudsætter en robust finanspolitik i medlemsstaterne for at kunne reagere på eksterne chok;</w:t>
            </w:r>
          </w:p>
        </w:tc>
        <w:tc>
          <w:tcPr>
            <w:tcW w:w="4876" w:type="dxa"/>
            <w:tcBorders>
              <w:top w:val="nil"/>
              <w:left w:val="nil"/>
              <w:bottom w:val="nil"/>
              <w:right w:val="nil"/>
            </w:tcBorders>
          </w:tcPr>
          <w:p>
            <w:pPr>
              <w:pStyle w:val="Normal6a"/>
            </w:pPr>
            <w:r>
              <w:t>8.</w:t>
            </w:r>
            <w:r>
              <w:tab/>
            </w:r>
            <w:r>
              <w:t xml:space="preserve">minder om, at Den Økonomiske og Monetære Union forudsætter en robust finanspolitik i medlemsstaterne for at kunne reagere på eksterne chok; </w:t>
            </w:r>
            <w:r>
              <w:rPr>
                <w:b/>
                <w:i/>
              </w:rPr>
              <w:t>minder om behovet for en streng gennemførelse af den nye finanspolitiske ramme for at sikre finanspolitikkernes troværdighed i Den Økonomiske og Monetære Union;</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minder om, at Den Økonomiske og Monetære Union forudsætter en robust finanspolitik i medlemsstaterne for at kunne reagere på eksterne chok;</w:t>
            </w:r>
          </w:p>
        </w:tc>
        <w:tc>
          <w:tcPr>
            <w:tcW w:w="4876" w:type="dxa"/>
            <w:tcBorders>
              <w:top w:val="nil"/>
              <w:left w:val="nil"/>
              <w:bottom w:val="nil"/>
              <w:right w:val="nil"/>
            </w:tcBorders>
          </w:tcPr>
          <w:p>
            <w:pPr>
              <w:pStyle w:val="Normal6a"/>
            </w:pPr>
            <w:r>
              <w:t>8.</w:t>
            </w:r>
            <w:r>
              <w:tab/>
            </w:r>
            <w:r>
              <w:t xml:space="preserve">minder om, at Den Økonomiske og Monetære Union forudsætter en robust finanspolitik i medlemsstaterne for at kunne reagere på eksterne chok; </w:t>
            </w:r>
            <w:r>
              <w:rPr>
                <w:b/>
                <w:i/>
              </w:rPr>
              <w:t>understreger betydningen af at fremme finanspolitisk ansvarlighed og kontrol med underskud og offentlig gæld i medlemsstaterne for at sikre langsigtet bæredygtighed;</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minder om, at Den Økonomiske og Monetære Union forudsætter en robust finanspolitik i medlemsstaterne for at </w:t>
            </w:r>
            <w:r>
              <w:rPr>
                <w:b/>
                <w:i/>
              </w:rPr>
              <w:t>kunne</w:t>
            </w:r>
            <w:r>
              <w:t xml:space="preserve"> reagere på eksterne chok;</w:t>
            </w:r>
          </w:p>
        </w:tc>
        <w:tc>
          <w:tcPr>
            <w:tcW w:w="4876" w:type="dxa"/>
            <w:tcBorders>
              <w:top w:val="nil"/>
              <w:left w:val="nil"/>
              <w:bottom w:val="nil"/>
              <w:right w:val="nil"/>
            </w:tcBorders>
          </w:tcPr>
          <w:p>
            <w:pPr>
              <w:pStyle w:val="Normal6a"/>
            </w:pPr>
            <w:r>
              <w:t>8.</w:t>
            </w:r>
            <w:r>
              <w:tab/>
            </w:r>
            <w:r>
              <w:t xml:space="preserve">minder om, at </w:t>
            </w:r>
            <w:r>
              <w:rPr>
                <w:b/>
                <w:i/>
              </w:rPr>
              <w:t>Eurosystemet er baseret på princippet om monetær dominans;</w:t>
            </w:r>
            <w:r>
              <w:t xml:space="preserve"> </w:t>
            </w:r>
            <w:r>
              <w:rPr>
                <w:b/>
                <w:i/>
              </w:rPr>
              <w:t>minder om, at</w:t>
            </w:r>
            <w:r>
              <w:t xml:space="preserve"> Den Økonomiske og Monetære Union </w:t>
            </w:r>
            <w:r>
              <w:rPr>
                <w:b/>
                <w:i/>
              </w:rPr>
              <w:t>derfor</w:t>
            </w:r>
            <w:r>
              <w:t xml:space="preserve"> forudsætter en robust finanspolitik i medlemsstaterne for at </w:t>
            </w:r>
            <w:r>
              <w:rPr>
                <w:b/>
                <w:i/>
              </w:rPr>
              <w:t>støtte ECB's mandat;</w:t>
            </w:r>
            <w:r>
              <w:t xml:space="preserve"> </w:t>
            </w:r>
            <w:r>
              <w:rPr>
                <w:b/>
                <w:i/>
              </w:rPr>
              <w:t>bemærker, at et tilstrækkeligt finanspolitisk råderum også giver medlemsstaterne mulighed for at</w:t>
            </w:r>
            <w:r>
              <w:t xml:space="preserve"> reagere på eksterne chok;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Johan Van Overtveldt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minder om, at Den Økonomiske og Monetære Union forudsætter en robust finanspolitik i medlemsstaterne for at kunne reagere på eksterne chok;</w:t>
            </w:r>
          </w:p>
        </w:tc>
        <w:tc>
          <w:tcPr>
            <w:tcW w:w="4876" w:type="dxa"/>
            <w:tcBorders>
              <w:top w:val="nil"/>
              <w:left w:val="nil"/>
              <w:bottom w:val="nil"/>
              <w:right w:val="nil"/>
            </w:tcBorders>
          </w:tcPr>
          <w:p>
            <w:pPr>
              <w:pStyle w:val="Normal6a"/>
            </w:pPr>
            <w:r>
              <w:t>8.</w:t>
            </w:r>
            <w:r>
              <w:tab/>
            </w:r>
            <w:r>
              <w:t xml:space="preserve">minder om, at Den Økonomiske og Monetære Union forudsætter en robust finanspolitik i medlemsstaterne for at kunne reagere på eksterne chok; </w:t>
            </w:r>
            <w:r>
              <w:rPr>
                <w:b/>
                <w:i/>
              </w:rPr>
              <w:t>påpeger, at medlemsstaterne ikke kun gennem finanspolitiske foranstaltninger, men også gennem vækstfremmende reformer kan øge deres modstandsdygtighed over for eksterne chok;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rPr>
                <w:b/>
                <w:i/>
              </w:rPr>
              <w:t>minder om</w:t>
            </w:r>
            <w:r>
              <w:t xml:space="preserve">, at Den Økonomiske og Monetære Union forudsætter en </w:t>
            </w:r>
            <w:r>
              <w:rPr>
                <w:b/>
                <w:i/>
              </w:rPr>
              <w:t>robust</w:t>
            </w:r>
            <w:r>
              <w:t xml:space="preserve"> finanspolitik i medlemsstaterne for at kunne reagere på eksterne chok;</w:t>
            </w:r>
          </w:p>
        </w:tc>
        <w:tc>
          <w:tcPr>
            <w:tcW w:w="4876" w:type="dxa"/>
            <w:tcBorders>
              <w:top w:val="nil"/>
              <w:left w:val="nil"/>
              <w:bottom w:val="nil"/>
              <w:right w:val="nil"/>
            </w:tcBorders>
          </w:tcPr>
          <w:p>
            <w:pPr>
              <w:pStyle w:val="Normal6a"/>
            </w:pPr>
            <w:r>
              <w:t>8.</w:t>
            </w:r>
            <w:r>
              <w:tab/>
            </w:r>
            <w:r>
              <w:rPr>
                <w:b/>
                <w:i/>
              </w:rPr>
              <w:t>fremhæver</w:t>
            </w:r>
            <w:r>
              <w:t xml:space="preserve">, at Den Økonomiske og Monetære Union forudsætter en </w:t>
            </w:r>
            <w:r>
              <w:rPr>
                <w:b/>
                <w:i/>
              </w:rPr>
              <w:t>aktiv</w:t>
            </w:r>
            <w:r>
              <w:t xml:space="preserve"> finanspolitik </w:t>
            </w:r>
            <w:r>
              <w:rPr>
                <w:b/>
                <w:i/>
              </w:rPr>
              <w:t>og investeringer</w:t>
            </w:r>
            <w:r>
              <w:t xml:space="preserve"> i medlemsstaterne for at kunne reagere på eksterne chok</w:t>
            </w:r>
            <w:r>
              <w:rPr>
                <w:b/>
                <w:i/>
              </w:rPr>
              <w:t>, støtte beskæftigelsen og fremme effektiviteten af pengepolitikken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minder om, at Den Økonomiske og Monetære Union forudsætter </w:t>
            </w:r>
            <w:r>
              <w:rPr>
                <w:b/>
                <w:i/>
              </w:rPr>
              <w:t>en robust finanspolitik</w:t>
            </w:r>
            <w:r>
              <w:t xml:space="preserve"> i medlemsstaterne for at kunne reagere på eksterne chok;</w:t>
            </w:r>
          </w:p>
        </w:tc>
        <w:tc>
          <w:tcPr>
            <w:tcW w:w="4876" w:type="dxa"/>
            <w:tcBorders>
              <w:top w:val="nil"/>
              <w:left w:val="nil"/>
              <w:bottom w:val="nil"/>
              <w:right w:val="nil"/>
            </w:tcBorders>
          </w:tcPr>
          <w:p>
            <w:pPr>
              <w:pStyle w:val="Normal6a"/>
            </w:pPr>
            <w:r>
              <w:t>8.</w:t>
            </w:r>
            <w:r>
              <w:tab/>
            </w:r>
            <w:r>
              <w:t xml:space="preserve">minder om, at Den Økonomiske og Monetære Union forudsætter </w:t>
            </w:r>
            <w:r>
              <w:rPr>
                <w:b/>
                <w:i/>
              </w:rPr>
              <w:t>et solidt finanspolitisk råderum</w:t>
            </w:r>
            <w:r>
              <w:t xml:space="preserve"> i medlemsstaterne for at kunne reagere på eksterne chok;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minder om, at institutionernes rolle i en fri markedsøkonomi skal være strengt begrænset til overholdelse af de gældende traktater, regler og forordninger for at sikre, at de øvrige berørte institutioner og erhvervsdrivende overholder dem;</w:t>
            </w:r>
            <w:r>
              <w:t xml:space="preserve"> </w:t>
            </w:r>
            <w:r>
              <w:rPr>
                <w:b/>
                <w:i/>
              </w:rPr>
              <w:t>indførelsen af vilkårlige kriterier og fleksibilitet "à la carte", som kan påvirke nogle lande på bekostning af andre, vil kun føre til en ramme af ulighed og vilkårlighed, der påvirker den frie økonomiske konkurrence på lige vilkår;</w:t>
            </w:r>
            <w:r>
              <w:t xml:space="preserve"> </w:t>
            </w:r>
            <w:r>
              <w:rPr>
                <w:b/>
                <w:i/>
              </w:rPr>
              <w:t>understreger, at EU-medlemsstaternes overholdelse af stabilitets- og vækstpagten, overholdelse af målene for offentligt underskud og offentlig gæld og overholdelse af nationale genopretningsplaner og operationelle aftaler er gode eksempler herpå;</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minder om, at en forsigtig finanspolitik i medlemsstaterne kan supplere ECB's bestræbelser på at holde inflationen nede;</w:t>
            </w:r>
            <w:r>
              <w:t xml:space="preserve"> </w:t>
            </w:r>
            <w:r>
              <w:rPr>
                <w:b/>
                <w:i/>
              </w:rPr>
              <w:t>fremhæver, at håndtering af uforholdsmæssigt store offentlige underskud og gældsniveauer er afgørende for at opretholde en stabil økonomi og bæredygtig vækst;</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minder om, at en forsigtig finanspolitik i medlemsstaterne kan supplere ECB's bestræbelser på at holde inflationen nede;</w:t>
            </w:r>
            <w:r>
              <w:t xml:space="preserve"> </w:t>
            </w:r>
            <w:r>
              <w:rPr>
                <w:b/>
                <w:i/>
              </w:rPr>
              <w:t>fremhæver, at håndtering af uforholdsmæssigt store offentlige underskud og gældsniveauer er afgørende for at opretholde en stabil økonomi og bæredygtig vækst;</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minder om, at en forsigtig finanspolitik i medlemsstaterne kan supplere ECB's bestræbelser på at holde inflationen nede; fremhæver, at håndtering af uforholdsmæssigt store offentlige underskud og gældsniveauer er afgørende for at opretholde en stabil økonomi og bæredygtig vækst;</w:t>
            </w:r>
          </w:p>
        </w:tc>
        <w:tc>
          <w:tcPr>
            <w:tcW w:w="4876" w:type="dxa"/>
            <w:tcBorders>
              <w:top w:val="nil"/>
              <w:left w:val="nil"/>
              <w:bottom w:val="nil"/>
              <w:right w:val="nil"/>
            </w:tcBorders>
          </w:tcPr>
          <w:p>
            <w:pPr>
              <w:pStyle w:val="Normal6a"/>
            </w:pPr>
            <w:r>
              <w:t>9.</w:t>
            </w:r>
            <w:r>
              <w:tab/>
            </w:r>
            <w:r>
              <w:t xml:space="preserve">minder om, at en forsigtig finanspolitik i medlemsstaterne kan supplere ECB's bestræbelser på at holde inflationen nede; fremhæver, at håndtering af uforholdsmæssigt store offentlige underskud og gældsniveauer er afgørende for at opretholde en stabil økonomi og bæredygtig vækst; </w:t>
            </w:r>
            <w:r>
              <w:rPr>
                <w:b/>
                <w:i/>
              </w:rPr>
              <w:t>gentager, at afbalancerede offentlige finanser er en nøglefaktor for bæredygtig økonomisk vækst, da det fremmer tilliden til økonomisk stabilitet og letter udviklingen af et miljø, der fremmer investeringer og jobskabelse;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minder om, at en forsigtig finanspolitik i medlemsstaterne kan supplere ECB's bestræbelser på at holde inflationen nede; fremhæver, at </w:t>
            </w:r>
            <w:r>
              <w:rPr>
                <w:b/>
                <w:i/>
              </w:rPr>
              <w:t>håndtering af uforholdsmæssigt store offentlige underskud og gældsniveauer er afgørende</w:t>
            </w:r>
            <w:r>
              <w:t xml:space="preserve"> for at opretholde en stabil økonomi og bæredygtig vækst;</w:t>
            </w:r>
          </w:p>
        </w:tc>
        <w:tc>
          <w:tcPr>
            <w:tcW w:w="4876" w:type="dxa"/>
            <w:tcBorders>
              <w:top w:val="nil"/>
              <w:left w:val="nil"/>
              <w:bottom w:val="nil"/>
              <w:right w:val="nil"/>
            </w:tcBorders>
          </w:tcPr>
          <w:p>
            <w:pPr>
              <w:pStyle w:val="Normal6a"/>
            </w:pPr>
            <w:r>
              <w:t>9.</w:t>
            </w:r>
            <w:r>
              <w:tab/>
            </w:r>
            <w:r>
              <w:t>minder om, at en forsigtig finanspolitik i medlemsstaterne kan supplere ECB's bestræbelser på at holde inflationen nede</w:t>
            </w:r>
            <w:r>
              <w:rPr>
                <w:b/>
                <w:i/>
              </w:rPr>
              <w:t>, når den drives af efterspørgselsfaktorer</w:t>
            </w:r>
            <w:r>
              <w:t xml:space="preserve">; fremhæver, at </w:t>
            </w:r>
            <w:r>
              <w:rPr>
                <w:b/>
                <w:i/>
              </w:rPr>
              <w:t>det er afgørende at gøre den offentlige gæld bæredygtig</w:t>
            </w:r>
            <w:r>
              <w:t xml:space="preserve"> for at opretholde en stabil økonomi og bæredygtig vækst; </w:t>
            </w:r>
            <w:r>
              <w:rPr>
                <w:b/>
                <w:i/>
              </w:rPr>
              <w:t>understreger, at gældsholdbarheden ikke kun afhænger af kvantiteten, men også af kvaliteten af de offentlige udgifter;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minder om, at en forsigtig finanspolitik i medlemsstaterne kan supplere ECB's bestræbelser på at holde inflationen nede; fremhæver, at håndtering af uforholdsmæssigt store offentlige underskud og gældsniveauer er afgørende for at opretholde en stabil økonomi og bæredygtig vækst;</w:t>
            </w:r>
          </w:p>
        </w:tc>
        <w:tc>
          <w:tcPr>
            <w:tcW w:w="4876" w:type="dxa"/>
            <w:tcBorders>
              <w:top w:val="nil"/>
              <w:left w:val="nil"/>
              <w:bottom w:val="nil"/>
              <w:right w:val="nil"/>
            </w:tcBorders>
          </w:tcPr>
          <w:p>
            <w:pPr>
              <w:pStyle w:val="Normal6a"/>
            </w:pPr>
            <w:r>
              <w:t>9.</w:t>
            </w:r>
            <w:r>
              <w:tab/>
            </w:r>
            <w:r>
              <w:t xml:space="preserve">minder om, at en forsigtig finanspolitik i medlemsstaterne kan supplere ECB's bestræbelser på at holde inflationen nede </w:t>
            </w:r>
            <w:r>
              <w:rPr>
                <w:b/>
                <w:i/>
              </w:rPr>
              <w:t>og dermed beskytte indkomsterne</w:t>
            </w:r>
            <w:r>
              <w:t xml:space="preserve">; fremhæver, at håndtering af uforholdsmæssigt store offentlige underskud og gældsniveauer </w:t>
            </w:r>
            <w:r>
              <w:rPr>
                <w:b/>
                <w:i/>
              </w:rPr>
              <w:t>på en forholdsmæssig og gradvis måde, der er passende for situationen i hvert land,</w:t>
            </w:r>
            <w:r>
              <w:t xml:space="preserve"> er afgørende for at opretholde en stabil økonomi og bæredygtig vækst;</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rPr>
                <w:b/>
                <w:i/>
              </w:rPr>
              <w:t>minder om, at en forsigtig finanspolitik i medlemsstaterne kan supplere ECB's bestræbelser på at holde inflationen nede;</w:t>
            </w:r>
            <w:r>
              <w:t xml:space="preserve"> fremhæver, at håndtering af uforholdsmæssigt store offentlige underskud og gældsniveauer er afgørende for at opretholde en stabil økonomi </w:t>
            </w:r>
            <w:r>
              <w:rPr>
                <w:b/>
                <w:i/>
              </w:rPr>
              <w:t>og</w:t>
            </w:r>
            <w:r>
              <w:t xml:space="preserve"> bæredygtig </w:t>
            </w:r>
            <w:r>
              <w:rPr>
                <w:b/>
                <w:i/>
              </w:rPr>
              <w:t>vækst</w:t>
            </w:r>
            <w:r>
              <w:t>;</w:t>
            </w:r>
          </w:p>
        </w:tc>
        <w:tc>
          <w:tcPr>
            <w:tcW w:w="4876" w:type="dxa"/>
            <w:tcBorders>
              <w:top w:val="nil"/>
              <w:left w:val="nil"/>
              <w:bottom w:val="nil"/>
              <w:right w:val="nil"/>
            </w:tcBorders>
          </w:tcPr>
          <w:p>
            <w:pPr>
              <w:pStyle w:val="Normal6a"/>
            </w:pPr>
            <w:r>
              <w:t>9.</w:t>
            </w:r>
            <w:r>
              <w:tab/>
            </w:r>
            <w:r>
              <w:t>fremhæver, at håndtering af uforholdsmæssigt store offentlige underskud og gældsniveauer er afgørende for at opretholde en stabil økonomi</w:t>
            </w:r>
            <w:r>
              <w:rPr>
                <w:b/>
                <w:i/>
              </w:rPr>
              <w:t>;</w:t>
            </w:r>
            <w:r>
              <w:t xml:space="preserve"> </w:t>
            </w:r>
            <w:r>
              <w:rPr>
                <w:b/>
                <w:i/>
              </w:rPr>
              <w:t>fremhæver betydningen af investeringer i en</w:t>
            </w:r>
            <w:r>
              <w:t xml:space="preserve"> bæredygtig </w:t>
            </w:r>
            <w:r>
              <w:rPr>
                <w:b/>
                <w:i/>
              </w:rPr>
              <w:t>fremtid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Auke Zijlstra, Enikő Győri,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minder om, at en forsigtig finanspolitik i medlemsstaterne </w:t>
            </w:r>
            <w:r>
              <w:rPr>
                <w:b/>
                <w:i/>
              </w:rPr>
              <w:t>kan</w:t>
            </w:r>
            <w:r>
              <w:t xml:space="preserve"> supplere ECB's bestræbelser på at holde inflationen nede; fremhæver, at håndtering af uforholdsmæssigt store offentlige underskud og gældsniveauer er afgørende for at opretholde en stabil økonomi og bæredygtig vækst;</w:t>
            </w:r>
          </w:p>
        </w:tc>
        <w:tc>
          <w:tcPr>
            <w:tcW w:w="4876" w:type="dxa"/>
            <w:tcBorders>
              <w:top w:val="nil"/>
              <w:left w:val="nil"/>
              <w:bottom w:val="nil"/>
              <w:right w:val="nil"/>
            </w:tcBorders>
          </w:tcPr>
          <w:p>
            <w:pPr>
              <w:pStyle w:val="Normal6a"/>
            </w:pPr>
            <w:r>
              <w:t>9.</w:t>
            </w:r>
            <w:r>
              <w:tab/>
            </w:r>
            <w:r>
              <w:t xml:space="preserve">minder om, at en forsigtig finanspolitik i medlemsstaterne </w:t>
            </w:r>
            <w:r>
              <w:rPr>
                <w:b/>
                <w:i/>
              </w:rPr>
              <w:t>skal</w:t>
            </w:r>
            <w:r>
              <w:t xml:space="preserve"> supplere ECB's bestræbelser på at holde inflationen nede </w:t>
            </w:r>
            <w:r>
              <w:rPr>
                <w:b/>
                <w:i/>
              </w:rPr>
              <w:t>og priserne stabile</w:t>
            </w:r>
            <w:r>
              <w:t>; fremhæver, at håndtering af uforholdsmæssigt store offentlige underskud og gældsniveauer er afgørende for at opretholde en stabil økonomi og bæredygtig vækst;</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minder om, at en forsigtig finanspolitik i medlemsstaterne </w:t>
            </w:r>
            <w:r>
              <w:rPr>
                <w:b/>
                <w:i/>
              </w:rPr>
              <w:t>kan supplere</w:t>
            </w:r>
            <w:r>
              <w:t xml:space="preserve"> ECB's bestræbelser på at holde inflationen nede; fremhæver, at håndtering af uforholdsmæssigt store offentlige underskud og gældsniveauer er afgørende for at opretholde en stabil økonomi og bæredygtig vækst;</w:t>
            </w:r>
          </w:p>
        </w:tc>
        <w:tc>
          <w:tcPr>
            <w:tcW w:w="4876" w:type="dxa"/>
            <w:tcBorders>
              <w:top w:val="nil"/>
              <w:left w:val="nil"/>
              <w:bottom w:val="nil"/>
              <w:right w:val="nil"/>
            </w:tcBorders>
          </w:tcPr>
          <w:p>
            <w:pPr>
              <w:pStyle w:val="Normal6a"/>
            </w:pPr>
            <w:r>
              <w:t>9.</w:t>
            </w:r>
            <w:r>
              <w:tab/>
            </w:r>
            <w:r>
              <w:t xml:space="preserve">minder om, at en forsigtig finanspolitik i medlemsstaterne </w:t>
            </w:r>
            <w:r>
              <w:rPr>
                <w:b/>
                <w:i/>
              </w:rPr>
              <w:t>supplerer</w:t>
            </w:r>
            <w:r>
              <w:t xml:space="preserve"> ECB's bestræbelser på at holde inflationen nede; fremhæver, at håndtering af uforholdsmæssigt store offentlige underskud og gældsniveauer er afgørende for at opretholde en stabil økonomi og bæredygtig vækst;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10.</w:t>
            </w:r>
            <w:r>
              <w:tab/>
            </w:r>
            <w:r>
              <w:rPr>
                <w:b/>
                <w:i/>
              </w:rPr>
              <w:t>udtrykker bekymring over de høje niveauer af offentlig gæld og underskud i medlemsstaterne og de risici for finanspolitisk dominans, som dette indebærer;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10.</w:t>
            </w:r>
            <w:r>
              <w:tab/>
            </w:r>
            <w:r>
              <w:rPr>
                <w:b/>
                <w:i/>
              </w:rPr>
              <w:t>udtrykker bekymring over de høje niveauer af offentlig gæld og underskud i medlemsstaterne og de risici for finanspolitisk dominans, som dette indebærer;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rPr>
                <w:b/>
                <w:i/>
              </w:rPr>
              <w:t>udtrykker bekymring over de høje niveauer af offentlig gæld og underskud i medlemsstaterne og de risici for finanspolitisk dominans, som dette indebærer</w:t>
            </w:r>
            <w:r>
              <w:t>;</w:t>
            </w:r>
          </w:p>
        </w:tc>
        <w:tc>
          <w:tcPr>
            <w:tcW w:w="4876" w:type="dxa"/>
            <w:tcBorders>
              <w:top w:val="nil"/>
              <w:left w:val="nil"/>
              <w:bottom w:val="nil"/>
              <w:right w:val="nil"/>
            </w:tcBorders>
          </w:tcPr>
          <w:p>
            <w:pPr>
              <w:pStyle w:val="Normal6a"/>
            </w:pPr>
            <w:r>
              <w:t>10.</w:t>
            </w:r>
            <w:r>
              <w:tab/>
            </w:r>
            <w:r>
              <w:rPr>
                <w:b/>
                <w:i/>
              </w:rPr>
              <w:t>bemærker, at ECB's pengepolitik, der har til formål at opfylde dens primære mandat, er underlagt en proportionalitetsvurdering;</w:t>
            </w:r>
            <w:r>
              <w:t xml:space="preserve"> </w:t>
            </w:r>
            <w:r>
              <w:rPr>
                <w:b/>
                <w:i/>
              </w:rPr>
              <w:t>noterer sig, at proportionalitetsvurderingen tager højde for de pengepolitiske foranstaltningers indvirkning på økonomien og økonomipolitik i bred forstand;</w:t>
            </w:r>
            <w:r>
              <w:t xml:space="preserve"> </w:t>
            </w:r>
            <w:r>
              <w:rPr>
                <w:b/>
                <w:i/>
              </w:rPr>
              <w:t>understreger, at ECB, når den står over for et valg mellem forskellige sæt politikker, der er lige gunstige for prisstabiliteten, skal vælge dem, der er bedst til at støtte de generelle økonomiske politikker i EU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Auke Zijlstra, Enikő Győri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udtrykker bekymring over de høje niveauer af offentlig gæld og underskud i medlemsstaterne og de risici for finanspolitisk dominans, som dette indebærer;</w:t>
            </w:r>
          </w:p>
        </w:tc>
        <w:tc>
          <w:tcPr>
            <w:tcW w:w="4876" w:type="dxa"/>
            <w:tcBorders>
              <w:top w:val="nil"/>
              <w:left w:val="nil"/>
              <w:bottom w:val="nil"/>
              <w:right w:val="nil"/>
            </w:tcBorders>
          </w:tcPr>
          <w:p>
            <w:pPr>
              <w:pStyle w:val="Normal6a"/>
            </w:pPr>
            <w:r>
              <w:t>10.</w:t>
            </w:r>
            <w:r>
              <w:tab/>
            </w:r>
            <w:r>
              <w:rPr>
                <w:b/>
                <w:i/>
              </w:rPr>
              <w:t>understreger, at den offentlige gæld i 13 af de 27 medlemsstater ligger over tærsklen på 60 % af BNP, ligesom gennemsnittet i euroområdet, og at det offentlige underskud i 10 medlemsstater ligger over tærsklen på 3 %, ligesom gennemsnittet i euroområdet;</w:t>
            </w:r>
            <w:r>
              <w:t xml:space="preserve"> udtrykker bekymring over de høje niveauer af offentlig gæld og underskud i medlemsstaterne og de risici for finanspolitisk dominans, som dette indebærer;</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udtrykker bekymring over de høje niveauer af offentlig gæld og underskud i medlemsstaterne og de risici for finanspolitisk dominans, som dette indebærer;</w:t>
            </w:r>
          </w:p>
        </w:tc>
        <w:tc>
          <w:tcPr>
            <w:tcW w:w="4876" w:type="dxa"/>
            <w:tcBorders>
              <w:top w:val="nil"/>
              <w:left w:val="nil"/>
              <w:bottom w:val="nil"/>
              <w:right w:val="nil"/>
            </w:tcBorders>
          </w:tcPr>
          <w:p>
            <w:pPr>
              <w:pStyle w:val="Normal6a"/>
            </w:pPr>
            <w:r>
              <w:t>10.</w:t>
            </w:r>
            <w:r>
              <w:tab/>
            </w:r>
            <w:r>
              <w:t xml:space="preserve">udtrykker bekymring over de høje niveauer af offentlig gæld og underskud i medlemsstaterne og de risici for finanspolitisk dominans, som dette indebærer; </w:t>
            </w:r>
            <w:r>
              <w:rPr>
                <w:b/>
                <w:i/>
              </w:rPr>
              <w:t>minder om, at en høj grad af statslig indgriben i økonomien gennem høje offentlige udgifter og høj gældsakkumulering forvrider markedsincitamenterne, afskrækker private investeringer og hæmmer den økonomiske vækst;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udtrykker bekymring over de høje niveauer af offentlig gæld og underskud i </w:t>
            </w:r>
            <w:r>
              <w:rPr>
                <w:b/>
                <w:i/>
              </w:rPr>
              <w:t>medlemsstaterne og de risici for finanspolitisk dominans, som dette indebærer</w:t>
            </w:r>
            <w:r>
              <w:t>;</w:t>
            </w:r>
          </w:p>
        </w:tc>
        <w:tc>
          <w:tcPr>
            <w:tcW w:w="4876" w:type="dxa"/>
            <w:tcBorders>
              <w:top w:val="nil"/>
              <w:left w:val="nil"/>
              <w:bottom w:val="nil"/>
              <w:right w:val="nil"/>
            </w:tcBorders>
          </w:tcPr>
          <w:p>
            <w:pPr>
              <w:pStyle w:val="Normal6a"/>
            </w:pPr>
            <w:r>
              <w:t>10.</w:t>
            </w:r>
            <w:r>
              <w:tab/>
            </w:r>
            <w:r>
              <w:t xml:space="preserve">udtrykker bekymring over de høje niveauer af offentlig gæld og underskud i </w:t>
            </w:r>
            <w:r>
              <w:rPr>
                <w:b/>
                <w:i/>
              </w:rPr>
              <w:t>euroområdet og minder om forskellene i de nationale forhold i denne henseende;</w:t>
            </w:r>
            <w:r>
              <w:t xml:space="preserve"> </w:t>
            </w:r>
            <w:r>
              <w:rPr>
                <w:b/>
                <w:i/>
              </w:rPr>
              <w:t>noterer sig den nedadgående tendens i den offentlige gæld i nogle medlemsstater;</w:t>
            </w:r>
            <w:r>
              <w:t xml:space="preserve"> </w:t>
            </w:r>
            <w:r>
              <w:rPr>
                <w:b/>
                <w:i/>
              </w:rPr>
              <w:t>noterer sig det forventede budgetoverskud i mindst én medlemsstat</w:t>
            </w:r>
            <w:r>
              <w:t>;</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udtrykker bekymring over de høje niveauer af offentlig gæld og underskud i medlemsstaterne og de risici for finanspolitisk dominans, som dette indebærer;</w:t>
            </w:r>
          </w:p>
        </w:tc>
        <w:tc>
          <w:tcPr>
            <w:tcW w:w="4876" w:type="dxa"/>
            <w:tcBorders>
              <w:top w:val="nil"/>
              <w:left w:val="nil"/>
              <w:bottom w:val="nil"/>
              <w:right w:val="nil"/>
            </w:tcBorders>
          </w:tcPr>
          <w:p>
            <w:pPr>
              <w:pStyle w:val="Normal6a"/>
            </w:pPr>
            <w:r>
              <w:t>10.</w:t>
            </w:r>
            <w:r>
              <w:tab/>
            </w:r>
            <w:r>
              <w:t xml:space="preserve">udtrykker bekymring over de høje niveauer af offentlig gæld og underskud i medlemsstaterne og de risici for </w:t>
            </w:r>
            <w:r>
              <w:rPr>
                <w:b/>
                <w:i/>
              </w:rPr>
              <w:t>potentiel </w:t>
            </w:r>
            <w:r>
              <w:t>finanspolitisk dominans, som dette indebærer;</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udtrykker bekymring over </w:t>
            </w:r>
            <w:r>
              <w:rPr>
                <w:b/>
                <w:i/>
              </w:rPr>
              <w:t>de høje niveauer af offentlig gæld og underskud i medlemsstaterne og de risici for finanspolitisk dominans, som dette indebærer</w:t>
            </w:r>
            <w:r>
              <w:t>;</w:t>
            </w:r>
          </w:p>
        </w:tc>
        <w:tc>
          <w:tcPr>
            <w:tcW w:w="4876" w:type="dxa"/>
            <w:tcBorders>
              <w:top w:val="nil"/>
              <w:left w:val="nil"/>
              <w:bottom w:val="nil"/>
              <w:right w:val="nil"/>
            </w:tcBorders>
          </w:tcPr>
          <w:p>
            <w:pPr>
              <w:pStyle w:val="Normal6a"/>
            </w:pPr>
            <w:r>
              <w:t>10.</w:t>
            </w:r>
            <w:r>
              <w:tab/>
            </w:r>
            <w:r>
              <w:t>udtrykker bekymring over</w:t>
            </w:r>
            <w:r>
              <w:rPr>
                <w:b/>
                <w:i/>
              </w:rPr>
              <w:t>, at der indføres nye spareforanstaltninger, som yderligere forværrer "leveomkostningskrisen"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Gilles Boyer, Stéphanie Yon-Courtin, Pascal Canfin, Billy Kelleher, Gerben-Jan Gerbrandy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udtrykker bekymring over de høje niveauer af offentlig gæld og underskud i medlemsstaterne og de risici for finanspolitisk dominans, som dette </w:t>
            </w:r>
            <w:r>
              <w:rPr>
                <w:b/>
                <w:i/>
              </w:rPr>
              <w:t>indebærer</w:t>
            </w:r>
            <w:r>
              <w:t>;</w:t>
            </w:r>
          </w:p>
        </w:tc>
        <w:tc>
          <w:tcPr>
            <w:tcW w:w="4876" w:type="dxa"/>
            <w:tcBorders>
              <w:top w:val="nil"/>
              <w:left w:val="nil"/>
              <w:bottom w:val="nil"/>
              <w:right w:val="nil"/>
            </w:tcBorders>
          </w:tcPr>
          <w:p>
            <w:pPr>
              <w:pStyle w:val="Normal6a"/>
            </w:pPr>
            <w:r>
              <w:t>10.</w:t>
            </w:r>
            <w:r>
              <w:tab/>
            </w:r>
            <w:r>
              <w:t xml:space="preserve">udtrykker bekymring over de høje niveauer af offentlig gæld og underskud i medlemsstaterne og de risici for finanspolitisk dominans, som dette </w:t>
            </w:r>
            <w:r>
              <w:rPr>
                <w:b/>
                <w:i/>
              </w:rPr>
              <w:t>kan indebære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glæder sig over ECB's tilsagn om at oprette en fuldt udbygget europæisk indskudsforsikringsordning;</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10b.</w:t>
            </w:r>
            <w:r>
              <w:tab/>
            </w:r>
            <w:r>
              <w:rPr>
                <w:b/>
                <w:i/>
              </w:rPr>
              <w:t>er overbevist om, at de vigtigste økonomiske mål i de kommende år skal være en høj grad af socialt, miljømæssigt og økonomisk bæredygtig vækst,</w:t>
            </w:r>
            <w:r>
              <w:t xml:space="preserve"> </w:t>
            </w:r>
            <w:r>
              <w:rPr>
                <w:b/>
                <w:i/>
              </w:rPr>
              <w:t>en social markedsøkonomi, der både giver øget konkurrenceevne og øget beskæftigelse;</w:t>
            </w:r>
            <w:r>
              <w:t xml:space="preserve"> </w:t>
            </w:r>
            <w:r>
              <w:rPr>
                <w:b/>
                <w:i/>
              </w:rPr>
              <w:t>minder om betydningen af den europæiske søjle for sociale rettigheder med hensyn til at sikre den europæiske levevis;</w:t>
            </w:r>
            <w:r>
              <w:t xml:space="preserve"> </w:t>
            </w:r>
            <w:r>
              <w:rPr>
                <w:b/>
                <w:i/>
              </w:rPr>
              <w:t>understreger, at disse mål bedst nås i en situation med makroøkonomisk stabilitet;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Auke Zijlstra, Enikő Győri,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glæder sig meget over, at den samlede inflation er faldet fra sit højdepunkt på 10,6 % i oktober 2022 til 1,7 % i september 2024;</w:t>
            </w:r>
          </w:p>
        </w:tc>
        <w:tc>
          <w:tcPr>
            <w:tcW w:w="4876" w:type="dxa"/>
            <w:tcBorders>
              <w:top w:val="nil"/>
              <w:left w:val="nil"/>
              <w:bottom w:val="nil"/>
              <w:right w:val="nil"/>
            </w:tcBorders>
          </w:tcPr>
          <w:p>
            <w:pPr>
              <w:pStyle w:val="Normal6a"/>
            </w:pPr>
            <w:r>
              <w:t>11.</w:t>
            </w:r>
            <w:r>
              <w:tab/>
            </w:r>
            <w:r>
              <w:t xml:space="preserve">glæder sig meget over, at den samlede inflation er faldet fra sit højdepunkt på 10,6 % i oktober 2022 til 1,7 % i september 2024; </w:t>
            </w:r>
            <w:r>
              <w:rPr>
                <w:b/>
                <w:i/>
              </w:rPr>
              <w:t>bemærker, at inflationsniveauet varierer meget i euroområdet, fra 4,3 % i Belgien til 0 % i Irland;</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glæder sig </w:t>
            </w:r>
            <w:r>
              <w:rPr>
                <w:b/>
                <w:i/>
              </w:rPr>
              <w:t>meget</w:t>
            </w:r>
            <w:r>
              <w:t xml:space="preserve"> over, at den samlede inflation er faldet fra sit højdepunkt på 10,6 % i oktober 2022 </w:t>
            </w:r>
            <w:r>
              <w:rPr>
                <w:b/>
                <w:i/>
              </w:rPr>
              <w:t>til 1,7 % i september 2024</w:t>
            </w:r>
            <w:r>
              <w:t>;</w:t>
            </w:r>
          </w:p>
        </w:tc>
        <w:tc>
          <w:tcPr>
            <w:tcW w:w="4876" w:type="dxa"/>
            <w:tcBorders>
              <w:top w:val="nil"/>
              <w:left w:val="nil"/>
              <w:bottom w:val="nil"/>
              <w:right w:val="nil"/>
            </w:tcBorders>
          </w:tcPr>
          <w:p>
            <w:pPr>
              <w:pStyle w:val="Normal6a"/>
            </w:pPr>
            <w:r>
              <w:t>11.</w:t>
            </w:r>
            <w:r>
              <w:tab/>
            </w:r>
            <w:r>
              <w:t>glæder sig over, at den samlede inflation er faldet fra sit højdepunkt på 10,6 % i oktober 2022;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noterer sig, at et højt inflationsniveau i uforholdsmæssig grad påvirker lavindkomsthusstande, der bruger en større andel af deres budget på fornødenheder;</w:t>
            </w:r>
            <w:r>
              <w:t xml:space="preserve"> </w:t>
            </w:r>
            <w:r>
              <w:rPr>
                <w:b/>
                <w:i/>
              </w:rPr>
              <w:t>understreger, at det derfor også er vigtigt at nedbringe den samlede inflation og kerneinflationen til målniveauet for at opretholde den sociale samhørighed;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glæder sig over faldet i kerneinflationen fra dens højdepunkt på 7,6 % i marts 2023 til 2,7 % i september 2024, men udtrykker sin bekymring over dens historiske og vedvarende høje niveau;</w:t>
            </w:r>
          </w:p>
        </w:tc>
        <w:tc>
          <w:tcPr>
            <w:tcW w:w="4876" w:type="dxa"/>
            <w:tcBorders>
              <w:top w:val="nil"/>
              <w:left w:val="nil"/>
              <w:bottom w:val="nil"/>
              <w:right w:val="nil"/>
            </w:tcBorders>
          </w:tcPr>
          <w:p>
            <w:pPr>
              <w:pStyle w:val="Normal6a"/>
            </w:pPr>
            <w:r>
              <w:t>12.</w:t>
            </w:r>
            <w:r>
              <w:tab/>
            </w:r>
            <w:r>
              <w:t xml:space="preserve">glæder sig over faldet i kerneinflationen fra dens højdepunkt på 7,6 % i marts 2023 til 2,7 % i september 2024, men udtrykker sin bekymring over dens historiske og vedvarende høje niveau; </w:t>
            </w:r>
            <w:r>
              <w:rPr>
                <w:b/>
                <w:i/>
              </w:rPr>
              <w:t>bemærker med bekymring, at høj kerneinflation kan føre til højere samlet inflation;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glæder sig over faldet i kerneinflationen fra dens højdepunkt på 7,6 % i marts 2023 til 2,7 % i september 2024</w:t>
            </w:r>
            <w:r>
              <w:rPr>
                <w:b/>
                <w:i/>
              </w:rPr>
              <w:t>, men udtrykker sin bekymring over dens historiske og vedvarende høje niveau</w:t>
            </w:r>
            <w:r>
              <w:t>;</w:t>
            </w:r>
          </w:p>
        </w:tc>
        <w:tc>
          <w:tcPr>
            <w:tcW w:w="4876" w:type="dxa"/>
            <w:tcBorders>
              <w:top w:val="nil"/>
              <w:left w:val="nil"/>
              <w:bottom w:val="nil"/>
              <w:right w:val="nil"/>
            </w:tcBorders>
          </w:tcPr>
          <w:p>
            <w:pPr>
              <w:pStyle w:val="Normal6a"/>
            </w:pPr>
            <w:r>
              <w:t>12.</w:t>
            </w:r>
            <w:r>
              <w:tab/>
            </w:r>
            <w:r>
              <w:t>glæder sig over faldet i kerneinflationen fra dens højdepunkt på 7,6 % i marts 2023 til 2,7 % i september 2024;</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glæder sig over faldet i kerneinflationen fra dens højdepunkt på 7,6 % i marts 2023 </w:t>
            </w:r>
            <w:r>
              <w:rPr>
                <w:b/>
                <w:i/>
              </w:rPr>
              <w:t>til 2,7 % i september 2024</w:t>
            </w:r>
            <w:r>
              <w:t xml:space="preserve">, men udtrykker sin bekymring over </w:t>
            </w:r>
            <w:r>
              <w:rPr>
                <w:b/>
                <w:i/>
              </w:rPr>
              <w:t>dens historiske og</w:t>
            </w:r>
            <w:r>
              <w:t xml:space="preserve"> vedvarende </w:t>
            </w:r>
            <w:r>
              <w:rPr>
                <w:b/>
                <w:i/>
              </w:rPr>
              <w:t>høje niveau</w:t>
            </w:r>
            <w:r>
              <w:t>;</w:t>
            </w:r>
          </w:p>
        </w:tc>
        <w:tc>
          <w:tcPr>
            <w:tcW w:w="4876" w:type="dxa"/>
            <w:tcBorders>
              <w:top w:val="nil"/>
              <w:left w:val="nil"/>
              <w:bottom w:val="nil"/>
              <w:right w:val="nil"/>
            </w:tcBorders>
          </w:tcPr>
          <w:p>
            <w:pPr>
              <w:pStyle w:val="Normal6a"/>
            </w:pPr>
            <w:r>
              <w:t>12.</w:t>
            </w:r>
            <w:r>
              <w:tab/>
            </w:r>
            <w:r>
              <w:t xml:space="preserve">glæder sig over faldet i kerneinflationen fra dens højdepunkt på 7,6 % i marts 2023, men udtrykker sin bekymring over </w:t>
            </w:r>
            <w:r>
              <w:rPr>
                <w:b/>
                <w:i/>
              </w:rPr>
              <w:t>den skrøbelige situation i euroområdets økonomi og over muligheden for en</w:t>
            </w:r>
            <w:r>
              <w:t xml:space="preserve"> vedvarende </w:t>
            </w:r>
            <w:r>
              <w:rPr>
                <w:b/>
                <w:i/>
              </w:rPr>
              <w:t>inflationsdæmpende tendens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glæder sig over faldet i kerneinflationen fra dens højdepunkt på 7,6 % i marts 2023 til 2,7 % i september 2024, men udtrykker sin bekymring over dens </w:t>
            </w:r>
            <w:r>
              <w:rPr>
                <w:b/>
                <w:i/>
              </w:rPr>
              <w:t>historiske og</w:t>
            </w:r>
            <w:r>
              <w:t xml:space="preserve"> vedvarende høje niveau;</w:t>
            </w:r>
          </w:p>
        </w:tc>
        <w:tc>
          <w:tcPr>
            <w:tcW w:w="4876" w:type="dxa"/>
            <w:tcBorders>
              <w:top w:val="nil"/>
              <w:left w:val="nil"/>
              <w:bottom w:val="nil"/>
              <w:right w:val="nil"/>
            </w:tcBorders>
          </w:tcPr>
          <w:p>
            <w:pPr>
              <w:pStyle w:val="Normal6a"/>
            </w:pPr>
            <w:r>
              <w:t>12.</w:t>
            </w:r>
            <w:r>
              <w:tab/>
            </w:r>
            <w:r>
              <w:t>glæder sig over faldet i kerneinflationen fra dens højdepunkt på 7,6 % i marts 2023 til 2,7 % i september 2024, men udtrykker sin bekymring over dens vedvarende høje niveau;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fremhæver, at chokket på udbudssiden, der blev udløst af det hurtige fald i importen af energi fra fossile brændstoffer, er den vigtigste drivkraft bag den rekordhøje inflation;</w:t>
            </w:r>
            <w:r>
              <w:t xml:space="preserve"> </w:t>
            </w:r>
            <w:r>
              <w:rPr>
                <w:b/>
                <w:i/>
              </w:rPr>
              <w:t>understreger, at geopolitiske spændinger ikke er blevet løst, hvilket efterfølgende kan forårsage endnu et chok på udbudssiden;</w:t>
            </w:r>
            <w:r>
              <w:t xml:space="preserve"> </w:t>
            </w:r>
            <w:r>
              <w:rPr>
                <w:b/>
                <w:i/>
              </w:rPr>
              <w:t>bemærker, at den nye transatlantiske dynamik også kan være en faktor for et eventuelt chok på udbudssiden;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13.</w:t>
            </w:r>
            <w:r>
              <w:tab/>
            </w:r>
            <w:r>
              <w:rPr>
                <w:b/>
                <w:i/>
              </w:rPr>
              <w:t>beklager, at det har taget ECB mere end tre år at opnå et inflationsniveau, der svarer til målniveauet på 2 %;</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13.</w:t>
            </w:r>
            <w:r>
              <w:tab/>
            </w:r>
            <w:r>
              <w:rPr>
                <w:b/>
                <w:i/>
              </w:rPr>
              <w:t>beklager, at det har taget ECB mere end tre år at opnå et inflationsniveau, der svarer til målniveauet på 2 %;</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13.</w:t>
            </w:r>
            <w:r>
              <w:tab/>
            </w:r>
            <w:r>
              <w:rPr>
                <w:b/>
                <w:i/>
              </w:rPr>
              <w:t>beklager, at det har taget ECB mere end tre år at opnå et inflationsniveau, der svarer til målniveauet på 2 %;</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Francisco Assis, Bruno Gonçalves, Carla Tavares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13.</w:t>
            </w:r>
            <w:r>
              <w:tab/>
            </w:r>
            <w:r>
              <w:rPr>
                <w:b/>
                <w:i/>
              </w:rPr>
              <w:t>beklager, at det har taget ECB mere end tre år at opnå et inflationsniveau, der svarer til målniveauet på 2 %;</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13.</w:t>
            </w:r>
            <w:r>
              <w:tab/>
            </w:r>
            <w:r>
              <w:rPr>
                <w:b/>
                <w:i/>
              </w:rPr>
              <w:t>beklager, at det har taget ECB mere end tre år at opnå et inflationsniveau, der svarer til målniveauet på 2 %;</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rPr>
                <w:b/>
                <w:i/>
              </w:rPr>
              <w:t>beklager</w:t>
            </w:r>
            <w:r>
              <w:t>, at det har taget ECB mere end tre år at opnå et inflationsniveau, der svarer til målniveauet på 2 %;</w:t>
            </w:r>
          </w:p>
        </w:tc>
        <w:tc>
          <w:tcPr>
            <w:tcW w:w="4876" w:type="dxa"/>
            <w:tcBorders>
              <w:top w:val="nil"/>
              <w:left w:val="nil"/>
              <w:bottom w:val="nil"/>
              <w:right w:val="nil"/>
            </w:tcBorders>
          </w:tcPr>
          <w:p>
            <w:pPr>
              <w:pStyle w:val="Normal6a"/>
            </w:pPr>
            <w:r>
              <w:t>13.</w:t>
            </w:r>
            <w:r>
              <w:tab/>
            </w:r>
            <w:r>
              <w:rPr>
                <w:b/>
                <w:i/>
              </w:rPr>
              <w:t>udtrykker bekymring over</w:t>
            </w:r>
            <w:r>
              <w:t>, at det har taget ECB mere end tre år at opnå et inflationsniveau, der svarer til målniveauet på 2 %</w:t>
            </w:r>
            <w:r>
              <w:rPr>
                <w:b/>
                <w:i/>
              </w:rPr>
              <w:t>, hvilket er i den høje ende af den mellemlange tidshorisont for pengepolitikken</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Auke Zijlstra,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beklager, at ECB's rentebeslutninger primært har været styret af rentebyrden for medlemsstaterne og deres stærkt forgældede banker snarere end af dens primære mandat om prisstabilitet;</w:t>
            </w:r>
            <w:r>
              <w:t xml:space="preserve"> </w:t>
            </w:r>
            <w:r>
              <w:rPr>
                <w:b/>
                <w:i/>
              </w:rPr>
              <w:t>minder ECB om, at opretholdelse af gunstige finansieringsvilkår ikke er omfattet af ECB's mandat;</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understreger, at ECB reagerede sent, da inflationen begyndte at stige i januar 2021 og oversteg målniveauet på 2 % i juli 2021;</w:t>
            </w:r>
            <w:r>
              <w:t xml:space="preserve"> </w:t>
            </w:r>
            <w:r>
              <w:rPr>
                <w:b/>
                <w:i/>
              </w:rPr>
              <w:t>minder i denne forbindelse om ECB's vurdering af, at inflationen kun forventedes at være midlertidig;</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understreger, at ECB reagerede sent, da inflationen begyndte at stige i januar 2021 og oversteg målniveauet på 2 % i juli 2021;</w:t>
            </w:r>
            <w:r>
              <w:t xml:space="preserve"> </w:t>
            </w:r>
            <w:r>
              <w:rPr>
                <w:b/>
                <w:i/>
              </w:rPr>
              <w:t>minder i denne forbindelse om ECB's vurdering af, at inflationen kun forventedes at være midlertidig;</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Francisco Assis, Bruno Gonçalves, Carla Tavares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understreger, at ECB reagerede sent, da inflationen begyndte at stige i januar 2021 og oversteg målniveauet på 2 % i juli 2021;</w:t>
            </w:r>
            <w:r>
              <w:t xml:space="preserve"> </w:t>
            </w:r>
            <w:r>
              <w:rPr>
                <w:b/>
                <w:i/>
              </w:rPr>
              <w:t>minder i denne forbindelse om ECB's vurdering af, at inflationen kun forventedes at være midlertidig;</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understreger, at ECB reagerede sent, da inflationen begyndte at stige i januar 2021 og oversteg målniveauet på 2 % i juli 2021;</w:t>
            </w:r>
            <w:r>
              <w:t xml:space="preserve"> </w:t>
            </w:r>
            <w:r>
              <w:rPr>
                <w:b/>
                <w:i/>
              </w:rPr>
              <w:t>minder i denne forbindelse om ECB's vurdering af, at inflationen kun forventedes at være midlertidig;</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understreger, at ECB reagerede sent, da inflationen begyndte at stige i januar 2021 og oversteg målniveauet på 2 % i juli 2021;</w:t>
            </w:r>
            <w:r>
              <w:t xml:space="preserve"> </w:t>
            </w:r>
            <w:r>
              <w:rPr>
                <w:b/>
                <w:i/>
              </w:rPr>
              <w:t>minder i denne forbindelse om ECB's vurdering af, at inflationen kun forventedes at være midlertidig;</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understreger, at ECB reagerede sent, da inflationen begyndte at stige i januar 2021 og oversteg målniveauet på 2 % i juli 2021;</w:t>
            </w:r>
            <w:r>
              <w:t xml:space="preserve"> </w:t>
            </w:r>
            <w:r>
              <w:rPr>
                <w:b/>
                <w:i/>
              </w:rPr>
              <w:t>minder i denne forbindelse om ECB's vurdering af, at inflationen kun forventedes at være midlertidig;</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understreger, at ECB reagerede sent, da inflationen begyndte at stige i januar 2021 og oversteg målniveauet på 2 % i juli 2021; </w:t>
            </w:r>
            <w:r>
              <w:rPr>
                <w:b/>
                <w:i/>
              </w:rPr>
              <w:t>minder i denne forbindelse om ECB's vurdering af, at inflationen kun forventedes at være midlertidig</w:t>
            </w:r>
            <w:r>
              <w:t>;</w:t>
            </w:r>
          </w:p>
        </w:tc>
        <w:tc>
          <w:tcPr>
            <w:tcW w:w="4876" w:type="dxa"/>
            <w:tcBorders>
              <w:top w:val="nil"/>
              <w:left w:val="nil"/>
              <w:bottom w:val="nil"/>
              <w:right w:val="nil"/>
            </w:tcBorders>
          </w:tcPr>
          <w:p>
            <w:pPr>
              <w:pStyle w:val="Normal6a"/>
            </w:pPr>
            <w:r>
              <w:t>14.</w:t>
            </w:r>
            <w:r>
              <w:tab/>
            </w:r>
            <w:r>
              <w:t xml:space="preserve">understreger, at ECB reagerede sent, da inflationen begyndte at stige i januar 2021 og oversteg målniveauet på 2 % i juli 2021; </w:t>
            </w:r>
            <w:r>
              <w:rPr>
                <w:b/>
                <w:i/>
              </w:rPr>
              <w:t>bemærker, at ECB's tidlige vurdering af inflationen som værende midlertidig overså chok på udbudssiden, især som følge af stigende energipriser, som bidrog væsentligt til inflationspresset;</w:t>
            </w:r>
            <w:r>
              <w:t xml:space="preserve"> </w:t>
            </w:r>
            <w:r>
              <w:rPr>
                <w:b/>
                <w:i/>
              </w:rPr>
              <w:t>fremhæver, at et mere afbalanceret fokus på faktorer på både efterspørgsels- og udbudssiden kunne have givet et klarere grundlag for rettidige indgreb</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understreger, at ECB reagerede sent, da inflationen begyndte at stige i januar 2021 og oversteg målniveauet på 2 % i juli 2021; minder i denne forbindelse om ECB's vurdering af, at inflationen kun forventedes at være midlertidig;</w:t>
            </w:r>
          </w:p>
        </w:tc>
        <w:tc>
          <w:tcPr>
            <w:tcW w:w="4876" w:type="dxa"/>
            <w:tcBorders>
              <w:top w:val="nil"/>
              <w:left w:val="nil"/>
              <w:bottom w:val="nil"/>
              <w:right w:val="nil"/>
            </w:tcBorders>
          </w:tcPr>
          <w:p>
            <w:pPr>
              <w:pStyle w:val="Normal6a"/>
            </w:pPr>
            <w:r>
              <w:t>14.</w:t>
            </w:r>
            <w:r>
              <w:tab/>
            </w:r>
            <w:r>
              <w:t xml:space="preserve">understreger, at ECB reagerede sent, da inflationen begyndte at stige i januar 2021 og oversteg målniveauet på 2 % i juli 2021; minder i denne forbindelse om ECB's </w:t>
            </w:r>
            <w:r>
              <w:rPr>
                <w:b/>
                <w:i/>
              </w:rPr>
              <w:t>forkerte </w:t>
            </w:r>
            <w:r>
              <w:t>vurdering af, at inflationen kun forventedes at være midlertidig;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14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understreger betydningen af at diversificere finansieringsinstrumenterne i lyset af afslutningen af geninvesteringerne under programmet til køb af aktiver (APP) og den forventede afslutning af geninvesteringerne under opkøbsprogrammet på foranledning af den pandemiske nødsituation (PEPP);</w:t>
            </w:r>
            <w:r>
              <w:t xml:space="preserve"> </w:t>
            </w:r>
            <w:r>
              <w:rPr>
                <w:b/>
                <w:i/>
              </w:rPr>
              <w:t>for at imødegå dette kan en revideret securitiseringsramme, der har til formål at øge det europæiske markeds tiltrækningskraft over for eksponeringsleverende institutter og investorer, sammen med indførelsen af et langsigtet dual recourse-finansieringsinstrument kaldet "European Secured Notes" til SMV-finansiering, være afgørende;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14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fremhæver, at ECB siden juli 2022 har hævet sin styringsrente ti gange i træk, hvilket indikerer den kraftigste stramningscyklus i euroområdet siden indførelsen af den fælles valuta;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15.</w:t>
            </w:r>
            <w:r>
              <w:tab/>
            </w:r>
            <w:r>
              <w:rPr>
                <w:b/>
                <w:i/>
              </w:rPr>
              <w:t>opfordrer ECB til grundlæggende at revidere og forbedre sine modeller og deres rolle i den politiske beslutningsproces i lyset af modellernes undergennemsnitlige effektivitet i de senere år;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15.</w:t>
            </w:r>
            <w:r>
              <w:tab/>
            </w:r>
            <w:r>
              <w:rPr>
                <w:b/>
                <w:i/>
              </w:rPr>
              <w:t>opfordrer ECB til grundlæggende at revidere og forbedre sine modeller og deres rolle i den politiske beslutningsproces i lyset af modellernes undergennemsnitlige effektivitet i de senere år;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opfordrer ECB til grundlæggende at revidere og forbedre sine modeller og deres rolle i den politiske beslutningsproces i lyset af modellernes undergennemsnitlige effektivitet i de senere år;</w:t>
            </w:r>
          </w:p>
        </w:tc>
        <w:tc>
          <w:tcPr>
            <w:tcW w:w="4876" w:type="dxa"/>
            <w:tcBorders>
              <w:top w:val="nil"/>
              <w:left w:val="nil"/>
              <w:bottom w:val="nil"/>
              <w:right w:val="nil"/>
            </w:tcBorders>
          </w:tcPr>
          <w:p>
            <w:pPr>
              <w:pStyle w:val="Normal6a"/>
            </w:pPr>
            <w:r>
              <w:t>15.</w:t>
            </w:r>
            <w:r>
              <w:tab/>
            </w:r>
            <w:r>
              <w:t>opfordrer ECB til grundlæggende at revidere og forbedre sine modeller og deres rolle i den politiske beslutningsproces i lyset af modellernes undergennemsnitlige effektivitet i de senere år</w:t>
            </w:r>
            <w:r>
              <w:rPr>
                <w:b/>
                <w:i/>
              </w:rPr>
              <w:t>, navnlig for bedre at kunne skelne mellem efterspørgsels- og udbudsdrevne kilder til inflation;</w:t>
            </w:r>
            <w:r>
              <w:t xml:space="preserve"> </w:t>
            </w:r>
            <w:r>
              <w:rPr>
                <w:b/>
                <w:i/>
              </w:rPr>
              <w:t>anbefaler, at ECB vedtager en fleksibel, datadrevet tilgang, der er i overensstemmelse med udviklingen i de økonomiske forhold og undgår unødigt pres på sektorer, der er følsomme over for finansieringsomkostninger, såsom fremstillingssektoren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opfordrer ECB til </w:t>
            </w:r>
            <w:r>
              <w:rPr>
                <w:b/>
                <w:i/>
              </w:rPr>
              <w:t>grundlæggende</w:t>
            </w:r>
            <w:r>
              <w:t xml:space="preserve"> at revidere og forbedre </w:t>
            </w:r>
            <w:r>
              <w:rPr>
                <w:b/>
                <w:i/>
              </w:rPr>
              <w:t>sine</w:t>
            </w:r>
            <w:r>
              <w:t xml:space="preserve"> modeller og deres rolle i den politiske beslutningsproces i lyset af modellernes undergennemsnitlige effektivitet i de senere år;</w:t>
            </w:r>
          </w:p>
        </w:tc>
        <w:tc>
          <w:tcPr>
            <w:tcW w:w="4876" w:type="dxa"/>
            <w:tcBorders>
              <w:top w:val="nil"/>
              <w:left w:val="nil"/>
              <w:bottom w:val="nil"/>
              <w:right w:val="nil"/>
            </w:tcBorders>
          </w:tcPr>
          <w:p>
            <w:pPr>
              <w:pStyle w:val="Normal6a"/>
            </w:pPr>
            <w:r>
              <w:t>15.</w:t>
            </w:r>
            <w:r>
              <w:tab/>
            </w:r>
            <w:r>
              <w:rPr>
                <w:b/>
                <w:i/>
              </w:rPr>
              <w:t>glæder sig over ECB's bestræbelser på regelmæssigt at ajourføre sine modeller;</w:t>
            </w:r>
            <w:r>
              <w:t xml:space="preserve"> opfordrer </w:t>
            </w:r>
            <w:r>
              <w:rPr>
                <w:b/>
                <w:i/>
              </w:rPr>
              <w:t>imidlertid</w:t>
            </w:r>
            <w:r>
              <w:t xml:space="preserve"> ECB til </w:t>
            </w:r>
            <w:r>
              <w:rPr>
                <w:b/>
                <w:i/>
              </w:rPr>
              <w:t>fortsat</w:t>
            </w:r>
            <w:r>
              <w:t xml:space="preserve"> at revidere og forbedre </w:t>
            </w:r>
            <w:r>
              <w:rPr>
                <w:b/>
                <w:i/>
              </w:rPr>
              <w:t>disse</w:t>
            </w:r>
            <w:r>
              <w:t xml:space="preserve"> modeller og deres rolle i den politiske beslutningsproces i lyset af modellernes undergennemsnitlige effektivitet i de senere år </w:t>
            </w:r>
            <w:r>
              <w:rPr>
                <w:b/>
                <w:i/>
              </w:rPr>
              <w:t>med henblik på at tilpasse dem til nye økonomiske tendenser og tendenser på EU's og de globale finansielle markeder, samtidig med at der tages højde for erfaringerne fra de igangværende og tidligere kriser og de udfordringer, der er forbundet med den pengepolitiske beslutningstagning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opfordrer ECB til grundlæggende at revidere og forbedre sine modeller og deres rolle i den politiske beslutningsproces i lyset af modellernes undergennemsnitlige effektivitet i de senere år;</w:t>
            </w:r>
          </w:p>
        </w:tc>
        <w:tc>
          <w:tcPr>
            <w:tcW w:w="4876" w:type="dxa"/>
            <w:tcBorders>
              <w:top w:val="nil"/>
              <w:left w:val="nil"/>
              <w:bottom w:val="nil"/>
              <w:right w:val="nil"/>
            </w:tcBorders>
          </w:tcPr>
          <w:p>
            <w:pPr>
              <w:pStyle w:val="Normal6a"/>
            </w:pPr>
            <w:r>
              <w:t>15.</w:t>
            </w:r>
            <w:r>
              <w:tab/>
            </w:r>
            <w:r>
              <w:t xml:space="preserve">opfordrer ECB til grundlæggende at revidere og forbedre sine modeller og deres rolle i den politiske beslutningsproces </w:t>
            </w:r>
            <w:r>
              <w:rPr>
                <w:b/>
                <w:i/>
              </w:rPr>
              <w:t>med henblik på at tilpasse dem til nye økonomiske tendenser og tendenser på de finansielle markeder både i EU og globalt </w:t>
            </w:r>
            <w:r>
              <w:t>i lyset af modellernes undergennemsnitlige effektivitet i de senere år;</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opfordrer ECB til </w:t>
            </w:r>
            <w:r>
              <w:rPr>
                <w:b/>
                <w:i/>
              </w:rPr>
              <w:t>grundlæggende</w:t>
            </w:r>
            <w:r>
              <w:t xml:space="preserve"> at revidere og forbedre sine modeller og deres rolle i den politiske beslutningsproces i lyset af </w:t>
            </w:r>
            <w:r>
              <w:rPr>
                <w:b/>
                <w:i/>
              </w:rPr>
              <w:t>modellernes undergennemsnitlige effektivitet i de senere år</w:t>
            </w:r>
            <w:r>
              <w:t>;</w:t>
            </w:r>
          </w:p>
        </w:tc>
        <w:tc>
          <w:tcPr>
            <w:tcW w:w="4876" w:type="dxa"/>
            <w:tcBorders>
              <w:top w:val="nil"/>
              <w:left w:val="nil"/>
              <w:bottom w:val="nil"/>
              <w:right w:val="nil"/>
            </w:tcBorders>
          </w:tcPr>
          <w:p>
            <w:pPr>
              <w:pStyle w:val="Normal6a"/>
            </w:pPr>
            <w:r>
              <w:t>15.</w:t>
            </w:r>
            <w:r>
              <w:tab/>
            </w:r>
            <w:r>
              <w:t xml:space="preserve">opfordrer ECB til at revidere og forbedre sine modeller og deres rolle i den politiske beslutningsproces i lyset af </w:t>
            </w:r>
            <w:r>
              <w:rPr>
                <w:b/>
                <w:i/>
              </w:rPr>
              <w:t>de forskellige chok på udbudssiden og den udfordring, de udgør for gennemførelsen af pengepolitikken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opfordrer ECB til grundlæggende at revidere og forbedre sine modeller og deres rolle i den politiske beslutningsproces i lyset af </w:t>
            </w:r>
            <w:r>
              <w:rPr>
                <w:b/>
                <w:i/>
              </w:rPr>
              <w:t>modellernes undergennemsnitlige effektivitet</w:t>
            </w:r>
            <w:r>
              <w:t xml:space="preserve"> i de senere år;</w:t>
            </w:r>
          </w:p>
        </w:tc>
        <w:tc>
          <w:tcPr>
            <w:tcW w:w="4876" w:type="dxa"/>
            <w:tcBorders>
              <w:top w:val="nil"/>
              <w:left w:val="nil"/>
              <w:bottom w:val="nil"/>
              <w:right w:val="nil"/>
            </w:tcBorders>
          </w:tcPr>
          <w:p>
            <w:pPr>
              <w:pStyle w:val="Normal6a"/>
            </w:pPr>
            <w:r>
              <w:t>15.</w:t>
            </w:r>
            <w:r>
              <w:tab/>
            </w:r>
            <w:r>
              <w:t xml:space="preserve">opfordrer ECB til grundlæggende at revidere og forbedre </w:t>
            </w:r>
            <w:r>
              <w:rPr>
                <w:b/>
                <w:i/>
              </w:rPr>
              <w:t>sin kommunikation og</w:t>
            </w:r>
            <w:r>
              <w:t xml:space="preserve"> sine modeller og deres rolle i den politiske beslutningsproces i lyset af </w:t>
            </w:r>
            <w:r>
              <w:rPr>
                <w:b/>
                <w:i/>
              </w:rPr>
              <w:t>kritikken af modellernes resultater</w:t>
            </w:r>
            <w:r>
              <w:t xml:space="preserve"> i de senere år;</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opfordrer ECB til i forbindelse med den næste revision af den pengepolitiske strategi at indarbejde mekanismer til bedre at identificere, i hvilket omfang virkningerne af økonomiske chok er af forbigående karakter, med henblik på at sikre en hurtig og målrettet pengepolitisk reaktion på dem;</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glæder sig over ECB's operationelle struktur, herunder beslutningen om at indarbejde sekundære mål og klimaændringshensyn i planlægningen af dens strukturelle refinansieringstransaktioner og strukturelle porteføljer;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16.</w:t>
            </w:r>
            <w:r>
              <w:tab/>
            </w:r>
            <w:r>
              <w:rPr>
                <w:b/>
                <w:i/>
              </w:rPr>
              <w:t>støtter ECB's beslutning om at reducere sine programmer for opkøb af aktiver i betragtning af overskudslikviditeten på markedet og den faldende inflation;</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rPr>
                <w:b/>
                <w:i/>
              </w:rPr>
              <w:t>støtter</w:t>
            </w:r>
            <w:r>
              <w:t xml:space="preserve"> ECB's beslutning om at reducere sine programmer for opkøb af aktiver </w:t>
            </w:r>
            <w:r>
              <w:rPr>
                <w:b/>
                <w:i/>
              </w:rPr>
              <w:t>i betragtning af overskudslikviditeten på markedet og den faldende inflation</w:t>
            </w:r>
            <w:r>
              <w:t>;</w:t>
            </w:r>
          </w:p>
        </w:tc>
        <w:tc>
          <w:tcPr>
            <w:tcW w:w="4876" w:type="dxa"/>
            <w:tcBorders>
              <w:top w:val="nil"/>
              <w:left w:val="nil"/>
              <w:bottom w:val="nil"/>
              <w:right w:val="nil"/>
            </w:tcBorders>
          </w:tcPr>
          <w:p>
            <w:pPr>
              <w:pStyle w:val="Normal6a"/>
            </w:pPr>
            <w:r>
              <w:t>16.</w:t>
            </w:r>
            <w:r>
              <w:tab/>
            </w:r>
            <w:r>
              <w:rPr>
                <w:b/>
                <w:i/>
              </w:rPr>
              <w:t>noterer sig</w:t>
            </w:r>
            <w:r>
              <w:t xml:space="preserve"> ECB's beslutning om at reducere sine programmer for opkøb af aktiver </w:t>
            </w:r>
            <w:r>
              <w:rPr>
                <w:b/>
                <w:i/>
              </w:rPr>
              <w:t>og understreger, at ECB's ukonventionelle opkøbsprogrammer har bidraget til at støtte den økonomiske aktivitet og prisstabiliteten i euroområdet i lyset af uforudsigelige økonomiske chok</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støtter ECB's beslutning om at reducere sine programmer for opkøb af aktiver i betragtning af overskudslikviditeten på markedet og den faldende inflation;</w:t>
            </w:r>
          </w:p>
        </w:tc>
        <w:tc>
          <w:tcPr>
            <w:tcW w:w="4876" w:type="dxa"/>
            <w:tcBorders>
              <w:top w:val="nil"/>
              <w:left w:val="nil"/>
              <w:bottom w:val="nil"/>
              <w:right w:val="nil"/>
            </w:tcBorders>
          </w:tcPr>
          <w:p>
            <w:pPr>
              <w:pStyle w:val="Normal6a"/>
            </w:pPr>
            <w:r>
              <w:t>16.</w:t>
            </w:r>
            <w:r>
              <w:tab/>
            </w:r>
            <w:r>
              <w:t xml:space="preserve">støtter ECB's beslutning om at reducere sine programmer for opkøb af aktiver i betragtning af overskudslikviditeten på markedet og den faldende inflation; </w:t>
            </w:r>
            <w:r>
              <w:rPr>
                <w:b/>
                <w:i/>
              </w:rPr>
              <w:t>minder om, at en reduktion af opkøb af aktiver bidrager til at reducere balancen, mindsker forvridninger og giver markedet større autonomi til at fastsætte priser på grundlag af udbud;</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støtter ECB's beslutning om at reducere sine programmer for opkøb af aktiver i betragtning af overskudslikviditeten på markedet og den faldende inflation;</w:t>
            </w:r>
          </w:p>
        </w:tc>
        <w:tc>
          <w:tcPr>
            <w:tcW w:w="4876" w:type="dxa"/>
            <w:tcBorders>
              <w:top w:val="nil"/>
              <w:left w:val="nil"/>
              <w:bottom w:val="nil"/>
              <w:right w:val="nil"/>
            </w:tcBorders>
          </w:tcPr>
          <w:p>
            <w:pPr>
              <w:pStyle w:val="Normal6a"/>
            </w:pPr>
            <w:r>
              <w:t>16.</w:t>
            </w:r>
            <w:r>
              <w:tab/>
            </w:r>
            <w:r>
              <w:t xml:space="preserve">støtter ECB's beslutning om at reducere sine programmer for opkøb af aktiver i betragtning af overskudslikviditeten på markedet og den faldende inflation; </w:t>
            </w:r>
            <w:r>
              <w:rPr>
                <w:b/>
                <w:i/>
              </w:rPr>
              <w:t>glæder sig over, at aktivporteføljen under ECB's opkøbsprogrammer har været faldende siden 2023;</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rPr>
                <w:b/>
                <w:i/>
              </w:rPr>
              <w:t>støtter</w:t>
            </w:r>
            <w:r>
              <w:t xml:space="preserve"> ECB's beslutning om at reducere sine programmer for opkøb af aktiver </w:t>
            </w:r>
            <w:r>
              <w:rPr>
                <w:b/>
                <w:i/>
              </w:rPr>
              <w:t>i betragtning af overskudslikviditeten på markedet og den faldende inflation</w:t>
            </w:r>
            <w:r>
              <w:t>;</w:t>
            </w:r>
          </w:p>
        </w:tc>
        <w:tc>
          <w:tcPr>
            <w:tcW w:w="4876" w:type="dxa"/>
            <w:tcBorders>
              <w:top w:val="nil"/>
              <w:left w:val="nil"/>
              <w:bottom w:val="nil"/>
              <w:right w:val="nil"/>
            </w:tcBorders>
          </w:tcPr>
          <w:p>
            <w:pPr>
              <w:pStyle w:val="Normal6a"/>
            </w:pPr>
            <w:r>
              <w:t>16.</w:t>
            </w:r>
            <w:r>
              <w:tab/>
            </w:r>
            <w:r>
              <w:rPr>
                <w:b/>
                <w:i/>
              </w:rPr>
              <w:t>noterer sig</w:t>
            </w:r>
            <w:r>
              <w:t xml:space="preserve"> ECB's beslutning om at reducere sine programmer for opkøb af aktiver</w:t>
            </w:r>
            <w:r>
              <w:rPr>
                <w:b/>
                <w:i/>
              </w:rPr>
              <w:t>;</w:t>
            </w:r>
            <w:r>
              <w:t xml:space="preserve"> </w:t>
            </w:r>
            <w:r>
              <w:rPr>
                <w:b/>
                <w:i/>
              </w:rPr>
              <w:t>opfordrer indtrængende ECB til at anvende en fornuftig og gradvis tilgang for at tilpasse sine opkøb af aktiver med henblik på at sikre den økonomiske modstandsdygtighed i hele euroområdet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støtter ECB's beslutning om at </w:t>
            </w:r>
            <w:r>
              <w:rPr>
                <w:b/>
                <w:i/>
              </w:rPr>
              <w:t>reducere</w:t>
            </w:r>
            <w:r>
              <w:t xml:space="preserve"> sine programmer for opkøb af aktiver </w:t>
            </w:r>
            <w:r>
              <w:rPr>
                <w:b/>
                <w:i/>
              </w:rPr>
              <w:t>i betragtning af overskudslikviditeten</w:t>
            </w:r>
            <w:r>
              <w:t xml:space="preserve"> på markedet og </w:t>
            </w:r>
            <w:r>
              <w:rPr>
                <w:b/>
                <w:i/>
              </w:rPr>
              <w:t>den faldende inflation</w:t>
            </w:r>
            <w:r>
              <w:t>;</w:t>
            </w:r>
          </w:p>
        </w:tc>
        <w:tc>
          <w:tcPr>
            <w:tcW w:w="4876" w:type="dxa"/>
            <w:tcBorders>
              <w:top w:val="nil"/>
              <w:left w:val="nil"/>
              <w:bottom w:val="nil"/>
              <w:right w:val="nil"/>
            </w:tcBorders>
          </w:tcPr>
          <w:p>
            <w:pPr>
              <w:pStyle w:val="Normal6a"/>
            </w:pPr>
            <w:r>
              <w:t>16.</w:t>
            </w:r>
            <w:r>
              <w:tab/>
            </w:r>
            <w:r>
              <w:t xml:space="preserve">støtter ECB's beslutning om at </w:t>
            </w:r>
            <w:r>
              <w:rPr>
                <w:b/>
                <w:i/>
              </w:rPr>
              <w:t>tilpasse</w:t>
            </w:r>
            <w:r>
              <w:t xml:space="preserve"> sine programmer for opkøb af aktiver </w:t>
            </w:r>
            <w:r>
              <w:rPr>
                <w:b/>
                <w:i/>
              </w:rPr>
              <w:t>for at skabe balance mellem likviditetsbehovet</w:t>
            </w:r>
            <w:r>
              <w:t xml:space="preserve"> på markedet og </w:t>
            </w:r>
            <w:r>
              <w:rPr>
                <w:b/>
                <w:i/>
              </w:rPr>
              <w:t>inflationsniveauet</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bemærker, at Federal Reserve anerkendte, at den aktuelle indskrænkning af dets samlede balance vil blive begrænset af nødvendigheden af at sikre adgangen til omfattende reserver inden for en overskuelig fremtid med henblik på finansiel stabilitet og leverede et skøn over, hvad den anser for at være det laveste acceptable niveau for en centralbankreserve; understreger, at den seneste gennemgang af ECB's operationelle ramme også synes at støtte en doktrin med omfattende reserver;</w:t>
            </w:r>
            <w:r>
              <w:t xml:space="preserve"> </w:t>
            </w:r>
            <w:r>
              <w:rPr>
                <w:b/>
                <w:i/>
              </w:rPr>
              <w:t>anmoder ECB om at præcisere, om den opererer på grundlag af et specifikt skøn eller et intervalskøn over, hvad den anser for at være det laveste tilstrækkelige niveau af reserver for euroområdet;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16b.</w:t>
            </w:r>
            <w:r>
              <w:tab/>
            </w:r>
            <w:r>
              <w:rPr>
                <w:b/>
                <w:i/>
              </w:rPr>
              <w:t>understreger, at renter på forretningsbankers beholdninger af bankreserver først i 2023 resulterede i, at Eurosystemet betalte renter på 152 mia. EUR til kreditinstitutter svarende til 1,13 % af euroområdets BNP;</w:t>
            </w:r>
            <w:r>
              <w:t xml:space="preserve"> </w:t>
            </w:r>
            <w:r>
              <w:rPr>
                <w:b/>
                <w:i/>
              </w:rPr>
              <w:t>understreger, at sådanne renteoverførsler til forretningsbanker indebærer en reduktion af overførsler af overskud til nationale regeringer, hvilket fører til stigninger i budgetunderskuddet, som kan kræve yderligere finanspolitiske stramninger i fremtiden;</w:t>
            </w:r>
            <w:r>
              <w:t xml:space="preserve"> </w:t>
            </w:r>
            <w:r>
              <w:rPr>
                <w:b/>
                <w:i/>
              </w:rPr>
              <w:t>mener, at dette er et uforholdsmæssigt stort og uholdbart tilskud til banksektoren, som ikke er omfattet af demokratisk forhandling og kontrol;</w:t>
            </w:r>
            <w:r>
              <w:t xml:space="preserve"> </w:t>
            </w:r>
            <w:r>
              <w:rPr>
                <w:b/>
                <w:i/>
              </w:rPr>
              <w:t>anmoder ECB om at afhjælpe dette problem og overveje at indføre ikkerentebærende mindstereservekrav for en del af bankreserverne, samtidig med at alene de reserver, der overstiger disse minimumskrav, forrentes;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17.</w:t>
            </w:r>
            <w:r>
              <w:tab/>
            </w:r>
            <w:r>
              <w:rPr>
                <w:b/>
                <w:i/>
              </w:rPr>
              <w:t>understreger, at ECB's opkøbsprogrammer er ukonventionelle politikker, der økonomisk set udgør monetær finansiering, hvilket er forbudt i henhold til artikel 123, stk. 1, i TEUF, hvis ECB ikke nedbringer sin balance;</w:t>
            </w:r>
            <w:r>
              <w:t xml:space="preserve"> </w:t>
            </w:r>
            <w:r>
              <w:rPr>
                <w:b/>
                <w:i/>
              </w:rPr>
              <w:t>opfordrer derfor ECB til gradvist at reducere størrelsen af sin balance;</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Francisco Assis, Bruno Gonçalves, Carla Tavares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17.</w:t>
            </w:r>
            <w:r>
              <w:tab/>
            </w:r>
            <w:r>
              <w:rPr>
                <w:b/>
                <w:i/>
              </w:rPr>
              <w:t>understreger, at ECB's opkøbsprogrammer er ukonventionelle politikker, der økonomisk set udgør monetær finansiering, hvilket er forbudt i henhold til artikel 123, stk. 1, i TEUF, hvis ECB ikke nedbringer sin balance;</w:t>
            </w:r>
            <w:r>
              <w:t xml:space="preserve"> </w:t>
            </w:r>
            <w:r>
              <w:rPr>
                <w:b/>
                <w:i/>
              </w:rPr>
              <w:t>opfordrer derfor ECB til gradvist at reducere størrelsen af sin balance;</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17.</w:t>
            </w:r>
            <w:r>
              <w:tab/>
            </w:r>
            <w:r>
              <w:rPr>
                <w:b/>
                <w:i/>
              </w:rPr>
              <w:t>understreger, at ECB's opkøbsprogrammer er ukonventionelle politikker, der økonomisk set udgør monetær finansiering, hvilket er forbudt i henhold til artikel 123, stk. 1, i TEUF, hvis ECB ikke nedbringer sin balance;</w:t>
            </w:r>
            <w:r>
              <w:t xml:space="preserve"> </w:t>
            </w:r>
            <w:r>
              <w:rPr>
                <w:b/>
                <w:i/>
              </w:rPr>
              <w:t>opfordrer derfor ECB til gradvist at reducere størrelsen af sin balance;</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understreger, at ECB's opkøbsprogrammer er ukonventionelle politikker</w:t>
            </w:r>
            <w:r>
              <w:rPr>
                <w:b/>
                <w:i/>
              </w:rPr>
              <w:t>, der økonomisk set udgør monetær finansiering, hvilket er forbudt i henhold til artikel 123, stk. 1,</w:t>
            </w:r>
            <w:r>
              <w:t xml:space="preserve"> i TEUF, </w:t>
            </w:r>
            <w:r>
              <w:rPr>
                <w:b/>
                <w:i/>
              </w:rPr>
              <w:t>hvis ECB ikke nedbringer sin balance</w:t>
            </w:r>
            <w:r>
              <w:t xml:space="preserve">; opfordrer derfor ECB til </w:t>
            </w:r>
            <w:r>
              <w:rPr>
                <w:b/>
                <w:i/>
              </w:rPr>
              <w:t>gradvist</w:t>
            </w:r>
            <w:r>
              <w:t xml:space="preserve"> at reducere størrelsen af sin balance;</w:t>
            </w:r>
          </w:p>
        </w:tc>
        <w:tc>
          <w:tcPr>
            <w:tcW w:w="4876" w:type="dxa"/>
            <w:tcBorders>
              <w:top w:val="nil"/>
              <w:left w:val="nil"/>
              <w:bottom w:val="nil"/>
              <w:right w:val="nil"/>
            </w:tcBorders>
          </w:tcPr>
          <w:p>
            <w:pPr>
              <w:pStyle w:val="Normal6a"/>
            </w:pPr>
            <w:r>
              <w:t>17.</w:t>
            </w:r>
            <w:r>
              <w:tab/>
            </w:r>
            <w:r>
              <w:t>understreger, at ECB's opkøbsprogrammer er ukonventionelle politikker</w:t>
            </w:r>
            <w:r>
              <w:rPr>
                <w:b/>
                <w:i/>
              </w:rPr>
              <w:t>;</w:t>
            </w:r>
            <w:r>
              <w:t xml:space="preserve"> </w:t>
            </w:r>
            <w:r>
              <w:rPr>
                <w:b/>
                <w:i/>
              </w:rPr>
              <w:t>minder om, at Den Europæiske Unions Domstol (EU-Domstolen) i sine på hinanden følgende domme har præciseret, at ECB's direkte monetære transaktioner (OMT), programmet til opkøb af den offentlige sektors aktiver og opkøbsprogrammet på foranledning af den pandemiske nødsituation ikke i praksis omgår artikel 123</w:t>
            </w:r>
            <w:r>
              <w:t xml:space="preserve"> i TEUF, </w:t>
            </w:r>
            <w:r>
              <w:rPr>
                <w:b/>
                <w:i/>
              </w:rPr>
              <w:t>og at ECB's opkøb af statsobligationer på sekundære markeder ikke udgør monetær finansiering af medlemsstaternes budgetter, et synspunkt der støttes af den tyske forbundsforfatningsdomstol</w:t>
            </w:r>
            <w:r>
              <w:t>; opfordrer derfor ECB til at reducere størrelsen af sin balance;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Gilles Boyer, Stéphanie Yon-Courtin, Pascal Canfin, Billy Kelleher, Gerben-Jan Gerbrandy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understreger, at ECB's opkøbsprogrammer er ukonventionelle politikker, </w:t>
            </w:r>
            <w:r>
              <w:rPr>
                <w:b/>
                <w:i/>
              </w:rPr>
              <w:t>der økonomisk set udgør monetær finansiering, hvilket er forbudt i henhold til artikel 123, stk. 1, i TEUF, hvis ECB ikke nedbringer sin balance</w:t>
            </w:r>
            <w:r>
              <w:t>; opfordrer derfor ECB til gradvist at reducere størrelsen af sin balance;</w:t>
            </w:r>
          </w:p>
        </w:tc>
        <w:tc>
          <w:tcPr>
            <w:tcW w:w="4876" w:type="dxa"/>
            <w:tcBorders>
              <w:top w:val="nil"/>
              <w:left w:val="nil"/>
              <w:bottom w:val="nil"/>
              <w:right w:val="nil"/>
            </w:tcBorders>
          </w:tcPr>
          <w:p>
            <w:pPr>
              <w:pStyle w:val="Normal6a"/>
            </w:pPr>
            <w:r>
              <w:t>17.</w:t>
            </w:r>
            <w:r>
              <w:tab/>
            </w:r>
            <w:r>
              <w:t xml:space="preserve">understreger, at ECB's opkøbsprogrammer er ukonventionelle politikker, </w:t>
            </w:r>
            <w:r>
              <w:rPr>
                <w:b/>
                <w:i/>
              </w:rPr>
              <w:t>som kun er relevante i kriseperioder</w:t>
            </w:r>
            <w:r>
              <w:t>; opfordrer derfor ECB til gradvist at reducere størrelsen af sin balance;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understreger, at ECB's opkøbsprogrammer er ukonventionelle politikker, der </w:t>
            </w:r>
            <w:r>
              <w:rPr>
                <w:b/>
                <w:i/>
              </w:rPr>
              <w:t>økonomisk set udgør monetær finansiering, hvilket er forbudt</w:t>
            </w:r>
            <w:r>
              <w:t xml:space="preserve"> i henhold til artikel 123, stk. 1, i TEUF</w:t>
            </w:r>
            <w:r>
              <w:rPr>
                <w:b/>
                <w:i/>
              </w:rPr>
              <w:t>, hvis ECB ikke nedbringer sin balance;</w:t>
            </w:r>
            <w:r>
              <w:t xml:space="preserve"> </w:t>
            </w:r>
            <w:r>
              <w:rPr>
                <w:b/>
                <w:i/>
              </w:rPr>
              <w:t>opfordrer derfor ECB til gradvist at reducere størrelsen af sin balance</w:t>
            </w:r>
            <w:r>
              <w:t>;</w:t>
            </w:r>
          </w:p>
        </w:tc>
        <w:tc>
          <w:tcPr>
            <w:tcW w:w="4876" w:type="dxa"/>
            <w:tcBorders>
              <w:top w:val="nil"/>
              <w:left w:val="nil"/>
              <w:bottom w:val="nil"/>
              <w:right w:val="nil"/>
            </w:tcBorders>
          </w:tcPr>
          <w:p>
            <w:pPr>
              <w:pStyle w:val="Normal6a"/>
            </w:pPr>
            <w:r>
              <w:t>17.</w:t>
            </w:r>
            <w:r>
              <w:tab/>
            </w:r>
            <w:r>
              <w:t>understreger, at ECB's opkøbsprogrammer er ukonventionelle politikker, der</w:t>
            </w:r>
            <w:r>
              <w:rPr>
                <w:b/>
                <w:i/>
              </w:rPr>
              <w:t>, hvis de ikke forvaltes omhyggeligt, risikerer at stride mod forbuddet mod monetær finansiering</w:t>
            </w:r>
            <w:r>
              <w:t xml:space="preserve"> i henhold til artikel 123, stk. 1, i TEUF</w:t>
            </w:r>
            <w:r>
              <w:rPr>
                <w:b/>
                <w:i/>
              </w:rPr>
              <w:t>;</w:t>
            </w:r>
            <w:r>
              <w:t xml:space="preserve"> </w:t>
            </w:r>
            <w:r>
              <w:rPr>
                <w:b/>
                <w:i/>
              </w:rPr>
              <w:t>opfordrer ECB til fortsat at overvåge sin reduktion af balancen på en gradvis og forsigtig måde for at begrænse langvarige potentielle destabiliserende virkninger i euroområdet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rPr>
                <w:b/>
                <w:i/>
              </w:rPr>
              <w:t>understreger, at ECB's opkøbsprogrammer er ukonventionelle politikker, der økonomisk set udgør monetær finansiering, hvilket er forbudt i henhold til artikel 123, stk. 1, i TEUF, hvis ECB ikke nedbringer sin balance;</w:t>
            </w:r>
            <w:r>
              <w:t xml:space="preserve"> </w:t>
            </w:r>
            <w:r>
              <w:rPr>
                <w:b/>
                <w:i/>
              </w:rPr>
              <w:t>opfordrer derfor ECB til gradvist at reducere størrelsen af sin balance</w:t>
            </w:r>
            <w:r>
              <w:t>;</w:t>
            </w:r>
          </w:p>
        </w:tc>
        <w:tc>
          <w:tcPr>
            <w:tcW w:w="4876" w:type="dxa"/>
            <w:tcBorders>
              <w:top w:val="nil"/>
              <w:left w:val="nil"/>
              <w:bottom w:val="nil"/>
              <w:right w:val="nil"/>
            </w:tcBorders>
          </w:tcPr>
          <w:p>
            <w:pPr>
              <w:pStyle w:val="Normal6a"/>
            </w:pPr>
            <w:r>
              <w:t>17.</w:t>
            </w:r>
            <w:r>
              <w:tab/>
            </w:r>
            <w:r>
              <w:rPr>
                <w:b/>
                <w:i/>
              </w:rPr>
              <w:t>opfordrer ECB til at kontrollere sine opkøbsprogrammer for at sikre, at de er forenelige med dens egne finanspolitiske rammer, og tilpasse dem til principperne om konkurrenceevne, som bør være retningsgivende for en idé om vækst i euroområdet</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understreger, at ECB's </w:t>
            </w:r>
            <w:r>
              <w:rPr>
                <w:b/>
                <w:i/>
              </w:rPr>
              <w:t>opkøbsprogrammer er ukonventionelle politikker, der økonomisk set udgør monetær finansiering, hvilket er forbudt i henhold til artikel 123, stk. 1, i TEUF, hvis ECB ikke nedbringer sin balance;</w:t>
            </w:r>
            <w:r>
              <w:t xml:space="preserve"> </w:t>
            </w:r>
            <w:r>
              <w:rPr>
                <w:b/>
                <w:i/>
              </w:rPr>
              <w:t>opfordrer derfor ECB til gradvist at reducere størrelsen af sin balance</w:t>
            </w:r>
            <w:r>
              <w:t>;</w:t>
            </w:r>
          </w:p>
        </w:tc>
        <w:tc>
          <w:tcPr>
            <w:tcW w:w="4876" w:type="dxa"/>
            <w:tcBorders>
              <w:top w:val="nil"/>
              <w:left w:val="nil"/>
              <w:bottom w:val="nil"/>
              <w:right w:val="nil"/>
            </w:tcBorders>
          </w:tcPr>
          <w:p>
            <w:pPr>
              <w:pStyle w:val="Normal6a"/>
            </w:pPr>
            <w:r>
              <w:t>17.</w:t>
            </w:r>
            <w:r>
              <w:tab/>
            </w:r>
            <w:r>
              <w:t xml:space="preserve">understreger, at ECB's </w:t>
            </w:r>
            <w:r>
              <w:rPr>
                <w:b/>
                <w:i/>
              </w:rPr>
              <w:t>opkøbssprogrammer er juridisk gyldige, som fastslået af EU-Domstolen;</w:t>
            </w:r>
            <w:r>
              <w:t xml:space="preserve"> </w:t>
            </w:r>
            <w:r>
              <w:rPr>
                <w:b/>
                <w:i/>
              </w:rPr>
              <w:t>bemærker, at programmer for opkøb af aktiver var nødvendige i betragtning af den pengepolitiske transmission, da rentesatserne faldt til nul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understreger, at ECB's opkøbsprogrammer er ukonventionelle politikker, der økonomisk set udgør monetær finansiering, hvilket er forbudt i henhold til artikel 123, stk. 1, i TEUF, hvis ECB ikke nedbringer sin balance; opfordrer derfor ECB til gradvist at reducere størrelsen af sin balance;</w:t>
            </w:r>
          </w:p>
        </w:tc>
        <w:tc>
          <w:tcPr>
            <w:tcW w:w="4876" w:type="dxa"/>
            <w:tcBorders>
              <w:top w:val="nil"/>
              <w:left w:val="nil"/>
              <w:bottom w:val="nil"/>
              <w:right w:val="nil"/>
            </w:tcBorders>
          </w:tcPr>
          <w:p>
            <w:pPr>
              <w:pStyle w:val="Normal6a"/>
            </w:pPr>
            <w:r>
              <w:t>17.</w:t>
            </w:r>
            <w:r>
              <w:tab/>
            </w:r>
            <w:r>
              <w:t xml:space="preserve">understreger, at ECB's opkøbsprogrammer er ukonventionelle politikker, der økonomisk set udgør monetær finansiering, hvilket er forbudt i henhold til artikel 123, stk. 1, i TEUF, hvis ECB ikke nedbringer sin balance; opfordrer derfor ECB til gradvist at reducere størrelsen af sin balance </w:t>
            </w:r>
            <w:r>
              <w:rPr>
                <w:b/>
                <w:i/>
              </w:rPr>
              <w:t>og til i sidste ende permanent at afslutte opkøbsprogrammerne;</w:t>
            </w:r>
            <w:r>
              <w:t xml:space="preserve"> </w:t>
            </w:r>
            <w:r>
              <w:rPr>
                <w:b/>
                <w:i/>
              </w:rPr>
              <w:t>opfordrer ECB til at dele viden om opkøbsprogrammernes indvirkning på de finansielle markeders funktion, herunder indvirkningen på pensionsfonde og pensionsforsikringssamarbejdet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Evelyn Regner, René Repasi, Irene Tinagli,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understreger, at ECB's opkøbsprogrammer er ukonventionelle politikker, der økonomisk set udgør monetær finansiering, hvilket er forbudt i henhold til artikel 123, stk. 1, i TEUF, hvis ECB ikke nedbringer sin balance; opfordrer derfor ECB til </w:t>
            </w:r>
            <w:r>
              <w:rPr>
                <w:b/>
                <w:i/>
              </w:rPr>
              <w:t>gradvist</w:t>
            </w:r>
            <w:r>
              <w:t xml:space="preserve"> at reducere størrelsen af sin balance;</w:t>
            </w:r>
          </w:p>
        </w:tc>
        <w:tc>
          <w:tcPr>
            <w:tcW w:w="4876" w:type="dxa"/>
            <w:tcBorders>
              <w:top w:val="nil"/>
              <w:left w:val="nil"/>
              <w:bottom w:val="nil"/>
              <w:right w:val="nil"/>
            </w:tcBorders>
          </w:tcPr>
          <w:p>
            <w:pPr>
              <w:pStyle w:val="Normal6a"/>
            </w:pPr>
            <w:r>
              <w:t>17.</w:t>
            </w:r>
            <w:r>
              <w:tab/>
            </w:r>
            <w:r>
              <w:t xml:space="preserve">understreger, at ECB's opkøbsprogrammer er ukonventionelle politikker, der økonomisk set udgør monetær finansiering, hvilket er forbudt i henhold til artikel 123, stk. 1, i TEUF, hvis ECB ikke nedbringer sin balance; opfordrer derfor ECB til </w:t>
            </w:r>
            <w:r>
              <w:rPr>
                <w:b/>
                <w:i/>
              </w:rPr>
              <w:t>fortsat</w:t>
            </w:r>
            <w:r>
              <w:t xml:space="preserve"> at reducere størrelsen af sin balance;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understreger, at ECB's opkøbsprogrammer er ukonventionelle politikker, der økonomisk set udgør monetær finansiering, hvilket er forbudt i henhold til artikel 123, stk. 1, i TEUF, hvis ECB ikke nedbringer sin balance; opfordrer derfor ECB til gradvist at reducere størrelsen af sin balance;</w:t>
            </w:r>
          </w:p>
        </w:tc>
        <w:tc>
          <w:tcPr>
            <w:tcW w:w="4876" w:type="dxa"/>
            <w:tcBorders>
              <w:top w:val="nil"/>
              <w:left w:val="nil"/>
              <w:bottom w:val="nil"/>
              <w:right w:val="nil"/>
            </w:tcBorders>
          </w:tcPr>
          <w:p>
            <w:pPr>
              <w:pStyle w:val="Normal6a"/>
            </w:pPr>
            <w:r>
              <w:t>17.</w:t>
            </w:r>
            <w:r>
              <w:tab/>
            </w:r>
            <w:r>
              <w:t xml:space="preserve">understreger, at ECB's opkøbsprogrammer er ukonventionelle politikker, der økonomisk set udgør monetær finansiering, hvilket er forbudt i henhold til artikel 123, stk. 1, i TEUF, hvis ECB ikke nedbringer sin balance; opfordrer derfor ECB til gradvist at reducere størrelsen af sin balance </w:t>
            </w:r>
            <w:r>
              <w:rPr>
                <w:b/>
                <w:i/>
              </w:rPr>
              <w:t>til nul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påpeger, at ECB nu er langt den største kreditor for landene i euroområdet;</w:t>
            </w:r>
            <w:r>
              <w:t xml:space="preserve"> </w:t>
            </w:r>
            <w:r>
              <w:rPr>
                <w:b/>
                <w:i/>
              </w:rPr>
              <w:t>opfordrer ECB til at sætte en stopper for denne form for monetær kannibalisme;</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18.</w:t>
            </w:r>
            <w:r>
              <w:tab/>
            </w:r>
            <w:r>
              <w:rPr>
                <w:b/>
                <w:i/>
              </w:rPr>
              <w:t>beklager oprettelsen af instrumentet til beskyttelse af den pengepolitiske transmission (TPI) i juli 2022;</w:t>
            </w:r>
            <w:r>
              <w:t xml:space="preserve"> </w:t>
            </w:r>
            <w:r>
              <w:rPr>
                <w:b/>
                <w:i/>
              </w:rPr>
              <w:t>opfordrer ECB til at respektere ikke blot det retlige forbud mod monetær finansiering, men også dets økonomiske betydning;</w:t>
            </w:r>
            <w:r>
              <w:t xml:space="preserve"> </w:t>
            </w:r>
            <w:r>
              <w:rPr>
                <w:b/>
                <w:i/>
              </w:rPr>
              <w:t>understreger i denne forbindelse, at selektivt opkøb af statsgæld udgør monetær finansiering af en EU-medlemsstat;</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Gilles Boyer, Stéphanie Yon-Courtin, Pascal Canfin, Billy Kelleher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18.</w:t>
            </w:r>
            <w:r>
              <w:tab/>
            </w:r>
            <w:r>
              <w:rPr>
                <w:b/>
                <w:i/>
              </w:rPr>
              <w:t>beklager oprettelsen af instrumentet til beskyttelse af den pengepolitiske transmission (TPI) i juli 2022;</w:t>
            </w:r>
            <w:r>
              <w:t xml:space="preserve"> </w:t>
            </w:r>
            <w:r>
              <w:rPr>
                <w:b/>
                <w:i/>
              </w:rPr>
              <w:t>opfordrer ECB til at respektere ikke blot det retlige forbud mod monetær finansiering, men også dets økonomiske betydning;</w:t>
            </w:r>
            <w:r>
              <w:t xml:space="preserve"> </w:t>
            </w:r>
            <w:r>
              <w:rPr>
                <w:b/>
                <w:i/>
              </w:rPr>
              <w:t>understreger i denne forbindelse, at selektivt opkøb af statsgæld udgør monetær finansiering af en EU-medlemsstat;</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rPr>
                <w:b/>
                <w:i/>
              </w:rPr>
              <w:t>beklager</w:t>
            </w:r>
            <w:r>
              <w:t xml:space="preserve"> oprettelsen af instrumentet til beskyttelse af den pengepolitiske transmission (TPI) </w:t>
            </w:r>
            <w:r>
              <w:rPr>
                <w:b/>
                <w:i/>
              </w:rPr>
              <w:t>i juli 2022;</w:t>
            </w:r>
            <w:r>
              <w:t xml:space="preserve"> </w:t>
            </w:r>
            <w:r>
              <w:rPr>
                <w:b/>
                <w:i/>
              </w:rPr>
              <w:t>opfordrer ECB til at respektere ikke blot det retlige forbud mod monetær finansiering, men også dets økonomiske betydning;</w:t>
            </w:r>
            <w:r>
              <w:t xml:space="preserve"> </w:t>
            </w:r>
            <w:r>
              <w:rPr>
                <w:b/>
                <w:i/>
              </w:rPr>
              <w:t>understreger i denne forbindelse, at selektivt opkøb af statsgæld udgør monetær finansiering af en EU-medlemsstat</w:t>
            </w:r>
            <w:r>
              <w:t>;</w:t>
            </w:r>
          </w:p>
        </w:tc>
        <w:tc>
          <w:tcPr>
            <w:tcW w:w="4876" w:type="dxa"/>
            <w:tcBorders>
              <w:top w:val="nil"/>
              <w:left w:val="nil"/>
              <w:bottom w:val="nil"/>
              <w:right w:val="nil"/>
            </w:tcBorders>
          </w:tcPr>
          <w:p>
            <w:pPr>
              <w:pStyle w:val="Normal6a"/>
            </w:pPr>
            <w:r>
              <w:t>18.</w:t>
            </w:r>
            <w:r>
              <w:tab/>
            </w:r>
            <w:r>
              <w:rPr>
                <w:b/>
                <w:i/>
              </w:rPr>
              <w:t>glæder sig over</w:t>
            </w:r>
            <w:r>
              <w:t xml:space="preserve"> oprettelsen </w:t>
            </w:r>
            <w:r>
              <w:rPr>
                <w:b/>
                <w:i/>
              </w:rPr>
              <w:t>i juli 2022</w:t>
            </w:r>
            <w:r>
              <w:t xml:space="preserve"> af instrumentet til beskyttelse af den pengepolitiske transmission (TPI)</w:t>
            </w:r>
            <w:r>
              <w:rPr>
                <w:b/>
                <w:i/>
              </w:rPr>
              <w:t>, som gør det muligt at sikre en korrekt transmission af pengepolitikken i hvert enkelt ØMU-land og dermed undgå yderligere risici for fragmentering i tider med finansiel stress, der fører til, at værdiansættelser af aktiver bevæger sig væk fra deres kerneværdier;</w:t>
            </w:r>
            <w:r>
              <w:t xml:space="preserve"> </w:t>
            </w:r>
            <w:r>
              <w:rPr>
                <w:b/>
                <w:i/>
              </w:rPr>
              <w:t>minder om, at anvendelsen af dette instrument er betinget af streng overholdelse af finanspolitiske regler, finanspolitisk holdbarhed, fravær af makroøkonomiske ubalancer og bæredygtige makroøkonomiske politikker</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rPr>
                <w:b/>
                <w:i/>
              </w:rPr>
              <w:t>beklager</w:t>
            </w:r>
            <w:r>
              <w:t xml:space="preserve"> oprettelsen af instrumentet til beskyttelse af den pengepolitiske transmission (TPI) i juli 2022; </w:t>
            </w:r>
            <w:r>
              <w:rPr>
                <w:b/>
                <w:i/>
              </w:rPr>
              <w:t>opfordrer ECB til at respektere ikke blot det retlige forbud mod monetær finansiering, men også dets økonomiske betydning;</w:t>
            </w:r>
            <w:r>
              <w:t xml:space="preserve"> </w:t>
            </w:r>
            <w:r>
              <w:rPr>
                <w:b/>
                <w:i/>
              </w:rPr>
              <w:t>understreger i denne forbindelse, at selektivt opkøb af statsgæld udgør monetær finansiering af en EU-medlemsstat;</w:t>
            </w:r>
          </w:p>
        </w:tc>
        <w:tc>
          <w:tcPr>
            <w:tcW w:w="4876" w:type="dxa"/>
            <w:tcBorders>
              <w:top w:val="nil"/>
              <w:left w:val="nil"/>
              <w:bottom w:val="nil"/>
              <w:right w:val="nil"/>
            </w:tcBorders>
          </w:tcPr>
          <w:p>
            <w:pPr>
              <w:pStyle w:val="Normal6a"/>
            </w:pPr>
            <w:r>
              <w:t>18.</w:t>
            </w:r>
            <w:r>
              <w:tab/>
            </w:r>
            <w:r>
              <w:rPr>
                <w:b/>
                <w:i/>
              </w:rPr>
              <w:t>glæder sig over</w:t>
            </w:r>
            <w:r>
              <w:t xml:space="preserve"> oprettelsen af instrumentet til beskyttelse af den pengepolitiske transmission (TPI) i juli 2022;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rPr>
                <w:b/>
                <w:i/>
              </w:rPr>
              <w:t>beklager</w:t>
            </w:r>
            <w:r>
              <w:t xml:space="preserve"> oprettelsen af instrumentet til beskyttelse af den pengepolitiske transmission (TPI) i juli 2022; </w:t>
            </w:r>
            <w:r>
              <w:rPr>
                <w:b/>
                <w:i/>
              </w:rPr>
              <w:t>opfordrer ECB til at respektere ikke blot det retlige forbud mod monetær finansiering, men også dets økonomiske betydning;</w:t>
            </w:r>
            <w:r>
              <w:t xml:space="preserve"> </w:t>
            </w:r>
            <w:r>
              <w:rPr>
                <w:b/>
                <w:i/>
              </w:rPr>
              <w:t>understreger i denne forbindelse, at selektivt opkøb af statsgæld udgør monetær finansiering af en EU-medlemsstat;</w:t>
            </w:r>
          </w:p>
        </w:tc>
        <w:tc>
          <w:tcPr>
            <w:tcW w:w="4876" w:type="dxa"/>
            <w:tcBorders>
              <w:top w:val="nil"/>
              <w:left w:val="nil"/>
              <w:bottom w:val="nil"/>
              <w:right w:val="nil"/>
            </w:tcBorders>
          </w:tcPr>
          <w:p>
            <w:pPr>
              <w:pStyle w:val="Normal6a"/>
            </w:pPr>
            <w:r>
              <w:t>18.</w:t>
            </w:r>
            <w:r>
              <w:tab/>
            </w:r>
            <w:r>
              <w:rPr>
                <w:b/>
                <w:i/>
              </w:rPr>
              <w:t>støtter</w:t>
            </w:r>
            <w:r>
              <w:t xml:space="preserve"> oprettelsen af instrumentet til beskyttelse af den pengepolitiske transmission (TPI) i juli 2022;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rPr>
                <w:b/>
                <w:i/>
              </w:rPr>
              <w:t>beklager oprettelsen af instrumentet til beskyttelse af den pengepolitiske transmission (TPI) i juli 2022;</w:t>
            </w:r>
            <w:r>
              <w:t xml:space="preserve"> </w:t>
            </w:r>
            <w:r>
              <w:rPr>
                <w:b/>
                <w:i/>
              </w:rPr>
              <w:t>opfordrer ECB til at respektere ikke blot det retlige forbud mod monetær finansiering, men også dets økonomiske betydning;</w:t>
            </w:r>
            <w:r>
              <w:t xml:space="preserve"> </w:t>
            </w:r>
            <w:r>
              <w:rPr>
                <w:b/>
                <w:i/>
              </w:rPr>
              <w:t>understreger i denne</w:t>
            </w:r>
            <w:r>
              <w:t xml:space="preserve"> forbindelse</w:t>
            </w:r>
            <w:r>
              <w:rPr>
                <w:b/>
                <w:i/>
              </w:rPr>
              <w:t>, at selektivt opkøb af statsgæld udgør monetær finansiering af en EU-medlemsstat</w:t>
            </w:r>
            <w:r>
              <w:t>;</w:t>
            </w:r>
          </w:p>
        </w:tc>
        <w:tc>
          <w:tcPr>
            <w:tcW w:w="4876" w:type="dxa"/>
            <w:tcBorders>
              <w:top w:val="nil"/>
              <w:left w:val="nil"/>
              <w:bottom w:val="nil"/>
              <w:right w:val="nil"/>
            </w:tcBorders>
          </w:tcPr>
          <w:p>
            <w:pPr>
              <w:pStyle w:val="Normal6a"/>
            </w:pPr>
            <w:r>
              <w:t>18.</w:t>
            </w:r>
            <w:r>
              <w:tab/>
            </w:r>
            <w:r>
              <w:rPr>
                <w:b/>
                <w:i/>
              </w:rPr>
              <w:t>understreger, at en konsekvent transmission af pengepolitikken er afgørende for opfyldelsen af ECB's mandat vedrørende prisstabilitet;</w:t>
            </w:r>
            <w:r>
              <w:t xml:space="preserve"> </w:t>
            </w:r>
            <w:r>
              <w:rPr>
                <w:b/>
                <w:i/>
              </w:rPr>
              <w:t>understreger, at for store afvigelser i afkast af statsobligationer skaber kreditforhold, som ikke er forenelige med en konsekvent transmission af pengepolitikken, og gør det vanskeligt at reducere statsgæld;</w:t>
            </w:r>
            <w:r>
              <w:t xml:space="preserve"> </w:t>
            </w:r>
            <w:r>
              <w:rPr>
                <w:b/>
                <w:i/>
              </w:rPr>
              <w:t>glæder sig i den</w:t>
            </w:r>
            <w:r>
              <w:t xml:space="preserve"> forbindelse </w:t>
            </w:r>
            <w:r>
              <w:rPr>
                <w:b/>
                <w:i/>
              </w:rPr>
              <w:t>over lanceringen af instrumentet til beskyttelse af den pengepolitiske transmission for at støtte en effektiv transmission af pengepolitikken i hele euroområdet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Johan Van Overtveldt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beklager oprettelsen af instrumentet til beskyttelse af den pengepolitiske transmission (TPI) i juli 2022; opfordrer ECB til at respektere ikke blot det retlige forbud mod monetær finansiering, men også dets økonomiske betydning; understreger i denne forbindelse, at selektivt opkøb af statsgæld udgør monetær finansiering af en EU-medlemsstat;</w:t>
            </w:r>
          </w:p>
        </w:tc>
        <w:tc>
          <w:tcPr>
            <w:tcW w:w="4876" w:type="dxa"/>
            <w:tcBorders>
              <w:top w:val="nil"/>
              <w:left w:val="nil"/>
              <w:bottom w:val="nil"/>
              <w:right w:val="nil"/>
            </w:tcBorders>
          </w:tcPr>
          <w:p>
            <w:pPr>
              <w:pStyle w:val="Normal6a"/>
            </w:pPr>
            <w:r>
              <w:t>18.</w:t>
            </w:r>
            <w:r>
              <w:tab/>
            </w:r>
            <w:r>
              <w:t xml:space="preserve">beklager oprettelsen af instrumentet til beskyttelse af den pengepolitiske transmission (TPI) i juli 2022; opfordrer ECB til at respektere ikke blot det retlige forbud mod monetær finansiering, men også dets økonomiske betydning; understreger i denne forbindelse, at selektivt opkøb af statsgæld udgør monetær finansiering af en EU-medlemsstat; </w:t>
            </w:r>
            <w:r>
              <w:rPr>
                <w:b/>
                <w:i/>
              </w:rPr>
              <w:t>advarer om, at TPI, hvis den aktiveres, vil rejse betydelige spørgsmål om politisk konditionalitet, der kan fremkalde finansiel ustabilitet i stedet for at dæmpe 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rPr>
                <w:b/>
                <w:i/>
              </w:rPr>
              <w:t>beklager</w:t>
            </w:r>
            <w:r>
              <w:t xml:space="preserve"> oprettelsen af instrumentet til beskyttelse af den pengepolitiske transmission (TPI) i juli 2022; opfordrer ECB til at </w:t>
            </w:r>
            <w:r>
              <w:rPr>
                <w:b/>
                <w:i/>
              </w:rPr>
              <w:t>respektere ikke blot det retlige forbud mod monetær finansiering, men også dets økonomiske betydning;</w:t>
            </w:r>
            <w:r>
              <w:t xml:space="preserve"> </w:t>
            </w:r>
            <w:r>
              <w:rPr>
                <w:b/>
                <w:i/>
              </w:rPr>
              <w:t>understreger i denne forbindelse, at selektivt opkøb af statsgæld udgør monetær finansiering af en EU-medlemsstat</w:t>
            </w:r>
            <w:r>
              <w:t>;</w:t>
            </w:r>
          </w:p>
        </w:tc>
        <w:tc>
          <w:tcPr>
            <w:tcW w:w="4876" w:type="dxa"/>
            <w:tcBorders>
              <w:top w:val="nil"/>
              <w:left w:val="nil"/>
              <w:bottom w:val="nil"/>
              <w:right w:val="nil"/>
            </w:tcBorders>
          </w:tcPr>
          <w:p>
            <w:pPr>
              <w:pStyle w:val="Normal6a"/>
            </w:pPr>
            <w:r>
              <w:t>18.</w:t>
            </w:r>
            <w:r>
              <w:tab/>
            </w:r>
            <w:r>
              <w:rPr>
                <w:b/>
                <w:i/>
              </w:rPr>
              <w:t>noterer sig</w:t>
            </w:r>
            <w:r>
              <w:t xml:space="preserve"> oprettelsen af instrumentet til beskyttelse af den pengepolitiske transmission (TPI) i juli 2022; opfordrer ECB til at </w:t>
            </w:r>
            <w:r>
              <w:rPr>
                <w:b/>
                <w:i/>
              </w:rPr>
              <w:t>anvende systemet til opkøb af aktiver inden for rammerne af et omfattende program til harmonisering af den monetære stabilitet i euroområdet</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rPr>
                <w:b/>
                <w:i/>
              </w:rPr>
              <w:t>beklager oprettelsen af</w:t>
            </w:r>
            <w:r>
              <w:t xml:space="preserve"> instrumentet til beskyttelse af den pengepolitiske transmission (TPI) </w:t>
            </w:r>
            <w:r>
              <w:rPr>
                <w:b/>
                <w:i/>
              </w:rPr>
              <w:t>i juli 2022;</w:t>
            </w:r>
            <w:r>
              <w:t xml:space="preserve"> </w:t>
            </w:r>
            <w:r>
              <w:rPr>
                <w:b/>
                <w:i/>
              </w:rPr>
              <w:t>opfordrer ECB til at respektere ikke blot det retlige forbud mod monetær finansiering, men også dets økonomiske betydning;</w:t>
            </w:r>
            <w:r>
              <w:t xml:space="preserve"> </w:t>
            </w:r>
            <w:r>
              <w:rPr>
                <w:b/>
                <w:i/>
              </w:rPr>
              <w:t>understreger i denne forbindelse, at selektivt opkøb af statsgæld udgør monetær finansiering af en EU-medlemsstat</w:t>
            </w:r>
            <w:r>
              <w:t>;</w:t>
            </w:r>
          </w:p>
        </w:tc>
        <w:tc>
          <w:tcPr>
            <w:tcW w:w="4876" w:type="dxa"/>
            <w:tcBorders>
              <w:top w:val="nil"/>
              <w:left w:val="nil"/>
              <w:bottom w:val="nil"/>
              <w:right w:val="nil"/>
            </w:tcBorders>
          </w:tcPr>
          <w:p>
            <w:pPr>
              <w:pStyle w:val="Normal6a"/>
            </w:pPr>
            <w:r>
              <w:t>18.</w:t>
            </w:r>
            <w:r>
              <w:tab/>
            </w:r>
            <w:r>
              <w:rPr>
                <w:b/>
                <w:i/>
              </w:rPr>
              <w:t>understreger, at</w:t>
            </w:r>
            <w:r>
              <w:t xml:space="preserve"> instrumentet til beskyttelse af den pengepolitiske transmission (TPI) </w:t>
            </w:r>
            <w:r>
              <w:rPr>
                <w:b/>
                <w:i/>
              </w:rPr>
              <w:t>er afgørende for at sikre transmissionen af ECB's pengepolitik i hele euroområdet, således at ECB effektivt kan opfylde sit mandat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rPr>
                <w:b/>
                <w:i/>
              </w:rPr>
              <w:t>beklager</w:t>
            </w:r>
            <w:r>
              <w:t xml:space="preserve"> oprettelsen af instrumentet til beskyttelse af den pengepolitiske transmission (TPI) i juli 2022; opfordrer ECB til </w:t>
            </w:r>
            <w:r>
              <w:rPr>
                <w:b/>
                <w:i/>
              </w:rPr>
              <w:t>at respektere ikke blot</w:t>
            </w:r>
            <w:r>
              <w:t xml:space="preserve"> det retlige forbud mod monetær finansiering</w:t>
            </w:r>
            <w:r>
              <w:rPr>
                <w:b/>
                <w:i/>
              </w:rPr>
              <w:t>, men også dets økonomiske betydning;</w:t>
            </w:r>
            <w:r>
              <w:t xml:space="preserve"> </w:t>
            </w:r>
            <w:r>
              <w:rPr>
                <w:b/>
                <w:i/>
              </w:rPr>
              <w:t>understreger i denne forbindelse, at selektivt opkøb af statsgæld udgør monetær finansiering af en EU-medlemsstat</w:t>
            </w:r>
            <w:r>
              <w:t>;</w:t>
            </w:r>
          </w:p>
        </w:tc>
        <w:tc>
          <w:tcPr>
            <w:tcW w:w="4876" w:type="dxa"/>
            <w:tcBorders>
              <w:top w:val="nil"/>
              <w:left w:val="nil"/>
              <w:bottom w:val="nil"/>
              <w:right w:val="nil"/>
            </w:tcBorders>
          </w:tcPr>
          <w:p>
            <w:pPr>
              <w:pStyle w:val="Normal6a"/>
            </w:pPr>
            <w:r>
              <w:t>18.</w:t>
            </w:r>
            <w:r>
              <w:tab/>
            </w:r>
            <w:r>
              <w:rPr>
                <w:b/>
                <w:i/>
              </w:rPr>
              <w:t>anerkender</w:t>
            </w:r>
            <w:r>
              <w:t xml:space="preserve"> oprettelsen af instrumentet til beskyttelse af den pengepolitiske transmission (TPI) i juli 2022 </w:t>
            </w:r>
            <w:r>
              <w:rPr>
                <w:b/>
                <w:i/>
              </w:rPr>
              <w:t>som et redskab til at håndtere pludselig markedsfragmentering</w:t>
            </w:r>
            <w:r>
              <w:t xml:space="preserve">; opfordrer ECB til </w:t>
            </w:r>
            <w:r>
              <w:rPr>
                <w:b/>
                <w:i/>
              </w:rPr>
              <w:t>fortsat at opretholde</w:t>
            </w:r>
            <w:r>
              <w:t xml:space="preserve"> det retlige forbud mod monetær finansiering </w:t>
            </w:r>
            <w:r>
              <w:rPr>
                <w:b/>
                <w:i/>
              </w:rPr>
              <w:t>og sikre, at dens operationer opretholder markedsneutralitet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19.</w:t>
            </w:r>
            <w:r>
              <w:tab/>
            </w:r>
            <w:r>
              <w:rPr>
                <w:b/>
                <w:i/>
              </w:rPr>
              <w:t>understreger, at forskellige rentesatser i euroområdet generelt skyldes forskellige risikopræmier på statsobligationer;</w:t>
            </w:r>
            <w:r>
              <w:t xml:space="preserve"> </w:t>
            </w:r>
            <w:r>
              <w:rPr>
                <w:b/>
                <w:i/>
              </w:rPr>
              <w:t>understreger, at opkøb under TPI blot ville skjule symptomerne på en løs finanspolitik;</w:t>
            </w:r>
            <w:r>
              <w:t xml:space="preserve"> </w:t>
            </w:r>
            <w:r>
              <w:rPr>
                <w:b/>
                <w:i/>
              </w:rPr>
              <w:t>opfordrer medlemsstaterne til at føre ansvarlige finanspolitikker og sikre bæredygtige gældsniveauer;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19.</w:t>
            </w:r>
            <w:r>
              <w:tab/>
            </w:r>
            <w:r>
              <w:rPr>
                <w:b/>
                <w:i/>
              </w:rPr>
              <w:t>understreger, at forskellige rentesatser i euroområdet generelt skyldes forskellige risikopræmier på statsobligationer;</w:t>
            </w:r>
            <w:r>
              <w:t xml:space="preserve"> </w:t>
            </w:r>
            <w:r>
              <w:rPr>
                <w:b/>
                <w:i/>
              </w:rPr>
              <w:t>understreger, at opkøb under TPI blot ville skjule symptomerne på en løs finanspolitik;</w:t>
            </w:r>
            <w:r>
              <w:t xml:space="preserve"> </w:t>
            </w:r>
            <w:r>
              <w:rPr>
                <w:b/>
                <w:i/>
              </w:rPr>
              <w:t>opfordrer medlemsstaterne til at føre ansvarlige finanspolitikker og sikre bæredygtige gældsniveauer;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understreger, at forskellige rentesatser i euroområdet generelt </w:t>
            </w:r>
            <w:r>
              <w:rPr>
                <w:b/>
                <w:i/>
              </w:rPr>
              <w:t>skyldes forskellige risikopræmier på statsobligationer;</w:t>
            </w:r>
            <w:r>
              <w:t xml:space="preserve"> </w:t>
            </w:r>
            <w:r>
              <w:rPr>
                <w:b/>
                <w:i/>
              </w:rPr>
              <w:t>understreger, at opkøb under TPI blot ville skjule symptomerne på en løs finanspolitik</w:t>
            </w:r>
            <w:r>
              <w:t>; opfordrer medlemsstaterne til at føre ansvarlige finanspolitikker og sikre bæredygtige gældsniveauer;</w:t>
            </w:r>
          </w:p>
        </w:tc>
        <w:tc>
          <w:tcPr>
            <w:tcW w:w="4876" w:type="dxa"/>
            <w:tcBorders>
              <w:top w:val="nil"/>
              <w:left w:val="nil"/>
              <w:bottom w:val="nil"/>
              <w:right w:val="nil"/>
            </w:tcBorders>
          </w:tcPr>
          <w:p>
            <w:pPr>
              <w:pStyle w:val="Normal6a"/>
            </w:pPr>
            <w:r>
              <w:t>19.</w:t>
            </w:r>
            <w:r>
              <w:tab/>
            </w:r>
            <w:r>
              <w:t xml:space="preserve">understreger, at forskellige rentesatser i euroområdet generelt </w:t>
            </w:r>
            <w:r>
              <w:rPr>
                <w:b/>
                <w:i/>
              </w:rPr>
              <w:t>- hvis der ikke foreligger alvorlige finansielle forstyrrelser - skyldes forskellige risikopræmier på statsobligationer</w:t>
            </w:r>
            <w:r>
              <w:t>; opfordrer medlemsstaterne til at føre ansvarlige finanspolitikker og sikre bæredygtige gældsniveauer;</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Gilles Boyer, Stéphanie Yon-Courtin, Pascal Canfin, Billy Kelleher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understreger, at forskellige rentesatser i euroområdet generelt skyldes forskellige risikopræmier på statsobligationer; </w:t>
            </w:r>
            <w:r>
              <w:rPr>
                <w:b/>
                <w:i/>
              </w:rPr>
              <w:t>understreger, at opkøb under TPI blot ville skjule symptomerne på en løs finanspolitik;</w:t>
            </w:r>
            <w:r>
              <w:t xml:space="preserve"> opfordrer medlemsstaterne til at føre ansvarlige finanspolitikker og sikre bæredygtige gældsniveauer;</w:t>
            </w:r>
          </w:p>
        </w:tc>
        <w:tc>
          <w:tcPr>
            <w:tcW w:w="4876" w:type="dxa"/>
            <w:tcBorders>
              <w:top w:val="nil"/>
              <w:left w:val="nil"/>
              <w:bottom w:val="nil"/>
              <w:right w:val="nil"/>
            </w:tcBorders>
          </w:tcPr>
          <w:p>
            <w:pPr>
              <w:pStyle w:val="Normal6a"/>
            </w:pPr>
            <w:r>
              <w:t>19.</w:t>
            </w:r>
            <w:r>
              <w:tab/>
            </w:r>
            <w:r>
              <w:t>understreger, at forskellige rentesatser i euroområdet generelt skyldes forskellige risikopræmier på statsobligationer; opfordrer medlemsstaterne til at føre ansvarlige finanspolitikker og sikre bæredygtige gældsniveauer;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understreger, at forskellige rentesatser i euroområdet generelt skyldes forskellige risikopræmier på statsobligationer; understreger, at opkøb under TPI blot ville skjule symptomerne på en løs finanspolitik; opfordrer medlemsstaterne til at føre ansvarlige finanspolitikker og sikre bæredygtige gældsniveauer;</w:t>
            </w:r>
          </w:p>
        </w:tc>
        <w:tc>
          <w:tcPr>
            <w:tcW w:w="4876" w:type="dxa"/>
            <w:tcBorders>
              <w:top w:val="nil"/>
              <w:left w:val="nil"/>
              <w:bottom w:val="nil"/>
              <w:right w:val="nil"/>
            </w:tcBorders>
          </w:tcPr>
          <w:p>
            <w:pPr>
              <w:pStyle w:val="Normal6a"/>
            </w:pPr>
            <w:r>
              <w:t>19.</w:t>
            </w:r>
            <w:r>
              <w:tab/>
            </w:r>
            <w:r>
              <w:t>understreger, at forskellige rentesatser i euroområdet generelt skyldes forskellige risikopræmier på statsobligationer</w:t>
            </w:r>
            <w:r>
              <w:rPr>
                <w:b/>
                <w:i/>
              </w:rPr>
              <w:t>, som afspejler forskellige finanspolitiske strategier</w:t>
            </w:r>
            <w:r>
              <w:t>; understreger, at opkøb under TPI blot ville skjule symptomerne på en løs finanspolitik; opfordrer medlemsstaterne til at føre ansvarlige finanspolitikker og sikre bæredygtige gældsniveauer;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understreger, at forskellige rentesatser i euroområdet generelt skyldes forskellige risikopræmier på statsobligationer; understreger, at opkøb under TPI </w:t>
            </w:r>
            <w:r>
              <w:rPr>
                <w:b/>
                <w:i/>
              </w:rPr>
              <w:t>blot ville skjule symptomerne på en løs finanspolitik;</w:t>
            </w:r>
            <w:r>
              <w:t xml:space="preserve"> </w:t>
            </w:r>
            <w:r>
              <w:rPr>
                <w:b/>
                <w:i/>
              </w:rPr>
              <w:t>opfordrer medlemsstaterne til at føre ansvarlige finanspolitikker og sikre bæredygtige gældsniveauer</w:t>
            </w:r>
            <w:r>
              <w:t>;</w:t>
            </w:r>
          </w:p>
        </w:tc>
        <w:tc>
          <w:tcPr>
            <w:tcW w:w="4876" w:type="dxa"/>
            <w:tcBorders>
              <w:top w:val="nil"/>
              <w:left w:val="nil"/>
              <w:bottom w:val="nil"/>
              <w:right w:val="nil"/>
            </w:tcBorders>
          </w:tcPr>
          <w:p>
            <w:pPr>
              <w:pStyle w:val="Normal6a"/>
            </w:pPr>
            <w:r>
              <w:t>19.</w:t>
            </w:r>
            <w:r>
              <w:tab/>
            </w:r>
            <w:r>
              <w:t xml:space="preserve">understreger, at forskellige rentesatser i euroområdet generelt skyldes forskellige risikopræmier på statsobligationer; understreger, at opkøb under TPI </w:t>
            </w:r>
            <w:r>
              <w:rPr>
                <w:b/>
                <w:i/>
              </w:rPr>
              <w:t>bør anvendes til at håndtere stress på de finansielle markeder og panik, der ikke har noget at gøre med grundlæggende økonomiske forhold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Auke Zijlstra, Enikő Győri,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understreger, at forskellige rentesatser i euroområdet generelt skyldes forskellige risikopræmier på statsobligationer; understreger, at opkøb under TPI blot ville skjule symptomerne på en løs finanspolitik; opfordrer medlemsstaterne til at føre ansvarlige finanspolitikker og sikre bæredygtige </w:t>
            </w:r>
            <w:r>
              <w:rPr>
                <w:b/>
                <w:i/>
              </w:rPr>
              <w:t>gældsniveauer</w:t>
            </w:r>
            <w:r>
              <w:t>;</w:t>
            </w:r>
          </w:p>
        </w:tc>
        <w:tc>
          <w:tcPr>
            <w:tcW w:w="4876" w:type="dxa"/>
            <w:tcBorders>
              <w:top w:val="nil"/>
              <w:left w:val="nil"/>
              <w:bottom w:val="nil"/>
              <w:right w:val="nil"/>
            </w:tcBorders>
          </w:tcPr>
          <w:p>
            <w:pPr>
              <w:pStyle w:val="Normal6a"/>
            </w:pPr>
            <w:r>
              <w:t>19.</w:t>
            </w:r>
            <w:r>
              <w:tab/>
            </w:r>
            <w:r>
              <w:t xml:space="preserve">understreger, at forskellige rentesatser i euroområdet generelt skyldes forskellige risikopræmier på statsobligationer; understreger, at opkøb under TPI blot ville skjule symptomerne på en løs finanspolitik; opfordrer medlemsstaterne til at føre ansvarlige finanspolitikker og sikre bæredygtige </w:t>
            </w:r>
            <w:r>
              <w:rPr>
                <w:b/>
                <w:i/>
              </w:rPr>
              <w:t>og dermed lavere niveauer af offentlig gæld</w:t>
            </w:r>
            <w:r>
              <w:t>;</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understreger, at forskellige rentesatser i euroområdet generelt skyldes forskellige risikopræmier på statsobligationer; understreger, at </w:t>
            </w:r>
            <w:r>
              <w:rPr>
                <w:b/>
                <w:i/>
              </w:rPr>
              <w:t>opkøb</w:t>
            </w:r>
            <w:r>
              <w:t xml:space="preserve"> under TPI </w:t>
            </w:r>
            <w:r>
              <w:rPr>
                <w:b/>
                <w:i/>
              </w:rPr>
              <w:t>blot ville skjule symptomerne på en løs finanspolitik;</w:t>
            </w:r>
            <w:r>
              <w:t xml:space="preserve"> </w:t>
            </w:r>
            <w:r>
              <w:rPr>
                <w:b/>
                <w:i/>
              </w:rPr>
              <w:t>opfordrer medlemsstaterne til at føre ansvarlige finanspolitikker og sikre bæredygtige gældsniveauer</w:t>
            </w:r>
            <w:r>
              <w:t>;</w:t>
            </w:r>
          </w:p>
        </w:tc>
        <w:tc>
          <w:tcPr>
            <w:tcW w:w="4876" w:type="dxa"/>
            <w:tcBorders>
              <w:top w:val="nil"/>
              <w:left w:val="nil"/>
              <w:bottom w:val="nil"/>
              <w:right w:val="nil"/>
            </w:tcBorders>
          </w:tcPr>
          <w:p>
            <w:pPr>
              <w:pStyle w:val="Normal6a"/>
            </w:pPr>
            <w:r>
              <w:t>19.</w:t>
            </w:r>
            <w:r>
              <w:tab/>
            </w:r>
            <w:r>
              <w:t xml:space="preserve">understreger, at forskellige rentesatser i euroområdet generelt skyldes forskellige risikopræmier på statsobligationer; understreger, at </w:t>
            </w:r>
            <w:r>
              <w:rPr>
                <w:b/>
                <w:i/>
              </w:rPr>
              <w:t>muligheden for at opkøbe</w:t>
            </w:r>
            <w:r>
              <w:t xml:space="preserve"> under TPI </w:t>
            </w:r>
            <w:r>
              <w:rPr>
                <w:b/>
                <w:i/>
              </w:rPr>
              <w:t>skal afkobles fra vurderingen af de enkelte medlemsstaters selvstændige finanspolitikker og bæredygtigheden af deres gæld med henblik på at skabe balance og harmoni i den europæiske økonomi</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understreger, at forskellige rentesatser i euroområdet generelt skyldes forskellige risikopræmier på statsobligationer; </w:t>
            </w:r>
            <w:r>
              <w:rPr>
                <w:b/>
                <w:i/>
              </w:rPr>
              <w:t>understreger, at opkøb under TPI blot ville skjule symptomerne på en løs finanspolitik;</w:t>
            </w:r>
            <w:r>
              <w:t xml:space="preserve"> </w:t>
            </w:r>
            <w:r>
              <w:rPr>
                <w:b/>
                <w:i/>
              </w:rPr>
              <w:t>opfordrer medlemsstaterne til at føre ansvarlige finanspolitikker og sikre bæredygtige gældsniveauer</w:t>
            </w:r>
            <w:r>
              <w:t>;</w:t>
            </w:r>
          </w:p>
        </w:tc>
        <w:tc>
          <w:tcPr>
            <w:tcW w:w="4876" w:type="dxa"/>
            <w:tcBorders>
              <w:top w:val="nil"/>
              <w:left w:val="nil"/>
              <w:bottom w:val="nil"/>
              <w:right w:val="nil"/>
            </w:tcBorders>
          </w:tcPr>
          <w:p>
            <w:pPr>
              <w:pStyle w:val="Normal6a"/>
            </w:pPr>
            <w:r>
              <w:t>19.</w:t>
            </w:r>
            <w:r>
              <w:tab/>
            </w:r>
            <w:r>
              <w:t xml:space="preserve">understreger, at forskellige rentesatser i euroområdet generelt skyldes forskellige risikopræmier på statsobligationer; </w:t>
            </w:r>
            <w:r>
              <w:rPr>
                <w:b/>
                <w:i/>
              </w:rPr>
              <w:t>opfordrer medlemsstaterne til at føre ansvarlige finanspolitikker ved at sikre de nødvendige investeringer, der opbygger deres modstandsdygtighed over for nuværende og fremtidige chok</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understreger, at forskellige rentesatser i euroområdet generelt skyldes forskellige risikopræmier på statsobligationer; </w:t>
            </w:r>
            <w:r>
              <w:rPr>
                <w:b/>
                <w:i/>
              </w:rPr>
              <w:t>understreger, at opkøb under TPI blot ville</w:t>
            </w:r>
            <w:r>
              <w:t xml:space="preserve"> skjule </w:t>
            </w:r>
            <w:r>
              <w:rPr>
                <w:b/>
                <w:i/>
              </w:rPr>
              <w:t>symptomerne på en løs finanspolitik</w:t>
            </w:r>
            <w:r>
              <w:t>; opfordrer medlemsstaterne til at føre ansvarlige finanspolitikker og sikre bæredygtige gældsniveauer;</w:t>
            </w:r>
          </w:p>
        </w:tc>
        <w:tc>
          <w:tcPr>
            <w:tcW w:w="4876" w:type="dxa"/>
            <w:tcBorders>
              <w:top w:val="nil"/>
              <w:left w:val="nil"/>
              <w:bottom w:val="nil"/>
              <w:right w:val="nil"/>
            </w:tcBorders>
          </w:tcPr>
          <w:p>
            <w:pPr>
              <w:pStyle w:val="Normal6a"/>
            </w:pPr>
            <w:r>
              <w:t>19.</w:t>
            </w:r>
            <w:r>
              <w:tab/>
            </w:r>
            <w:r>
              <w:t xml:space="preserve">understreger, at forskellige rentesatser i euroområdet generelt skyldes forskellige risikopræmier på statsobligationer; </w:t>
            </w:r>
            <w:r>
              <w:rPr>
                <w:b/>
                <w:i/>
              </w:rPr>
              <w:t>bemærker, at TPI-interventioner kan</w:t>
            </w:r>
            <w:r>
              <w:t xml:space="preserve"> skjule </w:t>
            </w:r>
            <w:r>
              <w:rPr>
                <w:b/>
                <w:i/>
              </w:rPr>
              <w:t>underliggende finanspolitiske udfordringer</w:t>
            </w:r>
            <w:r>
              <w:t>; opfordrer medlemsstaterne til at føre ansvarlige finanspolitikker og sikre bæredygtige gældsniveauer;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Irene Tinagli, Evelyn Regner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understreger, at medtagelsen af ejerboliger i det harmoniserede forbrugerprisindeks (HICP) er ønskelig af hensyn til både repræsentativitet og sammenlignelighed mellem landene i euroområdet;</w:t>
            </w:r>
            <w:r>
              <w:t xml:space="preserve"> </w:t>
            </w:r>
            <w:r>
              <w:rPr>
                <w:b/>
                <w:i/>
              </w:rPr>
              <w:t>understreger, at den anslåede virkning af at medtage ejerboliger i den årlige HICP-inflation ifølge ECB siden 2011 skulle have ligget på mellem -1,2 og +0,4 procentpoint;</w:t>
            </w:r>
            <w:r>
              <w:t xml:space="preserve"> </w:t>
            </w:r>
            <w:r>
              <w:rPr>
                <w:b/>
                <w:i/>
              </w:rPr>
              <w:t>bemærker imidlertid, at observationsperioden er kort i forhold til varigheden af boligmarkedets cyklusser, og at de observerede afvigelser er større, hvis man ser på landenes inflationsindekser;</w:t>
            </w:r>
            <w:r>
              <w:t xml:space="preserve"> </w:t>
            </w:r>
            <w:r>
              <w:rPr>
                <w:b/>
                <w:i/>
              </w:rPr>
              <w:t>udtrykker bekymring over, at forskellene mellem HICP, inklusive og eksklusive ejerboliger, i fremtidige boligmarkedscyklusser kan være større;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opfordrdrer ECB til i forlængelse af tidligere investeringer foretaget inden for rammerne af dets programmer (APP — PEPP) at overveje muligheden for securitisering, der kan styrke det europæiske marked ud fra både eksponeringsleverende institutters og investorers perspektiv, og foreslå test af de europæiske sikrede værdipapirer som et nyt langsigtet finansieringsinstrument for SMV'er.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noterer sig nøje transmissionen af ECB's pengepolitik i realøkonomien, navnlig hvad angår lån til borgere og virksomheder;</w:t>
            </w:r>
            <w:r>
              <w:t xml:space="preserve"> </w:t>
            </w:r>
            <w:r>
              <w:rPr>
                <w:b/>
                <w:i/>
              </w:rPr>
              <w:t>håber, at den nedadgående og stabiliserende tendens i inflationsraterne vil gøre det muligt at fortsætte normaliseringen af pengepolitikken for at lette husholdningernes byrder;</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Irene Tinagli, Evelyn Regner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19b.</w:t>
            </w:r>
            <w:r>
              <w:tab/>
            </w:r>
            <w:r>
              <w:rPr>
                <w:b/>
                <w:i/>
              </w:rPr>
              <w:t>glæder sig over, at ECB's Styrelsesråd i sin gennemgang af den monetære strategi anerkendte, at det var hensigtsmæssigt at medtage omkostningerne i forbindelse med ejerboliger i HICP som led i et flerårigt projekt, og at det i mellemtiden forpligtede sig til både i sine pengepolitiske vurderinger og beslutninger også at overveje de tilgængelige inflationsmål vedrørende det kvartalsvise enkeltstående ejerboligindeks blandt det bredere sæt supplerende inflationsindikatorer, som ECB normalt ser på;</w:t>
            </w:r>
            <w:r>
              <w:t xml:space="preserve"> </w:t>
            </w:r>
            <w:r>
              <w:rPr>
                <w:b/>
                <w:i/>
              </w:rPr>
              <w:t>opfordrer til en fremskyndelse af køreplanen for hurtigt at inddrage ejerboliger i HICP;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19b.</w:t>
            </w:r>
            <w:r>
              <w:tab/>
            </w:r>
            <w:r>
              <w:rPr>
                <w:b/>
                <w:i/>
              </w:rPr>
              <w:t>understreger, at en konsekvent transmission af pengepolitikken er afgørende for opfyldelsen af ECB's mandat vedrørende prisstabilitet;</w:t>
            </w:r>
            <w:r>
              <w:t xml:space="preserve"> </w:t>
            </w:r>
            <w:r>
              <w:rPr>
                <w:b/>
                <w:i/>
              </w:rPr>
              <w:t>påpeger, at for store afvigelser i afkast af statsobligationer skaber kreditforhold, som ikke er forenelige med en konsekvent transmission af pengepolitikken, og gør det særlig vanskeligt at reducere statsgæld;</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fremhæver, at der ikke er foretaget en passende vurdering af den digitale euros potentielle indvirkning på den finansielle stabilitet, på den monetære suverænitet i tredjelande, på det private økosystem for digitale betalinger som følge af en offentlig udbyders forrang, på borgernes privatliv samt på de meget høje økonomiske omkostninger for skatteyderne;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19b.</w:t>
            </w:r>
            <w:r>
              <w:tab/>
            </w:r>
            <w:r>
              <w:rPr>
                <w:b/>
                <w:i/>
              </w:rPr>
              <w:t>opfordrer indtrængende Kommissionen til at revurdere omkostningerne og fordelene ved dette projekt via en ny konsekvensanalyse, inden det videreudvikles;</w:t>
            </w:r>
            <w:r>
              <w:t xml:space="preserve"> </w:t>
            </w:r>
            <w:r>
              <w:rPr>
                <w:b/>
                <w:i/>
              </w:rPr>
              <w:t>opfordrer Udvalget for Forskriftskontrol til nøje at revurdere denne nye konsekvensanalyse;</w:t>
            </w:r>
            <w:r>
              <w:t xml:space="preserve"> </w:t>
            </w:r>
            <w:r>
              <w:rPr>
                <w:b/>
                <w:i/>
              </w:rPr>
              <w:t>påpeger behovet for at revurdere dets relevans og tilstrækkelighed i forhold til behovene hos euroområdets opsparere og investorer;</w:t>
            </w:r>
            <w:r>
              <w:t xml:space="preserve"> </w:t>
            </w:r>
            <w:r>
              <w:rPr>
                <w:b/>
                <w:i/>
              </w:rPr>
              <w:t>fremhæver det presserende behov for, at Kommissionen undersøger alternative metoder for så vidt angår private udbydere med henblik på at fremme en paneuropæisk løsning for digitale betalinger, inden man går videre med projektet om den digitale euro;</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glæder sig over ECB's fremskridt med projektet om en digital euro og den løbende dialog med Parlamentet; fremhæver de forventede fordele såsom øget strategisk autonomi</w:t>
            </w:r>
            <w:r>
              <w:rPr>
                <w:b/>
                <w:i/>
              </w:rPr>
              <w:t>, forbedret</w:t>
            </w:r>
            <w:r>
              <w:t xml:space="preserve"> finansiel inklusion </w:t>
            </w:r>
            <w:r>
              <w:rPr>
                <w:b/>
                <w:i/>
              </w:rPr>
              <w:t>og tilgængeligheden af et offline backupbetalingssystem</w:t>
            </w:r>
            <w:r>
              <w:t>;</w:t>
            </w:r>
          </w:p>
        </w:tc>
        <w:tc>
          <w:tcPr>
            <w:tcW w:w="4876" w:type="dxa"/>
            <w:tcBorders>
              <w:top w:val="nil"/>
              <w:left w:val="nil"/>
              <w:bottom w:val="nil"/>
              <w:right w:val="nil"/>
            </w:tcBorders>
          </w:tcPr>
          <w:p>
            <w:pPr>
              <w:pStyle w:val="Normal6a"/>
            </w:pPr>
            <w:r>
              <w:t>20.</w:t>
            </w:r>
            <w:r>
              <w:tab/>
            </w:r>
            <w:r>
              <w:t xml:space="preserve">glæder sig over ECB's fremskridt med projektet om en digital euro og den løbende dialog med Parlamentet; fremhæver de forventede fordele såsom øget strategisk autonomi </w:t>
            </w:r>
            <w:r>
              <w:rPr>
                <w:b/>
                <w:i/>
              </w:rPr>
              <w:t>i betalinger og bedre</w:t>
            </w:r>
            <w:r>
              <w:t xml:space="preserve"> finansiel inklusion</w:t>
            </w:r>
            <w:r>
              <w:rPr>
                <w:b/>
                <w:i/>
              </w:rPr>
              <w:t>; understreger, at offlinekomponenten kan være kritisk på grund af de betydelige gennemførelsesomkostninger og lange udviklingsperioder, som giver brugerne minimale fordele;</w:t>
            </w:r>
            <w:r>
              <w:t xml:space="preserve"> </w:t>
            </w:r>
            <w:r>
              <w:rPr>
                <w:b/>
                <w:i/>
              </w:rPr>
              <w:t>understreger også, at den begrænsede synlighed af oplysninger om betalingsmodtageren og betaleren ville mindske betalingstjenesteudbydernes effektivitet i bekæmpelsen af hvidvask af penge, finansiering af terrorisme og svig,</w:t>
            </w:r>
            <w:r>
              <w:t xml:space="preserve"> </w:t>
            </w:r>
            <w:r>
              <w:rPr>
                <w:b/>
                <w:i/>
              </w:rPr>
              <w:t>og at dobbelte offlinefunktioner derfor kun bør udformes som en kortsigtet nødløsning for at undgå misbrug eller ulovlige handlinger</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rPr>
                <w:b/>
                <w:i/>
              </w:rPr>
              <w:t>glæder sig over ECB's fremskridt</w:t>
            </w:r>
            <w:r>
              <w:t xml:space="preserve"> med projektet om en digital euro og den løbende dialog med Parlamentet; fremhæver de forventede fordele såsom øget strategisk autonomi, forbedret finansiel inklusion og tilgængeligheden af et offline backupbetalingssystem;</w:t>
            </w:r>
          </w:p>
        </w:tc>
        <w:tc>
          <w:tcPr>
            <w:tcW w:w="4876" w:type="dxa"/>
            <w:tcBorders>
              <w:top w:val="nil"/>
              <w:left w:val="nil"/>
              <w:bottom w:val="nil"/>
              <w:right w:val="nil"/>
            </w:tcBorders>
          </w:tcPr>
          <w:p>
            <w:pPr>
              <w:pStyle w:val="Normal6a"/>
            </w:pPr>
            <w:r>
              <w:t>20.</w:t>
            </w:r>
            <w:r>
              <w:tab/>
            </w:r>
            <w:r>
              <w:rPr>
                <w:b/>
                <w:i/>
              </w:rPr>
              <w:t>noterer sig ECB's arbejde</w:t>
            </w:r>
            <w:r>
              <w:t xml:space="preserve"> med projektet om en digital euro og den løbende dialog med Parlamentet; fremhæver de forventede fordele såsom øget strategisk autonomi, forbedret finansiel inklusion og tilgængeligheden af et offline backupbetalingssystem; </w:t>
            </w:r>
            <w:r>
              <w:rPr>
                <w:b/>
                <w:i/>
              </w:rPr>
              <w:t>er imidlertid af den opfattelse, at dette projekt bør tage hensyn til udviklingen i reformen af betalingstjenester i Europa, navnlig vedtagelsen af den første forordning om betalingstjenester og det tredje betalingstjenestedirektiv;</w:t>
            </w:r>
            <w:r>
              <w:t xml:space="preserve"> </w:t>
            </w:r>
            <w:r>
              <w:rPr>
                <w:b/>
                <w:i/>
              </w:rPr>
              <w:t>mener endvidere, at projektet om en digital euro bør drøftes mere bredt, ikke kun med Europa-Parlamentet, men også med civilsamfundet og navnlig med de økonomiske aktører;</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rPr>
                <w:b/>
                <w:i/>
              </w:rPr>
              <w:t>glæder sig over</w:t>
            </w:r>
            <w:r>
              <w:t xml:space="preserve"> ECB's fremskridt med projektet om en digital euro og den løbende dialog med Parlamentet; fremhæver de forventede fordele såsom øget strategisk autonomi, forbedret finansiel inklusion og tilgængeligheden af et offline backupbetalingssystem;</w:t>
            </w:r>
          </w:p>
        </w:tc>
        <w:tc>
          <w:tcPr>
            <w:tcW w:w="4876" w:type="dxa"/>
            <w:tcBorders>
              <w:top w:val="nil"/>
              <w:left w:val="nil"/>
              <w:bottom w:val="nil"/>
              <w:right w:val="nil"/>
            </w:tcBorders>
          </w:tcPr>
          <w:p>
            <w:pPr>
              <w:pStyle w:val="Normal6a"/>
            </w:pPr>
            <w:r>
              <w:t>20.</w:t>
            </w:r>
            <w:r>
              <w:tab/>
            </w:r>
            <w:r>
              <w:rPr>
                <w:b/>
                <w:i/>
              </w:rPr>
              <w:t>bemærker</w:t>
            </w:r>
            <w:r>
              <w:t xml:space="preserve"> ECB's fremskridt med projektet om en digital euro og den løbende dialog med Parlamentet; fremhæver de forventede fordele såsom øget strategisk autonomi, forbedret finansiel inklusion og tilgængeligheden af et offline backupbetalingssystem; </w:t>
            </w:r>
            <w:r>
              <w:rPr>
                <w:b/>
                <w:i/>
              </w:rPr>
              <w:t>bemærker imidlertid, at der stadig er ubesvarede spørgsmål vedrørende beholdningsgrænser, bekymringer vedrørende privatlivets fred, konkurrence med private betalingsløsninger og anvendelighed i en forretningssammenhæng;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Auke Zijlstra,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rPr>
                <w:b/>
                <w:i/>
              </w:rPr>
              <w:t>glæder sig over ECB's fremskridt med</w:t>
            </w:r>
            <w:r>
              <w:t xml:space="preserve"> projektet om en digital euro og den løbende dialog med Parlamentet; </w:t>
            </w:r>
            <w:r>
              <w:rPr>
                <w:b/>
                <w:i/>
              </w:rPr>
              <w:t>fremhæver de forventede fordele såsom øget strategisk autonomi, forbedret finansiel inklusion og tilgængeligheden af et offline backupbetalingssystem</w:t>
            </w:r>
            <w:r>
              <w:t>;</w:t>
            </w:r>
          </w:p>
        </w:tc>
        <w:tc>
          <w:tcPr>
            <w:tcW w:w="4876" w:type="dxa"/>
            <w:tcBorders>
              <w:top w:val="nil"/>
              <w:left w:val="nil"/>
              <w:bottom w:val="nil"/>
              <w:right w:val="nil"/>
            </w:tcBorders>
          </w:tcPr>
          <w:p>
            <w:pPr>
              <w:pStyle w:val="Normal6a"/>
            </w:pPr>
            <w:r>
              <w:t>20.</w:t>
            </w:r>
            <w:r>
              <w:tab/>
            </w:r>
            <w:r>
              <w:rPr>
                <w:b/>
                <w:i/>
              </w:rPr>
              <w:t>bemærker ECB's yderligere undersøgelser for så vidt angår</w:t>
            </w:r>
            <w:r>
              <w:t xml:space="preserve"> projektet om en digital euro og den løbende dialog med Parlamentet; </w:t>
            </w:r>
            <w:r>
              <w:rPr>
                <w:b/>
                <w:i/>
              </w:rPr>
              <w:t>understreger, at Piero Cipollones påstand om misbrug af en dominerende stilling på det digitale betalingsmarked, som ville være et argument for indførelsen af den digitale euro, ikke er blevet underbygget af en undersøgelse, endsige en afgørelse fra den europæiske konkurrencemyndighed</w:t>
            </w:r>
            <w:r>
              <w:t>;</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rPr>
                <w:b/>
                <w:i/>
              </w:rPr>
              <w:t>glæder sig over</w:t>
            </w:r>
            <w:r>
              <w:t xml:space="preserve"> ECB's fremskridt med projektet om en digital euro og den løbende dialog med Parlamentet; </w:t>
            </w:r>
            <w:r>
              <w:rPr>
                <w:b/>
                <w:i/>
              </w:rPr>
              <w:t>fremhæver de forventede fordele såsom øget strategisk autonomi, forbedret finansiel inklusion og tilgængeligheden af et offline backupbetalingssystem;</w:t>
            </w:r>
          </w:p>
        </w:tc>
        <w:tc>
          <w:tcPr>
            <w:tcW w:w="4876" w:type="dxa"/>
            <w:tcBorders>
              <w:top w:val="nil"/>
              <w:left w:val="nil"/>
              <w:bottom w:val="nil"/>
              <w:right w:val="nil"/>
            </w:tcBorders>
          </w:tcPr>
          <w:p>
            <w:pPr>
              <w:pStyle w:val="Normal6a"/>
            </w:pPr>
            <w:r>
              <w:t>20.</w:t>
            </w:r>
            <w:r>
              <w:tab/>
            </w:r>
            <w:r>
              <w:rPr>
                <w:b/>
                <w:i/>
              </w:rPr>
              <w:t>noterer sig</w:t>
            </w:r>
            <w:r>
              <w:t xml:space="preserve"> ECB's fremskridt med projektet om en digital euro og den løbende dialog med Parlamentet;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glæder sig over ECB's fremskridt med projektet om en digital euro og den løbende dialog med Parlamentet; </w:t>
            </w:r>
            <w:r>
              <w:rPr>
                <w:b/>
                <w:i/>
              </w:rPr>
              <w:t>fremhæver de forventede fordele såsom</w:t>
            </w:r>
            <w:r>
              <w:t xml:space="preserve"> øget strategisk autonomi, forbedret finansiel inklusion og </w:t>
            </w:r>
            <w:r>
              <w:rPr>
                <w:b/>
                <w:i/>
              </w:rPr>
              <w:t>tilgængeligheden af et</w:t>
            </w:r>
            <w:r>
              <w:t xml:space="preserve"> offline backupbetalingssystem;</w:t>
            </w:r>
          </w:p>
        </w:tc>
        <w:tc>
          <w:tcPr>
            <w:tcW w:w="4876" w:type="dxa"/>
            <w:tcBorders>
              <w:top w:val="nil"/>
              <w:left w:val="nil"/>
              <w:bottom w:val="nil"/>
              <w:right w:val="nil"/>
            </w:tcBorders>
          </w:tcPr>
          <w:p>
            <w:pPr>
              <w:pStyle w:val="Normal6a"/>
            </w:pPr>
            <w:r>
              <w:t>20.</w:t>
            </w:r>
            <w:r>
              <w:tab/>
            </w:r>
            <w:r>
              <w:t xml:space="preserve">glæder sig over ECB's fremskridt med projektet om en digital euro og den løbende dialog med Parlamentet; </w:t>
            </w:r>
            <w:r>
              <w:rPr>
                <w:b/>
                <w:i/>
              </w:rPr>
              <w:t>understreger, at den digitale euro bør skabe en klar merværdi for de europæiske borgere, herunder</w:t>
            </w:r>
            <w:r>
              <w:t xml:space="preserve"> øget strategisk autonomi, forbedret finansiel inklusion og </w:t>
            </w:r>
            <w:r>
              <w:rPr>
                <w:b/>
                <w:i/>
              </w:rPr>
              <w:t>et pålideligt</w:t>
            </w:r>
            <w:r>
              <w:t xml:space="preserve"> offline backupbetalingssystem;</w:t>
            </w:r>
            <w:r>
              <w:rPr>
                <w:b/>
                <w:i/>
              </w:rPr>
              <w:t> opfordrer ECB til klart at oplyse om disse fordele for at fremme offentlighedens tillid og bevidsthed;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glæder sig over ECB's fremskridt med projektet om en digital euro og den løbende dialog med Parlamentet; fremhæver de forventede fordele såsom øget strategisk autonomi, forbedret finansiel inklusion og tilgængeligheden af et offline backupbetalingssystem;</w:t>
            </w:r>
          </w:p>
        </w:tc>
        <w:tc>
          <w:tcPr>
            <w:tcW w:w="4876" w:type="dxa"/>
            <w:tcBorders>
              <w:top w:val="nil"/>
              <w:left w:val="nil"/>
              <w:bottom w:val="nil"/>
              <w:right w:val="nil"/>
            </w:tcBorders>
          </w:tcPr>
          <w:p>
            <w:pPr>
              <w:pStyle w:val="Normal6a"/>
            </w:pPr>
            <w:r>
              <w:t>20.</w:t>
            </w:r>
            <w:r>
              <w:tab/>
            </w:r>
            <w:r>
              <w:t xml:space="preserve">glæder sig over ECB's fremskridt med projektet om en digital euro og den løbende dialog med Parlamentet; fremhæver de forventede fordele såsom øget strategisk autonomi, </w:t>
            </w:r>
            <w:r>
              <w:rPr>
                <w:b/>
                <w:i/>
              </w:rPr>
              <w:t>øget konkurrence på detailbetalingsmarkedet, potentiale til at fremme innovation inden for betalinger og finansiering,</w:t>
            </w:r>
            <w:r>
              <w:t xml:space="preserve"> forbedret finansiel inklusion og tilgængeligheden af et offline backupbetalingssystem;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rPr>
                <w:b/>
                <w:i/>
              </w:rPr>
              <w:t>glæder sig over</w:t>
            </w:r>
            <w:r>
              <w:t xml:space="preserve"> ECB's fremskridt med projektet om en digital euro og den løbende dialog med Parlamentet; fremhæver de forventede fordele såsom øget strategisk autonomi, forbedret finansiel inklusion og tilgængeligheden af et offline backupbetalingssystem;</w:t>
            </w:r>
          </w:p>
        </w:tc>
        <w:tc>
          <w:tcPr>
            <w:tcW w:w="4876" w:type="dxa"/>
            <w:tcBorders>
              <w:top w:val="nil"/>
              <w:left w:val="nil"/>
              <w:bottom w:val="nil"/>
              <w:right w:val="nil"/>
            </w:tcBorders>
          </w:tcPr>
          <w:p>
            <w:pPr>
              <w:pStyle w:val="Normal6a"/>
            </w:pPr>
            <w:r>
              <w:t>20.</w:t>
            </w:r>
            <w:r>
              <w:tab/>
            </w:r>
            <w:r>
              <w:rPr>
                <w:b/>
                <w:i/>
              </w:rPr>
              <w:t>overvåger</w:t>
            </w:r>
            <w:r>
              <w:t xml:space="preserve"> ECB's fremskridt med projektet om en digital euro og den løbende dialog med Parlamentet; fremhæver de forventede fordele såsom øget strategisk autonomi, forbedret finansiel inklusion og tilgængeligheden af et offline backupbetalingssystem;</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glæder sig over ECB's fremskridt med projektet om en digital euro og den løbende dialog med Parlamentet; fremhæver de forventede fordele såsom øget </w:t>
            </w:r>
            <w:r>
              <w:rPr>
                <w:b/>
                <w:i/>
              </w:rPr>
              <w:t>strategisk autonomi, forbedret finansiel inklusion og tilgængeligheden</w:t>
            </w:r>
            <w:r>
              <w:t xml:space="preserve"> af et </w:t>
            </w:r>
            <w:r>
              <w:rPr>
                <w:b/>
                <w:i/>
              </w:rPr>
              <w:t>offline backupbetalingssystem</w:t>
            </w:r>
            <w:r>
              <w:t>;</w:t>
            </w:r>
          </w:p>
        </w:tc>
        <w:tc>
          <w:tcPr>
            <w:tcW w:w="4876" w:type="dxa"/>
            <w:tcBorders>
              <w:top w:val="nil"/>
              <w:left w:val="nil"/>
              <w:bottom w:val="nil"/>
              <w:right w:val="nil"/>
            </w:tcBorders>
          </w:tcPr>
          <w:p>
            <w:pPr>
              <w:pStyle w:val="Normal6a"/>
            </w:pPr>
            <w:r>
              <w:t>20.</w:t>
            </w:r>
            <w:r>
              <w:tab/>
            </w:r>
            <w:r>
              <w:t xml:space="preserve">glæder sig over ECB's fremskridt med projektet om en digital euro og den løbende dialog med Parlamentet; fremhæver de forventede fordele såsom øget </w:t>
            </w:r>
            <w:r>
              <w:rPr>
                <w:b/>
                <w:i/>
              </w:rPr>
              <w:t>modstandsdygtighed i betalingssystemet og fremkomsten</w:t>
            </w:r>
            <w:r>
              <w:t xml:space="preserve"> af et </w:t>
            </w:r>
            <w:r>
              <w:rPr>
                <w:b/>
                <w:i/>
              </w:rPr>
              <w:t>omkostningsfrit, offentligt betalingssystem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understreger behovet for, at den digitale euro bliver alment tilgængelig og ikke reduceres til en simpel "betalingsordning"; anmoder derfor om, at de digitale eurobetalingstjenester leveres af en bred vifte af kommercielle, offentlige og almennyttige formidlere, ud over de kommercielle bankers traditionelle kompetenceområde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mener, at den digitale euro kun bliver en succes, hvis den giver EU-borgerne en mærkbar merværdi, som de kan forstå;</w:t>
            </w:r>
            <w:r>
              <w:t xml:space="preserve"> </w:t>
            </w:r>
            <w:r>
              <w:rPr>
                <w:b/>
                <w:i/>
              </w:rPr>
              <w:t>bemærker, at mange EU-borgere i øjeblikket enten ikke har hørt om projektet om den digitale euro eller fortsat er skeptiske;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fremhæver den digitale euro som et potentielt alternativt betalingssystem, der kan fremme konkurrencen og bidrage til at sænke transaktionsomkostningerne for borgere og virksomheder;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20b.</w:t>
            </w:r>
            <w:r>
              <w:tab/>
            </w:r>
            <w:r>
              <w:rPr>
                <w:b/>
                <w:i/>
              </w:rPr>
              <w:t>mener, at beslutningen om, hvorvidt der skal indføres en digital euro, i sidste ende er en politisk beslutning, der skal træffes af EU-lovgiveren;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Auke Zijlstra, Enikő Győri,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gentager, at den digitale euro </w:t>
            </w:r>
            <w:r>
              <w:rPr>
                <w:b/>
                <w:i/>
              </w:rPr>
              <w:t>bør</w:t>
            </w:r>
            <w:r>
              <w:t xml:space="preserve"> tjene som et supplement til fysiske kontanter, at den ikke bør erstatte kontanter fuldstændigt, og at kontanter til enhver tid bør være tilgængelige;</w:t>
            </w:r>
          </w:p>
        </w:tc>
        <w:tc>
          <w:tcPr>
            <w:tcW w:w="4876" w:type="dxa"/>
            <w:tcBorders>
              <w:top w:val="nil"/>
              <w:left w:val="nil"/>
              <w:bottom w:val="nil"/>
              <w:right w:val="nil"/>
            </w:tcBorders>
          </w:tcPr>
          <w:p>
            <w:pPr>
              <w:pStyle w:val="Normal6a"/>
            </w:pPr>
            <w:r>
              <w:t>21.</w:t>
            </w:r>
            <w:r>
              <w:tab/>
            </w:r>
            <w:r>
              <w:rPr>
                <w:b/>
                <w:i/>
              </w:rPr>
              <w:t>understreger, at fysiske kontanter fortsat skal være en hjørnesten i vores betalingssystem og give den bedste garanti for finansiel inklusion;</w:t>
            </w:r>
            <w:r>
              <w:t xml:space="preserve"> gentager, at den digitale euro </w:t>
            </w:r>
            <w:r>
              <w:rPr>
                <w:b/>
                <w:i/>
              </w:rPr>
              <w:t>kan</w:t>
            </w:r>
            <w:r>
              <w:t xml:space="preserve"> tjene som et supplement til fysiske kontanter</w:t>
            </w:r>
            <w:r>
              <w:rPr>
                <w:b/>
                <w:i/>
              </w:rPr>
              <w:t>; understreger</w:t>
            </w:r>
            <w:r>
              <w:t>, at den ikke bør erstatte kontanter fuldstændigt, og at kontanter til enhver tid bør være tilgængelige;</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gentager, at den digitale euro bør tjene som et supplement til fysiske kontanter, at den ikke bør erstatte kontanter fuldstændigt, og at kontanter til enhver tid bør være tilgængelige;</w:t>
            </w:r>
          </w:p>
        </w:tc>
        <w:tc>
          <w:tcPr>
            <w:tcW w:w="4876" w:type="dxa"/>
            <w:tcBorders>
              <w:top w:val="nil"/>
              <w:left w:val="nil"/>
              <w:bottom w:val="nil"/>
              <w:right w:val="nil"/>
            </w:tcBorders>
          </w:tcPr>
          <w:p>
            <w:pPr>
              <w:pStyle w:val="Normal6a"/>
            </w:pPr>
            <w:r>
              <w:t>21.</w:t>
            </w:r>
            <w:r>
              <w:tab/>
            </w:r>
            <w:r>
              <w:t xml:space="preserve">gentager, at den digitale euro bør tjene som et supplement til fysiske kontanter, at den ikke bør erstatte kontanter fuldstændigt, og at kontanter til enhver tid bør være tilgængelige; </w:t>
            </w:r>
            <w:r>
              <w:rPr>
                <w:b/>
                <w:i/>
              </w:rPr>
              <w:t>glæder sig i den forbindelse over forslaget til forordning om eurokontanters status som lovligt betalingsmiddel;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gentager, at den digitale euro bør tjene som et supplement til fysiske kontanter, at den ikke bør erstatte kontanter fuldstændigt, og at kontanter til enhver tid bør være tilgængelige;</w:t>
            </w:r>
          </w:p>
        </w:tc>
        <w:tc>
          <w:tcPr>
            <w:tcW w:w="4876" w:type="dxa"/>
            <w:tcBorders>
              <w:top w:val="nil"/>
              <w:left w:val="nil"/>
              <w:bottom w:val="nil"/>
              <w:right w:val="nil"/>
            </w:tcBorders>
          </w:tcPr>
          <w:p>
            <w:pPr>
              <w:pStyle w:val="Normal6a"/>
            </w:pPr>
            <w:r>
              <w:t>21.</w:t>
            </w:r>
            <w:r>
              <w:tab/>
            </w:r>
            <w:r>
              <w:t xml:space="preserve">gentager, at den digitale euro bør tjene som et supplement til fysiske kontanter, at den ikke bør erstatte kontanter fuldstændigt, og at kontanter til enhver tid bør være </w:t>
            </w:r>
            <w:r>
              <w:rPr>
                <w:b/>
                <w:i/>
              </w:rPr>
              <w:t>almindeligt udbredte og</w:t>
            </w:r>
            <w:r>
              <w:t xml:space="preserve"> tilgængelige;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gentager, at den digitale euro bør tjene som et supplement til fysiske kontanter, at den ikke bør erstatte kontanter </w:t>
            </w:r>
            <w:r>
              <w:rPr>
                <w:b/>
                <w:i/>
              </w:rPr>
              <w:t>fuldstændigt</w:t>
            </w:r>
            <w:r>
              <w:t>, og at kontanter til enhver tid bør være tilgængelige;</w:t>
            </w:r>
          </w:p>
        </w:tc>
        <w:tc>
          <w:tcPr>
            <w:tcW w:w="4876" w:type="dxa"/>
            <w:tcBorders>
              <w:top w:val="nil"/>
              <w:left w:val="nil"/>
              <w:bottom w:val="nil"/>
              <w:right w:val="nil"/>
            </w:tcBorders>
          </w:tcPr>
          <w:p>
            <w:pPr>
              <w:pStyle w:val="Normal6a"/>
            </w:pPr>
            <w:r>
              <w:t>21.</w:t>
            </w:r>
            <w:r>
              <w:tab/>
            </w:r>
            <w:r>
              <w:t xml:space="preserve">gentager, at den digitale euro bør tjene som et supplement til fysiske kontanter, at den ikke bør erstatte kontanter </w:t>
            </w:r>
            <w:r>
              <w:rPr>
                <w:b/>
                <w:i/>
              </w:rPr>
              <w:t>som betalingsmiddel</w:t>
            </w:r>
            <w:r>
              <w:t>, og at kontanter til enhver tid bør være tilgængelige;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Matthias Ecke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gentager, at den digitale euro </w:t>
            </w:r>
            <w:r>
              <w:rPr>
                <w:b/>
                <w:i/>
              </w:rPr>
              <w:t>bør tjene</w:t>
            </w:r>
            <w:r>
              <w:t xml:space="preserve"> som et supplement til fysiske kontanter, at den ikke bør erstatte kontanter fuldstændigt, og at kontanter til enhver tid </w:t>
            </w:r>
            <w:r>
              <w:rPr>
                <w:b/>
                <w:i/>
              </w:rPr>
              <w:t>bør være</w:t>
            </w:r>
            <w:r>
              <w:t xml:space="preserve"> tilgængelige;</w:t>
            </w:r>
          </w:p>
        </w:tc>
        <w:tc>
          <w:tcPr>
            <w:tcW w:w="4876" w:type="dxa"/>
            <w:tcBorders>
              <w:top w:val="nil"/>
              <w:left w:val="nil"/>
              <w:bottom w:val="nil"/>
              <w:right w:val="nil"/>
            </w:tcBorders>
          </w:tcPr>
          <w:p>
            <w:pPr>
              <w:pStyle w:val="Normal6a"/>
            </w:pPr>
            <w:r>
              <w:t>21.</w:t>
            </w:r>
            <w:r>
              <w:tab/>
            </w:r>
            <w:r>
              <w:t xml:space="preserve">gentager, at den digitale euro </w:t>
            </w:r>
            <w:r>
              <w:rPr>
                <w:b/>
                <w:i/>
              </w:rPr>
              <w:t>tjener</w:t>
            </w:r>
            <w:r>
              <w:t xml:space="preserve"> som et supplement til fysiske kontanter, at den ikke bør erstatte kontanter fuldstændigt, og at kontanter til enhver tid </w:t>
            </w:r>
            <w:r>
              <w:rPr>
                <w:b/>
                <w:i/>
              </w:rPr>
              <w:t>forbliver</w:t>
            </w:r>
            <w:r>
              <w:t xml:space="preserve"> tilgængelige;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gentager, at den digitale euro bør tjene som et supplement til fysiske kontanter, at den ikke bør erstatte kontanter </w:t>
            </w:r>
            <w:r>
              <w:rPr>
                <w:b/>
                <w:i/>
              </w:rPr>
              <w:t>fuldstændigt</w:t>
            </w:r>
            <w:r>
              <w:t>, og at kontanter til enhver tid bør være tilgængelige;</w:t>
            </w:r>
          </w:p>
        </w:tc>
        <w:tc>
          <w:tcPr>
            <w:tcW w:w="4876" w:type="dxa"/>
            <w:tcBorders>
              <w:top w:val="nil"/>
              <w:left w:val="nil"/>
              <w:bottom w:val="nil"/>
              <w:right w:val="nil"/>
            </w:tcBorders>
          </w:tcPr>
          <w:p>
            <w:pPr>
              <w:pStyle w:val="Normal6a"/>
            </w:pPr>
            <w:r>
              <w:t>21.</w:t>
            </w:r>
            <w:r>
              <w:tab/>
            </w:r>
            <w:r>
              <w:t>gentager, at den digitale euro bør tjene som et supplement til fysiske kontanter, at den ikke bør erstatte kontanter, og at kontanter til enhver tid bør være tilgængelige;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rPr>
                <w:b/>
                <w:i/>
              </w:rPr>
              <w:t>gentager, at</w:t>
            </w:r>
            <w:r>
              <w:t xml:space="preserve"> den digitale euro bør tjene som et supplement til fysiske kontanter, </w:t>
            </w:r>
            <w:r>
              <w:rPr>
                <w:b/>
                <w:i/>
              </w:rPr>
              <w:t>at den ikke bør erstatte kontanter fuldstændigt, og at kontanter til enhver tid bør være tilgængelige;</w:t>
            </w:r>
          </w:p>
        </w:tc>
        <w:tc>
          <w:tcPr>
            <w:tcW w:w="4876" w:type="dxa"/>
            <w:tcBorders>
              <w:top w:val="nil"/>
              <w:left w:val="nil"/>
              <w:bottom w:val="nil"/>
              <w:right w:val="nil"/>
            </w:tcBorders>
          </w:tcPr>
          <w:p>
            <w:pPr>
              <w:pStyle w:val="Normal6a"/>
            </w:pPr>
            <w:r>
              <w:t>21.</w:t>
            </w:r>
            <w:r>
              <w:tab/>
            </w:r>
            <w:r>
              <w:rPr>
                <w:b/>
                <w:i/>
              </w:rPr>
              <w:t>mener, at indførelsen af</w:t>
            </w:r>
            <w:r>
              <w:t xml:space="preserve"> den digitale euro bør tjene som et supplement til fysiske kontanter, </w:t>
            </w:r>
            <w:r>
              <w:rPr>
                <w:b/>
                <w:i/>
              </w:rPr>
              <w:t>som bør bibeholdes for at sikre mangfoldigheden af betalingsordninger.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fremhæver, at den digitale euro bør udformes med henblik på at beskytte igangværende investeringer i den private sektor på strategiske områder, navnlig dem, der forbedrer strakskreditoverførsler, som fastsat i forordningen om straksbetalinger (forordning 886/2024 — IPR);</w:t>
            </w:r>
            <w:r>
              <w:t xml:space="preserve"> </w:t>
            </w:r>
            <w:r>
              <w:rPr>
                <w:b/>
                <w:i/>
              </w:rPr>
              <w:t>bemærker, at for at sikre brugerne af disse finansielle tjenesteydelser bør ikkeeuropæiske enheders markedspositioner og yderligere gebyrer for slutbrugerne undgås under hensyntagen til behovet for at undgå kompleksitet og uforholdsmæssigt store omkostninger;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22.</w:t>
            </w:r>
            <w:r>
              <w:tab/>
            </w:r>
            <w:r>
              <w:rPr>
                <w:b/>
                <w:i/>
              </w:rPr>
              <w:t>understreger behovet for en kompensationsmodel for banksektoren, som har til opgave at gennemføre projektet om en digital euro i praksis;</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22.</w:t>
            </w:r>
            <w:r>
              <w:tab/>
            </w:r>
            <w:r>
              <w:rPr>
                <w:b/>
                <w:i/>
              </w:rPr>
              <w:t>understreger behovet for en kompensationsmodel for banksektoren, som har til opgave at gennemføre projektet om en digital euro i praksis;</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understreger behovet for en kompensationsmodel </w:t>
            </w:r>
            <w:r>
              <w:rPr>
                <w:b/>
                <w:i/>
              </w:rPr>
              <w:t>for banksektoren, som har til opgave at gennemføre projektet om en digital euro i praksis</w:t>
            </w:r>
            <w:r>
              <w:t>;</w:t>
            </w:r>
          </w:p>
        </w:tc>
        <w:tc>
          <w:tcPr>
            <w:tcW w:w="4876" w:type="dxa"/>
            <w:tcBorders>
              <w:top w:val="nil"/>
              <w:left w:val="nil"/>
              <w:bottom w:val="nil"/>
              <w:right w:val="nil"/>
            </w:tcBorders>
          </w:tcPr>
          <w:p>
            <w:pPr>
              <w:pStyle w:val="Normal6a"/>
            </w:pPr>
            <w:r>
              <w:t>22.</w:t>
            </w:r>
            <w:r>
              <w:tab/>
            </w:r>
            <w:r>
              <w:t xml:space="preserve">understreger behovet for en </w:t>
            </w:r>
            <w:r>
              <w:rPr>
                <w:b/>
                <w:i/>
              </w:rPr>
              <w:t>omkostningsbaseret</w:t>
            </w:r>
            <w:r>
              <w:t xml:space="preserve"> kompensationsmodel</w:t>
            </w:r>
            <w:r>
              <w:rPr>
                <w:b/>
                <w:i/>
              </w:rPr>
              <w:t>, der udelukker betalinger af lav værdi i beregningen;</w:t>
            </w:r>
            <w:r>
              <w:t xml:space="preserve"> </w:t>
            </w:r>
            <w:r>
              <w:rPr>
                <w:b/>
                <w:i/>
              </w:rPr>
              <w:t>minder om, at kompensationsmodellen skal garantere en omkostningsfri euro for brugerne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understreger </w:t>
            </w:r>
            <w:r>
              <w:rPr>
                <w:b/>
                <w:i/>
              </w:rPr>
              <w:t>behovet for en kompensationsmodel for banksektoren, som har til opgave at gennemføre projektet om en</w:t>
            </w:r>
            <w:r>
              <w:t xml:space="preserve"> digital euro </w:t>
            </w:r>
            <w:r>
              <w:rPr>
                <w:b/>
                <w:i/>
              </w:rPr>
              <w:t>i praksis</w:t>
            </w:r>
            <w:r>
              <w:t>;</w:t>
            </w:r>
          </w:p>
        </w:tc>
        <w:tc>
          <w:tcPr>
            <w:tcW w:w="4876" w:type="dxa"/>
            <w:tcBorders>
              <w:top w:val="nil"/>
              <w:left w:val="nil"/>
              <w:bottom w:val="nil"/>
              <w:right w:val="nil"/>
            </w:tcBorders>
          </w:tcPr>
          <w:p>
            <w:pPr>
              <w:pStyle w:val="Normal6a"/>
            </w:pPr>
            <w:r>
              <w:t>22.</w:t>
            </w:r>
            <w:r>
              <w:tab/>
            </w:r>
            <w:r>
              <w:t>understreger</w:t>
            </w:r>
            <w:r>
              <w:rPr>
                <w:b/>
                <w:i/>
              </w:rPr>
              <w:t>, at den digitale euros potentiale vil forsvinde, hvis den digitale euro kun skal være tilgængelig via private formidlere;</w:t>
            </w:r>
            <w:r>
              <w:t xml:space="preserve"> </w:t>
            </w:r>
            <w:r>
              <w:rPr>
                <w:b/>
                <w:i/>
              </w:rPr>
              <w:t>understreger behovet for en offentlig</w:t>
            </w:r>
            <w:r>
              <w:t xml:space="preserve"> digital euro;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Auke Zijlstra,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sætter spørgsmålstegn ved ECB's påstand om, at den kan tilbyde sine betalingstjenester til forretningsdrivende til en lavere pris end private aktører, især da ECB endnu ikke har givet nogen nærmere oplysninger om omkostningsstrukturen;</w:t>
            </w:r>
            <w:r>
              <w:t xml:space="preserve"> </w:t>
            </w:r>
            <w:r>
              <w:rPr>
                <w:b/>
                <w:i/>
              </w:rPr>
              <w:t>understreger, at ECB på trods af, at ECB's mandat ikke har et profitmotiv, ikke er en nonprofitorganisation, og at eventuelle overskud årligt udloddes til ECB's aktionærer, dvs. de nationale centralbanker, og at opkrævning af lavere gebyrer for betalinger med den digitale euro derfor vil være på bekostning af ethvert overskud, der skal udloddes til de nationale centralbanker;</w:t>
            </w:r>
            <w:r>
              <w:t xml:space="preserve"> </w:t>
            </w:r>
            <w:r>
              <w:rPr>
                <w:b/>
                <w:i/>
              </w:rPr>
              <w:t>understreger, at ECB kun udlodder overskud til sine aktionærer og ikke for at subsidiere markedspriserne for sine tjenesteydelser;</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minder om betydningen af beholdningsgrænser for de digitale euro for ikke at skabe yderligere risici for bankernes balancer, navnlig i krisesituationer;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Auke Zijlstra,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opfordrer ECB til at tage behørigt hensyn til privatlivets fred i forbindelse med den digitale euro </w:t>
            </w:r>
            <w:r>
              <w:rPr>
                <w:b/>
                <w:i/>
              </w:rPr>
              <w:t>og</w:t>
            </w:r>
            <w:r>
              <w:t xml:space="preserve"> understreger, at dens udvikling bør blive en guldstandard med hensyn til privatlivets fred for andre finansielle institutioner;</w:t>
            </w:r>
          </w:p>
        </w:tc>
        <w:tc>
          <w:tcPr>
            <w:tcW w:w="4876" w:type="dxa"/>
            <w:tcBorders>
              <w:top w:val="nil"/>
              <w:left w:val="nil"/>
              <w:bottom w:val="nil"/>
              <w:right w:val="nil"/>
            </w:tcBorders>
          </w:tcPr>
          <w:p>
            <w:pPr>
              <w:pStyle w:val="Normal6a"/>
            </w:pPr>
            <w:r>
              <w:t>23.</w:t>
            </w:r>
            <w:r>
              <w:tab/>
            </w:r>
            <w:r>
              <w:t xml:space="preserve">opfordrer ECB til at tage behørigt hensyn til </w:t>
            </w:r>
            <w:r>
              <w:rPr>
                <w:b/>
                <w:i/>
              </w:rPr>
              <w:t>centrale spørgsmål vedrørende</w:t>
            </w:r>
            <w:r>
              <w:t xml:space="preserve"> privatlivets fred i forbindelse med den digitale euro </w:t>
            </w:r>
            <w:r>
              <w:rPr>
                <w:b/>
                <w:i/>
              </w:rPr>
              <w:t>i fuld overensstemmelse med den generelle forordning om databeskyttelse (GDPR), artikel 12 i verdenserklæringen om menneskerettigheder (UDHR), artikel 8 i den europæiske menneskerettighedskonvention (EMRK) og artikel 7, stk. 1, i Den Europæiske Unions charter om grundlæggende rettigheder;</w:t>
            </w:r>
            <w:r>
              <w:t xml:space="preserve"> </w:t>
            </w:r>
            <w:r>
              <w:rPr>
                <w:b/>
                <w:i/>
              </w:rPr>
              <w:t>insisterer på, at undtagelserne fra retten til beskyttelse af personoplysninger, der er fastsat i chartrets artikel 7, stk. 2, ikke bør finde anvendelse på ECB og banksektoren for så vidt angår data indsamlet i forbindelse med transaktioner med den digitale euro;</w:t>
            </w:r>
            <w:r>
              <w:t xml:space="preserve"> understreger, at dens udvikling bør blive en guldstandard med hensyn til privatlivets fred for andre finansielle institutioner; </w:t>
            </w:r>
            <w:r>
              <w:rPr>
                <w:b/>
                <w:i/>
              </w:rPr>
              <w:t>opfordrer til, at de nationale persondatamyndigheder får beføjelse til at undersøge ECB's databeskyttelsesordning, herunder kontrol med overholdelsen af nationale databeskyttelsesordninger for så vidt angår deres egne indbyggeres digitale europorteføljer;</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opfordrer ECB til at </w:t>
            </w:r>
            <w:r>
              <w:rPr>
                <w:b/>
                <w:i/>
              </w:rPr>
              <w:t>tage behørigt hensyn til</w:t>
            </w:r>
            <w:r>
              <w:t xml:space="preserve"> privatlivets fred </w:t>
            </w:r>
            <w:r>
              <w:rPr>
                <w:b/>
                <w:i/>
              </w:rPr>
              <w:t>i forbindelse med</w:t>
            </w:r>
            <w:r>
              <w:t xml:space="preserve"> den digitale euro og </w:t>
            </w:r>
            <w:r>
              <w:rPr>
                <w:b/>
                <w:i/>
              </w:rPr>
              <w:t>understreger, at dens udvikling bør blive en guldstandard</w:t>
            </w:r>
            <w:r>
              <w:t xml:space="preserve"> med hensyn til </w:t>
            </w:r>
            <w:r>
              <w:rPr>
                <w:b/>
                <w:i/>
              </w:rPr>
              <w:t>privatlivets fred for andre finansielle institutioner</w:t>
            </w:r>
            <w:r>
              <w:t>;</w:t>
            </w:r>
          </w:p>
        </w:tc>
        <w:tc>
          <w:tcPr>
            <w:tcW w:w="4876" w:type="dxa"/>
            <w:tcBorders>
              <w:top w:val="nil"/>
              <w:left w:val="nil"/>
              <w:bottom w:val="nil"/>
              <w:right w:val="nil"/>
            </w:tcBorders>
          </w:tcPr>
          <w:p>
            <w:pPr>
              <w:pStyle w:val="Normal6a"/>
            </w:pPr>
            <w:r>
              <w:t>23.</w:t>
            </w:r>
            <w:r>
              <w:tab/>
            </w:r>
            <w:r>
              <w:t xml:space="preserve">Opfordrer ECB til at </w:t>
            </w:r>
            <w:r>
              <w:rPr>
                <w:b/>
                <w:i/>
              </w:rPr>
              <w:t>prioritere solide garantier for</w:t>
            </w:r>
            <w:r>
              <w:t xml:space="preserve"> privatlivets fred </w:t>
            </w:r>
            <w:r>
              <w:rPr>
                <w:b/>
                <w:i/>
              </w:rPr>
              <w:t>for</w:t>
            </w:r>
            <w:r>
              <w:t xml:space="preserve"> den digitale euro og </w:t>
            </w:r>
            <w:r>
              <w:rPr>
                <w:b/>
                <w:i/>
              </w:rPr>
              <w:t>indføre den som en guldstandard for privatlivets fred i hele den finansielle sektor for at sikre offentlighedens tillid og imødekomme borgernes bekymringer</w:t>
            </w:r>
            <w:r>
              <w:t xml:space="preserve"> med hensyn til </w:t>
            </w:r>
            <w:r>
              <w:rPr>
                <w:b/>
                <w:i/>
              </w:rPr>
              <w:t>databeskyttelse og autonomi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opfordrer ECB til at tage behørigt hensyn til privatlivets fred i forbindelse med den digitale euro og understreger, at dens udvikling bør blive en guldstandard med hensyn til privatlivets fred for andre finansielle institutioner;</w:t>
            </w:r>
          </w:p>
        </w:tc>
        <w:tc>
          <w:tcPr>
            <w:tcW w:w="4876" w:type="dxa"/>
            <w:tcBorders>
              <w:top w:val="nil"/>
              <w:left w:val="nil"/>
              <w:bottom w:val="nil"/>
              <w:right w:val="nil"/>
            </w:tcBorders>
          </w:tcPr>
          <w:p>
            <w:pPr>
              <w:pStyle w:val="Normal6a"/>
            </w:pPr>
            <w:r>
              <w:t>23.</w:t>
            </w:r>
            <w:r>
              <w:tab/>
            </w:r>
            <w:r>
              <w:t xml:space="preserve">opfordrer ECB til at tage behørigt hensyn til privatlivets fred i forbindelse med den digitale euro og understreger, at dens udvikling bør blive en guldstandard med hensyn til privatlivets fred </w:t>
            </w:r>
            <w:r>
              <w:rPr>
                <w:b/>
                <w:i/>
              </w:rPr>
              <w:t>og anonymitet</w:t>
            </w:r>
            <w:r>
              <w:t xml:space="preserve"> for andre finansielle institutioner;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deler ECB's bekymring over fremkomsten af skyggebanksektoren og den risiko, den kan udgøre for den finansielle stabilitet;</w:t>
            </w:r>
            <w:r>
              <w:t xml:space="preserve"> </w:t>
            </w:r>
            <w:r>
              <w:rPr>
                <w:b/>
                <w:i/>
              </w:rPr>
              <w:t>opfordrer ECB til at intensivere sin overvågning af udviklingen af kryptovalutaer og de dermed forbundne risici og nye trusler med hensyn til cybersikkerhed og hvidvask af penge, finansiering af terror og andre kriminelle aktiviteter;</w:t>
            </w:r>
            <w:r>
              <w:t xml:space="preserve"> </w:t>
            </w:r>
            <w:r>
              <w:rPr>
                <w:b/>
                <w:i/>
              </w:rPr>
              <w:t>understreger behovet for passende regulering på dette område;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anmoder om, at enhver beslutning om at lancere den digitale euro ikke bør træffes af ECB's Styrelsesråd alene;</w:t>
            </w:r>
            <w:r>
              <w:t xml:space="preserve"> </w:t>
            </w:r>
            <w:r>
              <w:rPr>
                <w:b/>
                <w:i/>
              </w:rPr>
              <w:t>understreger, at dette bør være en konsensusbaseret beslutning fra Kommissionen, Europa-Parlamentet og Rådet i betragtning af denne beslutnings dybtgående potentielle indvirkning på finanspolitikken, der går ud over pengepolitikkens snævre anvendelsesområde;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understreger, at ECB bør lytte til og respektere Europa-Parlamentet og dets beslutninger som repræsentant for EU's borgere og bør være beredt på at sætte projektet om en digital euro i bero, hvis det ikke har tilstrækkelig støtte til at indlede gennemførelsesfasen;</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opfordrer ECB til beslutsomt at fremme projektet om den digitale euro;</w:t>
            </w:r>
            <w:r>
              <w:t xml:space="preserve"> </w:t>
            </w:r>
            <w:r>
              <w:rPr>
                <w:b/>
                <w:i/>
              </w:rPr>
              <w:t>understreger, at den digitale euro skal være omkostningsfri som et offentligt gode og</w:t>
            </w:r>
            <w:r>
              <w:t xml:space="preserve"> </w:t>
            </w:r>
            <w:r>
              <w:rPr>
                <w:b/>
                <w:i/>
              </w:rPr>
              <w:t>tilgængelig via offentlige formidlere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opfordrer ECB til at tage behørigt hensyn til bekymringer vedrørende den finansielle stabilitet og potentielle ændringer i den finansielle sektors struktur som følge af indførelsen af den digitale euro;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opfordrer ECB til sammen med Parlamentet at iværksætte en bred oplysningskampagne om den digitale euro for at fjerne borgernes bekymringer;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23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23b.</w:t>
            </w:r>
            <w:r>
              <w:tab/>
            </w:r>
            <w:r>
              <w:rPr>
                <w:b/>
                <w:i/>
              </w:rPr>
              <w:t>opfordrer ECB til at fokusere sin indsats på området digitale betalinger, således at EU kan indtage en førerposition på internationalt plan ved at skabe en digital engrosvaluta som et middel til at tilskynde til digitalisering af økonomien, forbedre kapitalmarkedernes effektivitet og dybde og styrke euroens internationale rolle;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opfordrer ECB til at afstå fra at træffe </w:t>
            </w:r>
            <w:r>
              <w:rPr>
                <w:b/>
                <w:i/>
              </w:rPr>
              <w:t>politisk motiverede beslutninger og</w:t>
            </w:r>
            <w:r>
              <w:t xml:space="preserve"> til at </w:t>
            </w:r>
            <w:r>
              <w:rPr>
                <w:b/>
                <w:i/>
              </w:rPr>
              <w:t>holde sig til sit mandat om at fastholde prisstabilitet</w:t>
            </w:r>
            <w:r>
              <w:t xml:space="preserve">; understreger, at </w:t>
            </w:r>
            <w:r>
              <w:rPr>
                <w:b/>
                <w:i/>
              </w:rPr>
              <w:t>overskridelsen</w:t>
            </w:r>
            <w:r>
              <w:t xml:space="preserve"> af dette mandat </w:t>
            </w:r>
            <w:r>
              <w:rPr>
                <w:b/>
                <w:i/>
              </w:rPr>
              <w:t>berører centralbankens politiske uafhængighed</w:t>
            </w:r>
            <w:r>
              <w:t>;</w:t>
            </w:r>
          </w:p>
        </w:tc>
        <w:tc>
          <w:tcPr>
            <w:tcW w:w="4876" w:type="dxa"/>
            <w:tcBorders>
              <w:top w:val="nil"/>
              <w:left w:val="nil"/>
              <w:bottom w:val="nil"/>
              <w:right w:val="nil"/>
            </w:tcBorders>
          </w:tcPr>
          <w:p>
            <w:pPr>
              <w:pStyle w:val="Normal6a"/>
            </w:pPr>
            <w:r>
              <w:t>24.</w:t>
            </w:r>
            <w:r>
              <w:tab/>
            </w:r>
            <w:r>
              <w:t xml:space="preserve">opfordrer ECB til at afstå fra at træffe </w:t>
            </w:r>
            <w:r>
              <w:rPr>
                <w:b/>
                <w:i/>
              </w:rPr>
              <w:t>politiske foranstaltninger;</w:t>
            </w:r>
            <w:r>
              <w:t xml:space="preserve"> </w:t>
            </w:r>
            <w:r>
              <w:rPr>
                <w:b/>
                <w:i/>
              </w:rPr>
              <w:t>understreger, at artikel 127 i TEUF opfordrer ECB</w:t>
            </w:r>
            <w:r>
              <w:t xml:space="preserve"> til at </w:t>
            </w:r>
            <w:r>
              <w:rPr>
                <w:b/>
                <w:i/>
              </w:rPr>
              <w:t>støtte de generelle økonomiske politikker i Unionen med henblik på at bidrage til gennemførelsen af Unionens mål som fastsat i artikel 3 i TEU</w:t>
            </w:r>
            <w:r>
              <w:t xml:space="preserve">; understreger, at </w:t>
            </w:r>
            <w:r>
              <w:rPr>
                <w:b/>
                <w:i/>
              </w:rPr>
              <w:t>overholdelse</w:t>
            </w:r>
            <w:r>
              <w:t xml:space="preserve"> af dette </w:t>
            </w:r>
            <w:r>
              <w:rPr>
                <w:b/>
                <w:i/>
              </w:rPr>
              <w:t>"understøttende</w:t>
            </w:r>
            <w:r>
              <w:t xml:space="preserve"> mandat</w:t>
            </w:r>
            <w:r>
              <w:rPr>
                <w:b/>
                <w:i/>
              </w:rPr>
              <w:t>" ifølge ECB's direktionsmedlem Frank Elderson er "en pligt, ikke en mulighed" for ECB</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opfordrer ECB til at afstå fra at træffe politisk motiverede beslutninger og til at holde sig til sit mandat om at fastholde prisstabilitet; </w:t>
            </w:r>
            <w:r>
              <w:rPr>
                <w:b/>
                <w:i/>
              </w:rPr>
              <w:t>understreger, at overskridelsen af dette mandat berører centralbankens politiske uafhængighed</w:t>
            </w:r>
            <w:r>
              <w:t>;</w:t>
            </w:r>
          </w:p>
        </w:tc>
        <w:tc>
          <w:tcPr>
            <w:tcW w:w="4876" w:type="dxa"/>
            <w:tcBorders>
              <w:top w:val="nil"/>
              <w:left w:val="nil"/>
              <w:bottom w:val="nil"/>
              <w:right w:val="nil"/>
            </w:tcBorders>
          </w:tcPr>
          <w:p>
            <w:pPr>
              <w:pStyle w:val="Normal6a"/>
            </w:pPr>
            <w:r>
              <w:t>24.</w:t>
            </w:r>
            <w:r>
              <w:tab/>
            </w:r>
            <w:r>
              <w:t xml:space="preserve">opfordrer ECB til at afstå fra at træffe politisk motiverede beslutninger og til at holde sig til sit mandat om at fastholde prisstabilitet; </w:t>
            </w:r>
            <w:r>
              <w:rPr>
                <w:b/>
                <w:i/>
              </w:rPr>
              <w:t>anerkender, at ECB, når det er relevant, kan overveje konsekvenserne af sine beslutninger for økonomisk vækst og beskæftigelse i EU, samtidig med at man undgår indgreb på det finanspolitiske område, der er forbeholdt medlemsstaterne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opfordrer ECB til at </w:t>
            </w:r>
            <w:r>
              <w:rPr>
                <w:b/>
                <w:i/>
              </w:rPr>
              <w:t>afstå fra at træffe politisk motiverede beslutninger og til at holde sig til sit mandat om at fastholde prisstabilitet;</w:t>
            </w:r>
            <w:r>
              <w:t xml:space="preserve"> </w:t>
            </w:r>
            <w:r>
              <w:rPr>
                <w:b/>
                <w:i/>
              </w:rPr>
              <w:t>understreger, at overskridelsen af dette mandat berører centralbankens politiske uafhængighed</w:t>
            </w:r>
            <w:r>
              <w:t>;</w:t>
            </w:r>
          </w:p>
        </w:tc>
        <w:tc>
          <w:tcPr>
            <w:tcW w:w="4876" w:type="dxa"/>
            <w:tcBorders>
              <w:top w:val="nil"/>
              <w:left w:val="nil"/>
              <w:bottom w:val="nil"/>
              <w:right w:val="nil"/>
            </w:tcBorders>
          </w:tcPr>
          <w:p>
            <w:pPr>
              <w:pStyle w:val="Normal6a"/>
            </w:pPr>
            <w:r>
              <w:t>24.</w:t>
            </w:r>
            <w:r>
              <w:tab/>
            </w:r>
            <w:r>
              <w:t xml:space="preserve">opfordrer ECB til at </w:t>
            </w:r>
            <w:r>
              <w:rPr>
                <w:b/>
                <w:i/>
              </w:rPr>
              <w:t>støtte Unionens generelle mål for den økonomiske politik, såsom fuld beskæftigelse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opfordrer ECB til at </w:t>
            </w:r>
            <w:r>
              <w:rPr>
                <w:b/>
                <w:i/>
              </w:rPr>
              <w:t>afstå fra at træffe politisk motiverede beslutninger og til at</w:t>
            </w:r>
            <w:r>
              <w:t xml:space="preserve"> holde sig til sit mandat om at fastholde prisstabilitet</w:t>
            </w:r>
            <w:r>
              <w:rPr>
                <w:b/>
                <w:i/>
              </w:rPr>
              <w:t>;</w:t>
            </w:r>
            <w:r>
              <w:t xml:space="preserve"> </w:t>
            </w:r>
            <w:r>
              <w:rPr>
                <w:b/>
                <w:i/>
              </w:rPr>
              <w:t>understreger, at overskridelsen af dette</w:t>
            </w:r>
            <w:r>
              <w:t xml:space="preserve"> mandat </w:t>
            </w:r>
            <w:r>
              <w:rPr>
                <w:b/>
                <w:i/>
              </w:rPr>
              <w:t>berører centralbankens politiske uafhængighed</w:t>
            </w:r>
            <w:r>
              <w:t>;</w:t>
            </w:r>
          </w:p>
        </w:tc>
        <w:tc>
          <w:tcPr>
            <w:tcW w:w="4876" w:type="dxa"/>
            <w:tcBorders>
              <w:top w:val="nil"/>
              <w:left w:val="nil"/>
              <w:bottom w:val="nil"/>
              <w:right w:val="nil"/>
            </w:tcBorders>
          </w:tcPr>
          <w:p>
            <w:pPr>
              <w:pStyle w:val="Normal6a"/>
            </w:pPr>
            <w:r>
              <w:t>24.</w:t>
            </w:r>
            <w:r>
              <w:tab/>
            </w:r>
            <w:r>
              <w:t xml:space="preserve">opfordrer ECB til at holde sig til sit mandat om at fastholde prisstabilitet </w:t>
            </w:r>
            <w:r>
              <w:rPr>
                <w:b/>
                <w:i/>
              </w:rPr>
              <w:t>og samtidig gøre brug af sit sekundære</w:t>
            </w:r>
            <w:r>
              <w:t xml:space="preserve"> mandat </w:t>
            </w:r>
            <w:r>
              <w:rPr>
                <w:b/>
                <w:i/>
              </w:rPr>
              <w:t>i henhold til artikel 3 i TEUF</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Pascal Canfin, Billy Kelleher, Gerben-Jan Gerbrandy,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opfordrer ECB til at afstå fra at træffe politisk motiverede beslutninger og til </w:t>
            </w:r>
            <w:r>
              <w:rPr>
                <w:b/>
                <w:i/>
              </w:rPr>
              <w:t>at holde sig til</w:t>
            </w:r>
            <w:r>
              <w:t xml:space="preserve"> sit mandat om at fastholde prisstabilitet</w:t>
            </w:r>
            <w:r>
              <w:rPr>
                <w:b/>
                <w:i/>
              </w:rPr>
              <w:t>;</w:t>
            </w:r>
            <w:r>
              <w:t xml:space="preserve"> </w:t>
            </w:r>
            <w:r>
              <w:rPr>
                <w:b/>
                <w:i/>
              </w:rPr>
              <w:t>understreger, at overskridelsen af dette mandat berører</w:t>
            </w:r>
            <w:r>
              <w:t xml:space="preserve"> centralbankens politiske uafhængighed</w:t>
            </w:r>
            <w:r>
              <w:rPr>
                <w:b/>
                <w:i/>
              </w:rPr>
              <w:t>;</w:t>
            </w:r>
          </w:p>
        </w:tc>
        <w:tc>
          <w:tcPr>
            <w:tcW w:w="4876" w:type="dxa"/>
            <w:tcBorders>
              <w:top w:val="nil"/>
              <w:left w:val="nil"/>
              <w:bottom w:val="nil"/>
              <w:right w:val="nil"/>
            </w:tcBorders>
          </w:tcPr>
          <w:p>
            <w:pPr>
              <w:pStyle w:val="Normal6a"/>
            </w:pPr>
            <w:r>
              <w:t>24.</w:t>
            </w:r>
            <w:r>
              <w:tab/>
            </w:r>
            <w:r>
              <w:t>opfordrer ECB til</w:t>
            </w:r>
            <w:r>
              <w:rPr>
                <w:b/>
                <w:i/>
              </w:rPr>
              <w:t>, når den handler i overensstemmelse med sine sekundære mål,</w:t>
            </w:r>
            <w:r>
              <w:t xml:space="preserve"> at afstå fra at træffe politisk motiverede beslutninger og til </w:t>
            </w:r>
            <w:r>
              <w:rPr>
                <w:b/>
                <w:i/>
              </w:rPr>
              <w:t>ikke at bringe</w:t>
            </w:r>
            <w:r>
              <w:t xml:space="preserve"> sit mandat om at fastholde prisstabilitet </w:t>
            </w:r>
            <w:r>
              <w:rPr>
                <w:b/>
                <w:i/>
              </w:rPr>
              <w:t>i fare,</w:t>
            </w:r>
            <w:r>
              <w:t xml:space="preserve"> </w:t>
            </w:r>
            <w:r>
              <w:rPr>
                <w:b/>
                <w:i/>
              </w:rPr>
              <w:t>i overensstemmelse med</w:t>
            </w:r>
            <w:r>
              <w:t xml:space="preserve"> centralbankens politiske uafhængighed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bemærker, at ECB i sin beretning anfører, at konkurrenceevnen i euroområdets økonomi også påvirkes af globale beslutninger om politikker for grøn omstilling;</w:t>
            </w:r>
            <w:r>
              <w:t xml:space="preserve"> </w:t>
            </w:r>
            <w:r>
              <w:rPr>
                <w:b/>
                <w:i/>
              </w:rPr>
              <w:t>opfordrer ECB til at påpege, at EU's grønne politikker hæmmer konkurrenceevnen i euroområdets økonomi;</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opfordrer ECB til, samtidig med at dens uafhængighed respekteres, at afhjælpe markedssvigt og sikre en effektiv ressourceallokering på lang sigt, samtidig med at den forbliver så apolitisk som muligt og respekterer markedsneutraliteten i forskellige situationer;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Bruno Gonçalves, Carla Tavares,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beklager dybt, at ECB fortsat er en undtagelse blandt centralbankerne, fordi den ikke indarbejder tilstræbelse af fuld beskæftigelse i sit primære mandat;</w:t>
            </w:r>
            <w:r>
              <w:t xml:space="preserve"> </w:t>
            </w:r>
            <w:r>
              <w:rPr>
                <w:b/>
                <w:i/>
              </w:rPr>
              <w:t>opfordrer indtrængende til en gennemgang heraf for at sikre, at pengepolitikken er socialt afbalanceret;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Johan Van Overtveldt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understreger, at ECB's sekundære mandat til at støtte økonomiske politikker i medlemsstaterne kun bør finde anvendelse under streng forudsætning af, at den har opfyldt sit primære mandat vedrørende prisstabilitet;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understreger, at selv om prisstabilitet er ECB's primære mål, skal ECB tage hensyn til målene for miljømæssig, social og økonomisk bæredygtighed i overensstemmelse med sit sekundære mandat;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249</w:t>
      </w:r>
      <w:r>
        <w:rPr>
          <w:rStyle w:val="HideTWBExt"/>
        </w:rPr>
        <w:t>&lt;/NumAm&gt;</w:t>
      </w:r>
    </w:p>
    <w:p>
      <w:pPr>
        <w:pStyle w:val="NormalBold"/>
      </w:pPr>
      <w:r>
        <w:rPr>
          <w:rStyle w:val="HideTWBExt"/>
          <w:b w:val="0"/>
        </w:rPr>
        <w:t>&lt;RepeatBlock-By&gt;</w:t>
      </w:r>
      <w:r>
        <w:rPr>
          <w:rStyle w:val="HideTWBExt"/>
          <w:b w:val="0"/>
        </w:rPr>
        <w:t>&lt;Members&gt;</w:t>
      </w:r>
      <w:r>
        <w:t>Pascal Canfin, Billy Kelleher, Gerben-Jan Gerbrandy,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minder om, at TEUF kræver, at ECB støtter Unionens generelle økonomiske politik, som fastlagt i artikel 3 i TEU, uden at målsætningen om prisstabilitet derved berøres;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250</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minder om, at ECB ikke bør træffe foranstaltninger, der skader euroområdets konkurrenceevne, med henblik på globale grønne politikker, da ECB har mandat til at sikre prisstabilitet og ikke bør bringe den i fare med mål, der ligger uden for dens centrale opgave;</w:t>
            </w:r>
            <w:r>
              <w:t xml:space="preserve"> </w:t>
            </w:r>
            <w:r>
              <w:rPr>
                <w:b/>
                <w:i/>
              </w:rPr>
              <w:t>gentager, at grønne politikker bør forvaltes af andre aktører i EU, og at ECB's beslutninger ikke bør gribe ind i konkurrenceevnen, den økonomiske vækst og markedseffektiviteten;</w:t>
            </w:r>
            <w:r>
              <w:t xml:space="preserve"> </w:t>
            </w:r>
            <w:r>
              <w:rPr>
                <w:b/>
                <w:i/>
              </w:rPr>
              <w:t>opfordrer til, at konkurrenceevnen beskyttes for at sikre et velstående og frit økonomisk miljø;</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251</w:t>
      </w:r>
      <w:r>
        <w:rPr>
          <w:rStyle w:val="HideTWBExt"/>
        </w:rPr>
        <w:t>&lt;/NumAm&gt;</w:t>
      </w:r>
    </w:p>
    <w:p>
      <w:pPr>
        <w:pStyle w:val="NormalBold"/>
      </w:pPr>
      <w:r>
        <w:rPr>
          <w:rStyle w:val="HideTWBExt"/>
          <w:b w:val="0"/>
        </w:rPr>
        <w:t>&lt;RepeatBlock-By&gt;</w:t>
      </w:r>
      <w:r>
        <w:rPr>
          <w:rStyle w:val="HideTWBExt"/>
          <w:b w:val="0"/>
        </w:rPr>
        <w:t>&lt;Members&gt;</w:t>
      </w:r>
      <w:r>
        <w:t>Pascal Canfin, Billy Kelleher, Gerben-Jan Gerbrandy,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glæder sig over ECB's indsats for yderligere at forbedre Eurosystemets risikovurderingsværktøjer og -kapaciteter med henblik på bedre at medtage klima- og miljørelaterede risici, navnlig fordi klimaændringer og ekstreme vejrfænomener kan føre til større prisudsving, især i landbrugsfødevaresektoren;</w:t>
            </w:r>
            <w:r>
              <w:t xml:space="preserve"> </w:t>
            </w:r>
            <w:r>
              <w:rPr>
                <w:b/>
                <w:i/>
              </w:rPr>
              <w:t>opfordrer ECB til at fortsætte sit arbejde med de klimastresstest, der er udviklet til at vurdere bankers og virksomheders modstandsdygtighed, hvad angår med klimaomstillingen;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252</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understreger, at tilstrækkelige indskudslofter er afgørende for at fremme den digitale euro, samtidig med at der fastsættes et loft over transaktionsvoluminerne inden for forud fastsatte tidspunkter og absolutte værdier;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253</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understreger, at ECB's sekundære mål bedst nås, når det frie marked fungerer i et stabilt makroøkonomisk miljø baseret på forudsigelige prisniveauer, der tilskynder til investeringer;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254</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understreger, at ECB's sekundære mål bedst nås, når det frie marked fungerer i et stabilt makroøkonomisk miljø baseret på forudsigelige prisniveauer, der tilskynder til investeringer;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255</w:t>
      </w:r>
      <w:r>
        <w:rPr>
          <w:rStyle w:val="HideTWBExt"/>
        </w:rPr>
        <w:t>&lt;/NumAm&gt;</w:t>
      </w:r>
    </w:p>
    <w:p>
      <w:pPr>
        <w:pStyle w:val="NormalBold"/>
      </w:pPr>
      <w:r>
        <w:rPr>
          <w:rStyle w:val="HideTWBExt"/>
          <w:b w:val="0"/>
        </w:rPr>
        <w:t>&lt;RepeatBlock-By&gt;</w:t>
      </w:r>
      <w:r>
        <w:rPr>
          <w:rStyle w:val="HideTWBExt"/>
          <w:b w:val="0"/>
        </w:rPr>
        <w:t>&lt;Members&gt;</w:t>
      </w:r>
      <w:r>
        <w:t>Pascal Canfin, Billy Kelleher, Gerben-Jan Gerbrandy,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understreger, at ECB's sekundære mål bedst nås, når det frie marked fungerer i et stabilt makroøkonomisk miljø baseret på forudsigelige prisniveauer, der tilskynder til investeringer;</w:t>
            </w:r>
          </w:p>
        </w:tc>
        <w:tc>
          <w:tcPr>
            <w:tcW w:w="4876" w:type="dxa"/>
            <w:tcBorders>
              <w:top w:val="nil"/>
              <w:left w:val="nil"/>
              <w:bottom w:val="nil"/>
              <w:right w:val="nil"/>
            </w:tcBorders>
          </w:tcPr>
          <w:p>
            <w:pPr>
              <w:pStyle w:val="Normal6a"/>
            </w:pPr>
            <w:r>
              <w:t>25.</w:t>
            </w:r>
            <w:r>
              <w:tab/>
            </w:r>
            <w:r>
              <w:t xml:space="preserve">understreger, at ECB's sekundære mål bedst nås, når det frie marked fungerer i et stabilt makroøkonomisk miljø baseret på forudsigelige prisniveauer, der tilskynder til investeringer; </w:t>
            </w:r>
            <w:r>
              <w:rPr>
                <w:b/>
                <w:i/>
              </w:rPr>
              <w:t>understreger derfor behovet for at mindske vores energiafhængighed af importerede fossile brændstoffer;</w:t>
            </w:r>
            <w:r>
              <w:t xml:space="preserve"> </w:t>
            </w:r>
            <w:r>
              <w:rPr>
                <w:b/>
                <w:i/>
              </w:rPr>
              <w:t>understreger, at indenlandsk produceret ren energi vil reducere EU-økonomiens eksponering for energirelaterede eksterne chok og generelt være befordrende for ECB's mandat vedrørende prisstabilitet;</w:t>
            </w:r>
            <w:r>
              <w:t xml:space="preserve"> </w:t>
            </w:r>
            <w:r>
              <w:rPr>
                <w:b/>
                <w:i/>
              </w:rPr>
              <w:t>anerkender i denne forbindelse, at energiprisen på indenlandsk produceret ren energi sandsynligvis vil blive billigere og mere stabil på mellemlang sigt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256</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understreger, at ECB's sekundære mål </w:t>
            </w:r>
            <w:r>
              <w:rPr>
                <w:b/>
                <w:i/>
              </w:rPr>
              <w:t>bedst nås, når det frie marked</w:t>
            </w:r>
            <w:r>
              <w:t xml:space="preserve"> fungerer i et stabilt makroøkonomisk miljø baseret på forudsigelige prisniveauer, der tilskynder til investeringer;</w:t>
            </w:r>
          </w:p>
        </w:tc>
        <w:tc>
          <w:tcPr>
            <w:tcW w:w="4876" w:type="dxa"/>
            <w:tcBorders>
              <w:top w:val="nil"/>
              <w:left w:val="nil"/>
              <w:bottom w:val="nil"/>
              <w:right w:val="nil"/>
            </w:tcBorders>
          </w:tcPr>
          <w:p>
            <w:pPr>
              <w:pStyle w:val="Normal6a"/>
            </w:pPr>
            <w:r>
              <w:t>25.</w:t>
            </w:r>
            <w:r>
              <w:tab/>
            </w:r>
            <w:r>
              <w:t xml:space="preserve">understreger, at ECB's sekundære mål </w:t>
            </w:r>
            <w:r>
              <w:rPr>
                <w:b/>
                <w:i/>
              </w:rPr>
              <w:t>nås, når markedet</w:t>
            </w:r>
            <w:r>
              <w:t xml:space="preserve"> fungerer i et stabilt makroøkonomisk miljø baseret på forudsigelige prisniveauer, der tilskynder til investeringer; </w:t>
            </w:r>
            <w:r>
              <w:rPr>
                <w:b/>
                <w:i/>
              </w:rPr>
              <w:t>understreger imidlertid, at markedsmekanismerne alene ikke vil føre til en tilstrækkelig stor reduktion af kapitalomkostningerne for grønne investeringer;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257</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opfordrer ECB til inden for sit kompetenceområde at forfølge foranstaltninger, der fremmer et stabilt makroøkonomisk miljø, der bidrager til bæredygtig økonomisk vækst, beskæftigelse og øget konkurrenceevne i EU, samtidig med at man undgår indblanding i medlemsstaternes finanspolitikker og respekterer nærhedsprincippet;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258</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opfordrer ECB til at medtage et særligt kapitel i sin årsberetning, der forklarer, hvordan den har fortolket og gennemført sine sekundære 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259</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understreger, at ECB bør forhindre forvridninger i prisernes signalfunktion i betragtning af denne funktions rolle med hensyn til at sikre en effektiv ressourceallokering; opfordrer ECB til at vurdere, i hvilket omfang klimaændringerne påvirker dens evne til at fastholde prisstabilitet;</w:t>
            </w:r>
          </w:p>
        </w:tc>
        <w:tc>
          <w:tcPr>
            <w:tcW w:w="4876" w:type="dxa"/>
            <w:tcBorders>
              <w:top w:val="nil"/>
              <w:left w:val="nil"/>
              <w:bottom w:val="nil"/>
              <w:right w:val="nil"/>
            </w:tcBorders>
          </w:tcPr>
          <w:p>
            <w:pPr>
              <w:pStyle w:val="Normal6a"/>
            </w:pPr>
            <w:r>
              <w:t>26.</w:t>
            </w:r>
            <w:r>
              <w:tab/>
            </w:r>
            <w:r>
              <w:t xml:space="preserve">understreger, at ECB bør forhindre forvridninger i prisernes signalfunktion i betragtning af denne funktions rolle med hensyn til at sikre en effektiv ressourceallokering; </w:t>
            </w:r>
            <w:r>
              <w:rPr>
                <w:b/>
                <w:i/>
              </w:rPr>
              <w:t>minder om, at undersøgelser, som ECB tidligere har gennemført, har vist, at makroøkonomiske og finansielle markedsforstyrrelser i forbindelse med klimaændringer og omstillingspolitikker kan påvirke gennemførelsen af pengepolitikken og ECB's evne til at opfylde sit mandat vedrørende prisstabilitet gennem forskellige kanaler;</w:t>
            </w:r>
            <w:r>
              <w:t xml:space="preserve"> opfordrer ECB til </w:t>
            </w:r>
            <w:r>
              <w:rPr>
                <w:b/>
                <w:i/>
              </w:rPr>
              <w:t>yderligere</w:t>
            </w:r>
            <w:r>
              <w:t xml:space="preserve"> at vurdere, i hvilket omfang klimaændringerne påvirker dens evne til at fastholde prisstabilitet;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260</w:t>
      </w:r>
      <w:r>
        <w:rPr>
          <w:rStyle w:val="HideTWBExt"/>
        </w:rPr>
        <w:t>&lt;/NumAm&gt;</w:t>
      </w:r>
    </w:p>
    <w:p>
      <w:pPr>
        <w:pStyle w:val="NormalBold"/>
      </w:pPr>
      <w:r>
        <w:rPr>
          <w:rStyle w:val="HideTWBExt"/>
          <w:b w:val="0"/>
        </w:rPr>
        <w:t>&lt;RepeatBlock-By&gt;</w:t>
      </w:r>
      <w:r>
        <w:rPr>
          <w:rStyle w:val="HideTWBExt"/>
          <w:b w:val="0"/>
        </w:rPr>
        <w:t>&lt;Members&gt;</w:t>
      </w:r>
      <w:r>
        <w:t>Pascal Canfin, Billy Kelleher, Gerben-Jan Gerbrandy,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understreger, at ECB bør forhindre forvridninger i prisernes signalfunktion </w:t>
            </w:r>
            <w:r>
              <w:rPr>
                <w:b/>
                <w:i/>
              </w:rPr>
              <w:t>i betragtning af denne funktions rolle med hensyn til at sikre</w:t>
            </w:r>
            <w:r>
              <w:t xml:space="preserve"> en effektiv ressourceallokering; </w:t>
            </w:r>
            <w:r>
              <w:rPr>
                <w:b/>
                <w:i/>
              </w:rPr>
              <w:t>opfordrer ECB til</w:t>
            </w:r>
            <w:r>
              <w:t xml:space="preserve"> at vurdere, i hvilket omfang klimaændringerne påvirker dens evne til at fastholde prisstabilitet;</w:t>
            </w:r>
          </w:p>
        </w:tc>
        <w:tc>
          <w:tcPr>
            <w:tcW w:w="4876" w:type="dxa"/>
            <w:tcBorders>
              <w:top w:val="nil"/>
              <w:left w:val="nil"/>
              <w:bottom w:val="nil"/>
              <w:right w:val="nil"/>
            </w:tcBorders>
          </w:tcPr>
          <w:p>
            <w:pPr>
              <w:pStyle w:val="Normal6a"/>
            </w:pPr>
            <w:r>
              <w:t>26.</w:t>
            </w:r>
            <w:r>
              <w:tab/>
            </w:r>
            <w:r>
              <w:t>understreger, at ECB bør forhindre forvridninger i prisernes signalfunktion</w:t>
            </w:r>
            <w:r>
              <w:rPr>
                <w:b/>
                <w:i/>
              </w:rPr>
              <w:t>, medmindre der fremkommer omfattende dokumentation for, at dette vil fremme</w:t>
            </w:r>
            <w:r>
              <w:t xml:space="preserve"> en effektiv ressourceallokering; </w:t>
            </w:r>
            <w:r>
              <w:rPr>
                <w:b/>
                <w:i/>
              </w:rPr>
              <w:t>bemærker, at ECB som EU-institution, der handler inden for sit mandat, er bundet af EU's forpligtelser i henhold til Parisaftalen;</w:t>
            </w:r>
            <w:r>
              <w:t xml:space="preserve"> </w:t>
            </w:r>
            <w:r>
              <w:rPr>
                <w:b/>
                <w:i/>
              </w:rPr>
              <w:t>tilskynder ECB til fortsat</w:t>
            </w:r>
            <w:r>
              <w:t xml:space="preserve"> at vurdere, i hvilket omfang klimaændringerne </w:t>
            </w:r>
            <w:r>
              <w:rPr>
                <w:b/>
                <w:i/>
              </w:rPr>
              <w:t>potentielt</w:t>
            </w:r>
            <w:r>
              <w:t xml:space="preserve"> påvirker dens evne til at fastholde prisstabilitet;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261</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rPr>
                <w:b/>
                <w:i/>
              </w:rPr>
              <w:t>understreger, at ECB bør forhindre forvridninger i prisernes signalfunktion i betragtning af denne funktions rolle med hensyn til at sikre en effektiv ressourceallokering;</w:t>
            </w:r>
            <w:r>
              <w:t xml:space="preserve"> opfordrer ECB til at vurdere, i hvilket omfang klimaændringerne påvirker dens evne til at fastholde prisstabilitet;</w:t>
            </w:r>
          </w:p>
        </w:tc>
        <w:tc>
          <w:tcPr>
            <w:tcW w:w="4876" w:type="dxa"/>
            <w:tcBorders>
              <w:top w:val="nil"/>
              <w:left w:val="nil"/>
              <w:bottom w:val="nil"/>
              <w:right w:val="nil"/>
            </w:tcBorders>
          </w:tcPr>
          <w:p>
            <w:pPr>
              <w:pStyle w:val="Normal6a"/>
            </w:pPr>
            <w:r>
              <w:t>26.</w:t>
            </w:r>
            <w:r>
              <w:tab/>
            </w:r>
            <w:r>
              <w:t xml:space="preserve">opfordrer ECB til at vurdere, i hvilket omfang klimaændringerne påvirker dens evne til at fastholde prisstabilitet </w:t>
            </w:r>
            <w:r>
              <w:rPr>
                <w:b/>
                <w:i/>
              </w:rPr>
              <w:t>og støtte den økonomiske politik i Unionen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262</w:t>
      </w:r>
      <w:r>
        <w:rPr>
          <w:rStyle w:val="HideTWBExt"/>
        </w:rPr>
        <w:t>&lt;/NumAm&gt;</w:t>
      </w:r>
    </w:p>
    <w:p>
      <w:pPr>
        <w:pStyle w:val="NormalBold"/>
      </w:pPr>
      <w:r>
        <w:rPr>
          <w:rStyle w:val="HideTWBExt"/>
          <w:b w:val="0"/>
        </w:rPr>
        <w:t>&lt;RepeatBlock-By&gt;</w:t>
      </w:r>
      <w:r>
        <w:rPr>
          <w:rStyle w:val="HideTWBExt"/>
          <w:b w:val="0"/>
        </w:rPr>
        <w:t>&lt;Members&gt;</w:t>
      </w:r>
      <w:r>
        <w:t>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rPr>
                <w:b/>
                <w:i/>
              </w:rPr>
              <w:t>understreger</w:t>
            </w:r>
            <w:r>
              <w:t xml:space="preserve">, at ECB </w:t>
            </w:r>
            <w:r>
              <w:rPr>
                <w:b/>
                <w:i/>
              </w:rPr>
              <w:t>bør forhindre forvridninger i prisernes signalfunktion i betragtning af denne funktions rolle med hensyn til at sikre en effektiv ressourceallokering;</w:t>
            </w:r>
            <w:r>
              <w:t xml:space="preserve"> </w:t>
            </w:r>
            <w:r>
              <w:rPr>
                <w:b/>
                <w:i/>
              </w:rPr>
              <w:t>opfordrer</w:t>
            </w:r>
            <w:r>
              <w:t xml:space="preserve"> ECB til at vurdere, i hvilket omfang klimaændringerne påvirker dens evne til at fastholde prisstabilitet;</w:t>
            </w:r>
          </w:p>
        </w:tc>
        <w:tc>
          <w:tcPr>
            <w:tcW w:w="4876" w:type="dxa"/>
            <w:tcBorders>
              <w:top w:val="nil"/>
              <w:left w:val="nil"/>
              <w:bottom w:val="nil"/>
              <w:right w:val="nil"/>
            </w:tcBorders>
          </w:tcPr>
          <w:p>
            <w:pPr>
              <w:pStyle w:val="Normal6a"/>
            </w:pPr>
            <w:r>
              <w:t>26.</w:t>
            </w:r>
            <w:r>
              <w:tab/>
            </w:r>
            <w:r>
              <w:rPr>
                <w:b/>
                <w:i/>
              </w:rPr>
              <w:t>bemærker</w:t>
            </w:r>
            <w:r>
              <w:t xml:space="preserve">, at ECB </w:t>
            </w:r>
            <w:r>
              <w:rPr>
                <w:b/>
                <w:i/>
              </w:rPr>
              <w:t>som EU-institution, der handler inden for sit mandat, er bundet af EU's forpligtelser i henhold til Parisaftalen;</w:t>
            </w:r>
            <w:r>
              <w:t xml:space="preserve"> </w:t>
            </w:r>
            <w:r>
              <w:rPr>
                <w:b/>
                <w:i/>
              </w:rPr>
              <w:t>tilskynder</w:t>
            </w:r>
            <w:r>
              <w:t xml:space="preserve"> ECB til </w:t>
            </w:r>
            <w:r>
              <w:rPr>
                <w:b/>
                <w:i/>
              </w:rPr>
              <w:t>fortsat</w:t>
            </w:r>
            <w:r>
              <w:t xml:space="preserve"> at vurdere, i hvilket omfang klimaændringerne </w:t>
            </w:r>
            <w:r>
              <w:rPr>
                <w:b/>
                <w:i/>
              </w:rPr>
              <w:t>potentielt</w:t>
            </w:r>
            <w:r>
              <w:t xml:space="preserve"> påvirker dens evne til at fastholde prisstabilitet;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263</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26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opfordrer indtrængende ECB til at revidere sine klimarelaterede politikker, såsom dekarbonisering af sine erhvervsobligationsbeholdninger, for at sikre, at disse foranstaltninger ikke underminerer EU's konkurrenceevne eller afviger fra princippet om markedsneutralitet;</w:t>
            </w:r>
            <w:r>
              <w:t xml:space="preserve"> </w:t>
            </w:r>
            <w:r>
              <w:rPr>
                <w:b/>
                <w:i/>
              </w:rPr>
              <w:t>understreger behovet for at undgå at stille energiintensive industrier, der kan stå over for uforholdsmæssigt store overholdelsesomkostninger sammenlignet med globale modparter, ringere;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264</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26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understreger den europæiske søjle for sociale rettigheders betydning for socioøkonomisk tilpasning;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265</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27.</w:t>
            </w:r>
            <w:r>
              <w:tab/>
            </w:r>
            <w:r>
              <w:rPr>
                <w:b/>
                <w:i/>
              </w:rPr>
              <w:t>insisterer på, at ECB respekterer princippet om markedsneutralitet i alle sine pengepolitiske operationer;</w:t>
            </w:r>
            <w:r>
              <w:t xml:space="preserve"> </w:t>
            </w:r>
            <w:r>
              <w:rPr>
                <w:b/>
                <w:i/>
              </w:rPr>
              <w:t>beklager, at ECB's indsats for at dekarbonisere sine erhvervsobligationsbeholdninger ikke har fulgt en markedsneutral tilgang pr. definition;</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266</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27.</w:t>
            </w:r>
            <w:r>
              <w:tab/>
            </w:r>
            <w:r>
              <w:rPr>
                <w:b/>
                <w:i/>
              </w:rPr>
              <w:t>insisterer på, at ECB respekterer princippet om markedsneutralitet i alle sine pengepolitiske operationer;</w:t>
            </w:r>
            <w:r>
              <w:t xml:space="preserve"> </w:t>
            </w:r>
            <w:r>
              <w:rPr>
                <w:b/>
                <w:i/>
              </w:rPr>
              <w:t>beklager, at ECB's indsats for at dekarbonisere sine erhvervsobligationsbeholdninger ikke har fulgt en markedsneutral tilgang pr. definition;</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267</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insisterer på, at </w:t>
            </w:r>
            <w:r>
              <w:rPr>
                <w:b/>
                <w:i/>
              </w:rPr>
              <w:t>ECB respekterer princippet om</w:t>
            </w:r>
            <w:r>
              <w:t xml:space="preserve"> markedsneutralitet </w:t>
            </w:r>
            <w:r>
              <w:rPr>
                <w:b/>
                <w:i/>
              </w:rPr>
              <w:t>i alle sine pengepolitiske operationer;</w:t>
            </w:r>
            <w:r>
              <w:t xml:space="preserve"> </w:t>
            </w:r>
            <w:r>
              <w:rPr>
                <w:b/>
                <w:i/>
              </w:rPr>
              <w:t>beklager, at ECB's indsats</w:t>
            </w:r>
            <w:r>
              <w:t xml:space="preserve"> for at </w:t>
            </w:r>
            <w:r>
              <w:rPr>
                <w:b/>
                <w:i/>
              </w:rPr>
              <w:t>dekarbonisere sine erhvervsobligationsbeholdninger ikke har fulgt en markedsneutral tilgang pr. definition</w:t>
            </w:r>
            <w:r>
              <w:t>;</w:t>
            </w:r>
          </w:p>
        </w:tc>
        <w:tc>
          <w:tcPr>
            <w:tcW w:w="4876" w:type="dxa"/>
            <w:tcBorders>
              <w:top w:val="nil"/>
              <w:left w:val="nil"/>
              <w:bottom w:val="nil"/>
              <w:right w:val="nil"/>
            </w:tcBorders>
          </w:tcPr>
          <w:p>
            <w:pPr>
              <w:pStyle w:val="Normal6a"/>
            </w:pPr>
            <w:r>
              <w:t>27.</w:t>
            </w:r>
            <w:r>
              <w:tab/>
            </w:r>
            <w:r>
              <w:t xml:space="preserve">insisterer på, at </w:t>
            </w:r>
            <w:r>
              <w:rPr>
                <w:b/>
                <w:i/>
              </w:rPr>
              <w:t>princippet om markedsneutralitet ikke er et retligt krav;</w:t>
            </w:r>
            <w:r>
              <w:t xml:space="preserve"> </w:t>
            </w:r>
            <w:r>
              <w:rPr>
                <w:b/>
                <w:i/>
              </w:rPr>
              <w:t>understreger, at ECB selv har bekræftet, at</w:t>
            </w:r>
            <w:r>
              <w:t xml:space="preserve"> markedsneutralitet </w:t>
            </w:r>
            <w:r>
              <w:rPr>
                <w:b/>
                <w:i/>
              </w:rPr>
              <w:t>ikke nævnes i den primære EU-ret, og at betydningen af et sådant begreb i doktrinen er yderst heterogent;</w:t>
            </w:r>
            <w:r>
              <w:t xml:space="preserve"> </w:t>
            </w:r>
            <w:r>
              <w:rPr>
                <w:b/>
                <w:i/>
              </w:rPr>
              <w:t>understreger, at enhver indgriben fra centralbankens side i sig selv er i strid med begrebet markedsneutralitet, da centralbankerne ved at justere deres balance konstant griber ind</w:t>
            </w:r>
            <w:r>
              <w:t xml:space="preserve"> for at </w:t>
            </w:r>
            <w:r>
              <w:rPr>
                <w:b/>
                <w:i/>
              </w:rPr>
              <w:t>påvirke markedsresultaterne;</w:t>
            </w:r>
            <w:r>
              <w:t xml:space="preserve"> </w:t>
            </w:r>
            <w:r>
              <w:rPr>
                <w:b/>
                <w:i/>
              </w:rPr>
              <w:t>støtter derfor, at et sådant begreb ikke kan skabe retlige forpligtelser for ECB</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268</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insisterer på, at ECB </w:t>
            </w:r>
            <w:r>
              <w:rPr>
                <w:b/>
                <w:i/>
              </w:rPr>
              <w:t>respekterer</w:t>
            </w:r>
            <w:r>
              <w:t xml:space="preserve"> princippet om markedsneutralitet i alle sine pengepolitiske operationer; beklager, at ECB's indsats for at dekarbonisere sine erhvervsobligationsbeholdninger ikke har fulgt en markedsneutral tilgang pr. definition;</w:t>
            </w:r>
          </w:p>
        </w:tc>
        <w:tc>
          <w:tcPr>
            <w:tcW w:w="4876" w:type="dxa"/>
            <w:tcBorders>
              <w:top w:val="nil"/>
              <w:left w:val="nil"/>
              <w:bottom w:val="nil"/>
              <w:right w:val="nil"/>
            </w:tcBorders>
          </w:tcPr>
          <w:p>
            <w:pPr>
              <w:pStyle w:val="Normal6a"/>
            </w:pPr>
            <w:r>
              <w:t>27.</w:t>
            </w:r>
            <w:r>
              <w:tab/>
            </w:r>
            <w:r>
              <w:t xml:space="preserve">insisterer på, at ECB </w:t>
            </w:r>
            <w:r>
              <w:rPr>
                <w:b/>
                <w:i/>
              </w:rPr>
              <w:t>nøje overholder</w:t>
            </w:r>
            <w:r>
              <w:t xml:space="preserve"> princippet om markedsneutralitet i alle sine pengepolitiske operationer; beklager, at ECB's indsats for at dekarbonisere sine erhvervsobligationsbeholdninger ikke har fulgt en markedsneutral tilgang pr. definition </w:t>
            </w:r>
            <w:r>
              <w:rPr>
                <w:b/>
                <w:i/>
              </w:rPr>
              <w:t>og signalerer selektiv støtte til bestemte sektorer frem for andre, hvilket fordrejer konkurrencen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269</w:t>
      </w:r>
      <w:r>
        <w:rPr>
          <w:rStyle w:val="HideTWBExt"/>
        </w:rPr>
        <w:t>&lt;/NumAm&gt;</w:t>
      </w:r>
    </w:p>
    <w:p>
      <w:pPr>
        <w:pStyle w:val="NormalBold"/>
      </w:pPr>
      <w:r>
        <w:rPr>
          <w:rStyle w:val="HideTWBExt"/>
          <w:b w:val="0"/>
        </w:rPr>
        <w:t>&lt;RepeatBlock-By&gt;</w:t>
      </w:r>
      <w:r>
        <w:rPr>
          <w:rStyle w:val="HideTWBExt"/>
          <w:b w:val="0"/>
        </w:rPr>
        <w:t>&lt;Members&gt;</w:t>
      </w:r>
      <w:r>
        <w:t>Johan Van Overtveldt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insisterer på, at ECB respekterer princippet om markedsneutralitet i alle sine pengepolitiske operationer; beklager, at ECB's indsats for at dekarbonisere sine erhvervsobligationsbeholdninger ikke har fulgt en markedsneutral tilgang pr. definition;</w:t>
            </w:r>
          </w:p>
        </w:tc>
        <w:tc>
          <w:tcPr>
            <w:tcW w:w="4876" w:type="dxa"/>
            <w:tcBorders>
              <w:top w:val="nil"/>
              <w:left w:val="nil"/>
              <w:bottom w:val="nil"/>
              <w:right w:val="nil"/>
            </w:tcBorders>
          </w:tcPr>
          <w:p>
            <w:pPr>
              <w:pStyle w:val="Normal6a"/>
            </w:pPr>
            <w:r>
              <w:t>27.</w:t>
            </w:r>
            <w:r>
              <w:tab/>
            </w:r>
            <w:r>
              <w:t xml:space="preserve">insisterer på, at ECB respekterer princippet om markedsneutralitet i alle sine pengepolitiske operationer; beklager, at ECB's indsats for at dekarbonisere sine erhvervsobligationsbeholdninger ikke har fulgt en markedsneutral tilgang pr. definition; </w:t>
            </w:r>
            <w:r>
              <w:rPr>
                <w:b/>
                <w:i/>
              </w:rPr>
              <w:t>mener, at sådanne foranstaltninger på ingen måde bør bringe ECB's primære mål i fare;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270</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insisterer på, at ECB respekterer princippet om markedsneutralitet i alle sine pengepolitiske operationer; beklager, at ECB's indsats for at dekarbonisere sine erhvervsobligationsbeholdninger ikke har fulgt en markedsneutral tilgang pr. definition;</w:t>
            </w:r>
          </w:p>
        </w:tc>
        <w:tc>
          <w:tcPr>
            <w:tcW w:w="4876" w:type="dxa"/>
            <w:tcBorders>
              <w:top w:val="nil"/>
              <w:left w:val="nil"/>
              <w:bottom w:val="nil"/>
              <w:right w:val="nil"/>
            </w:tcBorders>
          </w:tcPr>
          <w:p>
            <w:pPr>
              <w:pStyle w:val="Normal6a"/>
            </w:pPr>
            <w:r>
              <w:t>27.</w:t>
            </w:r>
            <w:r>
              <w:tab/>
            </w:r>
            <w:r>
              <w:t xml:space="preserve">insisterer på, at ECB </w:t>
            </w:r>
            <w:r>
              <w:rPr>
                <w:b/>
                <w:i/>
              </w:rPr>
              <w:t>til enhver tid</w:t>
            </w:r>
            <w:r>
              <w:t xml:space="preserve"> respekterer princippet om markedsneutralitet i alle sine pengepolitiske operationer; beklager, at ECB's indsats for at dekarbonisere sine erhvervsobligationsbeholdninger ikke har fulgt en markedsneutral tilgang pr. definition;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271</w:t>
      </w:r>
      <w:r>
        <w:rPr>
          <w:rStyle w:val="HideTWBExt"/>
        </w:rPr>
        <w:t>&lt;/NumAm&gt;</w:t>
      </w:r>
    </w:p>
    <w:p>
      <w:pPr>
        <w:pStyle w:val="NormalBold"/>
      </w:pPr>
      <w:r>
        <w:rPr>
          <w:rStyle w:val="HideTWBExt"/>
          <w:b w:val="0"/>
        </w:rPr>
        <w:t>&lt;RepeatBlock-By&gt;</w:t>
      </w:r>
      <w:r>
        <w:rPr>
          <w:rStyle w:val="HideTWBExt"/>
          <w:b w:val="0"/>
        </w:rPr>
        <w:t>&lt;Members&gt;</w:t>
      </w:r>
      <w:r>
        <w:t>Pascal Canfin, Gerben-Jan Gerbrandy,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insisterer på, at ECB respekterer princippet om markedsneutralitet i alle sine pengepolitiske operationer; </w:t>
            </w:r>
            <w:r>
              <w:rPr>
                <w:b/>
                <w:i/>
              </w:rPr>
              <w:t>beklager</w:t>
            </w:r>
            <w:r>
              <w:t xml:space="preserve">, at ECB's indsats for at dekarbonisere sine erhvervsobligationsbeholdninger ikke har fulgt en markedsneutral tilgang </w:t>
            </w:r>
            <w:r>
              <w:rPr>
                <w:b/>
                <w:i/>
              </w:rPr>
              <w:t>pr. definition</w:t>
            </w:r>
            <w:r>
              <w:t>;</w:t>
            </w:r>
          </w:p>
        </w:tc>
        <w:tc>
          <w:tcPr>
            <w:tcW w:w="4876" w:type="dxa"/>
            <w:tcBorders>
              <w:top w:val="nil"/>
              <w:left w:val="nil"/>
              <w:bottom w:val="nil"/>
              <w:right w:val="nil"/>
            </w:tcBorders>
          </w:tcPr>
          <w:p>
            <w:pPr>
              <w:pStyle w:val="Normal6a"/>
            </w:pPr>
            <w:r>
              <w:t>27.</w:t>
            </w:r>
            <w:r>
              <w:tab/>
            </w:r>
            <w:r>
              <w:t xml:space="preserve">insisterer på, at ECB </w:t>
            </w:r>
            <w:r>
              <w:rPr>
                <w:b/>
                <w:i/>
              </w:rPr>
              <w:t>så vidt muligt</w:t>
            </w:r>
            <w:r>
              <w:t xml:space="preserve"> respekterer princippet om markedsneutralitet i alle sine pengepolitiske operationer; </w:t>
            </w:r>
            <w:r>
              <w:rPr>
                <w:b/>
                <w:i/>
              </w:rPr>
              <w:t>anerkender</w:t>
            </w:r>
            <w:r>
              <w:t xml:space="preserve">, at ECB's indsats for at dekarbonisere sine erhvervsobligationsbeholdninger ikke har fulgt en </w:t>
            </w:r>
            <w:r>
              <w:rPr>
                <w:b/>
                <w:i/>
              </w:rPr>
              <w:t>strengt </w:t>
            </w:r>
            <w:r>
              <w:t>markedsneutral tilgang;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272</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insisterer på, at ECB </w:t>
            </w:r>
            <w:r>
              <w:rPr>
                <w:b/>
                <w:i/>
              </w:rPr>
              <w:t>respekterer</w:t>
            </w:r>
            <w:r>
              <w:t xml:space="preserve"> princippet om markedsneutralitet i alle sine pengepolitiske operationer; beklager, at ECB's indsats for at dekarbonisere sine erhvervsobligationsbeholdninger ikke har fulgt en markedsneutral tilgang pr. definition;</w:t>
            </w:r>
          </w:p>
        </w:tc>
        <w:tc>
          <w:tcPr>
            <w:tcW w:w="4876" w:type="dxa"/>
            <w:tcBorders>
              <w:top w:val="nil"/>
              <w:left w:val="nil"/>
              <w:bottom w:val="nil"/>
              <w:right w:val="nil"/>
            </w:tcBorders>
          </w:tcPr>
          <w:p>
            <w:pPr>
              <w:pStyle w:val="Normal6a"/>
            </w:pPr>
            <w:r>
              <w:t>27.</w:t>
            </w:r>
            <w:r>
              <w:tab/>
            </w:r>
            <w:r>
              <w:t xml:space="preserve">insisterer på, at ECB </w:t>
            </w:r>
            <w:r>
              <w:rPr>
                <w:b/>
                <w:i/>
              </w:rPr>
              <w:t>skal respektere</w:t>
            </w:r>
            <w:r>
              <w:t xml:space="preserve"> princippet om markedsneutralitet i alle sine pengepolitiske operationer; beklager, at ECB's indsats for at dekarbonisere sine erhvervsobligationsbeholdninger ikke har fulgt en markedsneutral tilgang pr. definition;</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273</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28.</w:t>
            </w:r>
            <w:r>
              <w:tab/>
            </w:r>
            <w:r>
              <w:rPr>
                <w:b/>
                <w:i/>
              </w:rPr>
              <w:t>opfordrer ECB til at anvende alle sine tilgængelige værktøjer til at sikre, at bankerne tager klimarisici alvorligt for at modvirke de finansielle risici, som klimaændringerne medfører;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274</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28.</w:t>
            </w:r>
            <w:r>
              <w:tab/>
            </w:r>
            <w:r>
              <w:rPr>
                <w:b/>
                <w:i/>
              </w:rPr>
              <w:t>opfordrer ECB til at anvende alle sine tilgængelige værktøjer til at sikre, at bankerne tager klimarisici alvorligt for at modvirke de finansielle risici, som klimaændringerne medfører;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275</w:t>
      </w:r>
      <w:r>
        <w:rPr>
          <w:rStyle w:val="HideTWBExt"/>
        </w:rPr>
        <w:t>&lt;/NumAm&gt;</w:t>
      </w:r>
    </w:p>
    <w:p>
      <w:pPr>
        <w:pStyle w:val="NormalBold"/>
      </w:pPr>
      <w:r>
        <w:rPr>
          <w:rStyle w:val="HideTWBExt"/>
          <w:b w:val="0"/>
        </w:rPr>
        <w:t>&lt;RepeatBlock-By&gt;</w:t>
      </w:r>
      <w:r>
        <w:rPr>
          <w:rStyle w:val="HideTWBExt"/>
          <w:b w:val="0"/>
        </w:rPr>
        <w:t>&lt;Members&gt;</w:t>
      </w:r>
      <w:r>
        <w:t>Pascal Canfin, Billy Kelleher, Gerben-Jan Gerbrandy,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opfordrer ECB til at anvende alle sine tilgængelige værktøjer til at sikre, at bankerne tager klimarisici alvorligt for at modvirke de finansielle risici, som klimaændringerne medfører;</w:t>
            </w:r>
          </w:p>
        </w:tc>
        <w:tc>
          <w:tcPr>
            <w:tcW w:w="4876" w:type="dxa"/>
            <w:tcBorders>
              <w:top w:val="nil"/>
              <w:left w:val="nil"/>
              <w:bottom w:val="nil"/>
              <w:right w:val="nil"/>
            </w:tcBorders>
          </w:tcPr>
          <w:p>
            <w:pPr>
              <w:pStyle w:val="Normal6a"/>
            </w:pPr>
            <w:r>
              <w:t>28.</w:t>
            </w:r>
            <w:r>
              <w:tab/>
            </w:r>
            <w:r>
              <w:t xml:space="preserve">opfordrer ECB til at anvende alle sine tilgængelige værktøjer til at sikre, at bankerne tager klimarisici alvorligt for at modvirke de finansielle risici, som klimaændringerne medfører; </w:t>
            </w:r>
            <w:r>
              <w:rPr>
                <w:b/>
                <w:i/>
              </w:rPr>
              <w:t>opfordrer ECB til fuldt ud at opfylde sin klima- og naturplan 2024-2025, herunder med hensyn til at undersøge mulighederne for yderligere overvejelser om klimaændringer i pengepolitiske instrumenter og porteføljer;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276</w:t>
      </w:r>
      <w:r>
        <w:rPr>
          <w:rStyle w:val="HideTWBExt"/>
        </w:rPr>
        <w:t>&lt;/NumAm&gt;</w:t>
      </w:r>
    </w:p>
    <w:p>
      <w:pPr>
        <w:pStyle w:val="NormalBold"/>
      </w:pPr>
      <w:r>
        <w:rPr>
          <w:rStyle w:val="HideTWBExt"/>
          <w:b w:val="0"/>
        </w:rPr>
        <w:t>&lt;RepeatBlock-By&gt;</w:t>
      </w:r>
      <w:r>
        <w:rPr>
          <w:rStyle w:val="HideTWBExt"/>
          <w:b w:val="0"/>
        </w:rPr>
        <w:t>&lt;Members&gt;</w:t>
      </w:r>
      <w:r>
        <w:t>Auke Zijlstra, Enikő Győri,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opfordrer ECB til at anvende alle sine tilgængelige værktøjer til at sikre, at bankerne </w:t>
            </w:r>
            <w:r>
              <w:rPr>
                <w:b/>
                <w:i/>
              </w:rPr>
              <w:t>tager klimarisici alvorligt for at modvirke de finansielle risici, som klimaændringerne medfører</w:t>
            </w:r>
            <w:r>
              <w:t>;</w:t>
            </w:r>
          </w:p>
        </w:tc>
        <w:tc>
          <w:tcPr>
            <w:tcW w:w="4876" w:type="dxa"/>
            <w:tcBorders>
              <w:top w:val="nil"/>
              <w:left w:val="nil"/>
              <w:bottom w:val="nil"/>
              <w:right w:val="nil"/>
            </w:tcBorders>
          </w:tcPr>
          <w:p>
            <w:pPr>
              <w:pStyle w:val="Normal6a"/>
            </w:pPr>
            <w:r>
              <w:t>28.</w:t>
            </w:r>
            <w:r>
              <w:tab/>
            </w:r>
            <w:r>
              <w:t xml:space="preserve">opfordrer ECB til at anvende alle sine tilgængelige værktøjer til at sikre, at bankerne </w:t>
            </w:r>
            <w:r>
              <w:rPr>
                <w:b/>
                <w:i/>
              </w:rPr>
              <w:t>afbøder de finansielle risici, der skyldes klimaændringer og den grønne pagts negative indvirkning på priserne, navnlig på råvarer, og på beskæftigelsen, der kan opstå, hvis der anlægges en upragmatisk tilgang til den digitale og grønne omstilling</w:t>
            </w:r>
            <w:r>
              <w:t>;</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277</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opfordrer ECB til at anvende alle sine tilgængelige værktøjer til at sikre, at bankerne tager klimarisici alvorligt for at modvirke de finansielle risici, som klimaændringerne medfører;</w:t>
            </w:r>
          </w:p>
        </w:tc>
        <w:tc>
          <w:tcPr>
            <w:tcW w:w="4876" w:type="dxa"/>
            <w:tcBorders>
              <w:top w:val="nil"/>
              <w:left w:val="nil"/>
              <w:bottom w:val="nil"/>
              <w:right w:val="nil"/>
            </w:tcBorders>
          </w:tcPr>
          <w:p>
            <w:pPr>
              <w:pStyle w:val="Normal6a"/>
            </w:pPr>
            <w:r>
              <w:t>28.</w:t>
            </w:r>
            <w:r>
              <w:tab/>
            </w:r>
            <w:r>
              <w:t xml:space="preserve">opfordrer ECB til at anvende alle sine tilgængelige værktøjer til at sikre, at bankerne tager klimarisici alvorligt for at modvirke de finansielle risici, som klimaændringerne medfører; </w:t>
            </w:r>
            <w:r>
              <w:rPr>
                <w:b/>
                <w:i/>
              </w:rPr>
              <w:t>minder om, at dette er et sekundært princip og ikke bør påvirke prisstabiliteten, som er ECB's primære mål;</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278</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opfordrer ECB til at anvende alle sine tilgængelige værktøjer til at sikre, at bankerne tager klimarisici alvorligt for at modvirke de finansielle risici, som klimaændringerne medfører;</w:t>
            </w:r>
          </w:p>
        </w:tc>
        <w:tc>
          <w:tcPr>
            <w:tcW w:w="4876" w:type="dxa"/>
            <w:tcBorders>
              <w:top w:val="nil"/>
              <w:left w:val="nil"/>
              <w:bottom w:val="nil"/>
              <w:right w:val="nil"/>
            </w:tcBorders>
          </w:tcPr>
          <w:p>
            <w:pPr>
              <w:pStyle w:val="Normal6a"/>
            </w:pPr>
            <w:r>
              <w:t>28.</w:t>
            </w:r>
            <w:r>
              <w:tab/>
            </w:r>
            <w:r>
              <w:rPr>
                <w:b/>
                <w:i/>
              </w:rPr>
              <w:t>glæder sig over klima- og naturplanen 2024-2025;</w:t>
            </w:r>
            <w:r>
              <w:t xml:space="preserve"> opfordrer ECB til at anvende alle sine tilgængelige værktøjer til at sikre, at bankerne tager klimarisici alvorligt for at modvirke de finansielle risici, som klimaændringerne medfører;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279</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opfordrer ECB til at anvende alle sine tilgængelige værktøjer til at sikre, at bankerne tager klimarisici alvorligt for at modvirke de finansielle risici, som klimaændringerne medfører;</w:t>
            </w:r>
          </w:p>
        </w:tc>
        <w:tc>
          <w:tcPr>
            <w:tcW w:w="4876" w:type="dxa"/>
            <w:tcBorders>
              <w:top w:val="nil"/>
              <w:left w:val="nil"/>
              <w:bottom w:val="nil"/>
              <w:right w:val="nil"/>
            </w:tcBorders>
          </w:tcPr>
          <w:p>
            <w:pPr>
              <w:pStyle w:val="Normal6a"/>
            </w:pPr>
            <w:r>
              <w:t>28.</w:t>
            </w:r>
            <w:r>
              <w:tab/>
            </w:r>
            <w:r>
              <w:t xml:space="preserve">opfordrer ECB til at anvende alle sine tilgængelige værktøjer til at sikre, at bankerne tager </w:t>
            </w:r>
            <w:r>
              <w:rPr>
                <w:b/>
                <w:i/>
              </w:rPr>
              <w:t>relaterede</w:t>
            </w:r>
            <w:r>
              <w:t xml:space="preserve"> klimarisici alvorligt for at modvirke de finansielle risici, som klimaændringerne medfører</w:t>
            </w:r>
            <w:r>
              <w:rPr>
                <w:b/>
                <w:i/>
              </w:rPr>
              <w:t>, forudsat at disse foranstaltninger ikke bringer markedsneutraliteten i fare eller rækker ud over ECB's centrale mandat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280</w:t>
      </w:r>
      <w:r>
        <w:rPr>
          <w:rStyle w:val="HideTWBExt"/>
        </w:rPr>
        <w:t>&lt;/NumAm&gt;</w:t>
      </w:r>
    </w:p>
    <w:p>
      <w:pPr>
        <w:pStyle w:val="NormalBold"/>
      </w:pPr>
      <w:r>
        <w:rPr>
          <w:rStyle w:val="HideTWBExt"/>
          <w:b w:val="0"/>
        </w:rPr>
        <w:t>&lt;RepeatBlock-By&gt;</w:t>
      </w:r>
      <w:r>
        <w:rPr>
          <w:rStyle w:val="HideTWBExt"/>
          <w:b w:val="0"/>
        </w:rPr>
        <w:t>&lt;Members&gt;</w:t>
      </w:r>
      <w:r>
        <w:t>Auke Zijlstra, Enikő Győri,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opfordrer ECB til at anvende alle sine tilgængelige værktøjer til at sikre, at bankerne tager klimarisici alvorligt for at modvirke de finansielle risici, som klimaændringerne medfører;</w:t>
            </w:r>
          </w:p>
        </w:tc>
        <w:tc>
          <w:tcPr>
            <w:tcW w:w="4876" w:type="dxa"/>
            <w:tcBorders>
              <w:top w:val="nil"/>
              <w:left w:val="nil"/>
              <w:bottom w:val="nil"/>
              <w:right w:val="nil"/>
            </w:tcBorders>
          </w:tcPr>
          <w:p>
            <w:pPr>
              <w:pStyle w:val="Normal6a"/>
            </w:pPr>
            <w:r>
              <w:t>28.</w:t>
            </w:r>
            <w:r>
              <w:tab/>
            </w:r>
            <w:r>
              <w:t>opfordrer ECB til at anvende alle sine tilgængelige værktøjer til at sikre, at bankerne tager klimarisici alvorligt</w:t>
            </w:r>
            <w:r>
              <w:rPr>
                <w:b/>
                <w:i/>
              </w:rPr>
              <w:t>, såfremt de er behørigt kvantificerede,</w:t>
            </w:r>
            <w:r>
              <w:t xml:space="preserve"> for at modvirke de finansielle risici, som klimaændringerne medfører;</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281</w:t>
      </w:r>
      <w:r>
        <w:rPr>
          <w:rStyle w:val="HideTWBExt"/>
        </w:rPr>
        <w:t>&lt;/NumAm&gt;</w:t>
      </w:r>
    </w:p>
    <w:p>
      <w:pPr>
        <w:pStyle w:val="NormalBold"/>
      </w:pPr>
      <w:r>
        <w:rPr>
          <w:rStyle w:val="HideTWBExt"/>
          <w:b w:val="0"/>
        </w:rPr>
        <w:t>&lt;RepeatBlock-By&gt;</w:t>
      </w:r>
      <w:r>
        <w:rPr>
          <w:rStyle w:val="HideTWBExt"/>
          <w:b w:val="0"/>
        </w:rPr>
        <w:t>&lt;Members&gt;</w:t>
      </w:r>
      <w:r>
        <w:t>Johan Van Overtveldt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opfordrer ECB til at anvende alle sine tilgængelige værktøjer til at sikre, at bankerne tager klimarisici alvorligt for at modvirke de finansielle risici, som klimaændringerne medfører;</w:t>
            </w:r>
          </w:p>
        </w:tc>
        <w:tc>
          <w:tcPr>
            <w:tcW w:w="4876" w:type="dxa"/>
            <w:tcBorders>
              <w:top w:val="nil"/>
              <w:left w:val="nil"/>
              <w:bottom w:val="nil"/>
              <w:right w:val="nil"/>
            </w:tcBorders>
          </w:tcPr>
          <w:p>
            <w:pPr>
              <w:pStyle w:val="Normal6a"/>
            </w:pPr>
            <w:r>
              <w:t>28.</w:t>
            </w:r>
            <w:r>
              <w:tab/>
            </w:r>
            <w:r>
              <w:t>opfordrer ECB til at anvende alle sine tilgængelige værktøjer til at sikre, at bankerne tager klimarisici alvorligt for at modvirke de finansielle risici, som klimaændringerne medfører</w:t>
            </w:r>
            <w:r>
              <w:rPr>
                <w:b/>
                <w:i/>
              </w:rPr>
              <w:t>, uden at gå på kompromis med sit primære mål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282</w:t>
      </w:r>
      <w:r>
        <w:rPr>
          <w:rStyle w:val="HideTWBExt"/>
        </w:rPr>
        <w:t>&lt;/NumAm&gt;</w:t>
      </w:r>
    </w:p>
    <w:p>
      <w:pPr>
        <w:pStyle w:val="NormalBold"/>
      </w:pPr>
      <w:r>
        <w:rPr>
          <w:rStyle w:val="HideTWBExt"/>
          <w:b w:val="0"/>
        </w:rPr>
        <w:t>&lt;RepeatBlock-By&gt;</w:t>
      </w:r>
      <w:r>
        <w:rPr>
          <w:rStyle w:val="HideTWBExt"/>
          <w:b w:val="0"/>
        </w:rPr>
        <w:t>&lt;Members&gt;</w:t>
      </w:r>
      <w:r>
        <w:t>Bruno Gonçalves, Carla Tavares, Francisco Assis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bemærker det rekordstore overskud i euroområdets banksektor som følge af de høje rentesatser;</w:t>
            </w:r>
            <w:r>
              <w:t xml:space="preserve"> </w:t>
            </w:r>
            <w:r>
              <w:rPr>
                <w:b/>
                <w:i/>
              </w:rPr>
              <w:t>opfordrer til, at dette overskud anvendes til at opbygge buffere og dermed sikre stabiliteten i det finansielle system;</w:t>
            </w:r>
            <w:r>
              <w:t xml:space="preserve"> </w:t>
            </w:r>
            <w:r>
              <w:rPr>
                <w:b/>
                <w:i/>
              </w:rPr>
              <w:t>bemærker, at den midlertidige suspension af udbyttebetaling og opkøb af egne aktier var effektiv med hensyn til at sikre bankernes modstandsdygtighed under covid-19-krisen;</w:t>
            </w:r>
            <w:r>
              <w:t xml:space="preserve"> </w:t>
            </w:r>
            <w:r>
              <w:rPr>
                <w:b/>
                <w:i/>
              </w:rPr>
              <w:t>opfordrer til, at der indføres en bindende begrænsning af udbyttebetaling og tilbagekøb i krisetider;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283</w:t>
      </w:r>
      <w:r>
        <w:rPr>
          <w:rStyle w:val="HideTWBExt"/>
        </w:rPr>
        <w:t>&lt;/NumAm&gt;</w:t>
      </w:r>
    </w:p>
    <w:p>
      <w:pPr>
        <w:pStyle w:val="NormalBold"/>
      </w:pPr>
      <w:r>
        <w:rPr>
          <w:rStyle w:val="HideTWBExt"/>
          <w:b w:val="0"/>
        </w:rPr>
        <w:t>&lt;RepeatBlock-By&gt;</w:t>
      </w:r>
      <w:r>
        <w:rPr>
          <w:rStyle w:val="HideTWBExt"/>
          <w:b w:val="0"/>
        </w:rPr>
        <w:t>&lt;Members&gt;</w:t>
      </w:r>
      <w:r>
        <w:t>Jussi Saramo, Manon Aubry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fremhæver behovet for en miljømæssigt bæredygtig pengepolitik i form af f.eks. grønne TLTRO'er, grønne rentesatser eller etablering af en permanent facilitet til køb af grønne obligationer;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284</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er af den opfattelse, at fastholdelse af prisstabilitet og stabile makroøkonomiske forhold kan bidrage til at skabe de rette betingelser for gennemførelsen af EU's vigtige mål for den økonomiske politik;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285</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understreger, at en styrkelse af euroens internationale rolle vil føre til lavere rentesatser i euroområdet, en styrkelse af EU's status på den internationale scene og øget makroøkonomisk stabilitet;</w:t>
            </w:r>
          </w:p>
        </w:tc>
        <w:tc>
          <w:tcPr>
            <w:tcW w:w="4876" w:type="dxa"/>
            <w:tcBorders>
              <w:top w:val="nil"/>
              <w:left w:val="nil"/>
              <w:bottom w:val="nil"/>
              <w:right w:val="nil"/>
            </w:tcBorders>
          </w:tcPr>
          <w:p>
            <w:pPr>
              <w:pStyle w:val="Normal6a"/>
            </w:pPr>
            <w:r>
              <w:t>29.</w:t>
            </w:r>
            <w:r>
              <w:tab/>
            </w:r>
            <w:r>
              <w:t xml:space="preserve">understreger, at en styrkelse af euroens internationale rolle vil føre til lavere rentesatser i euroområdet, en styrkelse af EU's status på den internationale scene og øget makroøkonomisk stabilitet; </w:t>
            </w:r>
            <w:r>
              <w:rPr>
                <w:b/>
                <w:i/>
              </w:rPr>
              <w:t>minder om, at en styrkelse af euroens internationale rolle vil bidrage til at styrke EU's strategiske autonomi;</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286</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29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29a.</w:t>
            </w:r>
            <w:r>
              <w:tab/>
            </w:r>
            <w:r>
              <w:rPr>
                <w:b/>
                <w:i/>
              </w:rPr>
              <w:t>understreger behovet for en fælles indsats for at mindske strukturelle og lovgivningsmæssige hindringer, herunder høje overholdelsesomkostninger og bureaukratiske hindringer, for at tiltrække investeringer, styrke EU's globale konkurrenceevne og forbedre euroområdets position på de internationale markeder;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287</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29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29b.</w:t>
            </w:r>
            <w:r>
              <w:tab/>
            </w:r>
            <w:r>
              <w:rPr>
                <w:b/>
                <w:i/>
              </w:rPr>
              <w:t>opfordrer Den Europæiske Centralbank til at undersøge og evaluere andre alternative værktøjer end de traditionelle mekanismer, såsom de pengepolitiske beslutninger om rentesatser, med henblik på at styrke dens kapacitet til at styre inflationen og samtidig begrænse økonomiske forstyrrelser;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288</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t xml:space="preserve">opfordrer ECB til at overveje at styrke euroens internationale rolle med henblik på at gøre den mere attraktiv som reservevaluta </w:t>
            </w:r>
            <w:r>
              <w:rPr>
                <w:b/>
                <w:i/>
              </w:rPr>
              <w:t>og støtte markedsdrevne ændringer i denne retning</w:t>
            </w:r>
            <w:r>
              <w:t>;</w:t>
            </w:r>
          </w:p>
        </w:tc>
        <w:tc>
          <w:tcPr>
            <w:tcW w:w="4876" w:type="dxa"/>
            <w:tcBorders>
              <w:top w:val="nil"/>
              <w:left w:val="nil"/>
              <w:bottom w:val="nil"/>
              <w:right w:val="nil"/>
            </w:tcBorders>
          </w:tcPr>
          <w:p>
            <w:pPr>
              <w:pStyle w:val="Normal6a"/>
            </w:pPr>
            <w:r>
              <w:t>30.</w:t>
            </w:r>
            <w:r>
              <w:tab/>
            </w:r>
            <w:r>
              <w:t>opfordrer ECB til at overveje at styrke euroens internationale rolle med henblik på at gøre den mere attraktiv som reservevaluta</w:t>
            </w:r>
            <w:r>
              <w:rPr>
                <w:b/>
                <w:i/>
              </w:rPr>
              <w:t>;</w:t>
            </w:r>
            <w:r>
              <w:t xml:space="preserve"> </w:t>
            </w:r>
            <w:r>
              <w:rPr>
                <w:b/>
                <w:i/>
              </w:rPr>
              <w:t>understreger behovet for at uddybe og fuldføre Den Økonomiske og Monetære Union som en forudsætning for en stærk international euro;</w:t>
            </w:r>
            <w:r>
              <w:t xml:space="preserve"> </w:t>
            </w:r>
            <w:r>
              <w:rPr>
                <w:b/>
                <w:i/>
              </w:rPr>
              <w:t>fremhæver vigtigheden af, at de to lovgivningsparter fortsat har ansvaret under hele udformningen af den digitale euro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289</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30a.</w:t>
            </w:r>
            <w:r>
              <w:tab/>
            </w:r>
            <w:r>
              <w:rPr>
                <w:b/>
                <w:i/>
              </w:rPr>
              <w:t>minder om ECB's formand Christine Lagardes tidligere erklæring om, at den aktuelle og vedvarende geopolitiske krise kræver, at vi gør fremskridt med hensyn til EU's finanspolitiske integration;</w:t>
            </w:r>
            <w:r>
              <w:t xml:space="preserve"> </w:t>
            </w:r>
            <w:r>
              <w:rPr>
                <w:b/>
                <w:i/>
              </w:rPr>
              <w:t>glæder sig over ECB's mangeårige støtte til en velovervejet fuldførelse af Den Økonomiske og Monetære Union, bankunionen, nemlig med oprettelsen af en fuldt udbygget europæisk indskudsforsikringsordning, og kapitalmarkedsunionen;</w:t>
            </w:r>
            <w:r>
              <w:t xml:space="preserve"> </w:t>
            </w:r>
            <w:r>
              <w:rPr>
                <w:b/>
                <w:i/>
              </w:rPr>
              <w:t>minder om, at dette vil bidrage til en større spredning af risici inden for og øget finansiel stabilitet i den monetære union, og desuden vil det bidrage yderligere til euroens internationale rolle og gøre den mere attraktiv som reservevaluta;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290</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30a.</w:t>
            </w:r>
            <w:r>
              <w:tab/>
            </w:r>
            <w:r>
              <w:rPr>
                <w:b/>
                <w:i/>
              </w:rPr>
              <w:t>bemærker, at offentligheden ved flere lejligheder har misforstået ECB's holdninger og beslutninger;</w:t>
            </w:r>
            <w:r>
              <w:t xml:space="preserve"> </w:t>
            </w:r>
            <w:r>
              <w:rPr>
                <w:b/>
                <w:i/>
              </w:rPr>
              <w:t>mener i denne forbindelse, at det er vigtigt at udvikle en passende kommunikationspolitik:</w:t>
            </w:r>
            <w:r>
              <w:t xml:space="preserve"> </w:t>
            </w:r>
            <w:r>
              <w:rPr>
                <w:b/>
                <w:i/>
              </w:rPr>
              <w:t>mener endvidere, at ECB bør samarbejde med EU-institutionerne, de nationale myndigheder og civilsamfundet om at fremme tiltag til fremme af finansiel forståelse;</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291</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30a.</w:t>
            </w:r>
            <w:r>
              <w:tab/>
            </w:r>
            <w:r>
              <w:rPr>
                <w:b/>
                <w:i/>
              </w:rPr>
              <w:t>opfordrer ECB til at støtte EU-initiativer, der letter SMV'ers adgang til de finansielle markeder gennem kapitalmarkedsunionen og derved diversificerer finansieringskilderne, mindsker afhængigheden af banklån, der er følsomme over for renteudsving, og øger SMV'ernes modstandsdygtighed over for monetære tilpasninger;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292</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30a.</w:t>
            </w:r>
            <w:r>
              <w:tab/>
            </w:r>
            <w:r>
              <w:rPr>
                <w:b/>
                <w:i/>
              </w:rPr>
              <w:t>er af den opfattelse, at bestræbelserne på at skabe en makroøkonomisk stabiliseringsmekanisme og et tilstrækkeligt udbud af et europæisk sikkert aktiv er relevante for at styrke euroens rolle som international valuta;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293</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30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30b.</w:t>
            </w:r>
            <w:r>
              <w:tab/>
            </w:r>
            <w:r>
              <w:rPr>
                <w:b/>
                <w:i/>
              </w:rPr>
              <w:t>understreger, at tilvejebringelsen af et hensigtsmæssigt udformet sikkert aktiv på europæisk plan kan fremme integration og bidrage til at afhjælpe den negative vekselvirkning mellem stater og indenlandske banksektorer;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294</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30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30b.</w:t>
            </w:r>
            <w:r>
              <w:tab/>
            </w:r>
            <w:r>
              <w:rPr>
                <w:b/>
                <w:i/>
              </w:rPr>
              <w:t>tilskynder til samarbejde med de nationale centralbanker om programmer for finansiel forståelse for at sætte enkeltpersoner og virksomheder i stand til at træffe informerede finansielle beslutninger;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295</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31a.</w:t>
            </w:r>
            <w:r>
              <w:tab/>
            </w:r>
            <w:r>
              <w:rPr>
                <w:b/>
                <w:i/>
              </w:rPr>
              <w:t>opfordrer ECB til at slå til lyd for fuldførelsen af bankunionen og kapitalmarkedsunionen som kritiske rammer for at øge den finansielle stabilitet, støtte økonomisk vækst og skabe et mere modstandsdygtigt finansielt system i euroområdet;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296</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31a.</w:t>
            </w:r>
            <w:r>
              <w:tab/>
            </w:r>
            <w:r>
              <w:rPr>
                <w:b/>
                <w:i/>
              </w:rPr>
              <w:t>minder ECB om, at kontanter fortsat er vigtige for de europæiske borgere, herunder som en nødløsning i krisesituationer, som en sikkerhedsforanstaltning mod negative rentesatser og til uddannelsesmæssige formål;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297</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31b.</w:t>
            </w:r>
            <w:r>
              <w:tab/>
            </w:r>
            <w:r>
              <w:rPr>
                <w:b/>
                <w:i/>
              </w:rPr>
              <w:t>opfordrer ECB til at støtte medlemsstaterne i deres bestræbelser på at forbedre deres borgeres finansielle forståelse;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298</w:t>
      </w:r>
      <w:r>
        <w:rPr>
          <w:rStyle w:val="HideTWBExt"/>
        </w:rPr>
        <w:t>&lt;/NumAm&gt;</w:t>
      </w:r>
    </w:p>
    <w:p>
      <w:pPr>
        <w:pStyle w:val="NormalBold"/>
      </w:pPr>
      <w:r>
        <w:rPr>
          <w:rStyle w:val="HideTWBExt"/>
          <w:b w:val="0"/>
        </w:rPr>
        <w:t>&lt;RepeatBlock-By&gt;</w:t>
      </w:r>
      <w:r>
        <w:rPr>
          <w:rStyle w:val="HideTWBExt"/>
          <w:b w:val="0"/>
        </w:rPr>
        <w:t>&lt;Members&gt;</w:t>
      </w:r>
      <w:r>
        <w:t>Auke Zijlstra, Enikő Győri,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rPr>
                <w:b/>
                <w:i/>
              </w:rPr>
              <w:t>glæder sig over færdiggørelsen af</w:t>
            </w:r>
            <w:r>
              <w:t xml:space="preserve"> Basel III-rammen</w:t>
            </w:r>
            <w:r>
              <w:rPr>
                <w:b/>
                <w:i/>
              </w:rPr>
              <w:t>, da den vil styrke banksektorens modstandsdygtighed</w:t>
            </w:r>
            <w:r>
              <w:t>;</w:t>
            </w:r>
          </w:p>
        </w:tc>
        <w:tc>
          <w:tcPr>
            <w:tcW w:w="4876" w:type="dxa"/>
            <w:tcBorders>
              <w:top w:val="nil"/>
              <w:left w:val="nil"/>
              <w:bottom w:val="nil"/>
              <w:right w:val="nil"/>
            </w:tcBorders>
          </w:tcPr>
          <w:p>
            <w:pPr>
              <w:pStyle w:val="Normal6a"/>
            </w:pPr>
            <w:r>
              <w:t>32.</w:t>
            </w:r>
            <w:r>
              <w:tab/>
            </w:r>
            <w:r>
              <w:rPr>
                <w:b/>
                <w:i/>
              </w:rPr>
              <w:t>opfordrer Kommissionen til yderligere at forbedre</w:t>
            </w:r>
            <w:r>
              <w:t xml:space="preserve"> Basel III-rammen </w:t>
            </w:r>
            <w:r>
              <w:rPr>
                <w:b/>
                <w:i/>
              </w:rPr>
              <w:t>for banker, ikke blot for at sikre lige vilkår på internationalt plan, men også for at gøre den mere afbalanceret, effektiv og forholdsmæssig i overensstemmelse med ånden i Draghi-rapporten;</w:t>
            </w:r>
            <w:r>
              <w:t xml:space="preserve"> </w:t>
            </w:r>
            <w:r>
              <w:rPr>
                <w:b/>
                <w:i/>
              </w:rPr>
              <w:t>beklager, at den europæiske gennemførelse afviger meget fra den internationale ramme;</w:t>
            </w:r>
            <w:r>
              <w:t xml:space="preserve"> </w:t>
            </w:r>
            <w:r>
              <w:rPr>
                <w:b/>
                <w:i/>
              </w:rPr>
              <w:t>fastholder, at banktilsynet bør baseres på reelle risici og ikke på sekundære overvejelser</w:t>
            </w:r>
            <w:r>
              <w:t>;</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299</w:t>
      </w:r>
      <w:r>
        <w:rPr>
          <w:rStyle w:val="HideTWBExt"/>
        </w:rPr>
        <w:t>&lt;/NumAm&gt;</w:t>
      </w:r>
    </w:p>
    <w:p>
      <w:pPr>
        <w:pStyle w:val="NormalBold"/>
      </w:pPr>
      <w:r>
        <w:rPr>
          <w:rStyle w:val="HideTWBExt"/>
          <w:b w:val="0"/>
        </w:rPr>
        <w:t>&lt;RepeatBlock-By&gt;</w:t>
      </w:r>
      <w:r>
        <w:rPr>
          <w:rStyle w:val="HideTWBExt"/>
          <w:b w:val="0"/>
        </w:rPr>
        <w:t>&lt;Members&gt;</w:t>
      </w:r>
      <w:r>
        <w:t>Gilles Boyer, Stéphanie Yon-Courtin, Pascal Canfin, Billy Kelleher, Gerben-Jan Gerbrandy, 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 xml:space="preserve">glæder sig over færdiggørelsen af Basel III-rammen, da den </w:t>
            </w:r>
            <w:r>
              <w:rPr>
                <w:b/>
                <w:i/>
              </w:rPr>
              <w:t>vil</w:t>
            </w:r>
            <w:r>
              <w:t xml:space="preserve"> styrke banksektorens modstandsdygtighed;</w:t>
            </w:r>
          </w:p>
        </w:tc>
        <w:tc>
          <w:tcPr>
            <w:tcW w:w="4876" w:type="dxa"/>
            <w:tcBorders>
              <w:top w:val="nil"/>
              <w:left w:val="nil"/>
              <w:bottom w:val="nil"/>
              <w:right w:val="nil"/>
            </w:tcBorders>
          </w:tcPr>
          <w:p>
            <w:pPr>
              <w:pStyle w:val="Normal6a"/>
            </w:pPr>
            <w:r>
              <w:t>32.</w:t>
            </w:r>
            <w:r>
              <w:tab/>
            </w:r>
            <w:r>
              <w:t xml:space="preserve">glæder sig over færdiggørelsen af Basel III-rammen, da den </w:t>
            </w:r>
            <w:r>
              <w:rPr>
                <w:b/>
                <w:i/>
              </w:rPr>
              <w:t>har potentiale til at</w:t>
            </w:r>
            <w:r>
              <w:t xml:space="preserve"> styrke banksektorens modstandsdygtighed; </w:t>
            </w:r>
            <w:r>
              <w:rPr>
                <w:b/>
                <w:i/>
              </w:rPr>
              <w:t>beklager imidlertid dybt forsinkelserne i gennemførelsen og den manglende klarhed med hensyn til et vist antal andre jurisdiktioners gennemførelse, hvilket har resulteret i ulige konkurrencevilkår på globalt plan;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300</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glæder sig over færdiggørelsen af Basel III-rammen, da den vil styrke banksektorens modstandsdygtighed;</w:t>
            </w:r>
          </w:p>
        </w:tc>
        <w:tc>
          <w:tcPr>
            <w:tcW w:w="4876" w:type="dxa"/>
            <w:tcBorders>
              <w:top w:val="nil"/>
              <w:left w:val="nil"/>
              <w:bottom w:val="nil"/>
              <w:right w:val="nil"/>
            </w:tcBorders>
          </w:tcPr>
          <w:p>
            <w:pPr>
              <w:pStyle w:val="Normal6a"/>
            </w:pPr>
            <w:r>
              <w:t>32.</w:t>
            </w:r>
            <w:r>
              <w:tab/>
            </w:r>
            <w:r>
              <w:t xml:space="preserve">glæder sig over færdiggørelsen af Basel III-rammen, da den vil styrke banksektorens modstandsdygtighed; </w:t>
            </w:r>
            <w:r>
              <w:rPr>
                <w:b/>
                <w:i/>
              </w:rPr>
              <w:t>er enig med ECB i, at udsættelse af Basel III-bestemmelserne, herunder den grundlæggende gennemgang af handelsbeholdningen, er unødvendig, mens en hurtig gennemførelse af Basel III-reglerne ikke vil skade EU-bankernes konkurrenceevne;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301</w:t>
      </w:r>
      <w:r>
        <w:rPr>
          <w:rStyle w:val="HideTWBExt"/>
        </w:rPr>
        <w:t>&lt;/NumAm&gt;</w:t>
      </w:r>
    </w:p>
    <w:p>
      <w:pPr>
        <w:pStyle w:val="NormalBold"/>
      </w:pPr>
      <w:r>
        <w:rPr>
          <w:rStyle w:val="HideTWBExt"/>
          <w:b w:val="0"/>
        </w:rPr>
        <w:t>&lt;RepeatBlock-By&gt;</w:t>
      </w:r>
      <w:r>
        <w:rPr>
          <w:rStyle w:val="HideTWBExt"/>
          <w:b w:val="0"/>
        </w:rPr>
        <w:t>&lt;Members&gt;</w:t>
      </w:r>
      <w:r>
        <w:t>Johan Van Overtveldt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glæder sig over færdiggørelsen af Basel III-rammen</w:t>
            </w:r>
            <w:r>
              <w:rPr>
                <w:b/>
                <w:i/>
              </w:rPr>
              <w:t>, da den vil styrke banksektorens modstandsdygtighed</w:t>
            </w:r>
            <w:r>
              <w:t>;</w:t>
            </w:r>
          </w:p>
        </w:tc>
        <w:tc>
          <w:tcPr>
            <w:tcW w:w="4876" w:type="dxa"/>
            <w:tcBorders>
              <w:top w:val="nil"/>
              <w:left w:val="nil"/>
              <w:bottom w:val="nil"/>
              <w:right w:val="nil"/>
            </w:tcBorders>
          </w:tcPr>
          <w:p>
            <w:pPr>
              <w:pStyle w:val="Normal6a"/>
            </w:pPr>
            <w:r>
              <w:t>32.</w:t>
            </w:r>
            <w:r>
              <w:tab/>
            </w:r>
            <w:r>
              <w:rPr>
                <w:b/>
                <w:i/>
              </w:rPr>
              <w:t>mener, at finansiel stabilitet er en forudsætning for en effektiv pengepolitik og et modstandsdygtigt finansielt system;</w:t>
            </w:r>
            <w:r>
              <w:t xml:space="preserve"> </w:t>
            </w:r>
            <w:r>
              <w:rPr>
                <w:b/>
                <w:i/>
              </w:rPr>
              <w:t>advarer om risikoen for manglende overholdelse;</w:t>
            </w:r>
            <w:r>
              <w:t xml:space="preserve"> glæder sig </w:t>
            </w:r>
            <w:r>
              <w:rPr>
                <w:b/>
                <w:i/>
              </w:rPr>
              <w:t>derfor</w:t>
            </w:r>
            <w:r>
              <w:t xml:space="preserve"> over færdiggørelsen af Basel III-rammen;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302</w:t>
      </w:r>
      <w:r>
        <w:rPr>
          <w:rStyle w:val="HideTWBExt"/>
        </w:rPr>
        <w:t>&lt;/NumAm&gt;</w:t>
      </w:r>
    </w:p>
    <w:p>
      <w:pPr>
        <w:pStyle w:val="NormalBold"/>
      </w:pPr>
      <w:r>
        <w:rPr>
          <w:rStyle w:val="HideTWBExt"/>
          <w:b w:val="0"/>
        </w:rPr>
        <w:t>&lt;RepeatBlock-By&gt;</w:t>
      </w:r>
      <w:r>
        <w:rPr>
          <w:rStyle w:val="HideTWBExt"/>
          <w:b w:val="0"/>
        </w:rPr>
        <w:t>&lt;Members&gt;</w:t>
      </w:r>
      <w:r>
        <w:t>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glæder sig over færdiggørelsen af Basel III-rammen, da den vil styrke banksektorens modstandsdygtighed;</w:t>
            </w:r>
          </w:p>
        </w:tc>
        <w:tc>
          <w:tcPr>
            <w:tcW w:w="4876" w:type="dxa"/>
            <w:tcBorders>
              <w:top w:val="nil"/>
              <w:left w:val="nil"/>
              <w:bottom w:val="nil"/>
              <w:right w:val="nil"/>
            </w:tcBorders>
          </w:tcPr>
          <w:p>
            <w:pPr>
              <w:pStyle w:val="Normal6a"/>
            </w:pPr>
            <w:r>
              <w:t>32.</w:t>
            </w:r>
            <w:r>
              <w:tab/>
            </w:r>
            <w:r>
              <w:t xml:space="preserve">glæder sig over færdiggørelsen af Basel III-rammen </w:t>
            </w:r>
            <w:r>
              <w:rPr>
                <w:b/>
                <w:i/>
              </w:rPr>
              <w:t>og gennemførelsen heraf fra 1. januar 2025</w:t>
            </w:r>
            <w:r>
              <w:t>, da den vil styrke banksektorens modstandsdygtighed;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303</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glæder sig over færdiggørelsen af Basel III-rammen, da den vil styrke banksektorens modstandsdygtighed;</w:t>
            </w:r>
          </w:p>
        </w:tc>
        <w:tc>
          <w:tcPr>
            <w:tcW w:w="4876" w:type="dxa"/>
            <w:tcBorders>
              <w:top w:val="nil"/>
              <w:left w:val="nil"/>
              <w:bottom w:val="nil"/>
              <w:right w:val="nil"/>
            </w:tcBorders>
          </w:tcPr>
          <w:p>
            <w:pPr>
              <w:pStyle w:val="Normal6a"/>
            </w:pPr>
            <w:r>
              <w:t>32.</w:t>
            </w:r>
            <w:r>
              <w:tab/>
            </w:r>
            <w:r>
              <w:t xml:space="preserve">glæder sig over færdiggørelsen af Basel III-rammen, da den vil styrke banksektorens modstandsdygtighed; </w:t>
            </w:r>
            <w:r>
              <w:rPr>
                <w:b/>
                <w:i/>
              </w:rPr>
              <w:t>opfordrer til, at gennemførelsen heraf ikke forsinkes;</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304</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30a.</w:t>
            </w:r>
            <w:r>
              <w:tab/>
            </w:r>
            <w:r>
              <w:rPr>
                <w:b/>
                <w:i/>
              </w:rPr>
              <w:t>påpeger det presserende behov for at fuldføre kapitalmarkedsunionen (som den nye Kommission henviser til som opsparings- og investeringsunionen) og bankunionen med den europæiske europæisk indskudsforsikringsordning (EDIS) for at øge modstandsdygtigheden i vores banksektor og forbedre euroområdets konkurrenceevne;</w:t>
            </w:r>
            <w:r>
              <w:t xml:space="preserve"> </w:t>
            </w:r>
            <w:r>
              <w:rPr>
                <w:b/>
                <w:i/>
              </w:rPr>
              <w:t>gentager, at det er nødvendigt at fjerne bureaukratiske hindringer, der hæmmer grænseoverskridende investeringer i Unionen, og lette skattebyrden for virksomheder, forenkle den retlige ramme for at tiltrække kapital, styrke SMV'ers adgang til finansmarkederne og fremme borgernes finansielle viden, så de forstår fordelene ved investeringer;</w:t>
            </w:r>
            <w:r>
              <w:t xml:space="preserve"> </w:t>
            </w:r>
            <w:r>
              <w:rPr>
                <w:b/>
                <w:i/>
              </w:rPr>
              <w:t>understreger det presserende behov for en aftale om strategien for detailinvestorer, som har en positiv indvirkning og giver detailinvestorer større beskyttelse, gennemsigtighed og adgang til diversificerede investeringsmuligheder, som er afgørende for deres tillid og aktive deltagelse på markederne;</w:t>
            </w:r>
            <w:r>
              <w:t xml:space="preserve"> </w:t>
            </w:r>
            <w:r>
              <w:rPr>
                <w:b/>
                <w:i/>
              </w:rPr>
              <w:t>minder om, at der er brug for en klar politisk vilje for at gøre fremskridt hen imod fuldførelsen af bankunionen og kapitalmarkedsunionen;</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305</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32a.</w:t>
            </w:r>
            <w:r>
              <w:tab/>
            </w:r>
            <w:r>
              <w:rPr>
                <w:b/>
                <w:i/>
              </w:rPr>
              <w:t>anbefaler, at ECB efter de seneste rentenedsættelser fortsætter med yderligere rentenedsættelser som led i en bredere strategi til støtte for økonomisk modstandsdygtighed for husholdninger og virksomheder, der er udsat for et finansielt pres;</w:t>
            </w:r>
            <w:r>
              <w:t xml:space="preserve"> </w:t>
            </w:r>
            <w:r>
              <w:rPr>
                <w:b/>
                <w:i/>
              </w:rPr>
              <w:t>understreger, at der bør tilstræbes yderligere reduktioner for på meningsfuld vis at sænke låneomkostningerne, tilskynde til investeringer og forbedre adgangen til kredit og dermed fremme stabilitet og økonomisk genopretning i hele euroområdet;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306</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30a.</w:t>
            </w:r>
            <w:r>
              <w:tab/>
            </w:r>
            <w:r>
              <w:rPr>
                <w:b/>
                <w:i/>
              </w:rPr>
              <w:t>glæder sig over ECB's støtte til fuldførelsen af bankunionen;</w:t>
            </w:r>
            <w:r>
              <w:t xml:space="preserve"> </w:t>
            </w:r>
            <w:r>
              <w:rPr>
                <w:b/>
                <w:i/>
              </w:rPr>
              <w:t>opfordrer ECB til at tage alle nødvendige skridt til at muliggøre grænseoverskridende bankfusioner, som, samtidig med at der sikres finansiel stabilitet, bidrager til integrationen af det europæiske bankmarked;</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307</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32a.</w:t>
            </w:r>
            <w:r>
              <w:tab/>
            </w:r>
            <w:r>
              <w:rPr>
                <w:b/>
                <w:i/>
              </w:rPr>
              <w:t>opfordrer til en yderligere forbedring af ECB's interne ramme for whistleblowing, således at den bringes i overensstemmelse med EU's whistleblowerdirektiv;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308</w:t>
      </w:r>
      <w:r>
        <w:rPr>
          <w:rStyle w:val="HideTWBExt"/>
        </w:rPr>
        <w:t>&lt;/NumAm&gt;</w:t>
      </w:r>
    </w:p>
    <w:p>
      <w:pPr>
        <w:pStyle w:val="NormalBold"/>
      </w:pPr>
      <w:r>
        <w:rPr>
          <w:rStyle w:val="HideTWBExt"/>
          <w:b w:val="0"/>
        </w:rPr>
        <w:t>&lt;RepeatBlock-By&gt;</w:t>
      </w:r>
      <w:r>
        <w:rPr>
          <w:rStyle w:val="HideTWBExt"/>
          <w:b w:val="0"/>
        </w:rPr>
        <w:t>&lt;Members&gt;</w:t>
      </w:r>
      <w:r>
        <w:t>Denis Nesci, Francesco Ventola, Giovanni Crosetto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32b.</w:t>
            </w:r>
            <w:r>
              <w:tab/>
            </w:r>
            <w:r>
              <w:rPr>
                <w:b/>
                <w:i/>
              </w:rPr>
              <w:t>glæder sig over færdiggørelsen af Basel III-rammen, da den vil styrke banksektorens modstandsdygtighed;</w:t>
            </w:r>
            <w:r>
              <w:t xml:space="preserve"> </w:t>
            </w:r>
            <w:r>
              <w:rPr>
                <w:b/>
                <w:i/>
              </w:rPr>
              <w:t>understreger, at det, eftersom andre jurisdiktioner ikke har vedtaget rammen, vil være afgørende at overveje den potentielle indvirkning på EU-bankernes konkurrenceevne, navnlig som følge af gennemførelsen af FRTB;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309</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t>støtter ECB's mål om at øge andelen af kvinder ved at opmuntre kvinder til at gøre karriere på dette område; bifalder derfor initiativer såsom ECB's stipendium "Women in Economics";</w:t>
            </w:r>
          </w:p>
        </w:tc>
        <w:tc>
          <w:tcPr>
            <w:tcW w:w="4876" w:type="dxa"/>
            <w:tcBorders>
              <w:top w:val="nil"/>
              <w:left w:val="nil"/>
              <w:bottom w:val="nil"/>
              <w:right w:val="nil"/>
            </w:tcBorders>
          </w:tcPr>
          <w:p>
            <w:pPr>
              <w:pStyle w:val="Normal6a"/>
            </w:pPr>
            <w:r>
              <w:t>33.</w:t>
            </w:r>
            <w:r>
              <w:tab/>
            </w:r>
            <w:r>
              <w:t xml:space="preserve">støtter ECB's mål om at øge andelen af kvinder ved at opmuntre kvinder til at gøre karriere på dette område; bifalder derfor initiativer såsom ECB's stipendium "Women in Economics"; </w:t>
            </w:r>
            <w:r>
              <w:rPr>
                <w:b/>
                <w:i/>
              </w:rPr>
              <w:t>gentager, at ECB's udnævnelser bør følge objektive merit- og kompetencevurderingsprocesser og ikke kvotekriterier vedrørende specifikke grupper;</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310</w:t>
      </w:r>
      <w:r>
        <w:rPr>
          <w:rStyle w:val="HideTWBExt"/>
        </w:rPr>
        <w:t>&lt;/NumAm&gt;</w:t>
      </w:r>
    </w:p>
    <w:p>
      <w:pPr>
        <w:pStyle w:val="NormalBold"/>
      </w:pPr>
      <w:r>
        <w:rPr>
          <w:rStyle w:val="HideTWBExt"/>
          <w:b w:val="0"/>
        </w:rPr>
        <w:t>&lt;RepeatBlock-By&gt;</w:t>
      </w:r>
      <w:r>
        <w:rPr>
          <w:rStyle w:val="HideTWBExt"/>
          <w:b w:val="0"/>
        </w:rPr>
        <w:t>&lt;Members&gt;</w:t>
      </w:r>
      <w:r>
        <w:t>Bas Eickhout</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32a.</w:t>
            </w:r>
            <w:r>
              <w:tab/>
            </w:r>
            <w:r>
              <w:rPr>
                <w:b/>
                <w:i/>
              </w:rPr>
              <w:t>beklager, at kun to medlemmer af ECB's Direktion og Styrelsesråd er kvinder;</w:t>
            </w:r>
            <w:r>
              <w:t xml:space="preserve"> </w:t>
            </w:r>
            <w:r>
              <w:rPr>
                <w:b/>
                <w:i/>
              </w:rPr>
              <w:t>gentager, at udnævnelserne til direktionen bør være kønsafbalancerede, og at der bør forelægges lister over endelige kandidater for Europa-Parlamentet;</w:t>
            </w:r>
            <w:r>
              <w:t xml:space="preserve"> </w:t>
            </w:r>
            <w:r>
              <w:rPr>
                <w:b/>
                <w:i/>
              </w:rPr>
              <w:t>beklager dybt, at medlemsstaterne i stedet for at opstille lister over endelige kandidater for nylig har indstillet et antal kandidater svarende til antallet af ledige stillinger;</w:t>
            </w:r>
            <w:r>
              <w:t xml:space="preserve"> </w:t>
            </w:r>
            <w:r>
              <w:rPr>
                <w:b/>
                <w:i/>
              </w:rPr>
              <w:t>minder om, at Europa-Parlamentet tidligere har forpligtet sig til ikke at tage lister over endelige kandidater i betragtning, hvis ikke de respekterer princippet om kønsbalance, i overensstemmelse med Europa-Parlamentets beslutning om kønsbalance ved udnævnelser som vedrører EU's økonomiske og monetære anliggender;</w:t>
            </w:r>
            <w:r>
              <w:t xml:space="preserve"> </w:t>
            </w:r>
            <w:r>
              <w:rPr>
                <w:b/>
                <w:i/>
              </w:rPr>
              <w:t>opfordrer euroområdets medlemsstater til at gøre deres del og fuldt ud indarbejde princippet om ligestilling mellem kønnene i deres udnævnelsesprocesser;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311</w:t>
      </w:r>
      <w:r>
        <w:rPr>
          <w:rStyle w:val="HideTWBExt"/>
        </w:rPr>
        <w:t>&lt;/NumAm&gt;</w:t>
      </w:r>
    </w:p>
    <w:p>
      <w:pPr>
        <w:pStyle w:val="NormalBold"/>
      </w:pPr>
      <w:r>
        <w:rPr>
          <w:rStyle w:val="HideTWBExt"/>
          <w:b w:val="0"/>
        </w:rPr>
        <w:t>&lt;RepeatBlock-By&gt;</w:t>
      </w:r>
      <w:r>
        <w:rPr>
          <w:rStyle w:val="HideTWBExt"/>
          <w:b w:val="0"/>
        </w:rPr>
        <w:t>&lt;Members&gt;</w:t>
      </w:r>
      <w:r>
        <w:t>Evelyn Regner, René Repasi, Irene Tinagli, Aurore Lalucq, Francisco Assis, Jonás Fernández, Niels Fuglsang, Matthias Ecke, Nikos Papandreou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33a.</w:t>
            </w:r>
            <w:r>
              <w:tab/>
            </w:r>
            <w:r>
              <w:rPr>
                <w:b/>
                <w:i/>
              </w:rPr>
              <w:t>beklager, at ECB's Styrelsesråd i øjeblikket kun består af 2 kvindelige medlemmer;</w:t>
            </w:r>
            <w:r>
              <w:t xml:space="preserve"> </w:t>
            </w:r>
            <w:r>
              <w:rPr>
                <w:b/>
                <w:i/>
              </w:rPr>
              <w:t>opfordrer indtrængende euromedlemsstaterne til at opfylde deres forpligtelser og anvende principperne om ligestilling mellem kønnene i deres udnævnelsesprocedurer, således at begge køn har lige muligheder for at fungere som direktører for deres respektive nationale centralbanker;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312</w:t>
      </w:r>
      <w:r>
        <w:rPr>
          <w:rStyle w:val="HideTWBExt"/>
        </w:rPr>
        <w:t>&lt;/NumAm&gt;</w:t>
      </w:r>
    </w:p>
    <w:p>
      <w:pPr>
        <w:pStyle w:val="NormalBold"/>
      </w:pPr>
      <w:r>
        <w:rPr>
          <w:rStyle w:val="HideTWBExt"/>
          <w:b w:val="0"/>
        </w:rPr>
        <w:t>&lt;RepeatBlock-By&gt;</w:t>
      </w:r>
      <w:r>
        <w:rPr>
          <w:rStyle w:val="HideTWBExt"/>
          <w:b w:val="0"/>
        </w:rPr>
        <w:t>&lt;Members&gt;</w:t>
      </w:r>
      <w:r>
        <w:t>Johan Van Overtveldt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33a.</w:t>
            </w:r>
            <w:r>
              <w:tab/>
            </w:r>
            <w:r>
              <w:rPr>
                <w:b/>
                <w:i/>
              </w:rPr>
              <w:t>opfordrer ECB til at forsætte og styrke sin dialog med de nationale parlamenter;</w:t>
            </w:r>
            <w:r>
              <w:t xml:space="preserve"> </w:t>
            </w:r>
            <w:r>
              <w:rPr>
                <w:b/>
                <w:i/>
              </w:rPr>
              <w:t>mener, at dette vil kunne styrke ECB's legitimitet og politikker;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313</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33a.</w:t>
            </w:r>
            <w:r>
              <w:tab/>
            </w:r>
            <w:r>
              <w:rPr>
                <w:b/>
                <w:i/>
              </w:rPr>
              <w:t>opfordrer ECB til at indføre perfomance-baserede lønninger for centralbankens øverste ledelsesniveauer for at tilskynde til opnåelse af en lav inflation;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314</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34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34a.</w:t>
            </w:r>
            <w:r>
              <w:tab/>
            </w:r>
            <w:r>
              <w:rPr>
                <w:b/>
                <w:i/>
              </w:rPr>
              <w:t>bemærker den nuværende praksis for ansvarlighed mellem ECB og Parlamentet;</w:t>
            </w:r>
            <w:r>
              <w:t xml:space="preserve"> </w:t>
            </w:r>
            <w:r>
              <w:rPr>
                <w:b/>
                <w:i/>
              </w:rPr>
              <w:t>fremhæver ECB's åbenhed og tilgængelighed for Parlamentet;</w:t>
            </w:r>
            <w:r>
              <w:t xml:space="preserve"> </w:t>
            </w:r>
            <w:r>
              <w:rPr>
                <w:b/>
                <w:i/>
              </w:rPr>
              <w:t>opfordrer indtrængende ECB og Parlamentet til at gøre fuld brug af ansvarligheds- og gennemsigtighedsordningerne og yderligere forbedre disse ordninger;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765.337</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140</w:t>
    </w:r>
    <w:r>
      <w:fldChar w:fldCharType="end"/>
    </w:r>
    <w:r>
      <w:t>/</w:t>
    </w:r>
    <w:r>
      <w:fldChar w:fldCharType="begin"/>
    </w:r>
    <w:r>
      <w:instrText xml:space="preserve"> NUMPAGES </w:instrText>
    </w:r>
    <w:r>
      <w:fldChar w:fldCharType="separate"/>
    </w:r>
    <w:r>
      <w:t>140</w:t>
    </w:r>
    <w:r>
      <w:fldChar w:fldCharType="end"/>
    </w:r>
    <w:r>
      <w:tab/>
    </w:r>
    <w:r>
      <w:rPr>
        <w:rStyle w:val="HideTWBExt"/>
      </w:rPr>
      <w:t>&lt;PathFdR&gt;</w:t>
    </w:r>
    <w:r>
      <w:t>AM\1310138DA.docx</w:t>
    </w:r>
    <w:r>
      <w:rPr>
        <w:rStyle w:val="HideTWBExt"/>
      </w:rPr>
      <w:t>&lt;/PathFdR&gt;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AM\1310138DA.docx</w:t>
    </w:r>
    <w:r>
      <w:rPr>
        <w:rStyle w:val="HideTWBExt"/>
      </w:rPr>
      <w:t>&lt;/PathFdR&gt;</w:t>
    </w:r>
    <w:r>
      <w:tab/>
    </w:r>
    <w:r>
      <w:fldChar w:fldCharType="begin"/>
    </w:r>
    <w:r>
      <w:instrText xml:space="preserve"> PAGE </w:instrText>
    </w:r>
    <w:r>
      <w:fldChar w:fldCharType="separate"/>
    </w:r>
    <w:r>
      <w:t>139</w:t>
    </w:r>
    <w:r>
      <w:fldChar w:fldCharType="end"/>
    </w:r>
    <w:r>
      <w:t>/</w:t>
    </w:r>
    <w:r>
      <w:fldChar w:fldCharType="begin"/>
    </w:r>
    <w:r>
      <w:instrText xml:space="preserve"> NUMPAGES </w:instrText>
    </w:r>
    <w:r>
      <w:fldChar w:fldCharType="separate"/>
    </w:r>
    <w:r>
      <w:t>140</w:t>
    </w:r>
    <w:r>
      <w:fldChar w:fldCharType="end"/>
    </w:r>
    <w:r>
      <w:tab/>
    </w:r>
    <w:r>
      <w:t>PE</w:t>
    </w:r>
    <w:r>
      <w:rPr>
        <w:rStyle w:val="HideTWBExt"/>
      </w:rPr>
      <w:t>&lt;NoPE&gt;</w:t>
    </w:r>
    <w:r>
      <w:t>765.337</w:t>
    </w:r>
    <w:r>
      <w:rPr>
        <w:rStyle w:val="HideTWBExt"/>
      </w:rPr>
      <w:t>&lt;/NoPE&gt;</w:t>
    </w:r>
    <w:r>
      <w:rPr>
        <w:rStyle w:val="HideTWBExt"/>
      </w:rPr>
      <w:t>&lt;Version&gt;</w:t>
    </w:r>
    <w:r>
      <w:t>v01-00</w:t>
    </w:r>
    <w:r>
      <w:rPr>
        <w:rStyle w:val="HideTWBExt"/>
      </w:rPr>
      <w:t>&lt;/Version&gt;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AM\1310138DA.docx</w:t>
    </w:r>
    <w:r>
      <w:rPr>
        <w:rStyle w:val="HideTWBExt"/>
      </w:rPr>
      <w:t>&lt;/PathFdR&gt;</w:t>
    </w:r>
    <w:r>
      <w:tab/>
    </w:r>
    <w:r>
      <w:tab/>
    </w:r>
    <w:r>
      <w:t>PE</w:t>
    </w:r>
    <w:r>
      <w:rPr>
        <w:rStyle w:val="HideTWBExt"/>
      </w:rPr>
      <w:t>&lt;NoPE&gt;</w:t>
    </w:r>
    <w:r>
      <w:t>765.337</w:t>
    </w:r>
    <w:r>
      <w:rPr>
        <w:rStyle w:val="HideTWBExt"/>
      </w:rPr>
      <w:t>&lt;/NoPE&gt;</w:t>
    </w:r>
    <w:r>
      <w:rPr>
        <w:rStyle w:val="HideTWBExt"/>
      </w:rPr>
      <w:t>&lt;Version&gt;</w:t>
    </w:r>
    <w:r>
      <w:t>v01-00</w:t>
    </w:r>
    <w:r>
      <w:rPr>
        <w:rStyle w:val="HideTWBExt"/>
      </w:rPr>
      <w:t>&lt;/Version&gt;</w:t>
    </w:r>
  </w:p>
  <w:p>
    <w:pPr>
      <w:pStyle w:val="EPFooter2"/>
    </w:pPr>
    <w:r>
      <w:t>DA</w:t>
    </w:r>
    <w:r>
      <w:tab/>
    </w:r>
    <w:r>
      <w:rPr>
        <w:rStyle w:val="EPFooter2Motto"/>
      </w:rPr>
      <w:t>Forenet i mangfoldighed</w:t>
    </w:r>
    <w:r>
      <w:tab/>
    </w:r>
    <w:r>
      <w:t>DA</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paragraph" w:customStyle="1" w:styleId="NormalBold">
    <w:name w:val="NormalBold"/>
    <w:basedOn w:val="Normal"/>
    <w:pPr>
      <w:widowControl w:val="0"/>
    </w:pPr>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140</Pages>
  <Words>24676</Words>
  <Characters>153112</Characters>
  <Application>Microsoft Office Word</Application>
  <DocSecurity>0</DocSecurity>
  <Lines>1</Lines>
  <Paragraphs>2775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1310138</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93725</vt:lpwstr>
  </property>
  <property fmtid="{D5CDD505-2E9C-101B-9397-08002B2CF9AE}" pid="7" name="dmxml.render.traceId">
    <vt:lpwstr>6746d461a82f99b948e24005cf9ec1e1</vt:lpwstr>
  </property>
  <property fmtid="{D5CDD505-2E9C-101B-9397-08002B2CF9AE}" pid="8" name="FooterPath">
    <vt:lpwstr>AM\1310138DA.docx</vt:lpwstr>
  </property>
  <property fmtid="{D5CDD505-2E9C-101B-9397-08002B2CF9AE}" pid="9" name="PE Number">
    <vt:lpwstr>765.337</vt:lpwstr>
  </property>
  <property fmtid="{D5CDD505-2E9C-101B-9397-08002B2CF9AE}" pid="10" name="UID">
    <vt:lpwstr>eu.europa.europarl-DIN1-2024-0000054504_01.00-da-01.00_text-xml</vt:lpwstr>
  </property>
</Properties>
</file>