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Talous- ja raha-asioiden valiokunta</w:t>
      </w:r>
      <w:r>
        <w:rPr>
          <w:rStyle w:val="HideTWBExt"/>
        </w:rPr>
        <w:t>&lt;/Commission&gt;</w:t>
      </w:r>
    </w:p>
    <w:p>
      <w:pPr>
        <w:pStyle w:val="LineBottom"/>
      </w:pPr>
      <w:r>
        <w:t xml:space="preserve"> </w:t>
      </w:r>
    </w:p>
    <w:p>
      <w:pPr>
        <w:pStyle w:val="CoverReference"/>
      </w:pPr>
      <w:r>
        <w:rPr>
          <w:rStyle w:val="HideTWBExt"/>
        </w:rPr>
        <w:t>&lt;RefProc&gt;</w:t>
      </w:r>
      <w:r>
        <w:t>2024/2054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{13/11/2024}</w:t>
      </w:r>
      <w:r>
        <w:t>13.11.2024</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314</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Anouk Van Brug</w:t>
      </w:r>
      <w:r>
        <w:rPr>
          <w:rStyle w:val="HideTWBExt"/>
        </w:rPr>
        <w:t>&lt;/Rapporteur&gt;</w:t>
      </w:r>
    </w:p>
    <w:p>
      <w:pPr>
        <w:pStyle w:val="CoverNormal24a"/>
      </w:pPr>
      <w:r>
        <w:rPr>
          <w:rStyle w:val="HideTWBExt"/>
        </w:rPr>
        <w:t>&lt;DocRefPE&gt;</w:t>
      </w:r>
      <w:r>
        <w:t>(PE765.056v01-00)</w:t>
      </w:r>
      <w:r>
        <w:rPr>
          <w:rStyle w:val="HideTWBExt"/>
        </w:rPr>
        <w:t>&lt;/DocRefPE&gt;</w:t>
      </w:r>
    </w:p>
    <w:p>
      <w:pPr>
        <w:pStyle w:val="CoverNormal"/>
      </w:pPr>
      <w:r>
        <w:rPr>
          <w:rStyle w:val="HideTWBExt"/>
        </w:rPr>
        <w:t>&lt;Titre&gt;</w:t>
      </w:r>
      <w:r>
        <w:t>Euroopan keskuspankki – vuosikertomus 2024</w:t>
      </w:r>
      <w:r>
        <w:rPr>
          <w:rStyle w:val="HideTWBExt"/>
        </w:rPr>
        <w:t>&lt;/Titre&gt;</w:t>
      </w:r>
    </w:p>
    <w:p>
      <w:pPr>
        <w:pStyle w:val="CoverNormal24a"/>
      </w:pPr>
      <w:r>
        <w:rPr>
          <w:rStyle w:val="HideTWBExt"/>
        </w:rPr>
        <w:t>&lt;DocRef&gt;</w:t>
      </w:r>
      <w:r>
        <w:t>(2024/2054(INI))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11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sosiaalisten oikeuksien pilarin,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unionin tuomioistuimen 11. joulukuuta 2018 asiassa C-493/17, Weiss ym., antaman tuomion,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unionin tuomioistuimen 16. kesäkuuta 2015 asiassa C-62/14, Peter Gauweiler ym. v. Deutscher Bundestag, antaman tuomion,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19. toukokuuta 2022 annetun Euroopan parlamentin päätöslauselman Venäjän Ukrainassa käymän sodan sosiaalisista ja taloudellisista vaikutuksista EU:hun – EU:n toimintavalmiuksien vahvistaminen (2022/2653(RSP)),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23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EKP:n ilmasto- ja luontosuunnitelman vuosille 2024–2025,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ilmastonmuutosta koskevan YK:n puitesopimuksen nojalla hyväksytyn Pariisin 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w:t>
            </w:r>
            <w:r>
              <w:rPr>
                <w:b/>
                <w:i/>
              </w:rPr>
              <w:t>syyskuussa 2024 julkaistujen eurojärjestelmän asiantuntijoiden euroaluetta koskevien makrotaloudellisten arvioiden</w:t>
            </w:r>
            <w:r>
              <w:t xml:space="preserve"> mukaan yhdenmukaistetun kuluttajahintaindeksin (YKHI) mukaan laskettu inflaatio oli euroalueella 1,7 prosenttia syyskuussa 2024;</w:t>
            </w:r>
          </w:p>
        </w:tc>
        <w:tc>
          <w:tcPr>
            <w:tcW w:w="4876" w:type="dxa"/>
            <w:tcBorders>
              <w:top w:val="nil"/>
              <w:left w:val="nil"/>
              <w:bottom w:val="nil"/>
              <w:right w:val="nil"/>
            </w:tcBorders>
          </w:tcPr>
          <w:p>
            <w:pPr>
              <w:pStyle w:val="Normal6a"/>
            </w:pPr>
            <w:r>
              <w:t>A.</w:t>
            </w:r>
            <w:r>
              <w:tab/>
            </w:r>
            <w:r>
              <w:t xml:space="preserve">ottaa huomioon, että </w:t>
            </w:r>
            <w:r>
              <w:rPr>
                <w:b/>
                <w:i/>
              </w:rPr>
              <w:t>Eurostatin</w:t>
            </w:r>
            <w:r>
              <w:t xml:space="preserve"> mukaan yhdenmukaistetun kuluttajahintaindeksin (YKHI) mukaan laskettu inflaatio oli euroalueella 1,7 prosenttia syyskuussa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euroalueen yleinen inflaatio oli 2,9 prosenttia syyskuussa 2023, kun se oli 9,2 prosenttia joulukuussa 2022, mikä osoittaa yksittäisten osatekijöiden yhä laajamittaisemman laskun, jota oli yhteensä 6,3 prosenttiyksikköä;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YKHI-inflaation ennustetaan kiihtyvän jonkin verran vuoden 2024 viimeisellä neljänneksellä ja sitten hidastuvan 2,2 prosenttiin vuonna 2025 ja 1,9 prosenttiin vuonna 2026</w:t>
            </w:r>
            <w:r>
              <w:rPr>
                <w:vertAlign w:val="superscript"/>
              </w:rPr>
              <w:t>4</w:t>
            </w:r>
            <w:r>
              <w:t>;</w:t>
            </w:r>
          </w:p>
        </w:tc>
        <w:tc>
          <w:tcPr>
            <w:tcW w:w="4876" w:type="dxa"/>
            <w:tcBorders>
              <w:top w:val="nil"/>
              <w:left w:val="nil"/>
              <w:bottom w:val="nil"/>
              <w:right w:val="nil"/>
            </w:tcBorders>
          </w:tcPr>
          <w:p>
            <w:pPr>
              <w:pStyle w:val="Normal6a"/>
            </w:pPr>
            <w:r>
              <w:t>B.</w:t>
            </w:r>
            <w:r>
              <w:tab/>
            </w:r>
            <w:r>
              <w:t xml:space="preserve">ottaa huomioon, että </w:t>
            </w:r>
            <w:r>
              <w:rPr>
                <w:b/>
                <w:i/>
              </w:rPr>
              <w:t>syyskuussa 2024 julkaistujen eurojärjestelmän asiantuntijoiden euroaluetta koskevien makrotaloudellisten arvioiden mukaan</w:t>
            </w:r>
            <w:r>
              <w:t xml:space="preserve"> YKHI-inflaation ennustetaan kiihtyvän jonkin verran vuoden 2024 viimeisellä neljänneksellä ja sitten hidastuvan 2,2 prosenttiin vuonna 2025 ja 1,9 prosenttiin vuonna 2026</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https://www.ecb.europa.eu/press/projections/html/ecb.projections202409_ecbstaff~9c88364c57.en.html#toc6.</w:t>
            </w:r>
          </w:p>
        </w:tc>
        <w:tc>
          <w:tcPr>
            <w:tcW w:w="4876" w:type="dxa"/>
            <w:tcBorders>
              <w:top w:val="nil"/>
              <w:left w:val="nil"/>
              <w:bottom w:val="nil"/>
              <w:right w:val="nil"/>
            </w:tcBorders>
          </w:tcPr>
          <w:p>
            <w:pPr>
              <w:pStyle w:val="Normal6a"/>
            </w:pPr>
            <w:r>
              <w:rPr>
                <w:vertAlign w:val="superscript"/>
              </w:rPr>
              <w:t>4</w:t>
            </w:r>
            <w:r>
              <w:t xml:space="preserve"> </w:t>
            </w:r>
            <w:r>
              <w:t>https://www.ecb.europa.eu/press/projections/html/ecb.projections202409_ecbstaff~9c88364c57.en.html#toc6.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YKHI-inflaation ennustetaan kiihtyvän jonkin verran vuoden 2024 viimeisellä neljänneksellä ja sitten </w:t>
            </w:r>
            <w:r>
              <w:rPr>
                <w:b/>
                <w:i/>
              </w:rPr>
              <w:t>hidastuvan 2,2 prosenttiin vuonna</w:t>
            </w:r>
            <w:r>
              <w:t> 2025 ja 1,9 prosenttiin vuonna 2026</w:t>
            </w:r>
            <w:r>
              <w:rPr>
                <w:vertAlign w:val="superscript"/>
              </w:rPr>
              <w:t>4</w:t>
            </w:r>
            <w:r>
              <w:t>;</w:t>
            </w:r>
          </w:p>
        </w:tc>
        <w:tc>
          <w:tcPr>
            <w:tcW w:w="4876" w:type="dxa"/>
            <w:tcBorders>
              <w:top w:val="nil"/>
              <w:left w:val="nil"/>
              <w:bottom w:val="nil"/>
              <w:right w:val="nil"/>
            </w:tcBorders>
          </w:tcPr>
          <w:p>
            <w:pPr>
              <w:pStyle w:val="Normal6a"/>
            </w:pPr>
            <w:r>
              <w:t>B.</w:t>
            </w:r>
            <w:r>
              <w:tab/>
            </w:r>
            <w:r>
              <w:t xml:space="preserve">ottaa huomioon, että YKHI-inflaation ennustetaan kiihtyvän jonkin verran vuoden 2024 viimeisellä neljänneksellä ja sitten </w:t>
            </w:r>
            <w:r>
              <w:rPr>
                <w:b/>
                <w:i/>
              </w:rPr>
              <w:t>yltävän 2 prosentin inflaatiotavoitteeseen vuoden</w:t>
            </w:r>
            <w:r>
              <w:t xml:space="preserve"> 2025 </w:t>
            </w:r>
            <w:r>
              <w:rPr>
                <w:b/>
                <w:i/>
              </w:rPr>
              <w:t>viimeisellä neljänneksellä</w:t>
            </w:r>
            <w:r>
              <w:t xml:space="preserve"> ja 1,9 prosenttiin vuonna 2026</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https://www.ecb.europa.eu/press/projections/html/ecb.projections202409_ecbstaff~9c88364c57.en.html#toc6.</w:t>
            </w:r>
          </w:p>
        </w:tc>
        <w:tc>
          <w:tcPr>
            <w:tcW w:w="4876" w:type="dxa"/>
            <w:tcBorders>
              <w:top w:val="nil"/>
              <w:left w:val="nil"/>
              <w:bottom w:val="nil"/>
              <w:right w:val="nil"/>
            </w:tcBorders>
          </w:tcPr>
          <w:p>
            <w:pPr>
              <w:pStyle w:val="Normal6a"/>
            </w:pPr>
            <w:r>
              <w:rPr>
                <w:vertAlign w:val="superscript"/>
              </w:rPr>
              <w:t>4</w:t>
            </w:r>
            <w:r>
              <w:t xml:space="preserve"> </w:t>
            </w:r>
            <w:r>
              <w:t>https://www.ecb.europa.eu/press/projections/html/ecb.projections202409_ecbstaff~9c88364c57.en.html#toc6.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tästä laskusuuntauksesta huolimatta inflaatioaste on edelleen erilaisten tilanteiden keskiarvo, joka vaihtelee maittain 0 prosentista 4,3 prosenttiin;</w:t>
            </w:r>
            <w:r>
              <w:t xml:space="preserve"> </w:t>
            </w:r>
            <w:r>
              <w:rPr>
                <w:b/>
                <w:i/>
              </w:rPr>
              <w:t>ottaa huomioon, että tämä vaihtelu näkyy myös YKHI:n eri segmenteissä;</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euroalueen yleinen YKHI-inflaatio oli joulukuussa 2023 2,9 prosenttia eli se oli 6,3 prosenttiyksikköä matalampi kuin joulukuussa 2022;</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EKP:n ensisijaisena tavoitteena on pitää yllä hintavakautta, jonka se on määritellyt 2 prosentin inflaatiotasoksi keskipitkällä aikavälillä;</w:t>
            </w:r>
          </w:p>
        </w:tc>
        <w:tc>
          <w:tcPr>
            <w:tcW w:w="4876" w:type="dxa"/>
            <w:tcBorders>
              <w:top w:val="nil"/>
              <w:left w:val="nil"/>
              <w:bottom w:val="nil"/>
              <w:right w:val="nil"/>
            </w:tcBorders>
          </w:tcPr>
          <w:p>
            <w:pPr>
              <w:pStyle w:val="Normal6a"/>
            </w:pPr>
            <w:r>
              <w:t>C.</w:t>
            </w:r>
            <w:r>
              <w:tab/>
            </w:r>
            <w:r>
              <w:t xml:space="preserve">ottaa huomioon, että EKP:n ensisijaisena tavoitteena on pitää yllä hintavakautta, jonka se on määritellyt 2 prosentin inflaatiotasoksi keskipitkällä aikavälillä; </w:t>
            </w:r>
            <w:r>
              <w:rPr>
                <w:b/>
                <w:i/>
              </w:rPr>
              <w:t>ottaa huomioon, että EKP:n toissijainen tehtävä edellyttää sen tukevan EU:n yleisiä taloudellisia tavoitteita, sanotun kuitenkaan rajoittamatta EKP:n ensisijaista tehtävää;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EKP </w:t>
            </w:r>
            <w:r>
              <w:rPr>
                <w:b/>
                <w:i/>
              </w:rPr>
              <w:t>on</w:t>
            </w:r>
            <w:r>
              <w:t xml:space="preserve"> poliittisesti </w:t>
            </w:r>
            <w:r>
              <w:rPr>
                <w:b/>
                <w:i/>
              </w:rPr>
              <w:t>riippumaton</w:t>
            </w:r>
            <w:r>
              <w:t>, mikä merkitsee, että sen enempää Euroopan unionin (EU) toimielimet ja virastot kuin jäsenvaltioiden hallituksetkaan eivät saisi pyrkiä vaikuttamaan siihen;</w:t>
            </w:r>
          </w:p>
        </w:tc>
        <w:tc>
          <w:tcPr>
            <w:tcW w:w="4876" w:type="dxa"/>
            <w:tcBorders>
              <w:top w:val="nil"/>
              <w:left w:val="nil"/>
              <w:bottom w:val="nil"/>
              <w:right w:val="nil"/>
            </w:tcBorders>
          </w:tcPr>
          <w:p>
            <w:pPr>
              <w:pStyle w:val="Normal6a"/>
            </w:pPr>
            <w:r>
              <w:t>D.</w:t>
            </w:r>
            <w:r>
              <w:tab/>
            </w:r>
            <w:r>
              <w:t xml:space="preserve">ottaa huomioon, että EKP </w:t>
            </w:r>
            <w:r>
              <w:rPr>
                <w:b/>
                <w:i/>
              </w:rPr>
              <w:t>voi tehdä päätöksiä täyttääkseen ensisijaisen tavoitteensa eli hintavakauden säilyttämisen ilman, että muihin kuin sen tilivelvollisuutta koskeviin asioihin puututaan</w:t>
            </w:r>
            <w:r>
              <w:t xml:space="preserve"> poliittisesti, mikä merkitsee, että sen enempää Euroopan unionin (EU) toimielimet ja virastot kuin jäsenvaltioiden hallituksetkaan eivät saisi pyrkiä vaikuttamaan siihen;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toteaa, että tämä riippumattomuus edellyttää, että EKP pidättyy tekemästä poliittisia päätöksiä;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toteaa, että tämä riippumattomuus edellyttää, että EKP pidättyy tekemästä poliittisia </w:t>
            </w:r>
            <w:r>
              <w:rPr>
                <w:b/>
                <w:i/>
              </w:rPr>
              <w:t>päätöksiä</w:t>
            </w:r>
            <w:r>
              <w:t>;</w:t>
            </w:r>
          </w:p>
        </w:tc>
        <w:tc>
          <w:tcPr>
            <w:tcW w:w="4876" w:type="dxa"/>
            <w:tcBorders>
              <w:top w:val="nil"/>
              <w:left w:val="nil"/>
              <w:bottom w:val="nil"/>
              <w:right w:val="nil"/>
            </w:tcBorders>
          </w:tcPr>
          <w:p>
            <w:pPr>
              <w:pStyle w:val="Normal6a"/>
            </w:pPr>
            <w:r>
              <w:t>E.</w:t>
            </w:r>
            <w:r>
              <w:tab/>
            </w:r>
            <w:r>
              <w:t xml:space="preserve">toteaa, että tämä riippumattomuus edellyttää, että EKP pidättyy tekemästä poliittisia </w:t>
            </w:r>
            <w:r>
              <w:rPr>
                <w:b/>
                <w:i/>
              </w:rPr>
              <w:t>toimia, kuten ohjeistamasta kansallisia hallituksia toteuttamaan erityisiä finanssi- ja rakennepoliittisia toimia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Francisco Assis, Bruno Gonçalves,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ottaa huomioon, että SEUT-sopimuksen 123 artiklassa ja EKPJ:n ja EKP:n perussäännön 21 artiklassa kielletään julkisen sektorin keskuspankkirahoitus;</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Irene Tinagli,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SEUT-sopimuksen 123 artiklassa ja EKPJ:n ja EKP:n perussäännön 21 artiklassa kielletään julkisen sektorin keskuspankkirahoitus;</w:t>
            </w:r>
          </w:p>
        </w:tc>
        <w:tc>
          <w:tcPr>
            <w:tcW w:w="4876" w:type="dxa"/>
            <w:tcBorders>
              <w:top w:val="nil"/>
              <w:left w:val="nil"/>
              <w:bottom w:val="nil"/>
              <w:right w:val="nil"/>
            </w:tcBorders>
          </w:tcPr>
          <w:p>
            <w:pPr>
              <w:pStyle w:val="Normal6a"/>
            </w:pPr>
            <w:r>
              <w:t>F.</w:t>
            </w:r>
            <w:r>
              <w:tab/>
            </w:r>
            <w:r>
              <w:t xml:space="preserve">ottaa huomioon, että SEUT-sopimuksen 123 artiklassa ja EKPJ:n ja EKP:n perussäännön 21 artiklassa kielletään julkisen sektorin </w:t>
            </w:r>
            <w:r>
              <w:rPr>
                <w:b/>
                <w:i/>
              </w:rPr>
              <w:t>suora</w:t>
            </w:r>
            <w:r>
              <w:t xml:space="preserve"> keskuspankkirahoitus; </w:t>
            </w:r>
            <w:r>
              <w:rPr>
                <w:b/>
                <w:i/>
              </w:rPr>
              <w:t>ottaa huomioon, että EKP voi hankkia velkapapereita jälkimarkkinoilta, jos se on tarpeen sen 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SEUT-sopimuksen 123 artiklassa ja EKPJ:n ja EKP:n perussäännön 21 artiklassa kielletään </w:t>
            </w:r>
            <w:r>
              <w:rPr>
                <w:b/>
                <w:i/>
              </w:rPr>
              <w:t>julkisen sektorin keskuspankkirahoitus</w:t>
            </w:r>
            <w:r>
              <w:t>;</w:t>
            </w:r>
          </w:p>
        </w:tc>
        <w:tc>
          <w:tcPr>
            <w:tcW w:w="4876" w:type="dxa"/>
            <w:tcBorders>
              <w:top w:val="nil"/>
              <w:left w:val="nil"/>
              <w:bottom w:val="nil"/>
              <w:right w:val="nil"/>
            </w:tcBorders>
          </w:tcPr>
          <w:p>
            <w:pPr>
              <w:pStyle w:val="Normal6a"/>
            </w:pPr>
            <w:r>
              <w:t>F.</w:t>
            </w:r>
            <w:r>
              <w:tab/>
            </w:r>
            <w:r>
              <w:t xml:space="preserve">ottaa huomioon, että SEUT-sopimuksen 123 artiklassa ja EKPJ:n ja EKP:n perussäännön 21 artiklassa kielletään </w:t>
            </w:r>
            <w:r>
              <w:rPr>
                <w:b/>
                <w:i/>
              </w:rPr>
              <w:t>EKP:tä hankkimasta velkasitoumuksia suoraan julkiselta sektorilta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Kiinan keskuspankki otti vuonna 2021 käyttöön hiilidioksidipäästöjen vähentämisvälineen, jonka ansiosta pankit saavat edullisella 1,75 prosentin korolla lainaa määrän, joka vastaa enintään 60:tä prosenttia niiden vähähiilisyyteen siirtymisen tukemiseksi myöntämien lainojen määrästä;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EKP:n on edistettävä EU:n yleistä talouspolitiikkaa ja siten osallistuttava SEUT-sopimuksen 3 artiklassa vahvistettujen EU:n tavoitteiden saavuttamiseen;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eurojärjestelmä perustuu rahapoliittisen valta-aseman periaatteeseen;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ottaa huomioon, että Japanin keskuspankki käynnisti vuonna 2022 ”Transactions for Climate Response Financing Operations” -ohjelman, jonka puitteissa japanilaisten pankkien oli mahdollista ottaa 11 963 miljardia jeniä lainaa nollakorolla;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omaisuuserien osto-ohjelman puitteissa </w:t>
            </w:r>
            <w:r>
              <w:rPr>
                <w:b/>
                <w:i/>
              </w:rPr>
              <w:t>ja tammikuusta 2025 alkaen</w:t>
            </w:r>
            <w:r>
              <w:t xml:space="preserve"> pandemiaan liittyvässä poikkeustilanteessa toteutettavan osto-ohjelman puitteissa ostettujen erääntyvien arvopapereiden </w:t>
            </w:r>
            <w:r>
              <w:rPr>
                <w:b/>
                <w:i/>
              </w:rPr>
              <w:t>kaikkia</w:t>
            </w:r>
            <w:r>
              <w:t xml:space="preserve"> pääomamaksuja ei enää sijoiteta uudelleen;</w:t>
            </w:r>
          </w:p>
        </w:tc>
        <w:tc>
          <w:tcPr>
            <w:tcW w:w="4876" w:type="dxa"/>
            <w:tcBorders>
              <w:top w:val="nil"/>
              <w:left w:val="nil"/>
              <w:bottom w:val="nil"/>
              <w:right w:val="nil"/>
            </w:tcBorders>
          </w:tcPr>
          <w:p>
            <w:pPr>
              <w:pStyle w:val="Normal6a"/>
            </w:pPr>
            <w:r>
              <w:t>G.</w:t>
            </w:r>
            <w:r>
              <w:tab/>
            </w:r>
            <w:r>
              <w:t xml:space="preserve">ottaa huomioon, että omaisuuserien osto-ohjelman puitteissa </w:t>
            </w:r>
            <w:r>
              <w:rPr>
                <w:b/>
                <w:i/>
              </w:rPr>
              <w:t>ostettujen erääntyvien arvopapereiden kaikkia pääomamaksuja ei enää sijoiteta uudelleen ja että</w:t>
            </w:r>
            <w:r>
              <w:t xml:space="preserve"> pandemiaan liittyvässä poikkeustilanteessa toteutettavan osto-ohjelman puitteissa ostettujen erääntyvien arvopapereiden pääomamaksuja ei enää sijoiteta uudelleen </w:t>
            </w:r>
            <w:r>
              <w:rPr>
                <w:b/>
                <w:i/>
              </w:rPr>
              <w:t>tammikuusta 2025 alkaen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luottolaitosten hallussa olevat pankkivarannot EKP:ssä olivat 4,3 biljoonaa euroa kesäkuussa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EKP maksaa suurten keskuspankkien tavoin korkoa liikepankkien hallussa olevista pankkivarannoista, joten politiikkansa nykyisen virityksen mukaisesti se maksaa liikepankeille suuria korkomaksuja;</w:t>
            </w:r>
            <w:r>
              <w:t xml:space="preserve"> </w:t>
            </w:r>
            <w:r>
              <w:rPr>
                <w:b/>
                <w:i/>
              </w:rPr>
              <w:t>ottaa huomioon, että useimmat keskuspankit ovat alkaneet maksaa hyvitystä liikepankkien hallussa olevista varannoista vasta 20 viime vuoden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w:t>
            </w:r>
            <w:r>
              <w:rPr>
                <w:b/>
                <w:i/>
              </w:rPr>
              <w:t>euro on maailman</w:t>
            </w:r>
            <w:r>
              <w:t xml:space="preserve"> toiseksi tärkein valuutta </w:t>
            </w:r>
            <w:r>
              <w:rPr>
                <w:b/>
                <w:i/>
              </w:rPr>
              <w:t>ja se jää</w:t>
            </w:r>
            <w:r>
              <w:t xml:space="preserve"> kauas jälkeen Yhdysvaltain dollarista huolimatta euroalueen talouden koosta maailmankaupassa</w:t>
            </w:r>
            <w:r>
              <w:rPr>
                <w:b/>
                <w:i/>
              </w:rPr>
              <w:t>;</w:t>
            </w:r>
          </w:p>
        </w:tc>
        <w:tc>
          <w:tcPr>
            <w:tcW w:w="4876" w:type="dxa"/>
            <w:tcBorders>
              <w:top w:val="nil"/>
              <w:left w:val="nil"/>
              <w:bottom w:val="nil"/>
              <w:right w:val="nil"/>
            </w:tcBorders>
          </w:tcPr>
          <w:p>
            <w:pPr>
              <w:pStyle w:val="Normal6a"/>
            </w:pPr>
            <w:r>
              <w:t>H.</w:t>
            </w:r>
            <w:r>
              <w:tab/>
            </w:r>
            <w:r>
              <w:t xml:space="preserve">ottaa huomioon, että </w:t>
            </w:r>
            <w:r>
              <w:rPr>
                <w:b/>
                <w:i/>
              </w:rPr>
              <w:t>euron ulkoinen arvo on heikentynyt vuodesta 2020 lähtien, vaikka se on edelleen</w:t>
            </w:r>
            <w:r>
              <w:t xml:space="preserve"> toiseksi tärkein valuutta </w:t>
            </w:r>
            <w:r>
              <w:rPr>
                <w:b/>
                <w:i/>
              </w:rPr>
              <w:t>maailmanlaajuisesti, sillä sen vaikutusvalta ja käyttöaste jäävät</w:t>
            </w:r>
            <w:r>
              <w:t xml:space="preserve"> kauas jälkeen Yhdysvaltain dollarista huolimatta euroalueen talouden koosta maailmankaupassa</w:t>
            </w:r>
            <w:r>
              <w:rPr>
                <w:b/>
                <w:i/>
              </w:rP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euro on maailman toiseksi tärkein valuutta </w:t>
            </w:r>
            <w:r>
              <w:rPr>
                <w:b/>
                <w:i/>
              </w:rPr>
              <w:t>ja se jää kauas jälkeen Yhdysvaltain dollarista huolimatta euroalueen talouden koosta maailmankaupassa</w:t>
            </w:r>
            <w:r>
              <w:t>;</w:t>
            </w:r>
          </w:p>
        </w:tc>
        <w:tc>
          <w:tcPr>
            <w:tcW w:w="4876" w:type="dxa"/>
            <w:tcBorders>
              <w:top w:val="nil"/>
              <w:left w:val="nil"/>
              <w:bottom w:val="nil"/>
              <w:right w:val="nil"/>
            </w:tcBorders>
          </w:tcPr>
          <w:p>
            <w:pPr>
              <w:pStyle w:val="Normal6a"/>
            </w:pPr>
            <w:r>
              <w:t>H.</w:t>
            </w:r>
            <w:r>
              <w:tab/>
            </w:r>
            <w:r>
              <w:t>ottaa huomioon, että euro on maailman toiseksi tärkein valuutta;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Auke Zijlstra,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euron arvo dollariin nähden on heikentynyt huomattavasti vuoden 2020 lopun jälkeen;</w:t>
            </w:r>
            <w:r>
              <w:t xml:space="preserve"> </w:t>
            </w:r>
            <w:r>
              <w:rPr>
                <w:b/>
                <w:i/>
              </w:rPr>
              <w:t>ottaa huomioon, että energiajohdannaisilla käydään kauppaa dollareissa ja että euron kurssin lasku dollariin nähden lisää inflaatiota entisestään;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ottaa huomioon</w:t>
            </w:r>
            <w:r>
              <w:t xml:space="preserve">, että EKP </w:t>
            </w:r>
            <w:r>
              <w:rPr>
                <w:b/>
                <w:i/>
              </w:rPr>
              <w:t>on vastuuvelvollinen parlamentille</w:t>
            </w:r>
            <w:r>
              <w:t>, joka on EU:n kansalaisia edustava EU:n toimielin;</w:t>
            </w:r>
          </w:p>
        </w:tc>
        <w:tc>
          <w:tcPr>
            <w:tcW w:w="4876" w:type="dxa"/>
            <w:tcBorders>
              <w:top w:val="nil"/>
              <w:left w:val="nil"/>
              <w:bottom w:val="nil"/>
              <w:right w:val="nil"/>
            </w:tcBorders>
          </w:tcPr>
          <w:p>
            <w:pPr>
              <w:pStyle w:val="Normal6a"/>
            </w:pPr>
            <w:r>
              <w:t>I.</w:t>
            </w:r>
            <w:r>
              <w:tab/>
            </w:r>
            <w:r>
              <w:rPr>
                <w:b/>
                <w:i/>
              </w:rPr>
              <w:t>katsoo</w:t>
            </w:r>
            <w:r>
              <w:t>, että EKP</w:t>
            </w:r>
            <w:r>
              <w:rPr>
                <w:b/>
                <w:i/>
              </w:rPr>
              <w:t>:n on pyrittävä oikeudenmukaiseen ja avoimeen yhteistyöhön parlamentin kanssa</w:t>
            </w:r>
            <w:r>
              <w:t xml:space="preserve">, joka on EU:n kansalaisia edustava EU:n toimielin; </w:t>
            </w:r>
            <w:r>
              <w:rPr>
                <w:b/>
                <w:i/>
              </w:rPr>
              <w:t>ottaa huomioon, että tätä yhteistyötä on ylläpidetty korkeimmalla tasolla säännöllisesti järjestettävällä rahapoliittisella vuoropuhelulla, EKP:n pääjohtajan säännöllisillä osallistumisilla parlamentin täysistuntoon sekä erilaisilla parlamentin jäsenten ja EKP:n johtokunnan jäsenten välisillä vierailuilla ja tapaamisilla;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ottaa huomioon, että EKP on vastuuvelvollinen parlamentille, </w:t>
            </w:r>
            <w:r>
              <w:rPr>
                <w:b/>
                <w:i/>
              </w:rPr>
              <w:t>joka on EU:n kansalaisia edustava EU:n toimielin</w:t>
            </w:r>
            <w:r>
              <w:t>;</w:t>
            </w:r>
          </w:p>
        </w:tc>
        <w:tc>
          <w:tcPr>
            <w:tcW w:w="4876" w:type="dxa"/>
            <w:tcBorders>
              <w:top w:val="nil"/>
              <w:left w:val="nil"/>
              <w:bottom w:val="nil"/>
              <w:right w:val="nil"/>
            </w:tcBorders>
          </w:tcPr>
          <w:p>
            <w:pPr>
              <w:pStyle w:val="Normal6a"/>
            </w:pPr>
            <w:r>
              <w:t>I.</w:t>
            </w:r>
            <w:r>
              <w:tab/>
            </w:r>
            <w:r>
              <w:t xml:space="preserve">ottaa huomioon, että EKP on vastuuvelvollinen </w:t>
            </w:r>
            <w:r>
              <w:rPr>
                <w:b/>
                <w:i/>
              </w:rPr>
              <w:t>Euroopan</w:t>
            </w:r>
            <w:r>
              <w:t xml:space="preserve"> parlamentille, </w:t>
            </w:r>
            <w:r>
              <w:rPr>
                <w:b/>
                <w:i/>
              </w:rPr>
              <w:t>Euroopan unionin neuvostolle ja Euroopan tilintarkastustuomioistuimelle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EKP:n olisi myös tuettava yleistä talouspolitiikkaa unionissa osallistuakseen SEU 3 artiklassa määriteltyjen unionin tavoitteiden saavuttamiseen, sanotun kuitenkaan rajoittamatta hintavakauden ensisijaista tavoitetta;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katsoo, että EKP:n päätösten olisi perustuttava talous- ja rahoitusindikaattoreihin ja -ennusteisiin, jotka se itse laatii ja tutkii, jotta voidaan varmistaa, että sen päätöksien tukena on vankka vakavaraisuusaste;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EKP:n neuvostossa on nähtävissä sukupuolten epätasapuolinen edustus;</w:t>
            </w:r>
            <w:r>
              <w:t xml:space="preserve"> </w:t>
            </w:r>
            <w:r>
              <w:rPr>
                <w:b/>
                <w:i/>
              </w:rPr>
              <w:t>kehottaa jäsenvaltioita edistämään sukupuolten tasapuolista edustusta huolehtimalla siitä, että sukupuolet ovat tasapuolisesti edustettuina niiden keskuspankkien pääjohtajien keskuudessa;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EKP:n rooliin rahatalouden vakauden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 xml:space="preserve">suhtautuu myönteisesti EKP:n rooliin rahatalouden vakauden turvaamisessa; korostaa, että EKP on toimielin, joka vastaa hintavakauden ylläpitämisestä euroalueella; </w:t>
            </w:r>
            <w:r>
              <w:rPr>
                <w:b/>
                <w:i/>
              </w:rPr>
              <w:t>korostaa, miten tärkeä EKP:n toissijainen tehtävä on edistettäessä SEUT-sopimuksen 3 artiklassa vahvistettuja EU:n yleisiä taloudellisia tavoitteita, joihin kuuluvat täystyöllisyys, sosiaalinen edistys ja ympäristönsuojelu;</w:t>
            </w:r>
            <w:r>
              <w:t xml:space="preserve"> </w:t>
            </w:r>
            <w:r>
              <w:rPr>
                <w:b/>
                <w:i/>
              </w:rPr>
              <w:t>ottaa huomioon, että EKP:n tehtävä, sellaisena kuin se määritellään sen tavoitteissa, on vahvistettu SEUT-sopimuksen 127 artiklassa ja on siten oikeudellisesti sitova;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EKP:n rooliin rahatalouden vakauden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 xml:space="preserve">suhtautuu myönteisesti EKP:n rooliin rahatalouden vakauden turvaamisessa; korostaa, että EKP on toimielin, joka vastaa hintavakauden ylläpitämisestä euroalueella </w:t>
            </w:r>
            <w:r>
              <w:rPr>
                <w:b/>
                <w:i/>
              </w:rPr>
              <w:t>ja ottaa samalla huomioon EU:n laajemman taloudellisen hyvinvoinnin, myös talouskasvun, jos se on sopusoinnussa EKP:n tehtävän kanssa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EKP:n rooliin </w:t>
            </w:r>
            <w:r>
              <w:rPr>
                <w:b/>
                <w:i/>
              </w:rPr>
              <w:t>rahatalouden vakauden</w:t>
            </w:r>
            <w:r>
              <w:t xml:space="preserve">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 xml:space="preserve">suhtautuu myönteisesti EKP:n rooliin </w:t>
            </w:r>
            <w:r>
              <w:rPr>
                <w:b/>
                <w:i/>
              </w:rPr>
              <w:t>euron raha- ja rahoitusvakauden</w:t>
            </w:r>
            <w:r>
              <w:t> turvaamisessa</w:t>
            </w:r>
            <w:r>
              <w:rPr>
                <w:b/>
                <w:i/>
              </w:rPr>
              <w:t>;</w:t>
            </w:r>
            <w:r>
              <w:t xml:space="preserve"> </w:t>
            </w:r>
            <w:r>
              <w:rPr>
                <w:b/>
                <w:i/>
              </w:rPr>
              <w:t>tukee EKP:n tavoitetta toteuttaa tarvittaessa toimia vakauden turvaamiseksi</w:t>
            </w:r>
            <w:r>
              <w:t>; korostaa, että EKP on toimielin, joka vastaa hintavakauden ylläpitämisestä euroalueella;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Auke Zijlstra,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suhtautuu myönteisesti EKP:n rooliin rahatalouden vakauden turvaamisessa;</w:t>
            </w:r>
            <w:r>
              <w:t xml:space="preserve"> </w:t>
            </w:r>
            <w:r>
              <w:rPr>
                <w:b/>
                <w:i/>
              </w:rPr>
              <w:t>korostaa, että EKP on toimielin, joka vastaa hintavakauden ylläpitämisestä euroalueella</w:t>
            </w:r>
            <w:r>
              <w:t>;</w:t>
            </w:r>
          </w:p>
        </w:tc>
        <w:tc>
          <w:tcPr>
            <w:tcW w:w="4876" w:type="dxa"/>
            <w:tcBorders>
              <w:top w:val="nil"/>
              <w:left w:val="nil"/>
              <w:bottom w:val="nil"/>
              <w:right w:val="nil"/>
            </w:tcBorders>
          </w:tcPr>
          <w:p>
            <w:pPr>
              <w:pStyle w:val="Normal6a"/>
            </w:pPr>
            <w:r>
              <w:t>1.</w:t>
            </w:r>
            <w:r>
              <w:tab/>
            </w:r>
            <w:r>
              <w:rPr>
                <w:b/>
                <w:i/>
              </w:rPr>
              <w:t>korostaa, että EKP on toimielin, joka vastaa hintavakauden ylläpitämisestä euroalueella;</w:t>
            </w:r>
            <w:r>
              <w:t xml:space="preserve"> </w:t>
            </w:r>
            <w:r>
              <w:rPr>
                <w:b/>
                <w:i/>
              </w:rPr>
              <w:t>katsoo lisäksi, että hintavakauden ylläpitäminen on välttämätön edellytys EU:n muiden poliittisten tavoitteiden saavuttamiselle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EKP:n rooliin rahatalouden vakauden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 xml:space="preserve">suhtautuu myönteisesti EKP:n rooliin rahatalouden vakauden turvaamisessa; korostaa, että EKP on toimielin, joka vastaa hintavakauden ylläpitämisestä euroalueella </w:t>
            </w:r>
            <w:r>
              <w:rPr>
                <w:b/>
                <w:i/>
              </w:rPr>
              <w:t>ja että toissijaiset tavoitteet eivät saa vaikuttaa hintavakauteen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EKP:n rooliin rahatalouden vakauden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suhtautuu myönteisesti EKP:n rooliin rahatalouden vakauden turvaamisessa</w:t>
            </w:r>
            <w:r>
              <w:rPr>
                <w:b/>
                <w:i/>
              </w:rPr>
              <w:t>, joka on kasvun ja talouden vakauden välttämätön edellytys</w:t>
            </w:r>
            <w:r>
              <w:t>; korostaa, että EKP on toimielin, joka vastaa hintavakauden ylläpitämisestä euroalueella;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EKP:n rooliin rahatalouden vakauden turvaamisessa; korostaa, että EKP on toimielin, joka vastaa hintavakauden ylläpitämisestä euroalueella;</w:t>
            </w:r>
          </w:p>
        </w:tc>
        <w:tc>
          <w:tcPr>
            <w:tcW w:w="4876" w:type="dxa"/>
            <w:tcBorders>
              <w:top w:val="nil"/>
              <w:left w:val="nil"/>
              <w:bottom w:val="nil"/>
              <w:right w:val="nil"/>
            </w:tcBorders>
          </w:tcPr>
          <w:p>
            <w:pPr>
              <w:pStyle w:val="Normal6a"/>
            </w:pPr>
            <w:r>
              <w:t>1.</w:t>
            </w:r>
            <w:r>
              <w:tab/>
            </w:r>
            <w:r>
              <w:t xml:space="preserve">suhtautuu myönteisesti EKP:n rooliin rahatalouden vakauden turvaamisessa; korostaa, että EKP on toimielin, joka vastaa hintavakauden ylläpitämisestä euroalueella </w:t>
            </w:r>
            <w:r>
              <w:rPr>
                <w:b/>
                <w:i/>
              </w:rPr>
              <w:t>ja tukee siten vakaata ja ennustettavaa talouskasvua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suhtautuu myönteisesti EKP:n rooliin</w:t>
            </w:r>
            <w:r>
              <w:t xml:space="preserve"> rahatalouden vakauden turvaamisessa; korostaa</w:t>
            </w:r>
            <w:r>
              <w:rPr>
                <w:b/>
                <w:i/>
              </w:rPr>
              <w:t>, että EKP on toimielin, joka vastaa hintavakauden ylläpitämisestä euroalueella</w:t>
            </w:r>
            <w:r>
              <w:t>;</w:t>
            </w:r>
          </w:p>
        </w:tc>
        <w:tc>
          <w:tcPr>
            <w:tcW w:w="4876" w:type="dxa"/>
            <w:tcBorders>
              <w:top w:val="nil"/>
              <w:left w:val="nil"/>
              <w:bottom w:val="nil"/>
              <w:right w:val="nil"/>
            </w:tcBorders>
          </w:tcPr>
          <w:p>
            <w:pPr>
              <w:pStyle w:val="Normal6a"/>
            </w:pPr>
            <w:r>
              <w:t>1.</w:t>
            </w:r>
            <w:r>
              <w:tab/>
            </w:r>
            <w:r>
              <w:rPr>
                <w:b/>
                <w:i/>
              </w:rPr>
              <w:t>panee merkille EKP:n roolin</w:t>
            </w:r>
            <w:r>
              <w:t xml:space="preserve"> rahatalouden vakauden turvaamisessa; korostaa </w:t>
            </w:r>
            <w:r>
              <w:rPr>
                <w:b/>
                <w:i/>
              </w:rPr>
              <w:t>EKP:n roolia unionin talouspolitiikan tavoitteiden tukemisessa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korostaa, että hintavakaus on edellytys sille, että EKP voi täyttää tehtävänsä eli tukea unionin yleistä talouspolitiikkaa, kuten talouskasvua, markkinatalouden ja vapaan kilpailun kunnioittamista, siten, että saavutetaan täystyöllisyys, taloudellinen, sosiaalinen ja alueellinen yhteenkuuluvuus, rahapolitiikan koordinointi ja julkisen talouden asianmukainen toiminta;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muistuttaa, että hintavakaus on olennainen edellytys investointien houkuttelemiselle, talouskasvun edistämiselle, työpaikkojen luomiselle, uusien investointihankkeiden kehittämiselle ja pitkän aikavälin taloudellisen vaurauden edistämiselle;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kehottaa asettamaan NextGenerationEU:n puitteissa käytettävissä olevat resurssit nopeasti etusijalle unionin talouspolitiikoissa, jotta ne ulottuvat tuotantorakenteeseen, reaalitalouteen;</w:t>
            </w:r>
            <w:r>
              <w:t xml:space="preserve"> </w:t>
            </w:r>
            <w:r>
              <w:rPr>
                <w:b/>
                <w:i/>
              </w:rPr>
              <w:t>katsoo, että tämä edellyttää yhteistyötä kansallisten, alueellisten ja paikallisten viranomaisten kanssa elpymis- ja palautumistukivälinettä koskevan asetuksen mukaisesti, jotta voidaan arvioida kansallisiin elpymissuunnitelmiin liittyvien uudistusten vaikutuksia;</w:t>
            </w:r>
            <w:r>
              <w:t xml:space="preserve"> </w:t>
            </w:r>
            <w:r>
              <w:rPr>
                <w:b/>
                <w:i/>
              </w:rPr>
              <w:t>kehottaa luomaan hallinnollisia mekanismeja, joilla edistetään investointeja ja vältetään byrokraattisia esteitä, jotka vaikeuttavat varojen saantia;</w:t>
            </w:r>
            <w:r>
              <w:t xml:space="preserve"> </w:t>
            </w:r>
            <w:r>
              <w:rPr>
                <w:b/>
                <w:i/>
              </w:rPr>
              <w:t>katsoo, että on varmistettava avoimuus ja mahdollisuus saada tietoja lopullisista vastaanottajista ja siirroista;</w:t>
            </w:r>
            <w:r>
              <w:t xml:space="preserve"> </w:t>
            </w:r>
            <w:r>
              <w:rPr>
                <w:b/>
                <w:i/>
              </w:rPr>
              <w:t>katsoo, että on toteutettava toimenpiteitä, joilla muutetaan tähän asti noudatettua suuntaa ja saavutetaan taloudellinen vaikutus, jota odotettiin, kun tämä historiallinen talouden elpymissuunnitelma laadittiin;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katsoo, että EKP:n, kuten muidenkin Euroopan unionin toimielinten, on asetettava yhdeksi uusista painopisteistään kaikkien käytettävissä olevien resurssien nopea käyttöönotto;</w:t>
            </w:r>
            <w:r>
              <w:t xml:space="preserve"> </w:t>
            </w:r>
            <w:r>
              <w:rPr>
                <w:b/>
                <w:i/>
              </w:rPr>
              <w:t>katsoo, että taloudellisten kriisien, meneillään olevien siirtymien ja niiden aiheuttamien sosiaalisten seurausten, sotien sekä luonnon- ja terveyskatastrofien vuoksi kansalaiset tarvitsevat nopeita ja välittömiä toimia näiden vakavien ongelmatilanteiden vaikutusten lievittämiseksi;</w:t>
            </w:r>
            <w:r>
              <w:t xml:space="preserve"> </w:t>
            </w:r>
            <w:r>
              <w:rPr>
                <w:b/>
                <w:i/>
              </w:rPr>
              <w:t>katsoo, että sen vuoksi on tarpeen analysoida ja arvioida lukuisia nykyisiä EU:n ohjelmia, rahastoja ja tukia, jotka eivät suinkaan toimi koordinoidusti vaan aiheuttavat hallinnollisia pullonkauloja ja päällekkäisyyksiä, joiden lopputuloksena täytäntöönpanoaste on alhainen ja varojen saamisessa esiintyy viivästyksiä;</w:t>
            </w:r>
            <w:r>
              <w:t xml:space="preserve"> </w:t>
            </w:r>
            <w:r>
              <w:rPr>
                <w:b/>
                <w:i/>
              </w:rPr>
              <w:t>katsoo, että EU:n toimielinten taloudellisina painopisteinä on oltava näiden ohjelmien hallinnoinnin tehokkuus, niiden sisällön tehokas tiedottaminen EU:n kansalaisille ja asianomaisille toimialoille, ohjelmien ja eri toimivaltuuksilla toimivien hallintojen välinen koordinoitu työ ja sellaisten uusien hallinnointivälineiden luominen, jotka tekevät joustavammaksi ohjelmien väliset siirrot sekä resurssien kanavoimisen asianomaisille alueille tai toimialoille;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EKP:n sääntömääräinen riippumattomuus, sellaisena kuin siitä määrätään perussopimuksissa, on edellytys sille, että EKP voi täyttää tehtävänsä;</w:t>
            </w:r>
          </w:p>
        </w:tc>
        <w:tc>
          <w:tcPr>
            <w:tcW w:w="4876" w:type="dxa"/>
            <w:tcBorders>
              <w:top w:val="nil"/>
              <w:left w:val="nil"/>
              <w:bottom w:val="nil"/>
              <w:right w:val="nil"/>
            </w:tcBorders>
          </w:tcPr>
          <w:p>
            <w:pPr>
              <w:pStyle w:val="Normal6a"/>
            </w:pPr>
            <w:r>
              <w:t>2.</w:t>
            </w:r>
            <w:r>
              <w:tab/>
            </w:r>
            <w:r>
              <w:t>korostaa, että EKP:n sääntömääräinen riippumattomuus, sellaisena kuin siitä määrätään perussopimuksissa, on edellytys sille, että EKP voi täyttää tehtävänsä</w:t>
            </w:r>
            <w:r>
              <w:rPr>
                <w:b/>
                <w:i/>
              </w:rPr>
              <w:t>, joka on hintavakauden ylläpitäminen euroalueella ja siten talouskasvun ja työpaikkojen luomisen edistäminen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korostaa, että EKP:n sääntömääräinen riippumattomuus,</w:t>
            </w:r>
            <w:r>
              <w:t xml:space="preserve"> sellaisena kuin siitä määrätään perussopimuksissa</w:t>
            </w:r>
            <w:r>
              <w:rPr>
                <w:b/>
                <w:i/>
              </w:rPr>
              <w:t>, on edellytys sille, että EKP voi täyttää tehtävänsä</w:t>
            </w:r>
            <w:r>
              <w:t>;</w:t>
            </w:r>
          </w:p>
        </w:tc>
        <w:tc>
          <w:tcPr>
            <w:tcW w:w="4876" w:type="dxa"/>
            <w:tcBorders>
              <w:top w:val="nil"/>
              <w:left w:val="nil"/>
              <w:bottom w:val="nil"/>
              <w:right w:val="nil"/>
            </w:tcBorders>
          </w:tcPr>
          <w:p>
            <w:pPr>
              <w:pStyle w:val="Normal6a"/>
            </w:pPr>
            <w:r>
              <w:t>2.</w:t>
            </w:r>
            <w:r>
              <w:tab/>
            </w:r>
            <w:r>
              <w:rPr>
                <w:b/>
                <w:i/>
              </w:rPr>
              <w:t>panee merkille EKP:n sääntömääräisen riippumattomuuden</w:t>
            </w:r>
            <w:r>
              <w:t> sellaisena kuin siitä määrätään perussopimuksissa;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w:t>
            </w:r>
            <w:r>
              <w:rPr>
                <w:b/>
                <w:i/>
              </w:rPr>
              <w:t>, että EKP:n sääntömääräinen riippumattomuus,</w:t>
            </w:r>
            <w:r>
              <w:t xml:space="preserve"> sellaisena kuin siitä määrätään perussopimuksissa</w:t>
            </w:r>
            <w:r>
              <w:rPr>
                <w:b/>
                <w:i/>
              </w:rPr>
              <w:t>, on edellytys sille, että EKP voi täyttää tehtävänsä</w:t>
            </w:r>
            <w:r>
              <w:t>;</w:t>
            </w:r>
          </w:p>
        </w:tc>
        <w:tc>
          <w:tcPr>
            <w:tcW w:w="4876" w:type="dxa"/>
            <w:tcBorders>
              <w:top w:val="nil"/>
              <w:left w:val="nil"/>
              <w:bottom w:val="nil"/>
              <w:right w:val="nil"/>
            </w:tcBorders>
          </w:tcPr>
          <w:p>
            <w:pPr>
              <w:pStyle w:val="Normal6a"/>
            </w:pPr>
            <w:r>
              <w:t>2.</w:t>
            </w:r>
            <w:r>
              <w:tab/>
            </w:r>
            <w:r>
              <w:t xml:space="preserve">korostaa </w:t>
            </w:r>
            <w:r>
              <w:rPr>
                <w:b/>
                <w:i/>
              </w:rPr>
              <w:t>EKP:n sääntömääräistä riippumattomuutta</w:t>
            </w:r>
            <w:r>
              <w:t xml:space="preserve"> sellaisena kuin siitä määrätään perussopimuksissa;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Auke Zijlstra,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p>
        </w:tc>
        <w:tc>
          <w:tcPr>
            <w:tcW w:w="4876" w:type="dxa"/>
            <w:tcBorders>
              <w:top w:val="nil"/>
              <w:left w:val="nil"/>
              <w:bottom w:val="nil"/>
              <w:right w:val="nil"/>
            </w:tcBorders>
          </w:tcPr>
          <w:p>
            <w:pPr>
              <w:pStyle w:val="Normal6a"/>
            </w:pPr>
            <w:r>
              <w:t>3.</w:t>
            </w:r>
            <w:r>
              <w:tab/>
            </w:r>
            <w:r>
              <w:t xml:space="preserve">korostaa EKP:n poliittisen riippumattomuuden merkitystä ja toteaa, että siihen ei saa puuttua; tähdentää tämän riippumattomuuden edellyttävän, että EKP pidättyy tekemästä poliittisia päätöksiä; </w:t>
            </w:r>
            <w:r>
              <w:rPr>
                <w:b/>
                <w:i/>
              </w:rPr>
              <w:t>korostaa, että EKP:n riippumattomuus on ristiriidassa sen toissijaisen tehtävän kanssa, joka on tukea unionin yleistä talouspolitiikkaa edistääkseen Euroopan unionista tehdyn sopimuksen 3 artiklassa vahvistettujen poliittisten tavoitteiden saavuttamista;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Evelyn Regner, René Repasi, Irene Tinagli,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p>
        </w:tc>
        <w:tc>
          <w:tcPr>
            <w:tcW w:w="4876" w:type="dxa"/>
            <w:tcBorders>
              <w:top w:val="nil"/>
              <w:left w:val="nil"/>
              <w:bottom w:val="nil"/>
              <w:right w:val="nil"/>
            </w:tcBorders>
          </w:tcPr>
          <w:p>
            <w:pPr>
              <w:pStyle w:val="Normal6a"/>
            </w:pPr>
            <w:r>
              <w:t>3.</w:t>
            </w:r>
            <w:r>
              <w:tab/>
            </w:r>
            <w:r>
              <w:t xml:space="preserve">korostaa EKP:n poliittisen riippumattomuuden merkitystä ja toteaa, että siihen ei saa puuttua; tähdentää tämän riippumattomuuden edellyttävän, että EKP pidättyy tekemästä poliittisia päätöksiä; </w:t>
            </w:r>
            <w:r>
              <w:rPr>
                <w:b/>
                <w:i/>
              </w:rPr>
              <w:t>suhtautuu myönteisesti institutionaaliseen yhteistyöhön ja korostaa siten, että vastuuvelvollisuuden Euroopan parlamenttia kohtaan on tärkeää olla vastaavalla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p>
        </w:tc>
        <w:tc>
          <w:tcPr>
            <w:tcW w:w="4876" w:type="dxa"/>
            <w:tcBorders>
              <w:top w:val="nil"/>
              <w:left w:val="nil"/>
              <w:bottom w:val="nil"/>
              <w:right w:val="nil"/>
            </w:tcBorders>
          </w:tcPr>
          <w:p>
            <w:pPr>
              <w:pStyle w:val="Normal6a"/>
            </w:pPr>
            <w:r>
              <w:t>3.</w:t>
            </w:r>
            <w:r>
              <w:tab/>
            </w:r>
            <w:r>
              <w:t xml:space="preserve">korostaa EKP:n poliittisen riippumattomuuden merkitystä ja toteaa, että siihen ei saa puuttua; tähdentää tämän riippumattomuuden edellyttävän </w:t>
            </w:r>
            <w:r>
              <w:rPr>
                <w:b/>
                <w:i/>
              </w:rPr>
              <w:t>sen vuoksi</w:t>
            </w:r>
            <w:r>
              <w:t xml:space="preserve">, että EKP pidättyy tekemästä poliittisia päätöksiä </w:t>
            </w:r>
            <w:r>
              <w:rPr>
                <w:b/>
                <w:i/>
              </w:rPr>
              <w:t>ja käyttää kaikki voimavaransa ensisijaiseen tavoitteeseensa eli hintavakauteen ja edistää siten talouskasvua ja työpaikkojen luomista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EKP:n poliittisen riippumattomuuden merkitystä </w:t>
            </w:r>
            <w:r>
              <w:rPr>
                <w:b/>
                <w:i/>
              </w:rPr>
              <w:t>ja toteaa, että siihen ei saa puuttua;</w:t>
            </w:r>
            <w:r>
              <w:t xml:space="preserve"> </w:t>
            </w:r>
            <w:r>
              <w:rPr>
                <w:b/>
                <w:i/>
              </w:rPr>
              <w:t>tähdentää tämän riippumattomuuden edellyttävän, että EKP pidättyy tekemästä poliittisia päätöksiä</w:t>
            </w:r>
            <w:r>
              <w:t>;</w:t>
            </w:r>
          </w:p>
        </w:tc>
        <w:tc>
          <w:tcPr>
            <w:tcW w:w="4876" w:type="dxa"/>
            <w:tcBorders>
              <w:top w:val="nil"/>
              <w:left w:val="nil"/>
              <w:bottom w:val="nil"/>
              <w:right w:val="nil"/>
            </w:tcBorders>
          </w:tcPr>
          <w:p>
            <w:pPr>
              <w:pStyle w:val="Normal6a"/>
            </w:pPr>
            <w:r>
              <w:t>3.</w:t>
            </w:r>
            <w:r>
              <w:tab/>
            </w:r>
            <w:r>
              <w:t>Korostaa EKP:n poliittisen riippumattomuuden merkitystä</w:t>
            </w:r>
            <w:r>
              <w:rPr>
                <w:b/>
                <w:i/>
              </w:rPr>
              <w:t>;</w:t>
            </w:r>
            <w:r>
              <w:t xml:space="preserve"> </w:t>
            </w:r>
            <w:r>
              <w:rPr>
                <w:b/>
                <w:i/>
              </w:rPr>
              <w:t>tähdentää tämän riippumattomuuden edellyttävän, että EKP pidättyy poliittisista toimista, kuten ohjeistamasta kansallisia hallituksia toteuttamaan erityisiä finanssi- ja rakennepoliittisia toimia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p>
        </w:tc>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r>
              <w:rPr>
                <w:b/>
                <w:i/>
              </w:rPr>
              <w:t>, mukaan lukien ilmastopolitiikka, ja pitää näin ollen kiinni markkinaneutraaliuden periaatteesta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w:t>
            </w:r>
            <w:r>
              <w:rPr>
                <w:b/>
                <w:i/>
              </w:rPr>
              <w:t>n poliittisen riippumattomuuden merkitystä ja toteaa, että siihen ei saa puuttua;</w:t>
            </w:r>
            <w:r>
              <w:t xml:space="preserve"> </w:t>
            </w:r>
            <w:r>
              <w:rPr>
                <w:b/>
                <w:i/>
              </w:rPr>
              <w:t>tähdentää tämän riippumattomuuden edellyttävän, että EKP pidättyy tekemästä poliittisia päätöksiä</w:t>
            </w:r>
            <w:r>
              <w:t>;</w:t>
            </w:r>
          </w:p>
        </w:tc>
        <w:tc>
          <w:tcPr>
            <w:tcW w:w="4876" w:type="dxa"/>
            <w:tcBorders>
              <w:top w:val="nil"/>
              <w:left w:val="nil"/>
              <w:bottom w:val="nil"/>
              <w:right w:val="nil"/>
            </w:tcBorders>
          </w:tcPr>
          <w:p>
            <w:pPr>
              <w:pStyle w:val="Normal6a"/>
            </w:pPr>
            <w:r>
              <w:t>3.</w:t>
            </w:r>
            <w:r>
              <w:tab/>
            </w:r>
            <w:r>
              <w:t>korostaa EKP:</w:t>
            </w:r>
            <w:r>
              <w:rPr>
                <w:b/>
                <w:i/>
              </w:rPr>
              <w:t>llä Euroopan parlamenttia kohtaan olevan vastuuvelvollisuuden merkitystä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EKP:n poliittisen riippumattomuuden merkitystä ja toteaa, että siihen ei saa puuttua; tähdentää tämän riippumattomuuden edellyttävän, että EKP pidättyy tekemästä poliittisia päätöksiä;</w:t>
            </w:r>
          </w:p>
        </w:tc>
        <w:tc>
          <w:tcPr>
            <w:tcW w:w="4876" w:type="dxa"/>
            <w:tcBorders>
              <w:top w:val="nil"/>
              <w:left w:val="nil"/>
              <w:bottom w:val="nil"/>
              <w:right w:val="nil"/>
            </w:tcBorders>
          </w:tcPr>
          <w:p>
            <w:pPr>
              <w:pStyle w:val="Normal6a"/>
            </w:pPr>
            <w:r>
              <w:t>3.</w:t>
            </w:r>
            <w:r>
              <w:tab/>
            </w:r>
            <w:r>
              <w:t xml:space="preserve">korostaa EKP:n poliittisen riippumattomuuden merkitystä ja toteaa, että siihen ei saa puuttua; tähdentää tämän riippumattomuuden edellyttävän, että EKP pidättyy tekemästä poliittisia päätöksiä </w:t>
            </w:r>
            <w:r>
              <w:rPr>
                <w:b/>
                <w:i/>
              </w:rPr>
              <w:t>tehtävänsä ulkopuolella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EKP:tä ja Euroopan parlamenttia hyödyntämään kaikilta osin vastuuvelvollisuutta ja avoimuutta koskevia järjestelyjä ja mahdollisuuksien mukaan tehostamaan näitä järjestelyjä edelleen rajoittamatta kuitenkaan EKP:n riippumattomuutta;</w:t>
            </w:r>
            <w:r>
              <w:t xml:space="preserve"> </w:t>
            </w:r>
            <w:r>
              <w:rPr>
                <w:b/>
                <w:i/>
              </w:rPr>
              <w:t>kehottaa EKP:tä lujittamaan vuoropuhelua kansallisten parlamenttien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korostaa, että keskuspankin riippumattomuuden periaatteen looginen jatkumo on rahapoliittisten toimien toteuttaminen markkinaneutraalilla tavalla;</w:t>
            </w:r>
            <w:r>
              <w:t xml:space="preserve"> </w:t>
            </w:r>
            <w:r>
              <w:rPr>
                <w:b/>
                <w:i/>
              </w:rPr>
              <w:t>korostaa, että tästä periaatteesta poikkeaminen merkitsee sitä, että EKP suosii yhtä markkinatoimijaa toiseen nähden omien mieltymystensä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toteaa, että vaikka tiukka rahapolitiikka voi olla tehokasta, kun inflaatio johtuu pääasiassa kysyntätekijöistä, kuten liiallisesta palkkojen kasvusta, kulutuksesta tai julkisen talouden menoista, sen vaikutus voi olla vähäisempi tarjontahäiriöihin puututtaessa;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korostaa, että geopoliittiset jännitteet sekä ilmasto- ja ympäristökriisi vaikuttavat hinnanmuodostusmekanismiin häiritsemällä tarjontaa järjestelmän kannalta merkittävillä aloilla, kuten energian, elintarvikkeiden ja kaupallisen infrastruktuurin aloilla;</w:t>
            </w:r>
            <w:r>
              <w:t xml:space="preserve"> </w:t>
            </w:r>
            <w:r>
              <w:rPr>
                <w:b/>
                <w:i/>
              </w:rPr>
              <w:t>on huolissaan siitä, että vastauksena yleistyviin toimitushäiriöihin yritykset koordinoivat hinnankorotuksia suojellakseen ja jopa kasvattaakseen voittomarginaaleja, mikä lisää ja pahentaa alakohtaisia häiriöitä;</w:t>
            </w:r>
            <w:r>
              <w:t xml:space="preserve"> </w:t>
            </w:r>
            <w:r>
              <w:rPr>
                <w:b/>
                <w:i/>
              </w:rPr>
              <w:t>kehottaa tässä yhteydessä luomaan uuden inflaation hallintakehyksen, jolla koordinoitaisiin monenlaisia sidosryhmiä ja politiikan aloja, kuten kilpailu-, finanssi-, rahapolitiikka- ja tilastoviranomaisia, jotta voidaan ehkäistä ja lieventää tällaisia häiriöitä;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että inflaatiotaso ylittää joissakin jäsenvaltioissa edelleen EKP:n 2 prosentin tavoitteen</w:t>
            </w:r>
            <w:r>
              <w:t xml:space="preserve">; korostaa, että </w:t>
            </w:r>
            <w:r>
              <w:rPr>
                <w:b/>
                <w:i/>
              </w:rPr>
              <w:t>inflaatio heikentää kiinteiden tulojen, säästöjen ja eläkkeiden ostovoimaa ja vääristää</w:t>
            </w:r>
            <w:r>
              <w:t xml:space="preserve"> hintojen </w:t>
            </w:r>
            <w:r>
              <w:rPr>
                <w:b/>
                <w:i/>
              </w:rPr>
              <w:t>signalointitehtävää, jolla varmistetaan resurssien tehokas kohdentaminen</w:t>
            </w:r>
            <w:r>
              <w:t>;</w:t>
            </w:r>
          </w:p>
        </w:tc>
        <w:tc>
          <w:tcPr>
            <w:tcW w:w="4876" w:type="dxa"/>
            <w:tcBorders>
              <w:top w:val="nil"/>
              <w:left w:val="nil"/>
              <w:bottom w:val="nil"/>
              <w:right w:val="nil"/>
            </w:tcBorders>
          </w:tcPr>
          <w:p>
            <w:pPr>
              <w:pStyle w:val="Normal6a"/>
            </w:pPr>
            <w:r>
              <w:t>5.</w:t>
            </w:r>
            <w:r>
              <w:tab/>
            </w:r>
            <w:r>
              <w:rPr>
                <w:b/>
                <w:i/>
              </w:rPr>
              <w:t>korostaa, että korkea inflaatio on haitallista erityisesti pienituloisille kotitalouksille, jotka kärsivät korkeista elintarvikkeiden ja energian hinnoista</w:t>
            </w:r>
            <w:r>
              <w:t xml:space="preserve">; korostaa, että </w:t>
            </w:r>
            <w:r>
              <w:rPr>
                <w:b/>
                <w:i/>
              </w:rPr>
              <w:t>euroalueella vuosina 2022 ja 2023 koettu poikkeuksellinen inflaatiotaso ei johtunut kysyntätekijöistä vaan talouden tarjontapuolen häiriöistä;</w:t>
            </w:r>
            <w:r>
              <w:t xml:space="preserve"> </w:t>
            </w:r>
            <w:r>
              <w:rPr>
                <w:b/>
                <w:i/>
              </w:rPr>
              <w:t>korostaa rahapolitiikan tehottomuutta mitä tulee tarjontapuolen häiriöihin ja tarvetta käyttää korkeiden</w:t>
            </w:r>
            <w:r>
              <w:t xml:space="preserve"> hintojen </w:t>
            </w:r>
            <w:r>
              <w:rPr>
                <w:b/>
                <w:i/>
              </w:rPr>
              <w:t>alentamiseksi muita talouspolitiikan keinoja, kuten hintavalvontaa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Bruno Gonçalves, Carla Tavares,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että inflaatiotaso ylittää joissakin jäsenvaltioissa edelleen EKP:n 2 prosentin tavoitteen;</w:t>
            </w:r>
            <w:r>
              <w:t xml:space="preserve"> </w:t>
            </w:r>
            <w:r>
              <w:rPr>
                <w:b/>
                <w:i/>
              </w:rPr>
              <w:t>korostaa</w:t>
            </w:r>
            <w:r>
              <w:t>, että inflaatio heikentää kiinteiden tulojen, säästöjen ja eläkkeiden ostovoimaa ja vääristää hintojen signalointitehtävää, jolla varmistetaan resurssien tehokas kohdentaminen;</w:t>
            </w:r>
          </w:p>
        </w:tc>
        <w:tc>
          <w:tcPr>
            <w:tcW w:w="4876" w:type="dxa"/>
            <w:tcBorders>
              <w:top w:val="nil"/>
              <w:left w:val="nil"/>
              <w:bottom w:val="nil"/>
              <w:right w:val="nil"/>
            </w:tcBorders>
          </w:tcPr>
          <w:p>
            <w:pPr>
              <w:pStyle w:val="Normal6a"/>
            </w:pPr>
            <w:r>
              <w:t>5.</w:t>
            </w:r>
            <w:r>
              <w:tab/>
            </w:r>
            <w:r>
              <w:rPr>
                <w:b/>
                <w:i/>
              </w:rPr>
              <w:t>kiittää EKP:tä inflaation saattamisesta tavoitteensa mukaiseksi;</w:t>
            </w:r>
            <w:r>
              <w:t xml:space="preserve"> </w:t>
            </w:r>
            <w:r>
              <w:rPr>
                <w:b/>
                <w:i/>
              </w:rPr>
              <w:t>korostaa korkeiden korkojen varjopuolia, erityisesti niiden rajoittavia vaikutuksia käytettävissä oleviin tuloihin;</w:t>
            </w:r>
            <w:r>
              <w:t xml:space="preserve"> </w:t>
            </w:r>
            <w:r>
              <w:rPr>
                <w:b/>
                <w:i/>
              </w:rPr>
              <w:t>toteaa</w:t>
            </w:r>
            <w:r>
              <w:t>, että inflaatio heikentää kiinteiden tulojen, säästöjen ja eläkkeiden ostovoimaa ja vääristää hintojen signalointitehtävää, jolla varmistetaan resurssien tehokas kohdentaminen;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että inflaatiotaso ylittää joissakin jäsenvaltioissa edelleen EKP:n 2 prosentin tavoitteen;</w:t>
            </w:r>
            <w:r>
              <w:t xml:space="preserve"> korostaa, että inflaatio heikentää kiinteiden tulojen, säästöjen ja eläkkeiden ostovoimaa ja vääristää hintojen signalointitehtävää, jolla varmistetaan resurssien tehokas kohdentaminen;</w:t>
            </w:r>
          </w:p>
        </w:tc>
        <w:tc>
          <w:tcPr>
            <w:tcW w:w="4876" w:type="dxa"/>
            <w:tcBorders>
              <w:top w:val="nil"/>
              <w:left w:val="nil"/>
              <w:bottom w:val="nil"/>
              <w:right w:val="nil"/>
            </w:tcBorders>
          </w:tcPr>
          <w:p>
            <w:pPr>
              <w:pStyle w:val="Normal6a"/>
            </w:pPr>
            <w:r>
              <w:t>5.</w:t>
            </w:r>
            <w:r>
              <w:tab/>
            </w:r>
            <w:r>
              <w:t>korostaa, että inflaatio heikentää kiinteiden tulojen, säästöjen ja eläkkeiden ostovoimaa ja vääristää hintojen signalointitehtävää, jolla varmistetaan resurssien tehokas kohdentaminen;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pitää valitettavana, että inflaatiotaso ylittää joissakin jäsenvaltioissa edelleen EKP:n 2 prosentin tavoitteen; korostaa, että inflaatio heikentää kiinteiden tulojen, säästöjen ja eläkkeiden ostovoimaa ja vääristää hintojen signalointitehtävää, jolla varmistetaan resurssien tehokas kohdentaminen;</w:t>
            </w:r>
          </w:p>
        </w:tc>
        <w:tc>
          <w:tcPr>
            <w:tcW w:w="4876" w:type="dxa"/>
            <w:tcBorders>
              <w:top w:val="nil"/>
              <w:left w:val="nil"/>
              <w:bottom w:val="nil"/>
              <w:right w:val="nil"/>
            </w:tcBorders>
          </w:tcPr>
          <w:p>
            <w:pPr>
              <w:pStyle w:val="Normal6a"/>
            </w:pPr>
            <w:r>
              <w:t>5.</w:t>
            </w:r>
            <w:r>
              <w:tab/>
            </w:r>
            <w:r>
              <w:t>pitää valitettavana, että inflaatiotaso ylittää joissakin jäsenvaltioissa edelleen EKP:n 2 prosentin tavoitteen; korostaa, että inflaatio heikentää kiinteiden tulojen, säästöjen ja eläkkeiden ostovoimaa ja vääristää hintojen signalointitehtävää, jolla varmistetaan resurssien tehokas kohdentaminen</w:t>
            </w:r>
            <w:r>
              <w:rPr>
                <w:b/>
                <w:i/>
              </w:rPr>
              <w:t>, sekä vaikuttaa kielteisesti taloudelliseen vakauteen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että inflaatiotaso ylittää joissakin jäsenvaltioissa edelleen</w:t>
            </w:r>
            <w:r>
              <w:t xml:space="preserve"> EKP:n 2 prosentin tavoitteen; korostaa, että inflaatio heikentää kiinteiden tulojen, säästöjen ja eläkkeiden ostovoimaa ja vääristää hintojen signalointitehtävää, jolla varmistetaan resurssien tehokas kohdentaminen;</w:t>
            </w:r>
          </w:p>
        </w:tc>
        <w:tc>
          <w:tcPr>
            <w:tcW w:w="4876" w:type="dxa"/>
            <w:tcBorders>
              <w:top w:val="nil"/>
              <w:left w:val="nil"/>
              <w:bottom w:val="nil"/>
              <w:right w:val="nil"/>
            </w:tcBorders>
          </w:tcPr>
          <w:p>
            <w:pPr>
              <w:pStyle w:val="Normal6a"/>
            </w:pPr>
            <w:r>
              <w:t>5.</w:t>
            </w:r>
            <w:r>
              <w:tab/>
            </w:r>
            <w:r>
              <w:rPr>
                <w:b/>
                <w:i/>
              </w:rPr>
              <w:t>panee merkille jäsenvaltioiden väliset erot</w:t>
            </w:r>
            <w:r>
              <w:t xml:space="preserve"> EKP:n 2 prosentin tavoitteen </w:t>
            </w:r>
            <w:r>
              <w:rPr>
                <w:b/>
                <w:i/>
              </w:rPr>
              <w:t>ylittävän tai alittavan inflaatiotason osalta</w:t>
            </w:r>
            <w:r>
              <w:t>; korostaa, että inflaatio heikentää kiinteiden tulojen, säästöjen ja eläkkeiden ostovoimaa ja vääristää hintojen signalointitehtävää, jolla varmistetaan resurssien tehokas kohdentaminen;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w:t>
            </w:r>
            <w:r>
              <w:t xml:space="preserve">, että inflaatiotaso ylittää </w:t>
            </w:r>
            <w:r>
              <w:rPr>
                <w:b/>
                <w:i/>
              </w:rPr>
              <w:t>joissakin jäsenvaltioissa</w:t>
            </w:r>
            <w:r>
              <w:t xml:space="preserve"> edelleen EKP:n 2 prosentin tavoitteen; korostaa, että inflaatio heikentää kiinteiden tulojen, säästöjen ja eläkkeiden ostovoimaa ja vääristää hintojen signalointitehtävää, jolla varmistetaan resurssien tehokas kohdentaminen;</w:t>
            </w:r>
          </w:p>
        </w:tc>
        <w:tc>
          <w:tcPr>
            <w:tcW w:w="4876" w:type="dxa"/>
            <w:tcBorders>
              <w:top w:val="nil"/>
              <w:left w:val="nil"/>
              <w:bottom w:val="nil"/>
              <w:right w:val="nil"/>
            </w:tcBorders>
          </w:tcPr>
          <w:p>
            <w:pPr>
              <w:pStyle w:val="Normal6a"/>
            </w:pPr>
            <w:r>
              <w:t>5.</w:t>
            </w:r>
            <w:r>
              <w:tab/>
            </w:r>
            <w:r>
              <w:rPr>
                <w:b/>
                <w:i/>
              </w:rPr>
              <w:t>panee merkille</w:t>
            </w:r>
            <w:r>
              <w:t>, että inflaatiotaso ylittää edelleen EKP:n 2 prosentin tavoitteen; korostaa, että inflaatio heikentää kiinteiden tulojen, säästöjen ja eläkkeiden ostovoimaa ja vääristää hintojen signalointitehtävää, jolla varmistetaan resurssien tehokas kohdentaminen;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että sekä raha- että finanssipolitiikan olisi toimittava rinnakkain, jotta voidaan auttaa Euroopan kansalaisia ja kotitalouksia sekä pienyrityksiä, joihin meneillään oleva geopoliittinen kriisi vaikuttaa haitallisimmin;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että korkea inflaatiovauhti vaikuttaa suhteettomasti pienituloisiin kotitalouksiin, jotka käyttävät suuremman osan varoistaan välttämättömyystarvikkeisiin;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Niels Fuglsang,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korostaa, että inflaatio aiheutti EU:n kansalaisille ”elinkustannuskriisin”, ja painottaa siksi, että inflaatio on saatava hillityksi toivotulle 2 prosentin pohjainflaation tasolle;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Evelyn Regner, René Repasi, Irene Tinagli, Francisco Assis, Jonás Fernández,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pitää valitettavana, että pohjainflaatio on edelleen korkea ja että vain kaksi euroalueen jäsenvaltiota ilmoitti pohjainflaation olevan alle 2 prosenttia syyskuussa 2024;</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pitää valitettavana, että pohjainflaatio on edelleen korkea ja että vain kaksi euroalueen jäsenvaltiota ilmoitti pohjainflaation olevan alle 2 prosenttia syyskuussa 2024;</w:t>
            </w:r>
          </w:p>
        </w:tc>
        <w:tc>
          <w:tcPr>
            <w:tcW w:w="4876" w:type="dxa"/>
            <w:tcBorders>
              <w:top w:val="nil"/>
              <w:left w:val="nil"/>
              <w:bottom w:val="nil"/>
              <w:right w:val="nil"/>
            </w:tcBorders>
          </w:tcPr>
          <w:p>
            <w:pPr>
              <w:pStyle w:val="Normal6a"/>
            </w:pPr>
            <w:r>
              <w:t>6.</w:t>
            </w:r>
            <w:r>
              <w:tab/>
            </w:r>
            <w:r>
              <w:t xml:space="preserve">pitää valitettavana, että pohjainflaatio on edelleen korkea ja että vain kaksi euroalueen jäsenvaltiota ilmoitti pohjainflaation olevan alle 2 prosenttia syyskuussa 2024; </w:t>
            </w:r>
            <w:r>
              <w:rPr>
                <w:b/>
                <w:i/>
              </w:rPr>
              <w:t>muistuttaa, että tämä tilanne aiheuttaa taloudellista epävarmuutta, jarruttaa säästämistä ja lisää kansalaisten elinkustannuksia, mikä vaikuttaa erityisesti kiinteätuloisiin ja pienituloisiin ja voi johtaa inflaatio-odotuksiin, jotka ylläpitävät hintojen nousukierrettä ja heikentävät talouden vakautta;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pitää valitettavana, että pohjainflaatio on edelleen korkea ja että vain kaksi euroalueen jäsenvaltiota ilmoitti pohjainflaation olevan alle 2 prosenttia syyskuussa 2024</w:t>
            </w:r>
            <w:r>
              <w:t>;</w:t>
            </w:r>
          </w:p>
        </w:tc>
        <w:tc>
          <w:tcPr>
            <w:tcW w:w="4876" w:type="dxa"/>
            <w:tcBorders>
              <w:top w:val="nil"/>
              <w:left w:val="nil"/>
              <w:bottom w:val="nil"/>
              <w:right w:val="nil"/>
            </w:tcBorders>
          </w:tcPr>
          <w:p>
            <w:pPr>
              <w:pStyle w:val="Normal6a"/>
            </w:pPr>
            <w:r>
              <w:t>6.</w:t>
            </w:r>
            <w:r>
              <w:tab/>
            </w:r>
            <w:r>
              <w:rPr>
                <w:b/>
                <w:i/>
              </w:rPr>
              <w:t>panee merkille, että lokakuussa 2024 euroalueen inflaatio oli 2,0 prosenttia, mikä vastaa EKP:n keskipitkän aikavälin inflaatiotavoitetta, joka on 2 prosenttia;</w:t>
            </w:r>
            <w:r>
              <w:t xml:space="preserve"> </w:t>
            </w:r>
            <w:r>
              <w:rPr>
                <w:b/>
                <w:i/>
              </w:rPr>
              <w:t>korostaa, että Euroopan talouden tila on heikko, ja ilmaisee huolensa EKP:n liian rajoittavasta rahapolitiikan virityksestä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Gerben-Jan Gerbrandy,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pitää valitettavana, että pohjainflaatio on edelleen korkea </w:t>
            </w:r>
            <w:r>
              <w:rPr>
                <w:b/>
                <w:i/>
              </w:rPr>
              <w:t>ja että vain kaksi euroalueen jäsenvaltiota ilmoitti pohjainflaation olevan alle 2</w:t>
            </w:r>
            <w:r>
              <w:t> prosenttia syyskuussa 2024;</w:t>
            </w:r>
          </w:p>
        </w:tc>
        <w:tc>
          <w:tcPr>
            <w:tcW w:w="4876" w:type="dxa"/>
            <w:tcBorders>
              <w:top w:val="nil"/>
              <w:left w:val="nil"/>
              <w:bottom w:val="nil"/>
              <w:right w:val="nil"/>
            </w:tcBorders>
          </w:tcPr>
          <w:p>
            <w:pPr>
              <w:pStyle w:val="Normal6a"/>
            </w:pPr>
            <w:r>
              <w:t>6.</w:t>
            </w:r>
            <w:r>
              <w:tab/>
            </w:r>
            <w:r>
              <w:t xml:space="preserve">pitää valitettavana, että </w:t>
            </w:r>
            <w:r>
              <w:rPr>
                <w:b/>
                <w:i/>
              </w:rPr>
              <w:t>euroalueen</w:t>
            </w:r>
            <w:r>
              <w:t xml:space="preserve"> pohjainflaatio on edelleen korkea </w:t>
            </w:r>
            <w:r>
              <w:rPr>
                <w:b/>
                <w:i/>
              </w:rPr>
              <w:t>(2,7</w:t>
            </w:r>
            <w:r>
              <w:t xml:space="preserve"> prosenttia syyskuussa 2024</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pitää valitettavana, että pohjainflaatio on edelleen korkea ja että vain kaksi euroalueen jäsenvaltiota ilmoitti pohjainflaation olevan alle 2 prosenttia syyskuussa 2024;</w:t>
            </w:r>
          </w:p>
        </w:tc>
        <w:tc>
          <w:tcPr>
            <w:tcW w:w="4876" w:type="dxa"/>
            <w:tcBorders>
              <w:top w:val="nil"/>
              <w:left w:val="nil"/>
              <w:bottom w:val="nil"/>
              <w:right w:val="nil"/>
            </w:tcBorders>
          </w:tcPr>
          <w:p>
            <w:pPr>
              <w:pStyle w:val="Normal6a"/>
            </w:pPr>
            <w:r>
              <w:t>6.</w:t>
            </w:r>
            <w:r>
              <w:tab/>
            </w:r>
            <w:r>
              <w:t xml:space="preserve">pitää valitettavana, että pohjainflaatio on </w:t>
            </w:r>
            <w:r>
              <w:rPr>
                <w:b/>
                <w:i/>
              </w:rPr>
              <w:t>yhä</w:t>
            </w:r>
            <w:r>
              <w:t xml:space="preserve"> edelleen </w:t>
            </w:r>
            <w:r>
              <w:rPr>
                <w:b/>
                <w:i/>
              </w:rPr>
              <w:t>liian</w:t>
            </w:r>
            <w:r>
              <w:t xml:space="preserve"> korkea ja että vain kaksi euroalueen jäsenvaltiota ilmoitti pohjainflaation olevan alle 2 prosenttia syyskuussa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pitää valitettavana</w:t>
            </w:r>
            <w:r>
              <w:t>, että pohjainflaatio on edelleen korkea ja että vain kaksi euroalueen jäsenvaltiota ilmoitti pohjainflaation olevan alle 2 prosenttia syyskuussa 2024;</w:t>
            </w:r>
          </w:p>
        </w:tc>
        <w:tc>
          <w:tcPr>
            <w:tcW w:w="4876" w:type="dxa"/>
            <w:tcBorders>
              <w:top w:val="nil"/>
              <w:left w:val="nil"/>
              <w:bottom w:val="nil"/>
              <w:right w:val="nil"/>
            </w:tcBorders>
          </w:tcPr>
          <w:p>
            <w:pPr>
              <w:pStyle w:val="Normal6a"/>
            </w:pPr>
            <w:r>
              <w:t>6.</w:t>
            </w:r>
            <w:r>
              <w:tab/>
            </w:r>
            <w:r>
              <w:rPr>
                <w:b/>
                <w:i/>
              </w:rPr>
              <w:t>muistuttaa</w:t>
            </w:r>
            <w:r>
              <w:t>, että pohjainflaatio on edelleen korkea ja että vain kaksi euroalueen jäsenvaltiota ilmoitti pohjainflaation olevan alle 2 prosenttia syyskuussa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panee merkille euroalueen inflaation laskusuuntauksen;</w:t>
            </w:r>
            <w:r>
              <w:t xml:space="preserve"> </w:t>
            </w:r>
            <w:r>
              <w:rPr>
                <w:b/>
                <w:i/>
              </w:rPr>
              <w:t>on kuitenkin huolissaan korkeista elinkustannuksista sekä elintarvikkeiden ja energian hinnoista ja hintojen nousuriskistä, jotka johtuvat esimerkiksi mahdollisesta kauppasodasta;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varoittaa EKP:tä houkutuksesta laskea korkoja liian nopeasti, koska on olemassa riski, että inflaatiotaso alkaa jälleen nousta;</w:t>
            </w:r>
            <w:r>
              <w:t xml:space="preserve"> </w:t>
            </w:r>
            <w:r>
              <w:rPr>
                <w:b/>
                <w:i/>
              </w:rPr>
              <w:t>korostaa, että EKP itse odottaa inflaation kiihtyvän tilapäisesti vuoden 2024 viimeisellä neljänneksellä, koska energian hintojen jyrkkä lasku ei enää vaikuta vuotuiseen inflaatioon, kuten aiemmin;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varoittaa EKP:tä houkutuksesta laskea korkoja liian nopeasti, koska on olemassa riski, että inflaatiotaso alkaa jälleen nousta;</w:t>
            </w:r>
            <w:r>
              <w:t xml:space="preserve"> </w:t>
            </w:r>
            <w:r>
              <w:rPr>
                <w:b/>
                <w:i/>
              </w:rPr>
              <w:t>korostaa, että EKP itse odottaa inflaation kiihtyvän tilapäisesti vuoden 2024 viimeisellä neljänneksellä, koska energian hintojen jyrkkä lasku ei enää vaikuta vuotuiseen inflaatioon, kuten aiemmin;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varoittaa EKP:tä houkutuksesta laskea</w:t>
            </w:r>
            <w:r>
              <w:t xml:space="preserve"> korkoja </w:t>
            </w:r>
            <w:r>
              <w:rPr>
                <w:b/>
                <w:i/>
              </w:rPr>
              <w:t>liian nopeasti, koska on olemassa riski, että inflaatiotaso alkaa jälleen nousta;</w:t>
            </w:r>
            <w:r>
              <w:t xml:space="preserve"> </w:t>
            </w:r>
            <w:r>
              <w:rPr>
                <w:b/>
                <w:i/>
              </w:rPr>
              <w:t>korostaa, että EKP itse odottaa inflaation kiihtyvän tilapäisesti vuoden 2024 viimeisellä neljänneksellä, koska energian hintojen jyrkkä lasku ei enää vaikuta vuotuiseen inflaatioon, kuten aiemmin</w:t>
            </w:r>
            <w:r>
              <w:t>;</w:t>
            </w:r>
          </w:p>
        </w:tc>
        <w:tc>
          <w:tcPr>
            <w:tcW w:w="4876" w:type="dxa"/>
            <w:tcBorders>
              <w:top w:val="nil"/>
              <w:left w:val="nil"/>
              <w:bottom w:val="nil"/>
              <w:right w:val="nil"/>
            </w:tcBorders>
          </w:tcPr>
          <w:p>
            <w:pPr>
              <w:pStyle w:val="Normal6a"/>
            </w:pPr>
            <w:r>
              <w:t>7.</w:t>
            </w:r>
            <w:r>
              <w:tab/>
            </w:r>
            <w:r>
              <w:rPr>
                <w:b/>
                <w:i/>
              </w:rPr>
              <w:t>kehottaa EKP:tä alentamaan</w:t>
            </w:r>
            <w:r>
              <w:t xml:space="preserve"> korkoja </w:t>
            </w:r>
            <w:r>
              <w:rPr>
                <w:b/>
                <w:i/>
              </w:rPr>
              <w:t>jatkuvasti, kun otetaan huomioon varovaisuusperiaatteet, joiden on aina oltava etusijalla järjestelmässä, jossa yhdistyvät rahatalouden vakaus ja talouden tukeminen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varoittaa EKP:tä houkutuksesta laskea korkoja liian nopeasti, koska on olemassa riski, että inflaatiotaso alkaa jälleen nousta;</w:t>
            </w:r>
            <w:r>
              <w:t xml:space="preserve"> </w:t>
            </w:r>
            <w:r>
              <w:rPr>
                <w:b/>
                <w:i/>
              </w:rPr>
              <w:t>korostaa</w:t>
            </w:r>
            <w:r>
              <w:t xml:space="preserve">, että EKP itse odottaa inflaation kiihtyvän tilapäisesti vuoden 2024 viimeisellä neljänneksellä, </w:t>
            </w:r>
            <w:r>
              <w:rPr>
                <w:b/>
                <w:i/>
              </w:rPr>
              <w:t>koska energian hintojen jyrkkä lasku ei enää vaikuta vuotuiseen inflaatioon, kuten aiemmin</w:t>
            </w:r>
            <w:r>
              <w:t>;</w:t>
            </w:r>
          </w:p>
        </w:tc>
        <w:tc>
          <w:tcPr>
            <w:tcW w:w="4876" w:type="dxa"/>
            <w:tcBorders>
              <w:top w:val="nil"/>
              <w:left w:val="nil"/>
              <w:bottom w:val="nil"/>
              <w:right w:val="nil"/>
            </w:tcBorders>
          </w:tcPr>
          <w:p>
            <w:pPr>
              <w:pStyle w:val="Normal6a"/>
            </w:pPr>
            <w:r>
              <w:t>7.</w:t>
            </w:r>
            <w:r>
              <w:tab/>
            </w:r>
            <w:r>
              <w:rPr>
                <w:b/>
                <w:i/>
              </w:rPr>
              <w:t>panee merkille</w:t>
            </w:r>
            <w:r>
              <w:t xml:space="preserve">, että EKP itse odottaa inflaation kiihtyvän tilapäisesti vuoden 2024 viimeisellä neljänneksellä, </w:t>
            </w:r>
            <w:r>
              <w:rPr>
                <w:b/>
                <w:i/>
              </w:rPr>
              <w:t>ennen kuin se jälleen laskee vuonna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varoittaa EKP:tä houkutuksesta laskea korkoja liian nopeasti, koska on olemassa riski, että inflaatiotaso alkaa jälleen nousta; korostaa, että EKP itse odottaa inflaation kiihtyvän tilapäisesti vuoden 2024 viimeisellä neljänneksellä, koska energian hintojen jyrkkä lasku ei enää vaikuta vuotuiseen inflaatioon, kuten aiemmin;</w:t>
            </w:r>
          </w:p>
        </w:tc>
        <w:tc>
          <w:tcPr>
            <w:tcW w:w="4876" w:type="dxa"/>
            <w:tcBorders>
              <w:top w:val="nil"/>
              <w:left w:val="nil"/>
              <w:bottom w:val="nil"/>
              <w:right w:val="nil"/>
            </w:tcBorders>
          </w:tcPr>
          <w:p>
            <w:pPr>
              <w:pStyle w:val="Normal6a"/>
            </w:pPr>
            <w:r>
              <w:t>7.</w:t>
            </w:r>
            <w:r>
              <w:tab/>
            </w:r>
            <w:r>
              <w:t xml:space="preserve">varoittaa EKP:tä houkutuksesta laskea korkoja liian nopeasti, koska on olemassa riski, että inflaatiotaso alkaa jälleen nousta; korostaa </w:t>
            </w:r>
            <w:r>
              <w:rPr>
                <w:b/>
                <w:i/>
              </w:rPr>
              <w:t>inflaatio-odotusten keskeistä roolia ja sitä, että inflaation liiallinen epävakaus saattaa vääristää inflaatio-odotuksia;</w:t>
            </w:r>
            <w:r>
              <w:t xml:space="preserve"> </w:t>
            </w:r>
            <w:r>
              <w:rPr>
                <w:b/>
                <w:i/>
              </w:rPr>
              <w:t>korostaa</w:t>
            </w:r>
            <w:r>
              <w:t>, että EKP itse odottaa inflaation kiihtyvän tilapäisesti vuoden 2024 viimeisellä neljänneksellä, koska energian hintojen jyrkkä lasku ei enää vaikuta vuotuiseen inflaatioon, kuten aiemmin;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Bruno Gonçalves, Carla Tavares,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varoittaa EKP:tä houkutuksesta laskea korkoja liian </w:t>
            </w:r>
            <w:r>
              <w:rPr>
                <w:b/>
                <w:i/>
              </w:rPr>
              <w:t>nopeasti</w:t>
            </w:r>
            <w:r>
              <w:t xml:space="preserve">, koska </w:t>
            </w:r>
            <w:r>
              <w:rPr>
                <w:b/>
                <w:i/>
              </w:rPr>
              <w:t>on olemassa riski, että inflaatiotaso alkaa jälleen nousta</w:t>
            </w:r>
            <w:r>
              <w:t xml:space="preserve">; korostaa, että EKP </w:t>
            </w:r>
            <w:r>
              <w:rPr>
                <w:b/>
                <w:i/>
              </w:rPr>
              <w:t>itse odottaa</w:t>
            </w:r>
            <w:r>
              <w:t xml:space="preserve"> inflaation kiihtyvän tilapäisesti vuoden 2024 viimeisellä neljänneksellä, koska energian hintojen jyrkkä lasku ei enää vaikuta vuotuiseen inflaatioon, kuten aiemmin;</w:t>
            </w:r>
          </w:p>
        </w:tc>
        <w:tc>
          <w:tcPr>
            <w:tcW w:w="4876" w:type="dxa"/>
            <w:tcBorders>
              <w:top w:val="nil"/>
              <w:left w:val="nil"/>
              <w:bottom w:val="nil"/>
              <w:right w:val="nil"/>
            </w:tcBorders>
          </w:tcPr>
          <w:p>
            <w:pPr>
              <w:pStyle w:val="Normal6a"/>
            </w:pPr>
            <w:r>
              <w:t>7.</w:t>
            </w:r>
            <w:r>
              <w:tab/>
            </w:r>
            <w:r>
              <w:t xml:space="preserve">varoittaa EKP:tä houkutuksesta laskea korkoja liian </w:t>
            </w:r>
            <w:r>
              <w:rPr>
                <w:b/>
                <w:i/>
              </w:rPr>
              <w:t>hitaasti</w:t>
            </w:r>
            <w:r>
              <w:t xml:space="preserve">, koska </w:t>
            </w:r>
            <w:r>
              <w:rPr>
                <w:b/>
                <w:i/>
              </w:rPr>
              <w:t>tällä on kielteinen vaikutus kotitalouksien lainanottokykyyn ja lainaajien kykyyn maksaa velkansa, erityisesti kun on kyse asuntolainoista, mutta ottaen myös huomioon euroalueen heikommat kasvunäkymät</w:t>
            </w:r>
            <w:r>
              <w:t xml:space="preserve">; korostaa, että EKP </w:t>
            </w:r>
            <w:r>
              <w:rPr>
                <w:b/>
                <w:i/>
              </w:rPr>
              <w:t>odotti</w:t>
            </w:r>
            <w:r>
              <w:t xml:space="preserve"> inflaation kiihtyvän </w:t>
            </w:r>
            <w:r>
              <w:rPr>
                <w:b/>
                <w:i/>
              </w:rPr>
              <w:t>vain</w:t>
            </w:r>
            <w:r>
              <w:t xml:space="preserve"> tilapäisesti vuoden 2024 viimeisellä neljänneksellä, koska energian hintojen jyrkkä lasku ei enää vaikuta vuotuiseen inflaatioon, kuten aiemmin;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varoittaa EKP:tä </w:t>
            </w:r>
            <w:r>
              <w:rPr>
                <w:b/>
                <w:i/>
              </w:rPr>
              <w:t>houkutuksesta laskea korkoja liian nopeasti, koska on olemassa riski, että inflaatiotaso alkaa jälleen nousta</w:t>
            </w:r>
            <w:r>
              <w:t>; korostaa</w:t>
            </w:r>
            <w:r>
              <w:rPr>
                <w:b/>
                <w:i/>
              </w:rPr>
              <w:t>, että EKP itse odottaa inflaation kiihtyvän tilapäisesti vuoden 2024 viimeisellä neljänneksellä, koska energian hintojen jyrkkä lasku ei enää vaikuta vuotuiseen inflaatioon, kuten aiemmin</w:t>
            </w:r>
            <w:r>
              <w:t>;</w:t>
            </w:r>
          </w:p>
        </w:tc>
        <w:tc>
          <w:tcPr>
            <w:tcW w:w="4876" w:type="dxa"/>
            <w:tcBorders>
              <w:top w:val="nil"/>
              <w:left w:val="nil"/>
              <w:bottom w:val="nil"/>
              <w:right w:val="nil"/>
            </w:tcBorders>
          </w:tcPr>
          <w:p>
            <w:pPr>
              <w:pStyle w:val="Normal6a"/>
            </w:pPr>
            <w:r>
              <w:t>7.</w:t>
            </w:r>
            <w:r>
              <w:tab/>
            </w:r>
            <w:r>
              <w:t xml:space="preserve">varoittaa EKP:tä </w:t>
            </w:r>
            <w:r>
              <w:rPr>
                <w:b/>
                <w:i/>
              </w:rPr>
              <w:t>siitä, että korkojen pitäminen korkeina voisi haitata talouskasvua, sillä</w:t>
            </w:r>
            <w:r>
              <w:t xml:space="preserve"> </w:t>
            </w:r>
            <w:r>
              <w:rPr>
                <w:b/>
                <w:i/>
              </w:rPr>
              <w:t>tiedoista itse asiassa ilmenee, että luotonannon ja kiinnitysluottojen kasvu on hyvin vähäistä</w:t>
            </w:r>
            <w:r>
              <w:t xml:space="preserve">; korostaa </w:t>
            </w:r>
            <w:r>
              <w:rPr>
                <w:b/>
                <w:i/>
              </w:rPr>
              <w:t>lisäksi, että tällä hetkellä vaarana voi olla sekä odotettua korkeampi inflaatio johtuen geopoliittisista jännitteistä ja ilmastonmuutoksen vaikutuksesta elintarviketuotantoon että liian alhainen inflaatio, jos talouskasvu hidastuu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varoittaa EKP:tä houkutuksesta laskea korkoja liian </w:t>
            </w:r>
            <w:r>
              <w:rPr>
                <w:b/>
                <w:i/>
              </w:rPr>
              <w:t>nopeasti, koska on olemassa riski, että inflaatiotaso alkaa jälleen nousta;</w:t>
            </w:r>
            <w:r>
              <w:t xml:space="preserve"> </w:t>
            </w:r>
            <w:r>
              <w:rPr>
                <w:b/>
                <w:i/>
              </w:rPr>
              <w:t>korostaa, että EKP itse odottaa inflaation kiihtyvän tilapäisesti vuoden 2024 viimeisellä neljänneksellä, koska energian hintojen jyrkkä lasku ei enää vaikuta vuotuiseen inflaatioon, kuten aiemmin</w:t>
            </w:r>
            <w:r>
              <w:t>;</w:t>
            </w:r>
          </w:p>
        </w:tc>
        <w:tc>
          <w:tcPr>
            <w:tcW w:w="4876" w:type="dxa"/>
            <w:tcBorders>
              <w:top w:val="nil"/>
              <w:left w:val="nil"/>
              <w:bottom w:val="nil"/>
              <w:right w:val="nil"/>
            </w:tcBorders>
          </w:tcPr>
          <w:p>
            <w:pPr>
              <w:pStyle w:val="Normal6a"/>
            </w:pPr>
            <w:r>
              <w:t>7.</w:t>
            </w:r>
            <w:r>
              <w:tab/>
            </w:r>
            <w:r>
              <w:t xml:space="preserve">varoittaa EKP:tä houkutuksesta laskea korkoja liian </w:t>
            </w:r>
            <w:r>
              <w:rPr>
                <w:b/>
                <w:i/>
              </w:rPr>
              <w:t>hitaasti ottaen huomioon euroalueen epävarmat talousnäkymät ja Euroopan talouden taustalla olevat heikkoudet, kuten investointien vähäisyys ja riittämätön kokonaiskysyntä;</w:t>
            </w:r>
            <w:r>
              <w:t xml:space="preserve"> </w:t>
            </w:r>
            <w:r>
              <w:rPr>
                <w:b/>
                <w:i/>
              </w:rPr>
              <w:t>korostaa korkeiden korkojen ja liian rajoittavan rahapolitiikan kielteisiä vaikutuksia työllisyyteen</w:t>
            </w:r>
            <w:r>
              <w:t>;</w:t>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varoittaa EKP:tä houkutuksesta laskea korkoja liian nopeasti, koska on olemassa riski, että inflaatiotaso alkaa jälleen nousta;</w:t>
            </w:r>
            <w:r>
              <w:t xml:space="preserve"> </w:t>
            </w:r>
            <w:r>
              <w:rPr>
                <w:b/>
                <w:i/>
              </w:rPr>
              <w:t>korostaa, että EKP itse odottaa inflaation kiihtyvän tilapäisesti vuoden 2024 viimeisellä neljänneksellä, koska energian hintojen jyrkkä lasku ei enää vaikuta vuotuiseen inflaatioon, kuten aiemmin</w:t>
            </w:r>
            <w:r>
              <w:t>;</w:t>
            </w:r>
          </w:p>
        </w:tc>
        <w:tc>
          <w:tcPr>
            <w:tcW w:w="4876" w:type="dxa"/>
            <w:tcBorders>
              <w:top w:val="nil"/>
              <w:left w:val="nil"/>
              <w:bottom w:val="nil"/>
              <w:right w:val="nil"/>
            </w:tcBorders>
          </w:tcPr>
          <w:p>
            <w:pPr>
              <w:pStyle w:val="Normal6a"/>
            </w:pPr>
            <w:r>
              <w:t>7.</w:t>
            </w:r>
            <w:r>
              <w:tab/>
            </w:r>
            <w:r>
              <w:rPr>
                <w:b/>
                <w:i/>
              </w:rPr>
              <w:t>toteaa, että EKP:n neuvoston tekemät rahapoliittiset päätökset energian hintojen noususta aiheutuneen inflaatiokriisin jälkeen ovat saattaneet inflaation sellaiselle tasolle, joka on sopusoinnussa hintavakauden tavoitteen saavuttamisen kanssa, mutta ei ole johtanut taloudellisen toiminnan tai työllisyyden vakavaan heikkenemiseen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varoittaa EKP:tä </w:t>
            </w:r>
            <w:r>
              <w:rPr>
                <w:b/>
                <w:i/>
              </w:rPr>
              <w:t>houkutuksesta laskea</w:t>
            </w:r>
            <w:r>
              <w:t xml:space="preserve"> korkoja liian nopeasti, koska on olemassa riski, että inflaatiotaso alkaa jälleen nousta; korostaa, että EKP itse odottaa inflaation kiihtyvän tilapäisesti vuoden 2024 viimeisellä neljänneksellä, koska energian hintojen jyrkkä lasku ei enää vaikuta vuotuiseen inflaatioon, kuten aiemmin;</w:t>
            </w:r>
          </w:p>
        </w:tc>
        <w:tc>
          <w:tcPr>
            <w:tcW w:w="4876" w:type="dxa"/>
            <w:tcBorders>
              <w:top w:val="nil"/>
              <w:left w:val="nil"/>
              <w:bottom w:val="nil"/>
              <w:right w:val="nil"/>
            </w:tcBorders>
          </w:tcPr>
          <w:p>
            <w:pPr>
              <w:pStyle w:val="Normal6a"/>
            </w:pPr>
            <w:r>
              <w:t>7.</w:t>
            </w:r>
            <w:r>
              <w:tab/>
            </w:r>
            <w:r>
              <w:t xml:space="preserve">varoittaa EKP:tä </w:t>
            </w:r>
            <w:r>
              <w:rPr>
                <w:b/>
                <w:i/>
              </w:rPr>
              <w:t>laskemasta</w:t>
            </w:r>
            <w:r>
              <w:t xml:space="preserve"> korkoja liian nopeasti, koska on olemassa riski, että inflaatiotaso alkaa jälleen nousta; korostaa, että EKP itse odottaa inflaation kiihtyvän tilapäisesti vuoden 2024 viimeisellä neljänneksellä, koska energian hintojen jyrkkä lasku ei enää vaikuta vuotuiseen inflaatioon, kuten aiemmin;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korkeampien korkojen vaikutus ei ole yhdenmukainen kaikilla aloilla, koska joidenkin talouden alojen suurempi riippuvuus velkarahoituksen kustannuksista merkitsee, että ne ovat herkempiä tällaiselle nousulle;</w:t>
            </w:r>
            <w:r>
              <w:t xml:space="preserve"> </w:t>
            </w:r>
            <w:r>
              <w:rPr>
                <w:b/>
                <w:i/>
              </w:rPr>
              <w:t>on huolissaan siitä, että tarvittavan infrastruktuurin rakentamisesta ja asentamisesta aiheutuvat korkeat alkuvaiheen pääomakustannukset vaikuttavat erityisesti uusiutuvaan energiaan, energiatehokkuuteen, energian varastointiin ja sähköverkkoihin liittyviin hankkeisiin, mikä johtaa vihreän siirtymän edellyttämien investointien hidastumiseen;</w:t>
            </w:r>
            <w:r>
              <w:t xml:space="preserve"> </w:t>
            </w:r>
            <w:r>
              <w:rPr>
                <w:b/>
                <w:i/>
              </w:rPr>
              <w:t>kehottaa EKP:tä arvioimaan, missä määrin korkeammat korot ovat hidastaneet vihreitä investointeja;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suurempiin investointeihin kannustavien alhaisempien korkojen merkitystä, sillä ne ovat tarpeen vihreän ja digitaalisen siirtymän rahoittamiseksi, ja muistuttaa, että Draghin raportissa investointien kysynnän määräksi arvioitiin 800 miljardia euroa;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EKP:tä toteuttamaan tehokkaita toimia kilpailukyvyn ja julkisten investointien tukemiseksi;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 xml:space="preserve">kehottaa EKP:tä </w:t>
            </w:r>
            <w:r>
              <w:rPr>
                <w:b/>
                <w:i/>
              </w:rPr>
              <w:t>uudelleenarvioimaan</w:t>
            </w:r>
            <w:r>
              <w:t>, onko mahdollista soveltaa eriytettyjä korkotasoja selkeästi energiatehokkuuteen ja uusiutuviin energialähteisiin suunnattujen investointien tukemiseksi;</w:t>
            </w:r>
            <w:r>
              <w:t xml:space="preserve"> </w:t>
            </w:r>
            <w:r>
              <w:rPr>
                <w:b/>
                <w:i/>
              </w:rPr>
              <w:t>katsoo, että tämä lähestymistapa antaisi EKP:lle mahdollisuuden vaikuttaa samanaikaisesti kysyntä- ja tarjontatekijöihin, kun korkoja nostettaisiin kokonaiskysynnän vähentämiseksi ja samalla alennettaisiin vihreää korkoa erityisten tarjontaan vaikuttavien tekijöiden suojaamiseksi kohtuuttomalta tiukentumiselta;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että jäsenvaltioiden finanssipolitiikka on terveellä pohjalla, </w:t>
            </w:r>
            <w:r>
              <w:rPr>
                <w:b/>
                <w:i/>
              </w:rPr>
              <w:t>mikä edellyttää, että julkisen talouden alijäämä saa olla enintään 3 prosenttia suhteessa BKT:hen ja julkinen velka enintään 60 prosenttia suhteessa BKT:hen, että velkaa ja liiallista alijäämää vähennetään uskottavalla tavalla ja että talouskasvun aikana kerätään riittävästi varantoja,</w:t>
            </w:r>
            <w:r>
              <w:t xml:space="preserve"> jotta pystytään vastaamaan ulkoisiin häiriöihin; </w:t>
            </w:r>
            <w:r>
              <w:rPr>
                <w:b/>
                <w:i/>
              </w:rPr>
              <w:t>korostaa näin ollen tarvetta ottaa huomioon kaikki julkiset menot kokonaisuudessaan, myös vihreät menot ja investoinnit;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Bruno Gonçalves, Carla Tavares,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w:t>
            </w:r>
            <w:r>
              <w:rPr>
                <w:b/>
                <w:i/>
              </w:rPr>
              <w:t>pysyvä rahoituskapasiteetti, jotta siitä voi tulla optimaalinen valuutta-alue;</w:t>
            </w:r>
            <w:r>
              <w:t xml:space="preserve"> </w:t>
            </w:r>
            <w:r>
              <w:rPr>
                <w:b/>
                <w:i/>
              </w:rPr>
              <w:t>toteaa, että julkiset investoinnit ja se</w:t>
            </w:r>
            <w:r>
              <w:t>, että jäsenvaltioiden finanssipolitiikka on terveellä pohjalla</w:t>
            </w:r>
            <w:r>
              <w:rPr>
                <w:b/>
                <w:i/>
              </w:rPr>
              <w:t>, on tärkeää</w:t>
            </w:r>
            <w:r>
              <w:t xml:space="preserve">, jotta pystytään vastaamaan ulkoisiin häiriöihin; </w:t>
            </w:r>
            <w:r>
              <w:rPr>
                <w:b/>
                <w:i/>
              </w:rPr>
              <w:t>pitää myönteisenä pääjohtaja Lagarden lausuntoa, jonka mukaan nykyisen geopoliittisen kriisin vuoksi EU:n finanssipoliittisessa yhdentymisessä on edistyttävä;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että jäsenvaltioiden finanssipolitiikka on terveellä pohjalla, jotta pystytään vastaamaan ulkoisiin häiriöihin; </w:t>
            </w:r>
            <w:r>
              <w:rPr>
                <w:b/>
                <w:i/>
              </w:rPr>
              <w:t>muistuttaa, että uusi finanssipoliittinen kehys on pantava tiukasti täytäntöön, jotta voidaan varmistaa finanssipolitiikan uskottavuus talous- ja rahaliiton tasolla;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että jäsenvaltioiden finanssipolitiikka on terveellä pohjalla, jotta pystytään vastaamaan ulkoisiin häiriöihin; </w:t>
            </w:r>
            <w:r>
              <w:rPr>
                <w:b/>
                <w:i/>
              </w:rPr>
              <w:t>pitää tärkeänä, että jäsenvaltiot edistävät julkisen talouden vastuullisuutta sekä alijäämien ja julkisen velan valvontaa pitkän aikavälin kestävyyden varmistamiseksi;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muistuttaa, että talous- ja rahaliiton edellytyksenä on, että jäsenvaltioiden finanssipolitiikka on terveellä pohjalla, jotta </w:t>
            </w:r>
            <w:r>
              <w:rPr>
                <w:b/>
                <w:i/>
              </w:rPr>
              <w:t>pystytään vastaamaan</w:t>
            </w:r>
            <w:r>
              <w:t xml:space="preserve"> ulkoisiin häiriöihin;</w:t>
            </w:r>
          </w:p>
        </w:tc>
        <w:tc>
          <w:tcPr>
            <w:tcW w:w="4876" w:type="dxa"/>
            <w:tcBorders>
              <w:top w:val="nil"/>
              <w:left w:val="nil"/>
              <w:bottom w:val="nil"/>
              <w:right w:val="nil"/>
            </w:tcBorders>
          </w:tcPr>
          <w:p>
            <w:pPr>
              <w:pStyle w:val="Normal6a"/>
            </w:pPr>
            <w:r>
              <w:t>8.</w:t>
            </w:r>
            <w:r>
              <w:tab/>
            </w:r>
            <w:r>
              <w:t xml:space="preserve">muistuttaa, että </w:t>
            </w:r>
            <w:r>
              <w:rPr>
                <w:b/>
                <w:i/>
              </w:rPr>
              <w:t>eurojärjestelmä perustuu rahapoliittisen valta-aseman periaatteeseen;</w:t>
            </w:r>
            <w:r>
              <w:t xml:space="preserve"> </w:t>
            </w:r>
            <w:r>
              <w:rPr>
                <w:b/>
                <w:i/>
              </w:rPr>
              <w:t>muistuttaa, että </w:t>
            </w:r>
            <w:r>
              <w:t xml:space="preserve">talous- ja rahaliiton edellytyksenä on </w:t>
            </w:r>
            <w:r>
              <w:rPr>
                <w:b/>
                <w:i/>
              </w:rPr>
              <w:t>näin ollen</w:t>
            </w:r>
            <w:r>
              <w:t xml:space="preserve">, että jäsenvaltioiden finanssipolitiikka on terveellä pohjalla, jotta </w:t>
            </w:r>
            <w:r>
              <w:rPr>
                <w:b/>
                <w:i/>
              </w:rPr>
              <w:t>voidaan tukea EKP:n tehtävää;</w:t>
            </w:r>
            <w:r>
              <w:t xml:space="preserve"> </w:t>
            </w:r>
            <w:r>
              <w:rPr>
                <w:b/>
                <w:i/>
              </w:rPr>
              <w:t>toteaa, että riittävä julkisen talouden liikkumavara antaa jäsenvaltioille myös mahdollisuuden vastata</w:t>
            </w:r>
            <w:r>
              <w:t xml:space="preserve"> ulkoisiin häiriöihin;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muistuttaa, että talous- ja rahaliiton edellytyksenä on, että jäsenvaltioiden finanssipolitiikka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että jäsenvaltioiden finanssipolitiikka on terveellä pohjalla, jotta pystytään vastaamaan ulkoisiin häiriöihin; </w:t>
            </w:r>
            <w:r>
              <w:rPr>
                <w:b/>
                <w:i/>
              </w:rPr>
              <w:t>huomauttaa, että finanssipoliittisten toimenpiteiden lisäksi jäsenvaltiot voivat parantaa kykyään selviytyä ulkoisista häiriöistä myös kasvua edistävillä uudistuksilla;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muistuttaa</w:t>
            </w:r>
            <w:r>
              <w:t>, että talous- ja rahaliiton edellytyksenä on</w:t>
            </w:r>
            <w:r>
              <w:rPr>
                <w:b/>
                <w:i/>
              </w:rPr>
              <w:t>, että jäsenvaltioiden</w:t>
            </w:r>
            <w:r>
              <w:t xml:space="preserve"> finanssipolitiikka </w:t>
            </w:r>
            <w:r>
              <w:rPr>
                <w:b/>
                <w:i/>
              </w:rPr>
              <w:t>on terveellä pohjalla</w:t>
            </w:r>
            <w:r>
              <w:t>, jotta pystytään vastaamaan ulkoisiin häiriöihin;</w:t>
            </w:r>
          </w:p>
        </w:tc>
        <w:tc>
          <w:tcPr>
            <w:tcW w:w="4876" w:type="dxa"/>
            <w:tcBorders>
              <w:top w:val="nil"/>
              <w:left w:val="nil"/>
              <w:bottom w:val="nil"/>
              <w:right w:val="nil"/>
            </w:tcBorders>
          </w:tcPr>
          <w:p>
            <w:pPr>
              <w:pStyle w:val="Normal6a"/>
            </w:pPr>
            <w:r>
              <w:t>8.</w:t>
            </w:r>
            <w:r>
              <w:tab/>
            </w:r>
            <w:r>
              <w:rPr>
                <w:b/>
                <w:i/>
              </w:rPr>
              <w:t>korostaa</w:t>
            </w:r>
            <w:r>
              <w:t xml:space="preserve">, että talous- ja rahaliiton edellytyksenä on </w:t>
            </w:r>
            <w:r>
              <w:rPr>
                <w:b/>
                <w:i/>
              </w:rPr>
              <w:t>jäsenvaltioiden aktiivinen</w:t>
            </w:r>
            <w:r>
              <w:t xml:space="preserve"> finanssipolitiikka </w:t>
            </w:r>
            <w:r>
              <w:rPr>
                <w:b/>
                <w:i/>
              </w:rPr>
              <w:t>ja investoinnit</w:t>
            </w:r>
            <w:r>
              <w:t>, jotta pystytään vastaamaan ulkoisiin häiriöihin</w:t>
            </w:r>
            <w:r>
              <w:rPr>
                <w:b/>
                <w:i/>
              </w:rPr>
              <w:t>, tukemaan työllisyyttä ja edistämään rahapolitiikan tehokkuutta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muistuttaa, että talous- ja rahaliiton edellytyksenä on, että jäsenvaltioiden </w:t>
            </w:r>
            <w:r>
              <w:rPr>
                <w:b/>
                <w:i/>
              </w:rPr>
              <w:t>finanssipolitiikka</w:t>
            </w:r>
            <w:r>
              <w:t xml:space="preserve"> on terveellä pohjalla, jotta pystytään vastaamaan ulkoisiin häiriöihin;</w:t>
            </w:r>
          </w:p>
        </w:tc>
        <w:tc>
          <w:tcPr>
            <w:tcW w:w="4876" w:type="dxa"/>
            <w:tcBorders>
              <w:top w:val="nil"/>
              <w:left w:val="nil"/>
              <w:bottom w:val="nil"/>
              <w:right w:val="nil"/>
            </w:tcBorders>
          </w:tcPr>
          <w:p>
            <w:pPr>
              <w:pStyle w:val="Normal6a"/>
            </w:pPr>
            <w:r>
              <w:t>8.</w:t>
            </w:r>
            <w:r>
              <w:tab/>
            </w:r>
            <w:r>
              <w:t xml:space="preserve">muistuttaa, että talous- ja rahaliiton edellytyksenä on, että jäsenvaltioiden </w:t>
            </w:r>
            <w:r>
              <w:rPr>
                <w:b/>
                <w:i/>
              </w:rPr>
              <w:t>finanssipoliittinen liikkumavara</w:t>
            </w:r>
            <w:r>
              <w:t xml:space="preserve"> on terveellä pohjalla, jotta pystytään vastaamaan ulkoisiin häiriöihin;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muistuttaa, että vapaassa markkinataloudessa toimielinten roolin on rajoituttava voimassa olevien perussopimusten, sääntöjen ja säännösten tiukkaan noudattamiseen, sillä ne takaavat, että muut asianomaiset toimielimet ja talouden toimijat noudattavat niitä;</w:t>
            </w:r>
            <w:r>
              <w:t xml:space="preserve"> </w:t>
            </w:r>
            <w:r>
              <w:rPr>
                <w:b/>
                <w:i/>
              </w:rPr>
              <w:t>katsoo, että mielivaltaisten kriteerien ja valikoivan joustavuuden, joka voi kohdistua joihinkin maihin toisten maiden kustannuksella, käyttöönotto johtaa pelkästään eriarvoisuuteen ja mielivaltaisuuteen, jotka haittaavat vapaata taloudellista kilpailua tasapuolisilla toimintaedellytyksillä;</w:t>
            </w:r>
            <w:r>
              <w:t xml:space="preserve"> </w:t>
            </w:r>
            <w:r>
              <w:rPr>
                <w:b/>
                <w:i/>
              </w:rPr>
              <w:t>korostaa, että vakaus- ja kasvusopimuksen noudattaminen, alijäämää ja julkista velkaa koskevien tavoitteiden noudattaminen sekä kansallisten elvytyssuunnitelmien ja toimintasopimusten noudattaminen EU:n jäsenvaltioissa ovat hyviä esimerkkejä tästä;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muistuttaa, että jäsenvaltioiden varovainen finanssipolitiikka voi täydentää EKP:n pyrkimyksiä pitää inflaatio alhaisena;</w:t>
            </w:r>
            <w:r>
              <w:t xml:space="preserve"> </w:t>
            </w:r>
            <w:r>
              <w:rPr>
                <w:b/>
                <w:i/>
              </w:rPr>
              <w:t>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muistuttaa, että jäsenvaltioiden varovainen finanssipolitiikka voi täydentää EKP:n pyrkimyksiä pitää inflaatio alhaisena;</w:t>
            </w:r>
            <w:r>
              <w:t xml:space="preserve"> </w:t>
            </w:r>
            <w:r>
              <w:rPr>
                <w:b/>
                <w:i/>
              </w:rPr>
              <w:t>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jäsenvaltioiden varovainen finanssipolitiikka voi täydentää EKP:n pyrkimyksiä pitää inflaatio alhaisena; 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t>9.</w:t>
            </w:r>
            <w:r>
              <w:tab/>
            </w:r>
            <w:r>
              <w:t xml:space="preserve">muistuttaa, että jäsenvaltioiden varovainen finanssipolitiikka voi täydentää EKP:n pyrkimyksiä pitää inflaatio alhaisena; korostaa, että julkisen talouden liiallisen alijäämän ja velkatason korjaaminen on ratkaisevan tärkeää vakaan talouden ja kestävän kasvun ylläpitämiseksi; </w:t>
            </w:r>
            <w:r>
              <w:rPr>
                <w:b/>
                <w:i/>
              </w:rPr>
              <w:t>toistaa, että tasapainoinen julkinen talous on kestävän talouskasvun avaintekijä, sillä se lisää luottamusta talouden vakauteen ja helpottaa suotuisan ympäristön kehittämistä investoinneille ja työpaikkojen luomiselle;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muistuttaa, että jäsenvaltioiden varovainen finanssipolitiikka voi täydentää EKP:n pyrkimyksiä pitää inflaatio alhaisena; korostaa, että julkisen talouden </w:t>
            </w:r>
            <w:r>
              <w:rPr>
                <w:b/>
                <w:i/>
              </w:rPr>
              <w:t>liiallisen alijäämän ja velkatason korjaaminen</w:t>
            </w:r>
            <w:r>
              <w:t xml:space="preserve"> on ratkaisevan tärkeää vakaan talouden ja kestävän kasvun ylläpitämiseksi;</w:t>
            </w:r>
          </w:p>
        </w:tc>
        <w:tc>
          <w:tcPr>
            <w:tcW w:w="4876" w:type="dxa"/>
            <w:tcBorders>
              <w:top w:val="nil"/>
              <w:left w:val="nil"/>
              <w:bottom w:val="nil"/>
              <w:right w:val="nil"/>
            </w:tcBorders>
          </w:tcPr>
          <w:p>
            <w:pPr>
              <w:pStyle w:val="Normal6a"/>
            </w:pPr>
            <w:r>
              <w:t>9.</w:t>
            </w:r>
            <w:r>
              <w:tab/>
            </w:r>
            <w:r>
              <w:t>muistuttaa, että jäsenvaltioiden varovainen finanssipolitiikka voi täydentää EKP:n pyrkimyksiä pitää inflaatio alhaisena</w:t>
            </w:r>
            <w:r>
              <w:rPr>
                <w:b/>
                <w:i/>
              </w:rPr>
              <w:t>, kun se johtuu kysyntätekijöistä</w:t>
            </w:r>
            <w:r>
              <w:t xml:space="preserve">; korostaa, että julkisen talouden </w:t>
            </w:r>
            <w:r>
              <w:rPr>
                <w:b/>
                <w:i/>
              </w:rPr>
              <w:t>velan saattaminen kestävälle tasolle</w:t>
            </w:r>
            <w:r>
              <w:t xml:space="preserve"> on ratkaisevan tärkeää vakaan talouden ja kestävän kasvun ylläpitämiseksi; </w:t>
            </w:r>
            <w:r>
              <w:rPr>
                <w:b/>
                <w:i/>
              </w:rPr>
              <w:t>painottaa, että velan kestävään tasoon ei vaikuta ainoastaan julkisten menojen määrä vaan myös niiden laatu;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jäsenvaltioiden varovainen finanssipolitiikka voi täydentää EKP:n pyrkimyksiä pitää inflaatio alhaisena; 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t>9.</w:t>
            </w:r>
            <w:r>
              <w:tab/>
            </w:r>
            <w:r>
              <w:t xml:space="preserve">muistuttaa, että jäsenvaltioiden varovainen finanssipolitiikka voi täydentää EKP:n pyrkimyksiä pitää inflaatio alhaisena </w:t>
            </w:r>
            <w:r>
              <w:rPr>
                <w:b/>
                <w:i/>
              </w:rPr>
              <w:t>ja siten suojella ansiotuloja</w:t>
            </w:r>
            <w:r>
              <w:t xml:space="preserve">; korostaa, että julkisen talouden liiallisen alijäämän ja velkatason korjaaminen </w:t>
            </w:r>
            <w:r>
              <w:rPr>
                <w:b/>
                <w:i/>
              </w:rPr>
              <w:t>suhteellisesti ja asteittain kunkin maan tilanteeseen sopivalla tavalla</w:t>
            </w:r>
            <w:r>
              <w:t> on ratkaisevan tärkeää vakaan talouden ja kestävän kasvun ylläpitämiseksi;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muistuttaa, että jäsenvaltioiden varovainen finanssipolitiikka voi täydentää EKP:n pyrkimyksiä pitää inflaatio alhaisena;</w:t>
            </w:r>
            <w:r>
              <w:t xml:space="preserve"> korostaa, että julkisen talouden liiallisen alijäämän ja velkatason korjaaminen on ratkaisevan tärkeää vakaan talouden </w:t>
            </w:r>
            <w:r>
              <w:rPr>
                <w:b/>
                <w:i/>
              </w:rPr>
              <w:t>ja kestävän kasvun ylläpitämiseksi</w:t>
            </w:r>
            <w:r>
              <w:t>;</w:t>
            </w:r>
          </w:p>
        </w:tc>
        <w:tc>
          <w:tcPr>
            <w:tcW w:w="4876" w:type="dxa"/>
            <w:tcBorders>
              <w:top w:val="nil"/>
              <w:left w:val="nil"/>
              <w:bottom w:val="nil"/>
              <w:right w:val="nil"/>
            </w:tcBorders>
          </w:tcPr>
          <w:p>
            <w:pPr>
              <w:pStyle w:val="Normal6a"/>
            </w:pPr>
            <w:r>
              <w:t>9.</w:t>
            </w:r>
            <w:r>
              <w:tab/>
            </w:r>
            <w:r>
              <w:t xml:space="preserve">korostaa, että julkisen talouden liiallisen alijäämän ja velkatason korjaaminen on ratkaisevan tärkeää vakaan talouden </w:t>
            </w:r>
            <w:r>
              <w:rPr>
                <w:b/>
                <w:i/>
              </w:rPr>
              <w:t>ylläpitämiseksi;</w:t>
            </w:r>
            <w:r>
              <w:t xml:space="preserve"> </w:t>
            </w:r>
            <w:r>
              <w:rPr>
                <w:b/>
                <w:i/>
              </w:rPr>
              <w:t>korostaa, että on tärkeää investoida kestävään tulevaisuuteen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muistuttaa, että jäsenvaltioiden </w:t>
            </w:r>
            <w:r>
              <w:rPr>
                <w:b/>
                <w:i/>
              </w:rPr>
              <w:t>varovainen finanssipolitiikka voi täydentää</w:t>
            </w:r>
            <w:r>
              <w:t xml:space="preserve"> EKP:n pyrkimyksiä pitää inflaatio alhaisena; 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t>9.</w:t>
            </w:r>
            <w:r>
              <w:tab/>
            </w:r>
            <w:r>
              <w:t xml:space="preserve">muistuttaa, että jäsenvaltioiden </w:t>
            </w:r>
            <w:r>
              <w:rPr>
                <w:b/>
                <w:i/>
              </w:rPr>
              <w:t>varovaisen finanssipolitiikan on täydennettävä</w:t>
            </w:r>
            <w:r>
              <w:t xml:space="preserve"> EKP:n pyrkimyksiä pitää inflaatio alhaisena </w:t>
            </w:r>
            <w:r>
              <w:rPr>
                <w:b/>
                <w:i/>
              </w:rPr>
              <w:t>ja hinnat vakaina</w:t>
            </w:r>
            <w:r>
              <w:t>; korostaa, että julkisen talouden liiallisen alijäämän ja velkatason korjaaminen on ratkaisevan tärkeää vakaan talouden ja kestävän kasvun ylläpitämiseksi;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muistuttaa, että jäsenvaltioiden varovainen finanssipolitiikka </w:t>
            </w:r>
            <w:r>
              <w:rPr>
                <w:b/>
                <w:i/>
              </w:rPr>
              <w:t>voi</w:t>
            </w:r>
            <w:r>
              <w:t xml:space="preserve"> täydentää EKP:n pyrkimyksiä pitää inflaatio alhaisena; korostaa, että julkisen talouden liiallisen alijäämän ja velkatason korjaaminen on ratkaisevan tärkeää vakaan talouden ja kestävän kasvun ylläpitämiseksi;</w:t>
            </w:r>
          </w:p>
        </w:tc>
        <w:tc>
          <w:tcPr>
            <w:tcW w:w="4876" w:type="dxa"/>
            <w:tcBorders>
              <w:top w:val="nil"/>
              <w:left w:val="nil"/>
              <w:bottom w:val="nil"/>
              <w:right w:val="nil"/>
            </w:tcBorders>
          </w:tcPr>
          <w:p>
            <w:pPr>
              <w:pStyle w:val="Normal6a"/>
            </w:pPr>
            <w:r>
              <w:t>9.</w:t>
            </w:r>
            <w:r>
              <w:tab/>
            </w:r>
            <w:r>
              <w:t>muistuttaa, että jäsenvaltioiden varovainen finanssipolitiikka täydentää EKP:n pyrkimyksiä pitää inflaatio alhaisena; korostaa, että julkisen talouden liiallisen alijäämän ja velkatason korjaaminen on ratkaisevan tärkeää vakaan talouden ja kestävän kasvun ylläpitämiseksi;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on huolissaan jäsenvaltioiden suuresta julkisesta velasta ja julkisen talouden alijäämästä sekä tähän liittyvistä fiskaalisen dominanssin riskeistä;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on huolissaan jäsenvaltioiden suuresta julkisesta velasta ja julkisen talouden alijäämästä sekä tähän liittyvistä fiskaalisen dominanssin riskeistä;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on huolissaan jäsenvaltioiden suuresta julkisesta velasta ja julkisen talouden alijäämästä sekä tähän liittyvistä fiskaalisen dominanssin riskeistä</w:t>
            </w:r>
            <w:r>
              <w:t>;</w:t>
            </w:r>
          </w:p>
        </w:tc>
        <w:tc>
          <w:tcPr>
            <w:tcW w:w="4876" w:type="dxa"/>
            <w:tcBorders>
              <w:top w:val="nil"/>
              <w:left w:val="nil"/>
              <w:bottom w:val="nil"/>
              <w:right w:val="nil"/>
            </w:tcBorders>
          </w:tcPr>
          <w:p>
            <w:pPr>
              <w:pStyle w:val="Normal6a"/>
            </w:pPr>
            <w:r>
              <w:t>10.</w:t>
            </w:r>
            <w:r>
              <w:tab/>
            </w:r>
            <w:r>
              <w:rPr>
                <w:b/>
                <w:i/>
              </w:rPr>
              <w:t>toteaa, että EKP:n rahapolitiikkaan, jolla pyritään sen ensisijaisen tehtävän toteuttamiseen, sovelletaan suhteellisuusarviointia;</w:t>
            </w:r>
            <w:r>
              <w:t xml:space="preserve"> </w:t>
            </w:r>
            <w:r>
              <w:rPr>
                <w:b/>
                <w:i/>
              </w:rPr>
              <w:t>toteaa, että suhteellisuusarvioinnissa otetaan huomioon rahapoliittisten toimenpiteiden vaikutus laajempaan talouteen ja talouspolitiikkaan;</w:t>
            </w:r>
            <w:r>
              <w:t xml:space="preserve"> </w:t>
            </w:r>
            <w:r>
              <w:rPr>
                <w:b/>
                <w:i/>
              </w:rPr>
              <w:t>korostaa, että jos EKP:llä on mahdollisuus valita hintavakautta yhtä hyvin edistävien eri toimintapolitiikkojen välillä, sen on valittava ne, jotka tukevat parhaiten EU:n yleistä talouspolitiikkaa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Auke Zijlstra,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on huolissaan</w:t>
            </w:r>
            <w:r>
              <w:t xml:space="preserve"> jäsenvaltioiden suuresta julkisesta velasta ja julkisen talouden alijäämästä sekä </w:t>
            </w:r>
            <w:r>
              <w:rPr>
                <w:b/>
                <w:i/>
              </w:rPr>
              <w:t>tähän liittyvistä fiskaalisen dominanssin riskeistä</w:t>
            </w:r>
            <w:r>
              <w:t>;</w:t>
            </w:r>
          </w:p>
        </w:tc>
        <w:tc>
          <w:tcPr>
            <w:tcW w:w="4876" w:type="dxa"/>
            <w:tcBorders>
              <w:top w:val="nil"/>
              <w:left w:val="nil"/>
              <w:bottom w:val="nil"/>
              <w:right w:val="nil"/>
            </w:tcBorders>
          </w:tcPr>
          <w:p>
            <w:pPr>
              <w:pStyle w:val="Normal6a"/>
            </w:pPr>
            <w:r>
              <w:t>10.</w:t>
            </w:r>
            <w:r>
              <w:tab/>
            </w:r>
            <w:r>
              <w:rPr>
                <w:b/>
                <w:i/>
              </w:rPr>
              <w:t>korostaa, että 27 jäsenvaltiosta 13:ssa julkinen velka ylittää 60 prosentin raja-arvon suhteessa BKT:hen samoin kuin koko euroalueen keskiarvon ja että 10 jäsenvaltiossa julkisen talouden alijäämä ylittää 3 prosentin raja-arvon samoin kuin koko euroalueen keskiarvon, ja ilmaisee huolensa</w:t>
            </w:r>
            <w:r>
              <w:t xml:space="preserve"> jäsenvaltioiden suuresta julkisesta velasta ja julkisen talouden alijäämästä sekä </w:t>
            </w:r>
            <w:r>
              <w:rPr>
                <w:b/>
                <w:i/>
              </w:rPr>
              <w:t>niistä aiheutuvista vaaroista</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on huolissaan jäsenvaltioiden suuresta julkisesta velasta ja julkisen talouden alijäämästä sekä tähän liittyvistä fiskaalisen dominanssin riskeistä;</w:t>
            </w:r>
          </w:p>
        </w:tc>
        <w:tc>
          <w:tcPr>
            <w:tcW w:w="4876" w:type="dxa"/>
            <w:tcBorders>
              <w:top w:val="nil"/>
              <w:left w:val="nil"/>
              <w:bottom w:val="nil"/>
              <w:right w:val="nil"/>
            </w:tcBorders>
          </w:tcPr>
          <w:p>
            <w:pPr>
              <w:pStyle w:val="Normal6a"/>
            </w:pPr>
            <w:r>
              <w:t>10.</w:t>
            </w:r>
            <w:r>
              <w:tab/>
            </w:r>
            <w:r>
              <w:t xml:space="preserve">on huolissaan jäsenvaltioiden suuresta julkisesta velasta ja julkisen talouden alijäämästä sekä tähän liittyvistä fiskaalisen dominanssin riskeistä; </w:t>
            </w:r>
            <w:r>
              <w:rPr>
                <w:b/>
                <w:i/>
              </w:rPr>
              <w:t>muistuttaa, että valtion voimakas puuttuminen talouteen suurten julkisten menojen ja velanoton kautta vääristää markkinakannustimia, rajoittaa yksityisiä investointeja ja haittaa talouskasvua;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on huolissaan jäsenvaltioiden suuresta julkisesta velasta ja julkisen talouden alijäämästä </w:t>
            </w:r>
            <w:r>
              <w:rPr>
                <w:b/>
                <w:i/>
              </w:rPr>
              <w:t>sekä tähän liittyvistä fiskaalisen dominanssin riskeistä</w:t>
            </w:r>
            <w:r>
              <w:t>;</w:t>
            </w:r>
          </w:p>
        </w:tc>
        <w:tc>
          <w:tcPr>
            <w:tcW w:w="4876" w:type="dxa"/>
            <w:tcBorders>
              <w:top w:val="nil"/>
              <w:left w:val="nil"/>
              <w:bottom w:val="nil"/>
              <w:right w:val="nil"/>
            </w:tcBorders>
          </w:tcPr>
          <w:p>
            <w:pPr>
              <w:pStyle w:val="Normal6a"/>
            </w:pPr>
            <w:r>
              <w:t>10.</w:t>
            </w:r>
            <w:r>
              <w:tab/>
            </w:r>
            <w:r>
              <w:t xml:space="preserve">on huolissaan jäsenvaltioiden suuresta julkisesta velasta ja julkisen talouden alijäämästä </w:t>
            </w:r>
            <w:r>
              <w:rPr>
                <w:b/>
                <w:i/>
              </w:rPr>
              <w:t>euroalueella ja muistuttaa, että tilanne vaihtelee tältä osin maittain;</w:t>
            </w:r>
            <w:r>
              <w:t xml:space="preserve"> </w:t>
            </w:r>
            <w:r>
              <w:rPr>
                <w:b/>
                <w:i/>
              </w:rPr>
              <w:t>panee tyytyväisenä merkille julkisen velan laskusuuntauksen joissakin jäsenvaltioissa;</w:t>
            </w:r>
            <w:r>
              <w:t xml:space="preserve"> </w:t>
            </w:r>
            <w:r>
              <w:rPr>
                <w:b/>
                <w:i/>
              </w:rPr>
              <w:t>panee tyytyväisenä merkille ainakin yhden jäsenvaltion ennakoidun talousarvion ylijäämän</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on huolissaan jäsenvaltioiden suuresta julkisesta velasta ja julkisen talouden alijäämästä sekä tähän liittyvistä fiskaalisen dominanssin riskeistä;</w:t>
            </w:r>
          </w:p>
        </w:tc>
        <w:tc>
          <w:tcPr>
            <w:tcW w:w="4876" w:type="dxa"/>
            <w:tcBorders>
              <w:top w:val="nil"/>
              <w:left w:val="nil"/>
              <w:bottom w:val="nil"/>
              <w:right w:val="nil"/>
            </w:tcBorders>
          </w:tcPr>
          <w:p>
            <w:pPr>
              <w:pStyle w:val="Normal6a"/>
            </w:pPr>
            <w:r>
              <w:t>10.</w:t>
            </w:r>
            <w:r>
              <w:tab/>
            </w:r>
            <w:r>
              <w:t xml:space="preserve">on huolissaan jäsenvaltioiden suuresta julkisesta velasta ja julkisen talouden alijäämästä sekä tähän liittyvistä </w:t>
            </w:r>
            <w:r>
              <w:rPr>
                <w:b/>
                <w:i/>
              </w:rPr>
              <w:t>mahdollisista</w:t>
            </w:r>
            <w:r>
              <w:t xml:space="preserve"> fiskaalisen dominanssin riskeistä;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on huolissaan </w:t>
            </w:r>
            <w:r>
              <w:rPr>
                <w:b/>
                <w:i/>
              </w:rPr>
              <w:t>jäsenvaltioiden suuresta julkisesta velasta ja julkisen talouden alijäämästä sekä tähän liittyvistä fiskaalisen dominanssin riskeistä</w:t>
            </w:r>
            <w:r>
              <w:t>;</w:t>
            </w:r>
          </w:p>
        </w:tc>
        <w:tc>
          <w:tcPr>
            <w:tcW w:w="4876" w:type="dxa"/>
            <w:tcBorders>
              <w:top w:val="nil"/>
              <w:left w:val="nil"/>
              <w:bottom w:val="nil"/>
              <w:right w:val="nil"/>
            </w:tcBorders>
          </w:tcPr>
          <w:p>
            <w:pPr>
              <w:pStyle w:val="Normal6a"/>
            </w:pPr>
            <w:r>
              <w:t>10.</w:t>
            </w:r>
            <w:r>
              <w:tab/>
            </w:r>
            <w:r>
              <w:t xml:space="preserve">on huolissaan </w:t>
            </w:r>
            <w:r>
              <w:rPr>
                <w:b/>
                <w:i/>
              </w:rPr>
              <w:t>käyttöön otettavista uusista säästötoimista, jotka pahentavat elinkustannuskriisiä entisestään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on huolissaan jäsenvaltioiden suuresta julkisesta velasta ja julkisen talouden alijäämästä sekä tähän liittyvistä fiskaalisen dominanssin riskeistä;</w:t>
            </w:r>
          </w:p>
        </w:tc>
        <w:tc>
          <w:tcPr>
            <w:tcW w:w="4876" w:type="dxa"/>
            <w:tcBorders>
              <w:top w:val="nil"/>
              <w:left w:val="nil"/>
              <w:bottom w:val="nil"/>
              <w:right w:val="nil"/>
            </w:tcBorders>
          </w:tcPr>
          <w:p>
            <w:pPr>
              <w:pStyle w:val="Normal6a"/>
            </w:pPr>
            <w:r>
              <w:t>10.</w:t>
            </w:r>
            <w:r>
              <w:tab/>
            </w:r>
            <w:r>
              <w:t xml:space="preserve">on huolissaan jäsenvaltioiden suuresta julkisesta velasta ja julkisen talouden alijäämästä sekä tähän </w:t>
            </w:r>
            <w:r>
              <w:rPr>
                <w:b/>
                <w:i/>
              </w:rPr>
              <w:t>mahdollisesti</w:t>
            </w:r>
            <w:r>
              <w:t xml:space="preserve"> liittyvistä fiskaalisen dominanssin riskeistä;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panee tyytyväisenä merkille EKP:n sitoumuksen perustaa täysimittainen eurooppalainen talletussuojajärjestelmä;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on vakuuttunut siitä, että tulevien vuosien keskeisenä taloudellisena tavoitteena olisi oltava korkean tason sosiaalisesti, ympäristöllisesti ja taloudellisesti kestävä kasvu,</w:t>
            </w:r>
            <w:r>
              <w:t xml:space="preserve"> </w:t>
            </w:r>
            <w:r>
              <w:rPr>
                <w:b/>
                <w:i/>
              </w:rPr>
              <w:t>eli sosiaalinen markkinatalous, joka lisää kilpailukykyä ja työllisyyttä;</w:t>
            </w:r>
            <w:r>
              <w:t xml:space="preserve"> </w:t>
            </w:r>
            <w:r>
              <w:rPr>
                <w:b/>
                <w:i/>
              </w:rPr>
              <w:t>korostaa Euroopan sosiaalisten oikeuksien pilarin merkitystä eurooppalaisen elämäntavan säilyttämisessä;</w:t>
            </w:r>
            <w:r>
              <w:t xml:space="preserve"> </w:t>
            </w:r>
            <w:r>
              <w:rPr>
                <w:b/>
                <w:i/>
              </w:rPr>
              <w:t>korostaa, että nämä tavoitteet saavutetaan parhaiten makrotaloudellisen vakauden yhteydessä;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pitää erittäin myönteisenä, että kuluttajahintainflaatio, joka oli huipussaan lokakuussa 2022 (10,6 prosenttia), on hidastunut 1,7 prosenttiin syyskuussa 2024;</w:t>
            </w:r>
          </w:p>
        </w:tc>
        <w:tc>
          <w:tcPr>
            <w:tcW w:w="4876" w:type="dxa"/>
            <w:tcBorders>
              <w:top w:val="nil"/>
              <w:left w:val="nil"/>
              <w:bottom w:val="nil"/>
              <w:right w:val="nil"/>
            </w:tcBorders>
          </w:tcPr>
          <w:p>
            <w:pPr>
              <w:pStyle w:val="Normal6a"/>
            </w:pPr>
            <w:r>
              <w:t>11.</w:t>
            </w:r>
            <w:r>
              <w:tab/>
            </w:r>
            <w:r>
              <w:t xml:space="preserve">pitää erittäin myönteisenä, että kuluttajahintainflaatio, joka oli huipussaan lokakuussa 2022 (10,6 prosenttia), on hidastunut 1,7 prosenttiin syyskuussa 2024; </w:t>
            </w:r>
            <w:r>
              <w:rPr>
                <w:b/>
                <w:i/>
              </w:rPr>
              <w:t>toteaa, että inflaatiovauhti vaihtelee huomattavasti euroalueen sisällä, Belgian 4,3 prosentista Irlannin 0 prosenttiin;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pitää </w:t>
            </w:r>
            <w:r>
              <w:rPr>
                <w:b/>
                <w:i/>
              </w:rPr>
              <w:t>erittäin</w:t>
            </w:r>
            <w:r>
              <w:t xml:space="preserve"> myönteisenä, että kuluttajahintainflaatio, joka oli huipussaan lokakuussa 2022 (10,6 prosenttia), on hidastunut </w:t>
            </w:r>
            <w:r>
              <w:rPr>
                <w:b/>
                <w:i/>
              </w:rPr>
              <w:t>1,7 prosenttiin syyskuussa 2024</w:t>
            </w:r>
            <w:r>
              <w:t>;</w:t>
            </w:r>
          </w:p>
        </w:tc>
        <w:tc>
          <w:tcPr>
            <w:tcW w:w="4876" w:type="dxa"/>
            <w:tcBorders>
              <w:top w:val="nil"/>
              <w:left w:val="nil"/>
              <w:bottom w:val="nil"/>
              <w:right w:val="nil"/>
            </w:tcBorders>
          </w:tcPr>
          <w:p>
            <w:pPr>
              <w:pStyle w:val="Normal6a"/>
            </w:pPr>
            <w:r>
              <w:t>11.</w:t>
            </w:r>
            <w:r>
              <w:tab/>
            </w:r>
            <w:r>
              <w:t>pitää myönteisenä, että kuluttajahintainflaatio, joka oli huipussaan lokakuussa 2022 (10,6 prosenttia), on hidastunut;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toteaa, että korkea inflaatiotaso vaikuttaa suhteettomasti alemman tulotason kotitalouksiin, jotka käyttävät suuremman osan budjetistaan välttämättömiin menoihin;</w:t>
            </w:r>
            <w:r>
              <w:t xml:space="preserve"> </w:t>
            </w:r>
            <w:r>
              <w:rPr>
                <w:b/>
                <w:i/>
              </w:rPr>
              <w:t>korostaa, että kuluttajahinta- ja perusinflaation palauttaminen tavoitetasolle on siksi tärkeää myös sosiaalisen yhteenkuuluvuuden säilyttämisen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pitää myönteisenä, että perusinflaatio, joka oli huipussaan maaliskuussa 2023 (7,6 prosenttia), on hidastunut 2,7 prosenttiin syyskuussa 2024, mutta on huolestunut sen jatkuvasti historiallisen korkeasta tasosta;</w:t>
            </w:r>
          </w:p>
        </w:tc>
        <w:tc>
          <w:tcPr>
            <w:tcW w:w="4876" w:type="dxa"/>
            <w:tcBorders>
              <w:top w:val="nil"/>
              <w:left w:val="nil"/>
              <w:bottom w:val="nil"/>
              <w:right w:val="nil"/>
            </w:tcBorders>
          </w:tcPr>
          <w:p>
            <w:pPr>
              <w:pStyle w:val="Normal6a"/>
            </w:pPr>
            <w:r>
              <w:t>12.</w:t>
            </w:r>
            <w:r>
              <w:tab/>
            </w:r>
            <w:r>
              <w:t xml:space="preserve">pitää myönteisenä, että perusinflaatio, joka oli huipussaan maaliskuussa 2023 (7,6 prosenttia), on hidastunut 2,7 prosenttiin syyskuussa 2024, mutta on huolestunut sen jatkuvasti historiallisen korkeasta tasosta; </w:t>
            </w:r>
            <w:r>
              <w:rPr>
                <w:b/>
                <w:i/>
              </w:rPr>
              <w:t>panee huolestuneena merkille, että korkea perusinflaatio voi johtaa kuluttajahintainflaation kiihtymiseen;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pitää myönteisenä, että perusinflaatio, joka oli huipussaan maaliskuussa 2023 (7,6 prosenttia), on hidastunut 2,7 prosenttiin syyskuussa 2024</w:t>
            </w:r>
            <w:r>
              <w:rPr>
                <w:b/>
                <w:i/>
              </w:rPr>
              <w:t>, mutta on huolestunut sen jatkuvasti historiallisen korkeasta tasosta</w:t>
            </w:r>
            <w:r>
              <w:t>;</w:t>
            </w:r>
          </w:p>
        </w:tc>
        <w:tc>
          <w:tcPr>
            <w:tcW w:w="4876" w:type="dxa"/>
            <w:tcBorders>
              <w:top w:val="nil"/>
              <w:left w:val="nil"/>
              <w:bottom w:val="nil"/>
              <w:right w:val="nil"/>
            </w:tcBorders>
          </w:tcPr>
          <w:p>
            <w:pPr>
              <w:pStyle w:val="Normal6a"/>
            </w:pPr>
            <w:r>
              <w:t>12.</w:t>
            </w:r>
            <w:r>
              <w:tab/>
            </w:r>
            <w:r>
              <w:t>pitää myönteisenä, että perusinflaatio, joka oli huipussaan maaliskuussa 2023 (7,6 prosenttia), on hidastunut 2,7 prosenttiin syyskuussa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pitää myönteisenä, että perusinflaatio, joka oli huipussaan maaliskuussa 2023 (7,6 prosenttia), on hidastunut </w:t>
            </w:r>
            <w:r>
              <w:rPr>
                <w:b/>
                <w:i/>
              </w:rPr>
              <w:t>2,7 prosenttiin syyskuussa 2024</w:t>
            </w:r>
            <w:r>
              <w:t xml:space="preserve">, mutta on huolestunut </w:t>
            </w:r>
            <w:r>
              <w:rPr>
                <w:b/>
                <w:i/>
              </w:rPr>
              <w:t>sen jatkuvasti historiallisen korkeasta tasosta</w:t>
            </w:r>
            <w:r>
              <w:t>;</w:t>
            </w:r>
          </w:p>
        </w:tc>
        <w:tc>
          <w:tcPr>
            <w:tcW w:w="4876" w:type="dxa"/>
            <w:tcBorders>
              <w:top w:val="nil"/>
              <w:left w:val="nil"/>
              <w:bottom w:val="nil"/>
              <w:right w:val="nil"/>
            </w:tcBorders>
          </w:tcPr>
          <w:p>
            <w:pPr>
              <w:pStyle w:val="Normal6a"/>
            </w:pPr>
            <w:r>
              <w:t>12.</w:t>
            </w:r>
            <w:r>
              <w:tab/>
            </w:r>
            <w:r>
              <w:t xml:space="preserve">pitää myönteisenä, että perusinflaatio, joka oli huipussaan maaliskuussa 2023 (7,6 prosenttia), on hidastunut, mutta on huolestunut </w:t>
            </w:r>
            <w:r>
              <w:rPr>
                <w:b/>
                <w:i/>
              </w:rPr>
              <w:t>euroalueen talouden epävakaasta tilanteesta ja inflaatiota hidastavan suuntauksen mahdollisesta jatkumisesta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pitää myönteisenä, että perusinflaatio, joka oli huipussaan maaliskuussa 2023 (7,6 prosenttia), on hidastunut 2,7 prosenttiin syyskuussa 2024, mutta on huolestunut sen jatkuvasti </w:t>
            </w:r>
            <w:r>
              <w:rPr>
                <w:b/>
                <w:i/>
              </w:rPr>
              <w:t>historiallisen</w:t>
            </w:r>
            <w:r>
              <w:t xml:space="preserve"> korkeasta tasosta;</w:t>
            </w:r>
          </w:p>
        </w:tc>
        <w:tc>
          <w:tcPr>
            <w:tcW w:w="4876" w:type="dxa"/>
            <w:tcBorders>
              <w:top w:val="nil"/>
              <w:left w:val="nil"/>
              <w:bottom w:val="nil"/>
              <w:right w:val="nil"/>
            </w:tcBorders>
          </w:tcPr>
          <w:p>
            <w:pPr>
              <w:pStyle w:val="Normal6a"/>
            </w:pPr>
            <w:r>
              <w:t>12.</w:t>
            </w:r>
            <w:r>
              <w:tab/>
            </w:r>
            <w:r>
              <w:t>pitää myönteisenä, että perusinflaatio, joka oli huipussaan maaliskuussa 2023 (7,6 prosenttia), on hidastunut 2,7 prosenttiin syyskuussa 2024, mutta on huolestunut sen jatkuvasti korkeasta tasosta;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korostaa, että fossiilisten polttoaineiden tuonnin nopean vähenemisen aiheuttama tarjontapuolen häiriö on ennätyksellisen korkean inflaation keskeinen tekijä;</w:t>
            </w:r>
            <w:r>
              <w:t xml:space="preserve"> </w:t>
            </w:r>
            <w:r>
              <w:rPr>
                <w:b/>
                <w:i/>
              </w:rPr>
              <w:t>painottaa, että geopoliittisia jännitteitä ei ole ratkaistu, mistä voi myöhemmin aiheutua uusi tarjontapuolen häiriö;</w:t>
            </w:r>
            <w:r>
              <w:t xml:space="preserve"> </w:t>
            </w:r>
            <w:r>
              <w:rPr>
                <w:b/>
                <w:i/>
              </w:rPr>
              <w:t>toteaa, että mahdolliseen tarjontapuolen häiriöön voi vaikuttaa myös uudenlainen transatlanttinen dynamiikka;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Francisco Assis, Bruno Gonçalves,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pitää valitettavana</w:t>
            </w:r>
            <w:r>
              <w:t>, että EKP:ltä on mennyt yli kolme vuotta saada inflaatio painumaan tasolle, joka vastaa sen 2 prosentin tavoitetasoa;</w:t>
            </w:r>
          </w:p>
        </w:tc>
        <w:tc>
          <w:tcPr>
            <w:tcW w:w="4876" w:type="dxa"/>
            <w:tcBorders>
              <w:top w:val="nil"/>
              <w:left w:val="nil"/>
              <w:bottom w:val="nil"/>
              <w:right w:val="nil"/>
            </w:tcBorders>
          </w:tcPr>
          <w:p>
            <w:pPr>
              <w:pStyle w:val="Normal6a"/>
            </w:pPr>
            <w:r>
              <w:t>13.</w:t>
            </w:r>
            <w:r>
              <w:tab/>
            </w:r>
            <w:r>
              <w:rPr>
                <w:b/>
                <w:i/>
              </w:rPr>
              <w:t>ilmaisee huolensa siitä</w:t>
            </w:r>
            <w:r>
              <w:t xml:space="preserve">, että EKP:ltä on mennyt yli kolme vuotta saada inflaatio painumaan tasolle, joka vastaa sen 2 prosentin tavoitetasoa </w:t>
            </w:r>
            <w:r>
              <w:rPr>
                <w:b/>
                <w:i/>
              </w:rPr>
              <w:t>ja joka on rahapolitiikan keskipitkän aikavälin tavoitteen yläpäässä</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Auke Zijlstra,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pitää valitettavana, että EKP:n korkopäätöksiä on ohjannut ensisijaisesti jäsenvaltioiden ja niiden voimakkaasti velkaantuneiden pankkien korkorasitus eikä sen ensisijainen toimeksianto eli hintavakaus;</w:t>
            </w:r>
            <w:r>
              <w:t xml:space="preserve"> </w:t>
            </w:r>
            <w:r>
              <w:rPr>
                <w:b/>
                <w:i/>
              </w:rPr>
              <w:t>muistuttaa EKP:tä siitä, että suotuisten rahoitusehtojen ylläpitäminen ei kuulu sen tehtävään;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Francisco Assis, Bruno Gonçalves,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korostaa, että EKP ryhtyi myöhään toimiin, kun inflaatio alkoi kiihtyä tammikuussa 2021 ja ylitti 2 prosentin tavoitetason heinäkuussa 2021;</w:t>
            </w:r>
            <w:r>
              <w:t xml:space="preserve"> </w:t>
            </w:r>
            <w:r>
              <w:rPr>
                <w:b/>
                <w:i/>
              </w:rPr>
              <w:t>muistuttaa tässä yhteydessä EKP:n arviosta, jonka mukaan inflaation odotettiin olevan vain tilapäistä;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korostaa, että EKP ryhtyi myöhään toimiin, kun inflaatio alkoi kiihtyä tammikuussa 2021 ja ylitti 2 prosentin tavoitetason heinäkuussa 2021; </w:t>
            </w:r>
            <w:r>
              <w:rPr>
                <w:b/>
                <w:i/>
              </w:rPr>
              <w:t>muistuttaa tässä yhteydessä EKP:n arviosta, jonka mukaan inflaation odotettiin olevan vain tilapäistä</w:t>
            </w:r>
            <w:r>
              <w:t>;</w:t>
            </w:r>
          </w:p>
        </w:tc>
        <w:tc>
          <w:tcPr>
            <w:tcW w:w="4876" w:type="dxa"/>
            <w:tcBorders>
              <w:top w:val="nil"/>
              <w:left w:val="nil"/>
              <w:bottom w:val="nil"/>
              <w:right w:val="nil"/>
            </w:tcBorders>
          </w:tcPr>
          <w:p>
            <w:pPr>
              <w:pStyle w:val="Normal6a"/>
            </w:pPr>
            <w:r>
              <w:t>14.</w:t>
            </w:r>
            <w:r>
              <w:tab/>
            </w:r>
            <w:r>
              <w:t xml:space="preserve">korostaa, että EKP ryhtyi myöhään toimiin, kun inflaatio alkoi kiihtyä tammikuussa 2021 ja ylitti 2 prosentin tavoitetason heinäkuussa 2021; </w:t>
            </w:r>
            <w:r>
              <w:rPr>
                <w:b/>
                <w:i/>
              </w:rPr>
              <w:t>panee merkille, että EKP:n varhaisessa arviossa inflaatiota pidettiin tilapäisenä ja jätettiin huomiotta erityisesti energian hintojen rajusta noususta johtuvat tarjontapuolen häiriöt, jotka vaikuttivat merkittävästi inflaatiopaineisiin;</w:t>
            </w:r>
            <w:r>
              <w:t xml:space="preserve"> </w:t>
            </w:r>
            <w:r>
              <w:rPr>
                <w:b/>
                <w:i/>
              </w:rPr>
              <w:t>korostaa, että tasapainoisempi keskittyminen sekä kysyntään että tarjontaan vaikuttaviin tekijöihin olisi voinut tarjota selkeämmän perustan asiaan ajoissa puuttumiselle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korostaa, että EKP ryhtyi myöhään toimiin, kun inflaatio alkoi kiihtyä tammikuussa 2021 ja ylitti 2 prosentin tavoitetason heinäkuussa 2021; muistuttaa tässä yhteydessä EKP:n arviosta, jonka mukaan inflaation odotettiin olevan vain tilapäistä;</w:t>
            </w:r>
          </w:p>
        </w:tc>
        <w:tc>
          <w:tcPr>
            <w:tcW w:w="4876" w:type="dxa"/>
            <w:tcBorders>
              <w:top w:val="nil"/>
              <w:left w:val="nil"/>
              <w:bottom w:val="nil"/>
              <w:right w:val="nil"/>
            </w:tcBorders>
          </w:tcPr>
          <w:p>
            <w:pPr>
              <w:pStyle w:val="Normal6a"/>
            </w:pPr>
            <w:r>
              <w:t>14.</w:t>
            </w:r>
            <w:r>
              <w:tab/>
            </w:r>
            <w:r>
              <w:t xml:space="preserve">korostaa, että EKP ryhtyi myöhään toimiin, kun inflaatio alkoi kiihtyä tammikuussa 2021 ja ylitti 2 prosentin tavoitetason heinäkuussa 2021; muistuttaa tässä yhteydessä EKP:n </w:t>
            </w:r>
            <w:r>
              <w:rPr>
                <w:b/>
                <w:i/>
              </w:rPr>
              <w:t>virheellisestä</w:t>
            </w:r>
            <w:r>
              <w:t xml:space="preserve"> arviosta, jonka mukaan inflaation odotettiin olevan vain tilapäistä;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korostaa, että on tärkeää monipuolistaa rahoitusvälineitä, kun otetaan huomioon omaisuuserien osto-ohjelman (APP) mukaisten uudelleeninvestointien loppuminen ja pandemiaan liittyvässä poikkeustilanteessa toteutettavan osto-ohjelman (PEPP) mukaisten uudelleeninvestointien odotettu loppuminen;</w:t>
            </w:r>
            <w:r>
              <w:t xml:space="preserve"> </w:t>
            </w:r>
            <w:r>
              <w:rPr>
                <w:b/>
                <w:i/>
              </w:rPr>
              <w:t>katsoo, että tämän vuoksi keskeisessä asemassa voisi olla tarkistettu arvopaperistamiskehys, jolla pyritään lisäämään Euroopan markkinoiden vetovoimaa alullepanijoille ja sijoittajille, sekä pk-yritysten rahoituksen eurooppalaisiksi vakuudellisiksi velkakirjoiksi kutsutun kaksitahoisen pitkän aikavälin rahoitusvälineen käyttöönotto;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korostaa, että heinäkuusta 2022 lähtien EKP on nostanut ohjauskorkoaan kymmenen kertaa peräkkäin, eli euroalueen kiristyssykli on ollut jyrkin sitten yhteisen rahan käyttöönoton;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kehottaa EKP:tä arvioimaan mallejaan perinpohjaisesti uudelleen ja parantamaan niitä ja niiden roolia päätöksenteossaan, kun otetaan huomioon mallien viime vuosien odotettua huonompi suorituskyky;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kehottaa EKP:tä arvioimaan mallejaan perinpohjaisesti uudelleen ja parantamaan niitä ja niiden roolia päätöksenteossaan, kun otetaan huomioon mallien viime vuosien odotettua huonompi suorituskyky;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kehottaa EKP:tä arvioimaan mallejaan perinpohjaisesti uudelleen ja parantamaan niitä ja niiden roolia päätöksenteossaan, kun otetaan huomioon mallien viime vuosien odotettua huonompi suorituskyky;</w:t>
            </w:r>
          </w:p>
        </w:tc>
        <w:tc>
          <w:tcPr>
            <w:tcW w:w="4876" w:type="dxa"/>
            <w:tcBorders>
              <w:top w:val="nil"/>
              <w:left w:val="nil"/>
              <w:bottom w:val="nil"/>
              <w:right w:val="nil"/>
            </w:tcBorders>
          </w:tcPr>
          <w:p>
            <w:pPr>
              <w:pStyle w:val="Normal6a"/>
            </w:pPr>
            <w:r>
              <w:t>15.</w:t>
            </w:r>
            <w:r>
              <w:tab/>
            </w:r>
            <w:r>
              <w:t>kehottaa EKP:tä arvioimaan mallejaan perinpohjaisesti uudelleen ja parantamaan niitä ja niiden roolia päätöksenteossaan, kun otetaan huomioon mallien viime vuosien odotettua huonompi suorituskyky</w:t>
            </w:r>
            <w:r>
              <w:rPr>
                <w:b/>
                <w:i/>
              </w:rPr>
              <w:t>, erityisesti jotta pystytään paremmin erottamaan kysyntä- ja tarjontapuolen inflaation lähteet;</w:t>
            </w:r>
            <w:r>
              <w:t xml:space="preserve"> </w:t>
            </w:r>
            <w:r>
              <w:rPr>
                <w:b/>
                <w:i/>
              </w:rPr>
              <w:t>suosittelee EKP:tä omaksumaan joustavan, datavetoisen lähestymistavan, joka mukautuu muuttuvaan taloustilanteeseen ja jolla vältetään tarpeeton rasitus rahoituskustannuksille herkillä aloilla, kuten valmistusteollisuudessa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kehottaa EKP:tä </w:t>
            </w:r>
            <w:r>
              <w:rPr>
                <w:b/>
                <w:i/>
              </w:rPr>
              <w:t>arvioimaan mallejaan perinpohjaisesti</w:t>
            </w:r>
            <w:r>
              <w:t xml:space="preserve"> uudelleen ja parantamaan </w:t>
            </w:r>
            <w:r>
              <w:rPr>
                <w:b/>
                <w:i/>
              </w:rPr>
              <w:t>niitä</w:t>
            </w:r>
            <w:r>
              <w:t xml:space="preserve"> ja niiden roolia päätöksenteossaan, kun otetaan huomioon mallien viime vuosien odotettua huonompi suorituskyky;</w:t>
            </w:r>
          </w:p>
        </w:tc>
        <w:tc>
          <w:tcPr>
            <w:tcW w:w="4876" w:type="dxa"/>
            <w:tcBorders>
              <w:top w:val="nil"/>
              <w:left w:val="nil"/>
              <w:bottom w:val="nil"/>
              <w:right w:val="nil"/>
            </w:tcBorders>
          </w:tcPr>
          <w:p>
            <w:pPr>
              <w:pStyle w:val="Normal6a"/>
            </w:pPr>
            <w:r>
              <w:t>15.</w:t>
            </w:r>
            <w:r>
              <w:tab/>
            </w:r>
            <w:r>
              <w:rPr>
                <w:b/>
                <w:i/>
              </w:rPr>
              <w:t>pitää myönteisenä EKP:n pyrkimyksiä päivittää mallejaan säännöllisesti;</w:t>
            </w:r>
            <w:r>
              <w:t xml:space="preserve"> kehottaa EKP:tä </w:t>
            </w:r>
            <w:r>
              <w:rPr>
                <w:b/>
                <w:i/>
              </w:rPr>
              <w:t>kuitenkin edelleen arvioimaan</w:t>
            </w:r>
            <w:r>
              <w:t xml:space="preserve"> uudelleen ja parantamaan </w:t>
            </w:r>
            <w:r>
              <w:rPr>
                <w:b/>
                <w:i/>
              </w:rPr>
              <w:t>näitä malleja</w:t>
            </w:r>
            <w:r>
              <w:t xml:space="preserve"> ja niiden roolia päätöksenteossaan, kun otetaan huomioon mallien viime vuosien odotettua huonompi suorituskyky</w:t>
            </w:r>
            <w:r>
              <w:rPr>
                <w:b/>
                <w:i/>
              </w:rPr>
              <w:t>, jotta niitä voidaan mukauttaa talouden uusiin suuntauksiin ja EU:n ja maailmanlaajuisten rahoitusmarkkinoiden suuntauksiin siten, että otetaan samalla huomioon meneillään olevista ja aiemmista kriiseistä saadut kokemukset ja rahapoliittisessa päätöksenteossa kohdattavat haasteet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kehottaa EKP:tä arvioimaan mallejaan perinpohjaisesti uudelleen ja parantamaan niitä ja niiden roolia päätöksenteossaan, kun otetaan huomioon mallien viime vuosien odotettua huonompi suorituskyky;</w:t>
            </w:r>
          </w:p>
        </w:tc>
        <w:tc>
          <w:tcPr>
            <w:tcW w:w="4876" w:type="dxa"/>
            <w:tcBorders>
              <w:top w:val="nil"/>
              <w:left w:val="nil"/>
              <w:bottom w:val="nil"/>
              <w:right w:val="nil"/>
            </w:tcBorders>
          </w:tcPr>
          <w:p>
            <w:pPr>
              <w:pStyle w:val="Normal6a"/>
            </w:pPr>
            <w:r>
              <w:t>15.</w:t>
            </w:r>
            <w:r>
              <w:tab/>
            </w:r>
            <w:r>
              <w:t>kehottaa EKP:tä arvioimaan mallejaan perinpohjaisesti uudelleen ja parantamaan niitä</w:t>
            </w:r>
            <w:r>
              <w:rPr>
                <w:b/>
                <w:i/>
              </w:rPr>
              <w:t>, jotta niitä voidaan mukauttaa rahoitusmarkkinoiden ja talouden uusiin kehityssuuntauksiin sekä EU:n tasolla että maailmanlaajuisesti,</w:t>
            </w:r>
            <w:r>
              <w:t xml:space="preserve"> ja niiden roolia päätöksenteossaan, kun otetaan huomioon mallien viime vuosien odotettua huonompi suorituskyky;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kehottaa EKP:tä arvioimaan mallejaan perinpohjaisesti uudelleen ja parantamaan niitä ja niiden roolia päätöksenteossaan, kun otetaan huomioon </w:t>
            </w:r>
            <w:r>
              <w:rPr>
                <w:b/>
                <w:i/>
              </w:rPr>
              <w:t>mallien viime vuosien odotettua huonompi suorituskyky</w:t>
            </w:r>
            <w:r>
              <w:t>;</w:t>
            </w:r>
          </w:p>
        </w:tc>
        <w:tc>
          <w:tcPr>
            <w:tcW w:w="4876" w:type="dxa"/>
            <w:tcBorders>
              <w:top w:val="nil"/>
              <w:left w:val="nil"/>
              <w:bottom w:val="nil"/>
              <w:right w:val="nil"/>
            </w:tcBorders>
          </w:tcPr>
          <w:p>
            <w:pPr>
              <w:pStyle w:val="Normal6a"/>
            </w:pPr>
            <w:r>
              <w:t>15.</w:t>
            </w:r>
            <w:r>
              <w:tab/>
            </w:r>
            <w:r>
              <w:t xml:space="preserve">kehottaa EKP:tä arvioimaan mallejaan perinpohjaisesti uudelleen ja parantamaan niitä ja niiden roolia päätöksenteossaan, kun otetaan huomioon </w:t>
            </w:r>
            <w:r>
              <w:rPr>
                <w:b/>
                <w:i/>
              </w:rPr>
              <w:t>erilaiset tarjontapuolen häiriöt ja niiden asettamat haasteet rahapolitiikan harjoittamiselle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kehottaa EKP:tä arvioimaan mallejaan perinpohjaisesti uudelleen ja parantamaan niitä ja niiden roolia päätöksenteossaan, kun otetaan huomioon </w:t>
            </w:r>
            <w:r>
              <w:rPr>
                <w:b/>
                <w:i/>
              </w:rPr>
              <w:t>mallien viime vuosien odotettua huonompi suorituskyky</w:t>
            </w:r>
            <w:r>
              <w:t>;</w:t>
            </w:r>
          </w:p>
        </w:tc>
        <w:tc>
          <w:tcPr>
            <w:tcW w:w="4876" w:type="dxa"/>
            <w:tcBorders>
              <w:top w:val="nil"/>
              <w:left w:val="nil"/>
              <w:bottom w:val="nil"/>
              <w:right w:val="nil"/>
            </w:tcBorders>
          </w:tcPr>
          <w:p>
            <w:pPr>
              <w:pStyle w:val="Normal6a"/>
            </w:pPr>
            <w:r>
              <w:t>15.</w:t>
            </w:r>
            <w:r>
              <w:tab/>
            </w:r>
            <w:r>
              <w:t xml:space="preserve">kehottaa EKP:tä arvioimaan mallejaan </w:t>
            </w:r>
            <w:r>
              <w:rPr>
                <w:b/>
                <w:i/>
              </w:rPr>
              <w:t>ja viestintäänsä</w:t>
            </w:r>
            <w:r>
              <w:t xml:space="preserve"> perinpohjaisesti uudelleen ja parantamaan niitä ja niiden roolia päätöksenteossaan, kun otetaan huomioon</w:t>
            </w:r>
            <w:r>
              <w:rPr>
                <w:b/>
                <w:i/>
              </w:rPr>
              <w:t>, että malleja on arvosteltu</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kehottaa EKP:tä sisällyttämään rahapoliittisen strategian tulevaan uudelleentarkasteluun mekanismeja, joiden avulla voidaan paremmin määrittää taloudellisten häiriöiden vaikutusten pysyvyys, jotta voidaan varmistaa nopea ja määrätietoinen rahapoliittinen reagointi häiriöihin;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on tyytyväinen EKP:n toimintarakenteeseen, myös päätökseen sisällyttää sen strukturoitujen rahoitusoperaatioiden ja strukturoitujen salkkujen suunnitteluun toissijaisia tavoitteita ja ilmastonmuutokseen liittyviä huolenaiheita;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tukee EKP:n päätöstä supistaa omaisuuserien osto-ohjelmiaan, koska markkinoilla on ylimääräistä likviditeettiä ja inflaatio on hidastunut;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tukee EKP:n päätöstä</w:t>
            </w:r>
            <w:r>
              <w:t xml:space="preserve"> supistaa omaisuuserien osto-ohjelmiaan</w:t>
            </w:r>
            <w:r>
              <w:rPr>
                <w:b/>
                <w:i/>
              </w:rPr>
              <w:t>, koska markkinoilla on ylimääräistä likviditeettiä ja inflaatio on hidastunut</w:t>
            </w:r>
            <w:r>
              <w:t>;</w:t>
            </w:r>
          </w:p>
        </w:tc>
        <w:tc>
          <w:tcPr>
            <w:tcW w:w="4876" w:type="dxa"/>
            <w:tcBorders>
              <w:top w:val="nil"/>
              <w:left w:val="nil"/>
              <w:bottom w:val="nil"/>
              <w:right w:val="nil"/>
            </w:tcBorders>
          </w:tcPr>
          <w:p>
            <w:pPr>
              <w:pStyle w:val="Normal6a"/>
            </w:pPr>
            <w:r>
              <w:t>16.</w:t>
            </w:r>
            <w:r>
              <w:tab/>
            </w:r>
            <w:r>
              <w:rPr>
                <w:b/>
                <w:i/>
              </w:rPr>
              <w:t>panee merkille EKP:n päätöksen</w:t>
            </w:r>
            <w:r>
              <w:t xml:space="preserve"> supistaa omaisuuserien osto-ohjelmiaan </w:t>
            </w:r>
            <w:r>
              <w:rPr>
                <w:b/>
                <w:i/>
              </w:rPr>
              <w:t>ja korostaa, että EKP:n epätavanomaisilla osto-ohjelmilla on tuettu taloudellista toimintaa ja hintavakautta euroalueella ennalta arvaamattomien taloudellisten häiriöiden aikana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tukee EKP:n päätöstä supistaa omaisuuserien osto-ohjelmiaan, koska markkinoilla on ylimääräistä likviditeettiä ja inflaatio on hidastunut;</w:t>
            </w:r>
          </w:p>
        </w:tc>
        <w:tc>
          <w:tcPr>
            <w:tcW w:w="4876" w:type="dxa"/>
            <w:tcBorders>
              <w:top w:val="nil"/>
              <w:left w:val="nil"/>
              <w:bottom w:val="nil"/>
              <w:right w:val="nil"/>
            </w:tcBorders>
          </w:tcPr>
          <w:p>
            <w:pPr>
              <w:pStyle w:val="Normal6a"/>
            </w:pPr>
            <w:r>
              <w:t>16.</w:t>
            </w:r>
            <w:r>
              <w:tab/>
            </w:r>
            <w:r>
              <w:t xml:space="preserve">tukee EKP:n päätöstä supistaa omaisuuserien osto-ohjelmiaan, koska markkinoilla on ylimääräistä likviditeettiä ja inflaatio on hidastunut; </w:t>
            </w:r>
            <w:r>
              <w:rPr>
                <w:b/>
                <w:i/>
              </w:rPr>
              <w:t>muistuttaa, että omaisuuserien ostojen vähentäminen auttaa pienentämään tasetta ja että se lieventää vääristymiä ja antaa markkinoille suuremman toimintavapauden määrittää hinnat tarjonnan perusteella;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tukee EKP:n päätöstä supistaa omaisuuserien osto-ohjelmiaan, koska markkinoilla on ylimääräistä likviditeettiä ja inflaatio on hidastunut;</w:t>
            </w:r>
          </w:p>
        </w:tc>
        <w:tc>
          <w:tcPr>
            <w:tcW w:w="4876" w:type="dxa"/>
            <w:tcBorders>
              <w:top w:val="nil"/>
              <w:left w:val="nil"/>
              <w:bottom w:val="nil"/>
              <w:right w:val="nil"/>
            </w:tcBorders>
          </w:tcPr>
          <w:p>
            <w:pPr>
              <w:pStyle w:val="Normal6a"/>
            </w:pPr>
            <w:r>
              <w:t>16.</w:t>
            </w:r>
            <w:r>
              <w:tab/>
            </w:r>
            <w:r>
              <w:t xml:space="preserve">tukee EKP:n päätöstä supistaa omaisuuserien osto-ohjelmiaan, koska markkinoilla on ylimääräistä likviditeettiä ja inflaatio on hidastunut; </w:t>
            </w:r>
            <w:r>
              <w:rPr>
                <w:b/>
                <w:i/>
              </w:rPr>
              <w:t>on tyytyväinen siihen, että vuodesta 2023 alkaen EKP:n osto-ohjelmiin kuuluvien omaisuuserien salkun arvo on ollut laskusuuntainen;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tukee EKP:n päätöstä</w:t>
            </w:r>
            <w:r>
              <w:t xml:space="preserve"> supistaa omaisuuserien osto-ohjelmiaan</w:t>
            </w:r>
            <w:r>
              <w:rPr>
                <w:b/>
                <w:i/>
              </w:rPr>
              <w:t>, koska markkinoilla on ylimääräistä likviditeettiä ja inflaatio on hidastunut</w:t>
            </w:r>
            <w:r>
              <w:t>;</w:t>
            </w:r>
          </w:p>
        </w:tc>
        <w:tc>
          <w:tcPr>
            <w:tcW w:w="4876" w:type="dxa"/>
            <w:tcBorders>
              <w:top w:val="nil"/>
              <w:left w:val="nil"/>
              <w:bottom w:val="nil"/>
              <w:right w:val="nil"/>
            </w:tcBorders>
          </w:tcPr>
          <w:p>
            <w:pPr>
              <w:pStyle w:val="Normal6a"/>
            </w:pPr>
            <w:r>
              <w:t>16.</w:t>
            </w:r>
            <w:r>
              <w:tab/>
            </w:r>
            <w:r>
              <w:rPr>
                <w:b/>
                <w:i/>
              </w:rPr>
              <w:t>panee merkille EKP:n päätöksen</w:t>
            </w:r>
            <w:r>
              <w:t xml:space="preserve"> supistaa omaisuuserien osto-ohjelmiaan</w:t>
            </w:r>
            <w:r>
              <w:rPr>
                <w:b/>
                <w:i/>
              </w:rPr>
              <w:t>;</w:t>
            </w:r>
            <w:r>
              <w:t xml:space="preserve"> </w:t>
            </w:r>
            <w:r>
              <w:rPr>
                <w:b/>
                <w:i/>
              </w:rPr>
              <w:t>kehottaa painokkaasti EKP:tä soveltamaan omaisuuserien ostojen mukauttamisessa harkittua ja asteittaista lähestymistapaa talouden häiriönsietokyvyn turvaamiseksi koko euroalueella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tukee EKP:n päätöstä supistaa omaisuuserien osto-ohjelmiaan</w:t>
            </w:r>
            <w:r>
              <w:rPr>
                <w:b/>
                <w:i/>
              </w:rPr>
              <w:t>, koska markkinoilla on ylimääräistä likviditeettiä ja inflaatio on hidastunut</w:t>
            </w:r>
            <w:r>
              <w:t>;</w:t>
            </w:r>
          </w:p>
        </w:tc>
        <w:tc>
          <w:tcPr>
            <w:tcW w:w="4876" w:type="dxa"/>
            <w:tcBorders>
              <w:top w:val="nil"/>
              <w:left w:val="nil"/>
              <w:bottom w:val="nil"/>
              <w:right w:val="nil"/>
            </w:tcBorders>
          </w:tcPr>
          <w:p>
            <w:pPr>
              <w:pStyle w:val="Normal6a"/>
            </w:pPr>
            <w:r>
              <w:t>16.</w:t>
            </w:r>
            <w:r>
              <w:tab/>
            </w:r>
            <w:r>
              <w:t xml:space="preserve">tukee EKP:n päätöstä supistaa omaisuuserien osto-ohjelmiaan </w:t>
            </w:r>
            <w:r>
              <w:rPr>
                <w:b/>
                <w:i/>
              </w:rPr>
              <w:t>markkinoiden likviditeettivaatimusten ja inflaatiotason tasapainottamiseksi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panee merkille Yhdysvaltain keskuspankin myöntäneen, että sen meneillään olevaa taseen supistamista rajoittaa tarve varmistaa ”runsaiden varantojen” tarjonta lähitulevaisuudessa rahoitusvakautta ajatellen, ja esittäneen arvioita siitä, mitä se pitää keskuspankkivarantojen alhaisimpana riittävänä tasona; korostaa, että myös hiljattain toteutetussa EKP:n toimintakehyksen uudelleentarkastelussa näytetään omaksuttavan runsaiden varantojen periaate;</w:t>
            </w:r>
            <w:r>
              <w:t xml:space="preserve"> </w:t>
            </w:r>
            <w:r>
              <w:rPr>
                <w:b/>
                <w:i/>
              </w:rPr>
              <w:t>pyytää EKP:tä selventämään, perustaako se toimintansa tiettyyn arvioon tai vaihteluväliarvioon siitä, mitä se pitää euroalueen varantojen alhaisimpana riittävänä tasona;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korostaa, että liikepankkien hallussa olevien varantojen koroista aiheutui vasta vuonna 2023 se, että eurojärjestelmästä maksettiin luottolaitoksille 152 miljardia euroa korkoa, jonka määrä oli 1,13 prosenttia euroalueen BKT:stä;</w:t>
            </w:r>
            <w:r>
              <w:t xml:space="preserve"> </w:t>
            </w:r>
            <w:r>
              <w:rPr>
                <w:b/>
                <w:i/>
              </w:rPr>
              <w:t>korostaa tällaisten koronsiirtojen liikepankeille merkitsevän, että voitonsiirrot kansallisille hallituksille vähenevät, mikä johtaa kasvaviin budjettialijäämiin, joiden vuoksi saatetaan tulevaisuudessa joutua käsittelemään uusia julkisen talouden säästötoimia;</w:t>
            </w:r>
            <w:r>
              <w:t xml:space="preserve"> </w:t>
            </w:r>
            <w:r>
              <w:rPr>
                <w:b/>
                <w:i/>
              </w:rPr>
              <w:t>katsoo, että tässä on kyse kohtuuttomasta ja kestämättömästä tuesta pankkialalle, joka jää demokraattisen keskustelun ja valvonnan ulkopuolelle;</w:t>
            </w:r>
            <w:r>
              <w:t xml:space="preserve"> </w:t>
            </w:r>
            <w:r>
              <w:rPr>
                <w:b/>
                <w:i/>
              </w:rPr>
              <w:t>pyytää EKP:tä lieventämään tätä ongelmaa ja harkitsemaan, että osalle pankkivarannoista asetetaan korottomat vähimmäisvarantovelvoitteet siten, että korvausta maksetaan vain nämä vähimmäisvaatimukset ylittävistä varannoista;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korostaa, että EKP:n osto-ohjelmat ovat epätavanomaisia rahapoliittisia toimia, jotka ovat taloudelliselta kannalta keskuspankkirahoitusta, joka on kielletty SEUT-sopimuksen 123 artiklan 1 kohdassa, ellei EKP pienennä tasettaan;</w:t>
            </w:r>
            <w:r>
              <w:t xml:space="preserve"> </w:t>
            </w:r>
            <w:r>
              <w:rPr>
                <w:b/>
                <w:i/>
              </w:rPr>
              <w:t>kehottaa siksi EKP:tä pienentämään tasettaan asteittain;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Francisco Assis, Bruno Gonçalves,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korostaa, että EKP:n osto-ohjelmat ovat epätavanomaisia rahapoliittisia toimia, jotka ovat taloudelliselta kannalta keskuspankkirahoitusta, joka on kielletty SEUT-sopimuksen 123 artiklan 1 kohdassa, ellei EKP pienennä tasettaan;</w:t>
            </w:r>
            <w:r>
              <w:t xml:space="preserve"> </w:t>
            </w:r>
            <w:r>
              <w:rPr>
                <w:b/>
                <w:i/>
              </w:rPr>
              <w:t>kehottaa siksi EKP:tä pienentämään tasettaan asteittain;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korostaa, että EKP:n osto-ohjelmat ovat epätavanomaisia rahapoliittisia toimia, jotka ovat taloudelliselta kannalta keskuspankkirahoitusta, joka on kielletty SEUT-sopimuksen 123 artiklan 1 kohdassa, ellei EKP pienennä tasettaan;</w:t>
            </w:r>
            <w:r>
              <w:t xml:space="preserve"> </w:t>
            </w:r>
            <w:r>
              <w:rPr>
                <w:b/>
                <w:i/>
              </w:rPr>
              <w:t>kehottaa siksi EKP:tä pienentämään tasettaan asteittain;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korostaa, että EKP:n osto-ohjelmat ovat epätavanomaisia rahapoliittisia toimia</w:t>
            </w:r>
            <w:r>
              <w:rPr>
                <w:b/>
                <w:i/>
              </w:rPr>
              <w:t>, jotka ovat taloudelliselta kannalta keskuspankkirahoitusta, joka on kielletty</w:t>
            </w:r>
            <w:r>
              <w:t xml:space="preserve"> SEUT-sopimuksen 123 </w:t>
            </w:r>
            <w:r>
              <w:rPr>
                <w:b/>
                <w:i/>
              </w:rPr>
              <w:t>artiklan 1 kohdassa, ellei EKP pienennä tasettaan</w:t>
            </w:r>
            <w:r>
              <w:t xml:space="preserve">; kehottaa </w:t>
            </w:r>
            <w:r>
              <w:rPr>
                <w:b/>
                <w:i/>
              </w:rPr>
              <w:t>siksi</w:t>
            </w:r>
            <w:r>
              <w:t xml:space="preserve"> EKP:tä pienentämään tasettaan asteittain;</w:t>
            </w:r>
          </w:p>
        </w:tc>
        <w:tc>
          <w:tcPr>
            <w:tcW w:w="4876" w:type="dxa"/>
            <w:tcBorders>
              <w:top w:val="nil"/>
              <w:left w:val="nil"/>
              <w:bottom w:val="nil"/>
              <w:right w:val="nil"/>
            </w:tcBorders>
          </w:tcPr>
          <w:p>
            <w:pPr>
              <w:pStyle w:val="Normal6a"/>
            </w:pPr>
            <w:r>
              <w:t>17.</w:t>
            </w:r>
            <w:r>
              <w:tab/>
            </w:r>
            <w:r>
              <w:t>korostaa, että EKP:n osto-ohjelmat ovat epätavanomaisia rahapoliittisia toimia</w:t>
            </w:r>
            <w:r>
              <w:rPr>
                <w:b/>
                <w:i/>
              </w:rPr>
              <w:t>;</w:t>
            </w:r>
            <w:r>
              <w:t xml:space="preserve"> </w:t>
            </w:r>
            <w:r>
              <w:rPr>
                <w:b/>
                <w:i/>
              </w:rPr>
              <w:t>muistuttaa Euroopan unionin tuomioistuimen selventäneen peräkkäisissä tuomioissaan, että EKP:n rahapoliittiset suorat kaupat, julkisen sektorin velkapapereiden osto-ohjelma ja pandemiaan liittyvä kiireellinen osto-ohjelma eivät tosiasiallisesti kierrä</w:t>
            </w:r>
            <w:r>
              <w:t xml:space="preserve"> SEUT-sopimuksen 123 </w:t>
            </w:r>
            <w:r>
              <w:rPr>
                <w:b/>
                <w:i/>
              </w:rPr>
              <w:t>artiklaa ja että se, että EKP ostaa valtion joukkovelkakirjoja jälkimarkkinoilta, ei merkitse jäsenvaltioiden talousarvioiden keskuspankkirahoitusta, kuten Saksan liittovaltion perustuslakituomioistuin väittää</w:t>
            </w:r>
            <w:r>
              <w:t>; kehottaa EKP:tä pienentämään tasettaan asteittain;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w:t>
            </w:r>
            <w:r>
              <w:rPr>
                <w:b/>
                <w:i/>
              </w:rPr>
              <w:t>taloudelliselta kannalta keskuspankkirahoitusta, joka on kielletty SEUT-sopimuksen 123 artiklan 1 kohdassa, ellei EKP pienennä tasettaan</w:t>
            </w:r>
            <w:r>
              <w:t>; kehottaa siksi EKP:tä pienentämään tasettaan asteittain;</w:t>
            </w:r>
          </w:p>
        </w:tc>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w:t>
            </w:r>
            <w:r>
              <w:rPr>
                <w:b/>
                <w:i/>
              </w:rPr>
              <w:t>merkityksellisiä vain kriisiaikoina</w:t>
            </w:r>
            <w:r>
              <w:t>; kehottaa siksi EKP:tä pienentämään tasettaan asteittain;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w:t>
            </w:r>
            <w:r>
              <w:rPr>
                <w:b/>
                <w:i/>
              </w:rPr>
              <w:t>ovat taloudelliselta kannalta keskuspankkirahoitusta, joka on kielletty</w:t>
            </w:r>
            <w:r>
              <w:t xml:space="preserve"> SEUT-sopimuksen 123 artiklan 1 </w:t>
            </w:r>
            <w:r>
              <w:rPr>
                <w:b/>
                <w:i/>
              </w:rPr>
              <w:t>kohdassa, ellei EKP pienennä tasettaan</w:t>
            </w:r>
            <w:r>
              <w:t xml:space="preserve">; kehottaa </w:t>
            </w:r>
            <w:r>
              <w:rPr>
                <w:b/>
                <w:i/>
              </w:rPr>
              <w:t>siksi EKP:tä pienentämään tasettaan</w:t>
            </w:r>
            <w:r>
              <w:t xml:space="preserve"> asteittain;</w:t>
            </w:r>
          </w:p>
        </w:tc>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w:t>
            </w:r>
            <w:r>
              <w:rPr>
                <w:b/>
                <w:i/>
              </w:rPr>
              <w:t>uhkaavat rikkoa</w:t>
            </w:r>
            <w:r>
              <w:t xml:space="preserve"> SEUT-sopimuksen 123 artiklan 1 </w:t>
            </w:r>
            <w:r>
              <w:rPr>
                <w:b/>
                <w:i/>
              </w:rPr>
              <w:t>kohdan mukaista keskuspankkirahoituksen kieltoa, jos niitä ei hallinnoida huolellisesti</w:t>
            </w:r>
            <w:r>
              <w:t xml:space="preserve">; kehottaa </w:t>
            </w:r>
            <w:r>
              <w:rPr>
                <w:b/>
                <w:i/>
              </w:rPr>
              <w:t>EKP:tä seuraamaan edelleen taseensa pienentämistä</w:t>
            </w:r>
            <w:r>
              <w:t xml:space="preserve"> asteittain </w:t>
            </w:r>
            <w:r>
              <w:rPr>
                <w:b/>
                <w:i/>
              </w:rPr>
              <w:t>ja varovaisesti, jotta voidaan rajoittaa mahdollisia pitkäaikaisia epävakautta aiheuttavia vaikutuksia euroalueella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korostaa, että EKP:n osto-ohjelmat ovat epätavanomaisia rahapoliittisia toimia, jotka ovat taloudelliselta kannalta keskuspankkirahoitusta, joka on kielletty SEUT-sopimuksen 123 artiklan 1 kohdassa, ellei EKP pienennä tasettaan;</w:t>
            </w:r>
            <w:r>
              <w:t xml:space="preserve"> </w:t>
            </w:r>
            <w:r>
              <w:rPr>
                <w:b/>
                <w:i/>
              </w:rPr>
              <w:t>kehottaa siksi EKP:tä pienentämään tasettaan asteittain</w:t>
            </w:r>
            <w:r>
              <w:t>;</w:t>
            </w:r>
          </w:p>
        </w:tc>
        <w:tc>
          <w:tcPr>
            <w:tcW w:w="4876" w:type="dxa"/>
            <w:tcBorders>
              <w:top w:val="nil"/>
              <w:left w:val="nil"/>
              <w:bottom w:val="nil"/>
              <w:right w:val="nil"/>
            </w:tcBorders>
          </w:tcPr>
          <w:p>
            <w:pPr>
              <w:pStyle w:val="Normal6a"/>
            </w:pPr>
            <w:r>
              <w:t>17.</w:t>
            </w:r>
            <w:r>
              <w:tab/>
            </w:r>
            <w:r>
              <w:rPr>
                <w:b/>
                <w:i/>
              </w:rPr>
              <w:t>kehottaa EKP:tä tarkistamaan osto-ohjelmiaan, jotta ne pysyisivät yhteensopivina sen finanssipoliittisen lähestymistavan kanssa, ja sovittamaan tämän lähestymistavan yhteen niiden kilpailukyvyn periaatteiden kanssa, joihin euroalueen kasvun käsitteen olisi perustuttava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korostaa, että EKP:n osto-ohjelmat ovat </w:t>
            </w:r>
            <w:r>
              <w:rPr>
                <w:b/>
                <w:i/>
              </w:rPr>
              <w:t>epätavanomaisia rahapoliittisia toimia, jotka ovat taloudelliselta kannalta keskuspankkirahoitusta, joka on kielletty SEUT-sopimuksen 123 artiklan 1 kohdassa, ellei EKP pienennä tasettaan;</w:t>
            </w:r>
            <w:r>
              <w:t xml:space="preserve"> </w:t>
            </w:r>
            <w:r>
              <w:rPr>
                <w:b/>
                <w:i/>
              </w:rPr>
              <w:t>kehottaa siksi EKP:tä pienentämään tasettaan asteittain</w:t>
            </w:r>
            <w:r>
              <w:t>;</w:t>
            </w:r>
          </w:p>
        </w:tc>
        <w:tc>
          <w:tcPr>
            <w:tcW w:w="4876" w:type="dxa"/>
            <w:tcBorders>
              <w:top w:val="nil"/>
              <w:left w:val="nil"/>
              <w:bottom w:val="nil"/>
              <w:right w:val="nil"/>
            </w:tcBorders>
          </w:tcPr>
          <w:p>
            <w:pPr>
              <w:pStyle w:val="Normal6a"/>
            </w:pPr>
            <w:r>
              <w:t>17.</w:t>
            </w:r>
            <w:r>
              <w:tab/>
            </w:r>
            <w:r>
              <w:t xml:space="preserve">korostaa, että EKP:n osto-ohjelmat ovat </w:t>
            </w:r>
            <w:r>
              <w:rPr>
                <w:b/>
                <w:i/>
              </w:rPr>
              <w:t>oikeudellisesti päteviä, kuten Euroopan unionin tuomioistuin on todennut;</w:t>
            </w:r>
            <w:r>
              <w:t xml:space="preserve"> </w:t>
            </w:r>
            <w:r>
              <w:rPr>
                <w:b/>
                <w:i/>
              </w:rPr>
              <w:t>toteaa, että omaisuuserien osto-ohjelmat olivat tarpeen rahapolitiikan välittymisen kannalta korkojen laskiessa nollaan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korostaa, että EKP:n osto-ohjelmat ovat epätavanomaisia rahapoliittisia toimia, jotka ovat taloudelliselta kannalta keskuspankkirahoitusta, joka on kielletty SEUT-sopimuksen 123 artiklan 1 kohdassa, ellei EKP pienennä tasettaan; kehottaa siksi EKP:tä pienentämään tasettaan asteittain;</w:t>
            </w:r>
          </w:p>
        </w:tc>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taloudelliselta kannalta keskuspankkirahoitusta, joka on kielletty SEUT-sopimuksen 123 artiklan 1 kohdassa, </w:t>
            </w:r>
            <w:r>
              <w:rPr>
                <w:b/>
                <w:i/>
              </w:rPr>
              <w:t>ja merkitsevät EKP:n liiallista puuttumista rahoitusmarkkinoiden toimintaan,</w:t>
            </w:r>
            <w:r>
              <w:t xml:space="preserve"> ellei EKP pienennä tasettaan; kehottaa siksi EKP:tä pienentämään tasettaan asteittain </w:t>
            </w:r>
            <w:r>
              <w:rPr>
                <w:b/>
                <w:i/>
              </w:rPr>
              <w:t>ja lopulta lopettamaan osto-ohjelmat pysyvästi;</w:t>
            </w:r>
            <w:r>
              <w:t xml:space="preserve"> </w:t>
            </w:r>
            <w:r>
              <w:rPr>
                <w:b/>
                <w:i/>
              </w:rPr>
              <w:t>kehottaa EKP:tä jakamaan näkemyksiä osto-ohjelmien vaikutuksesta rahoitusmarkkinoiden toimintaan, mukaan lukien vaikutus eläkerahastoihin ja eläkevakuutusyhteistyöhön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Evelyn Regner, René Repasi, Irene Tinagli,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taloudelliselta kannalta keskuspankkirahoitusta, joka on kielletty SEUT-sopimuksen 123 artiklan 1 kohdassa, ellei EKP pienennä tasettaan; kehottaa siksi EKP:tä </w:t>
            </w:r>
            <w:r>
              <w:rPr>
                <w:b/>
                <w:i/>
              </w:rPr>
              <w:t>pienentämään tasettaan</w:t>
            </w:r>
            <w:r>
              <w:t xml:space="preserve"> asteittain;</w:t>
            </w:r>
          </w:p>
        </w:tc>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taloudelliselta kannalta keskuspankkirahoitusta, joka on kielletty SEUT-sopimuksen 123 artiklan 1 kohdassa, ellei EKP pienennä tasettaan; kehottaa siksi EKP:tä </w:t>
            </w:r>
            <w:r>
              <w:rPr>
                <w:b/>
                <w:i/>
              </w:rPr>
              <w:t>jatkamaan taseensa pienentämistä</w:t>
            </w:r>
            <w:r>
              <w:t xml:space="preserve"> asteittain;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korostaa, että EKP:n osto-ohjelmat ovat epätavanomaisia rahapoliittisia toimia, jotka ovat taloudelliselta kannalta keskuspankkirahoitusta, joka on kielletty SEUT-sopimuksen 123 artiklan 1 kohdassa, ellei EKP pienennä tasettaan; kehottaa siksi EKP:tä pienentämään tasettaan asteittain;</w:t>
            </w:r>
          </w:p>
        </w:tc>
        <w:tc>
          <w:tcPr>
            <w:tcW w:w="4876" w:type="dxa"/>
            <w:tcBorders>
              <w:top w:val="nil"/>
              <w:left w:val="nil"/>
              <w:bottom w:val="nil"/>
              <w:right w:val="nil"/>
            </w:tcBorders>
          </w:tcPr>
          <w:p>
            <w:pPr>
              <w:pStyle w:val="Normal6a"/>
            </w:pPr>
            <w:r>
              <w:t>17.</w:t>
            </w:r>
            <w:r>
              <w:tab/>
            </w:r>
            <w:r>
              <w:t xml:space="preserve">korostaa, että EKP:n osto-ohjelmat ovat epätavanomaisia rahapoliittisia toimia, jotka ovat taloudelliselta kannalta keskuspankkirahoitusta, joka on kielletty SEUT-sopimuksen 123 artiklan 1 kohdassa, ellei EKP pienennä tasettaan; kehottaa siksi EKP:tä pienentämään tasettaan asteittain </w:t>
            </w:r>
            <w:r>
              <w:rPr>
                <w:b/>
                <w:i/>
              </w:rPr>
              <w:t>nollaan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muistuttaa, että EKP on nyt euroalueen maiden ylivoimaisesti suurin velkoja;</w:t>
            </w:r>
            <w:r>
              <w:t xml:space="preserve"> </w:t>
            </w:r>
            <w:r>
              <w:rPr>
                <w:b/>
                <w:i/>
              </w:rPr>
              <w:t>kehottaa EKP:tä lopettamaan tämäntyyppisen rahapoliittisen kannibalismin;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pitää valitettavana, että heinäkuussa 2022 perustettiin väline rahapolitiikan välittymisen turvaamiseksi;</w:t>
            </w:r>
            <w:r>
              <w:t xml:space="preserve">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pitää valitettavana, että heinäkuussa 2022 perustettiin väline rahapolitiikan välittymisen turvaamiseksi;</w:t>
            </w:r>
            <w:r>
              <w:t xml:space="preserve">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pitää </w:t>
            </w:r>
            <w:r>
              <w:rPr>
                <w:b/>
                <w:i/>
              </w:rPr>
              <w:t>valitettavana</w:t>
            </w:r>
            <w:r>
              <w:t>, että heinäkuussa 2022 perustettiin väline rahapolitiikan välittymisen turvaamiseksi</w:t>
            </w:r>
            <w:r>
              <w:rPr>
                <w:b/>
                <w:i/>
              </w:rPr>
              <w:t>;</w:t>
            </w:r>
            <w:r>
              <w:t xml:space="preserve">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r>
              <w:t>;</w:t>
            </w:r>
          </w:p>
        </w:tc>
        <w:tc>
          <w:tcPr>
            <w:tcW w:w="4876" w:type="dxa"/>
            <w:tcBorders>
              <w:top w:val="nil"/>
              <w:left w:val="nil"/>
              <w:bottom w:val="nil"/>
              <w:right w:val="nil"/>
            </w:tcBorders>
          </w:tcPr>
          <w:p>
            <w:pPr>
              <w:pStyle w:val="Normal6a"/>
            </w:pPr>
            <w:r>
              <w:t>18.</w:t>
            </w:r>
            <w:r>
              <w:tab/>
            </w:r>
            <w:r>
              <w:t xml:space="preserve">pitää </w:t>
            </w:r>
            <w:r>
              <w:rPr>
                <w:b/>
                <w:i/>
              </w:rPr>
              <w:t>myönteisenä</w:t>
            </w:r>
            <w:r>
              <w:t>, että heinäkuussa 2022 perustettiin väline rahapolitiikan välittymisen turvaamiseksi</w:t>
            </w:r>
            <w:r>
              <w:rPr>
                <w:b/>
                <w:i/>
              </w:rPr>
              <w:t>, jonka avulla voidaan varmistaa rahapolitiikan asianmukainen välittyminen jokaisessa EMU-maassa, jolloin vältetään pirstoutumisen lisäriskit rahoitusmarkkinoiden stressitilanteissa, jotka aiheuttavat omaisuuserien arvostusten siirtymistä pois niiden perusarvoista;</w:t>
            </w:r>
            <w:r>
              <w:t xml:space="preserve"> </w:t>
            </w:r>
            <w:r>
              <w:rPr>
                <w:b/>
                <w:i/>
              </w:rPr>
              <w:t>muistuttaa, että tämän välineen soveltamisen edellytyksenä on finanssipoliittisten sääntöjen tiukka noudattaminen, finanssipolitiikan kestävyys, makrotalouden epätasapainon puuttuminen ja kestävä makrotalouspolitiikka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pitää </w:t>
            </w:r>
            <w:r>
              <w:rPr>
                <w:b/>
                <w:i/>
              </w:rPr>
              <w:t>valitettavana</w:t>
            </w:r>
            <w:r>
              <w:t xml:space="preserve">, että heinäkuussa 2022 perustettiin väline rahapolitiikan välittymisen turvaamiseksi;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p>
        </w:tc>
        <w:tc>
          <w:tcPr>
            <w:tcW w:w="4876" w:type="dxa"/>
            <w:tcBorders>
              <w:top w:val="nil"/>
              <w:left w:val="nil"/>
              <w:bottom w:val="nil"/>
              <w:right w:val="nil"/>
            </w:tcBorders>
          </w:tcPr>
          <w:p>
            <w:pPr>
              <w:pStyle w:val="Normal6a"/>
            </w:pPr>
            <w:r>
              <w:t>18.</w:t>
            </w:r>
            <w:r>
              <w:tab/>
            </w:r>
            <w:r>
              <w:t xml:space="preserve">pitää </w:t>
            </w:r>
            <w:r>
              <w:rPr>
                <w:b/>
                <w:i/>
              </w:rPr>
              <w:t>myönteisenä</w:t>
            </w:r>
            <w:r>
              <w:t>, että heinäkuussa 2022 perustettiin väline rahapolitiikan välittymisen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w:t>
            </w:r>
            <w:r>
              <w:t xml:space="preserve">, että heinäkuussa 2022 perustettiin väline rahapolitiikan välittymisen turvaamiseksi;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p>
        </w:tc>
        <w:tc>
          <w:tcPr>
            <w:tcW w:w="4876" w:type="dxa"/>
            <w:tcBorders>
              <w:top w:val="nil"/>
              <w:left w:val="nil"/>
              <w:bottom w:val="nil"/>
              <w:right w:val="nil"/>
            </w:tcBorders>
          </w:tcPr>
          <w:p>
            <w:pPr>
              <w:pStyle w:val="Normal6a"/>
            </w:pPr>
            <w:r>
              <w:t>18.</w:t>
            </w:r>
            <w:r>
              <w:tab/>
            </w:r>
            <w:r>
              <w:rPr>
                <w:b/>
                <w:i/>
              </w:rPr>
              <w:t>tukee sitä</w:t>
            </w:r>
            <w:r>
              <w:t>, että heinäkuussa 2022 perustettiin väline rahapolitiikan välittymisen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 että heinäkuussa 2022 perustettiin väline rahapolitiikan välittymisen turvaamiseksi;</w:t>
            </w:r>
            <w:r>
              <w:t xml:space="preserve"> </w:t>
            </w:r>
            <w:r>
              <w:rPr>
                <w:b/>
                <w:i/>
              </w:rPr>
              <w:t>kehottaa EKP:tä noudattamaan keskuspankkirahoituksen kieltoa sekä ilmaisun oikeudellisessa että taloudellisessa merkityksessä;</w:t>
            </w:r>
            <w:r>
              <w:t xml:space="preserve"> </w:t>
            </w:r>
            <w:r>
              <w:rPr>
                <w:b/>
                <w:i/>
              </w:rPr>
              <w:t>korostaa</w:t>
            </w:r>
            <w:r>
              <w:t xml:space="preserve"> tässä yhteydessä</w:t>
            </w:r>
            <w:r>
              <w:rPr>
                <w:b/>
                <w:i/>
              </w:rPr>
              <w:t>, että valtionvelan valikoiva ostaminen merkitsee EU:n jäsenvaltion keskuspankkirahoitusta</w:t>
            </w:r>
            <w:r>
              <w:t>;</w:t>
            </w:r>
          </w:p>
        </w:tc>
        <w:tc>
          <w:tcPr>
            <w:tcW w:w="4876" w:type="dxa"/>
            <w:tcBorders>
              <w:top w:val="nil"/>
              <w:left w:val="nil"/>
              <w:bottom w:val="nil"/>
              <w:right w:val="nil"/>
            </w:tcBorders>
          </w:tcPr>
          <w:p>
            <w:pPr>
              <w:pStyle w:val="Normal6a"/>
            </w:pPr>
            <w:r>
              <w:t>18.</w:t>
            </w:r>
            <w:r>
              <w:tab/>
            </w:r>
            <w:r>
              <w:rPr>
                <w:b/>
                <w:i/>
              </w:rPr>
              <w:t>korostaa, että tasainen rahapolitiikan välittyminen on olennaisen tärkeää hintavakautta koskevan EKP:n tehtävän täyttämiseksi;</w:t>
            </w:r>
            <w:r>
              <w:t xml:space="preserve"> </w:t>
            </w:r>
            <w:r>
              <w:rPr>
                <w:b/>
                <w:i/>
              </w:rPr>
              <w:t>korostaa, että valtionlainojen korkojen liialliset erot lisäävät luottoehtojen epäjohdonmukaisuutta yhtenäiseen rahapolitiikan välittymiseen nähden ja vaikeuttavat julkisen velan vähentämistä huomattavasti;</w:t>
            </w:r>
            <w:r>
              <w:t xml:space="preserve"> </w:t>
            </w:r>
            <w:r>
              <w:rPr>
                <w:b/>
                <w:i/>
              </w:rPr>
              <w:t>pitää</w:t>
            </w:r>
            <w:r>
              <w:t xml:space="preserve"> tässä yhteydessä </w:t>
            </w:r>
            <w:r>
              <w:rPr>
                <w:b/>
                <w:i/>
              </w:rPr>
              <w:t>myönteisenä, että on otettu käyttöön väline rahapolitiikan välittymisen turvaamiseksi (TPI-väline), jolla tuetaan tehokasta rahapolitiikan välittymistä koko euroalueella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pitää valitettavana, että heinäkuussa 2022 perustettiin väline rahapolitiikan välittymisen turvaamiseksi; kehottaa EKP:tä noudattamaan keskuspankkirahoituksen kieltoa sekä ilmaisun oikeudellisessa että taloudellisessa merkityksessä; korostaa tässä yhteydessä, että valtionvelan valikoiva ostaminen merkitsee EU:n jäsenvaltion keskuspankkirahoitusta;</w:t>
            </w:r>
          </w:p>
        </w:tc>
        <w:tc>
          <w:tcPr>
            <w:tcW w:w="4876" w:type="dxa"/>
            <w:tcBorders>
              <w:top w:val="nil"/>
              <w:left w:val="nil"/>
              <w:bottom w:val="nil"/>
              <w:right w:val="nil"/>
            </w:tcBorders>
          </w:tcPr>
          <w:p>
            <w:pPr>
              <w:pStyle w:val="Normal6a"/>
            </w:pPr>
            <w:r>
              <w:t>18.</w:t>
            </w:r>
            <w:r>
              <w:tab/>
            </w:r>
            <w:r>
              <w:t xml:space="preserve">pitää valitettavana, että heinäkuussa 2022 perustettiin väline rahapolitiikan välittymisen turvaamiseksi; kehottaa EKP:tä noudattamaan keskuspankkirahoituksen kieltoa sekä ilmaisun oikeudellisessa että taloudellisessa merkityksessä; korostaa tässä yhteydessä, että valtionvelan valikoiva ostaminen merkitsee EU:n jäsenvaltion keskuspankkirahoitusta; </w:t>
            </w:r>
            <w:r>
              <w:rPr>
                <w:b/>
                <w:i/>
              </w:rPr>
              <w:t>varoittaa, että TPI-välineen käyttöönotto herättäisi merkittäviä kysymyksiä poliittisista ehdoista, jotka voisivat pikemminkin kiihdyttää kuin hillitä rahoitusmarkkinoiden epävakautta;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w:t>
            </w:r>
            <w:r>
              <w:t xml:space="preserve">, että heinäkuussa 2022 perustettiin väline rahapolitiikan välittymisen turvaamiseksi; kehottaa EKP:tä </w:t>
            </w:r>
            <w:r>
              <w:rPr>
                <w:b/>
                <w:i/>
              </w:rPr>
              <w:t>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r>
              <w:t>;</w:t>
            </w:r>
          </w:p>
        </w:tc>
        <w:tc>
          <w:tcPr>
            <w:tcW w:w="4876" w:type="dxa"/>
            <w:tcBorders>
              <w:top w:val="nil"/>
              <w:left w:val="nil"/>
              <w:bottom w:val="nil"/>
              <w:right w:val="nil"/>
            </w:tcBorders>
          </w:tcPr>
          <w:p>
            <w:pPr>
              <w:pStyle w:val="Normal6a"/>
            </w:pPr>
            <w:r>
              <w:t>18.</w:t>
            </w:r>
            <w:r>
              <w:tab/>
            </w:r>
            <w:r>
              <w:rPr>
                <w:b/>
                <w:i/>
              </w:rPr>
              <w:t>panee merkille</w:t>
            </w:r>
            <w:r>
              <w:t xml:space="preserve">, että heinäkuussa 2022 perustettiin väline rahapolitiikan välittymisen turvaamiseksi; kehottaa EKP:tä </w:t>
            </w:r>
            <w:r>
              <w:rPr>
                <w:b/>
                <w:i/>
              </w:rPr>
              <w:t>käyttämään omaisuuserien ostojärjestelmää osana kattavaa ohjelmaa euroalueen rahatalouden tasapainon yhdenmukaistamiseksi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 että heinäkuussa 2022 perustettiin</w:t>
            </w:r>
            <w:r>
              <w:t xml:space="preserve"> väline rahapolitiikan välittymisen turvaamiseksi</w:t>
            </w:r>
            <w:r>
              <w:rPr>
                <w:b/>
                <w:i/>
              </w:rPr>
              <w:t>;</w:t>
            </w:r>
            <w:r>
              <w:t xml:space="preserve"> </w:t>
            </w:r>
            <w:r>
              <w:rPr>
                <w:b/>
                <w:i/>
              </w:rPr>
              <w:t>kehottaa EKP:tä 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r>
              <w:t>;</w:t>
            </w:r>
          </w:p>
        </w:tc>
        <w:tc>
          <w:tcPr>
            <w:tcW w:w="4876" w:type="dxa"/>
            <w:tcBorders>
              <w:top w:val="nil"/>
              <w:left w:val="nil"/>
              <w:bottom w:val="nil"/>
              <w:right w:val="nil"/>
            </w:tcBorders>
          </w:tcPr>
          <w:p>
            <w:pPr>
              <w:pStyle w:val="Normal6a"/>
            </w:pPr>
            <w:r>
              <w:t>18.</w:t>
            </w:r>
            <w:r>
              <w:tab/>
            </w:r>
            <w:r>
              <w:rPr>
                <w:b/>
                <w:i/>
              </w:rPr>
              <w:t>korostaa, että</w:t>
            </w:r>
            <w:r>
              <w:t xml:space="preserve"> väline rahapolitiikan välittymisen turvaamiseksi </w:t>
            </w:r>
            <w:r>
              <w:rPr>
                <w:b/>
                <w:i/>
              </w:rPr>
              <w:t>on olennaisen tärkeä sen varmistamiseksi, että EKP:n rahapolitiikka välittyy koko euroalueelle, jotta EKP voi täyttää tehtävänsä tehokkaasti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w:t>
            </w:r>
            <w:r>
              <w:t xml:space="preserve">, että heinäkuussa 2022 perustettiin väline rahapolitiikan välittymisen turvaamiseksi; kehottaa EKP:tä </w:t>
            </w:r>
            <w:r>
              <w:rPr>
                <w:b/>
                <w:i/>
              </w:rPr>
              <w:t>noudattamaan keskuspankkirahoituksen kieltoa sekä ilmaisun oikeudellisessa että taloudellisessa merkityksessä;</w:t>
            </w:r>
            <w:r>
              <w:t xml:space="preserve"> </w:t>
            </w:r>
            <w:r>
              <w:rPr>
                <w:b/>
                <w:i/>
              </w:rPr>
              <w:t>korostaa tässä yhteydessä, että valtionvelan valikoiva ostaminen merkitsee EU:n jäsenvaltion keskuspankkirahoitusta</w:t>
            </w:r>
            <w:r>
              <w:t>;</w:t>
            </w:r>
          </w:p>
        </w:tc>
        <w:tc>
          <w:tcPr>
            <w:tcW w:w="4876" w:type="dxa"/>
            <w:tcBorders>
              <w:top w:val="nil"/>
              <w:left w:val="nil"/>
              <w:bottom w:val="nil"/>
              <w:right w:val="nil"/>
            </w:tcBorders>
          </w:tcPr>
          <w:p>
            <w:pPr>
              <w:pStyle w:val="Normal6a"/>
            </w:pPr>
            <w:r>
              <w:t>18.</w:t>
            </w:r>
            <w:r>
              <w:tab/>
            </w:r>
            <w:r>
              <w:rPr>
                <w:b/>
                <w:i/>
              </w:rPr>
              <w:t>on tietoinen siitä</w:t>
            </w:r>
            <w:r>
              <w:t xml:space="preserve">, että heinäkuussa 2022 perustettiin väline rahapolitiikan välittymisen turvaamiseksi </w:t>
            </w:r>
            <w:r>
              <w:rPr>
                <w:b/>
                <w:i/>
              </w:rPr>
              <w:t>keinona puuttua markkinoiden äkilliseen pirstoutumiseen</w:t>
            </w:r>
            <w:r>
              <w:t xml:space="preserve">; kehottaa EKP:tä </w:t>
            </w:r>
            <w:r>
              <w:rPr>
                <w:b/>
                <w:i/>
              </w:rPr>
              <w:t>jatkamaan keskuspankkirahoitusta koskevan oikeudellisen kiellon noudattamista ja varmistamaan, että sen toimilla ylläpidetään markkinaneutraaliutta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korostaa, että euroalueen korkoerot johtuvat yleensä valtion joukkolainoihin sovellettavista erilaisista riskipreemioista;</w:t>
            </w:r>
            <w:r>
              <w:t xml:space="preserve"> </w:t>
            </w:r>
            <w:r>
              <w:rPr>
                <w:b/>
                <w:i/>
              </w:rPr>
              <w:t>korostaa, että TPI-välineen puitteissa tehtävillä ostoilla vain peiteltäisiin löyhän finanssipolitiikan oireita;</w:t>
            </w:r>
            <w:r>
              <w:t xml:space="preserve"> </w:t>
            </w:r>
            <w:r>
              <w:rPr>
                <w:b/>
                <w:i/>
              </w:rPr>
              <w:t>kehottaa jäsenvaltioita harjoittamaan vastuullista finanssipolitiikkaa ja varmistamaan kestävän velkatason;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korostaa, että euroalueen korkoerot johtuvat yleensä valtion joukkolainoihin sovellettavista erilaisista riskipreemioista;</w:t>
            </w:r>
            <w:r>
              <w:t xml:space="preserve"> </w:t>
            </w:r>
            <w:r>
              <w:rPr>
                <w:b/>
                <w:i/>
              </w:rPr>
              <w:t>korostaa, että TPI-välineen puitteissa tehtävillä ostoilla vain peiteltäisiin löyhän finanssipolitiikan oireita;</w:t>
            </w:r>
            <w:r>
              <w:t xml:space="preserve"> </w:t>
            </w:r>
            <w:r>
              <w:rPr>
                <w:b/>
                <w:i/>
              </w:rPr>
              <w:t>kehottaa jäsenvaltioita harjoittamaan vastuullista finanssipolitiikkaa ja varmistamaan kestävän velkatason;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korostaa, että euroalueen korkoerot johtuvat yleensä valtion joukkolainoihin sovellettavista erilaisista riskipreemioista</w:t>
            </w:r>
            <w:r>
              <w:rPr>
                <w:b/>
                <w:i/>
              </w:rPr>
              <w:t>;</w:t>
            </w:r>
            <w:r>
              <w:t xml:space="preserve"> </w:t>
            </w:r>
            <w:r>
              <w:rPr>
                <w:b/>
                <w:i/>
              </w:rPr>
              <w:t>korostaa, että TPI-välineen puitteissa tehtävillä ostoilla vain peiteltäisiin löyhän finanssipolitiikan oireita</w:t>
            </w:r>
            <w:r>
              <w:t>; kehottaa jäsenvaltioita harjoittamaan vastuullista finanssipolitiikkaa ja varmistamaan kestävän velkatason;</w:t>
            </w:r>
          </w:p>
        </w:tc>
        <w:tc>
          <w:tcPr>
            <w:tcW w:w="4876" w:type="dxa"/>
            <w:tcBorders>
              <w:top w:val="nil"/>
              <w:left w:val="nil"/>
              <w:bottom w:val="nil"/>
              <w:right w:val="nil"/>
            </w:tcBorders>
          </w:tcPr>
          <w:p>
            <w:pPr>
              <w:pStyle w:val="Normal6a"/>
            </w:pPr>
            <w:r>
              <w:t>19.</w:t>
            </w:r>
            <w:r>
              <w:tab/>
            </w:r>
            <w:r>
              <w:t xml:space="preserve">korostaa, että </w:t>
            </w:r>
            <w:r>
              <w:rPr>
                <w:b/>
                <w:i/>
              </w:rPr>
              <w:t>jos vakavia rahoituksellisia häiriöitä ei esiinny,</w:t>
            </w:r>
            <w:r>
              <w:t xml:space="preserve"> euroalueen korkoerot johtuvat yleensä valtion joukkolainoihin sovellettavista erilaisista riskipreemioista; kehottaa jäsenvaltioita harjoittamaan vastuullista finanssipolitiikkaa ja varmistamaan kestävän velkatason;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w:t>
            </w:r>
            <w:r>
              <w:rPr>
                <w:b/>
                <w:i/>
              </w:rPr>
              <w:t>korostaa, että TPI-välineen puitteissa tehtävillä ostoilla vain peiteltäisiin löyhän finanssipolitiikan oireita;</w:t>
            </w:r>
            <w:r>
              <w:t xml:space="preserve"> kehottaa jäsenvaltioita harjoittamaan vastuullista finanssipolitiikkaa ja varmistamaan kestävän velkatason;</w:t>
            </w:r>
          </w:p>
        </w:tc>
        <w:tc>
          <w:tcPr>
            <w:tcW w:w="4876" w:type="dxa"/>
            <w:tcBorders>
              <w:top w:val="nil"/>
              <w:left w:val="nil"/>
              <w:bottom w:val="nil"/>
              <w:right w:val="nil"/>
            </w:tcBorders>
          </w:tcPr>
          <w:p>
            <w:pPr>
              <w:pStyle w:val="Normal6a"/>
            </w:pPr>
            <w:r>
              <w:t>19.</w:t>
            </w:r>
            <w:r>
              <w:tab/>
            </w:r>
            <w:r>
              <w:t>korostaa, että euroalueen korkoerot johtuvat yleensä valtion joukkolainoihin sovellettavista erilaisista riskipreemioista; kehottaa jäsenvaltioita harjoittamaan vastuullista finanssipolitiikkaa ja varmistamaan kestävän velkatason;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korostaa, että euroalueen korkoerot johtuvat yleensä valtion joukkolainoihin sovellettavista erilaisista riskipreemioista; korostaa, että TPI-välineen puitteissa tehtävillä ostoilla vain peiteltäisiin löyhän finanssipolitiikan oireita; kehottaa jäsenvaltioita harjoittamaan vastuullista finanssipolitiikkaa ja varmistamaan kestävän velkatason;</w:t>
            </w:r>
          </w:p>
        </w:tc>
        <w:tc>
          <w:tcPr>
            <w:tcW w:w="4876" w:type="dxa"/>
            <w:tcBorders>
              <w:top w:val="nil"/>
              <w:left w:val="nil"/>
              <w:bottom w:val="nil"/>
              <w:right w:val="nil"/>
            </w:tcBorders>
          </w:tcPr>
          <w:p>
            <w:pPr>
              <w:pStyle w:val="Normal6a"/>
            </w:pPr>
            <w:r>
              <w:t>19.</w:t>
            </w:r>
            <w:r>
              <w:tab/>
            </w:r>
            <w:r>
              <w:t>korostaa, että euroalueen korkoerot johtuvat yleensä valtion joukkolainoihin sovellettavista erilaisista riskipreemioista</w:t>
            </w:r>
            <w:r>
              <w:rPr>
                <w:b/>
                <w:i/>
              </w:rPr>
              <w:t>, missä kuvastuvat erilaiset finanssipoliittiset lähestymistavat</w:t>
            </w:r>
            <w:r>
              <w:t>; korostaa, että TPI-välineen puitteissa tehtävillä ostoilla vain peiteltäisiin löyhän finanssipolitiikan oireita; kehottaa jäsenvaltioita harjoittamaan vastuullista finanssipolitiikkaa ja varmistamaan kestävän velkatason;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w:t>
            </w:r>
            <w:r>
              <w:rPr>
                <w:b/>
                <w:i/>
              </w:rPr>
              <w:t>tehtävillä ostoilla vain peiteltäisiin löyhän finanssipolitiikan oireita;</w:t>
            </w:r>
            <w:r>
              <w:t xml:space="preserve"> </w:t>
            </w:r>
            <w:r>
              <w:rPr>
                <w:b/>
                <w:i/>
              </w:rPr>
              <w:t>kehottaa jäsenvaltioita harjoittamaan vastuullista finanssipolitiikkaa ja varmistamaan kestävän velkatason</w:t>
            </w:r>
            <w:r>
              <w:t>;</w:t>
            </w:r>
          </w:p>
        </w:tc>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w:t>
            </w:r>
            <w:r>
              <w:rPr>
                <w:b/>
                <w:i/>
              </w:rPr>
              <w:t>tehtävät ostot olisi käytettävä talouden perustekijöihin liittymättömän rahoitusmarkkinoiden stressin ja paniikin käsittelyyn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tehtävillä ostoilla vain peiteltäisiin löyhän finanssipolitiikan oireita; kehottaa jäsenvaltioita harjoittamaan vastuullista finanssipolitiikkaa ja varmistamaan kestävän </w:t>
            </w:r>
            <w:r>
              <w:rPr>
                <w:b/>
                <w:i/>
              </w:rPr>
              <w:t>velkatason</w:t>
            </w:r>
            <w:r>
              <w:t>;</w:t>
            </w:r>
          </w:p>
        </w:tc>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tehtävillä ostoilla vain peiteltäisiin löyhän finanssipolitiikan oireita; kehottaa jäsenvaltioita harjoittamaan vastuullista finanssipolitiikkaa ja varmistamaan </w:t>
            </w:r>
            <w:r>
              <w:rPr>
                <w:b/>
                <w:i/>
              </w:rPr>
              <w:t>julkisen velan</w:t>
            </w:r>
            <w:r>
              <w:t xml:space="preserve"> kestävän </w:t>
            </w:r>
            <w:r>
              <w:rPr>
                <w:b/>
                <w:i/>
              </w:rPr>
              <w:t>ja siten alhaisemman tason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w:t>
            </w:r>
            <w:r>
              <w:rPr>
                <w:b/>
                <w:i/>
              </w:rPr>
              <w:t>tehtävillä ostoilla vain peiteltäisiin löyhän</w:t>
            </w:r>
            <w:r>
              <w:t xml:space="preserve"> finanssipolitiikan </w:t>
            </w:r>
            <w:r>
              <w:rPr>
                <w:b/>
                <w:i/>
              </w:rPr>
              <w:t>oireita;</w:t>
            </w:r>
            <w:r>
              <w:t xml:space="preserve"> </w:t>
            </w:r>
            <w:r>
              <w:rPr>
                <w:b/>
                <w:i/>
              </w:rPr>
              <w:t>kehottaa jäsenvaltioita harjoittamaan vastuullista finanssipolitiikkaa ja varmistamaan kestävän velkatason</w:t>
            </w:r>
            <w:r>
              <w:t>;</w:t>
            </w:r>
          </w:p>
        </w:tc>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korostaa, että TPI-välineen puitteissa </w:t>
            </w:r>
            <w:r>
              <w:rPr>
                <w:b/>
                <w:i/>
              </w:rPr>
              <w:t>tehtävien ostojen sopivuus olisi pidettävä erillään yksittäisten jäsenvaltioiden itsenäisen</w:t>
            </w:r>
            <w:r>
              <w:t xml:space="preserve"> finanssipolitiikan </w:t>
            </w:r>
            <w:r>
              <w:rPr>
                <w:b/>
                <w:i/>
              </w:rPr>
              <w:t>ja niiden velkakestävyyden arvioinnista, jotta Euroopan talous saadaan tasapainoiseksi ja sopusointuiseksi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w:t>
            </w:r>
            <w:r>
              <w:rPr>
                <w:b/>
                <w:i/>
              </w:rPr>
              <w:t>korostaa, että TPI-välineen puitteissa tehtävillä ostoilla vain peiteltäisiin löyhän finanssipolitiikan oireita;</w:t>
            </w:r>
            <w:r>
              <w:t xml:space="preserve"> </w:t>
            </w:r>
            <w:r>
              <w:rPr>
                <w:b/>
                <w:i/>
              </w:rPr>
              <w:t>kehottaa jäsenvaltioita harjoittamaan vastuullista finanssipolitiikkaa ja varmistamaan kestävän velkatason</w:t>
            </w:r>
            <w:r>
              <w:t>;</w:t>
            </w:r>
          </w:p>
        </w:tc>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w:t>
            </w:r>
            <w:r>
              <w:rPr>
                <w:b/>
                <w:i/>
              </w:rPr>
              <w:t>kehottaa jäsenvaltioita harjoittamaan vastuullista finanssipolitiikkaa varmistamalla tarvittavat investoinnit, joilla parannetaan niiden kykyä selviytyä nykyisistä ja tulevista häiriöistä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w:t>
            </w:r>
            <w:r>
              <w:rPr>
                <w:b/>
                <w:i/>
              </w:rPr>
              <w:t>korostaa, että TPI-välineen puitteissa tehtävillä ostoilla vain peiteltäisiin löyhän finanssipolitiikan oireita</w:t>
            </w:r>
            <w:r>
              <w:t>; kehottaa jäsenvaltioita harjoittamaan vastuullista finanssipolitiikkaa ja varmistamaan kestävän velkatason;</w:t>
            </w:r>
          </w:p>
        </w:tc>
        <w:tc>
          <w:tcPr>
            <w:tcW w:w="4876" w:type="dxa"/>
            <w:tcBorders>
              <w:top w:val="nil"/>
              <w:left w:val="nil"/>
              <w:bottom w:val="nil"/>
              <w:right w:val="nil"/>
            </w:tcBorders>
          </w:tcPr>
          <w:p>
            <w:pPr>
              <w:pStyle w:val="Normal6a"/>
            </w:pPr>
            <w:r>
              <w:t>19.</w:t>
            </w:r>
            <w:r>
              <w:tab/>
            </w:r>
            <w:r>
              <w:t xml:space="preserve">korostaa, että euroalueen korkoerot johtuvat yleensä valtion joukkolainoihin sovellettavista erilaisista riskipreemioista; </w:t>
            </w:r>
            <w:r>
              <w:rPr>
                <w:b/>
                <w:i/>
              </w:rPr>
              <w:t>toteaa, että TPI-toimilla saatetaan peitellä taustalla olevia finanssipoliittisia haasteita</w:t>
            </w:r>
            <w:r>
              <w:t>; kehottaa jäsenvaltioita harjoittamaan vastuullista finanssipolitiikkaa ja varmistamaan kestävän velkatason;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Irene Tinagli,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korostaa, että omistusasumisen sisällyttäminen yhdenmukaistettuun kuluttajahintaindeksiin (YKHI) on toivottavaa sekä edustavuuden että euroalueen maiden välisen vertailukelpoisuuden vuoksi;</w:t>
            </w:r>
            <w:r>
              <w:t xml:space="preserve"> </w:t>
            </w:r>
            <w:r>
              <w:rPr>
                <w:b/>
                <w:i/>
              </w:rPr>
              <w:t>korostaa, että EKP:n mukaan omistusasumisen arvioitu vaikutus YKHI-inflaatioon vuodesta 2011 lähtien olisi ollut –1,2 ja +0,4 prosenttiyksikön välillä;</w:t>
            </w:r>
            <w:r>
              <w:t xml:space="preserve"> </w:t>
            </w:r>
            <w:r>
              <w:rPr>
                <w:b/>
                <w:i/>
              </w:rPr>
              <w:t>panee kuitenkin merkille, että tarkastelujakso on lyhyt suhteessa asuntomarkkinoiden syklien pituuteen ja että havaitut poikkeamat ovat suurempia, jos tarkastellaan maakohtaisia inflaatioindeksejä;</w:t>
            </w:r>
            <w:r>
              <w:t xml:space="preserve"> </w:t>
            </w:r>
            <w:r>
              <w:rPr>
                <w:b/>
                <w:i/>
              </w:rPr>
              <w:t>ilmaisee huolensa siitä, että asuntomarkkinoiden tulevissa suhdannevaihteluissa erot YKHI:ssä omistusasuminen mukaan luettuna ja pois luettuna saattavat olla suuremmat;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kehottaa EKP:tä aiempien ohjelmiensa (APP- ja PPE -ohjelmat) puitteissa tehtyjen investointien jatkoksi harkitsemaan arvopaperistamista keinona vahvistaa eurooppalaisia markkinoita sekä alullepanijoiden että sijoittajien kannalta, ja ehdottaa, että eurooppalaisia vakuudellisia velkasitoumuksia kokeillaan pk-yritysten uutena pitkän aikavälin rahoitusvälineenä;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panee asianmukaisesti merkille EKP:n rahapolitiikan vaikutuksen reaalitalouteen erityisesti yksityishenkilöille ja yrityksille myönnettävien lainojen osalta;</w:t>
            </w:r>
            <w:r>
              <w:t xml:space="preserve"> </w:t>
            </w:r>
            <w:r>
              <w:rPr>
                <w:b/>
                <w:i/>
              </w:rPr>
              <w:t>toivoo, että inflaation laskusuuntaus ja vakautuminen mahdollistavat rahapolitiikan normalisointiprosessin jatkumisen kotitalouksien taakan keventämiseksi;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Irene Tinagli,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panee tyytyväisenä merkille, että EKP:n neuvosto totesi rahapoliittisen strategian uudelleentarkastelun yhteydessä, että omistusasumiseen liittyvät kustannukset on aiheellista sisällyttää YKHI:iin osana monivuotista hanketta ja että se on tällä välin sitoutunut ottamaan sekä rahapoliittisissa arvioinneissaan että päätöksissään huomioon myös käytettävissä olevat neljännesvuosittaista erillistä omistusasumisen hintaindeksiä koskevat inflaatiomittarit osana laajempaa täydentävien inflaatioindikaattorien valikoimaa, jota EKP tavallisesti tarkastelee;</w:t>
            </w:r>
            <w:r>
              <w:t xml:space="preserve"> </w:t>
            </w:r>
            <w:r>
              <w:rPr>
                <w:b/>
                <w:i/>
              </w:rPr>
              <w:t>kehottaa nopeuttamaan etenemissuunnitelmaa, jotta omistusasuminen voidaan nopeasti sisällyttää YKHI:iin;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korostaa, että rahapolitiikan yhdenmukainen välittyminen on olennaisen tärkeää EKP:n hintavakautta koskevan tehtävän täyttämiseksi;</w:t>
            </w:r>
            <w:r>
              <w:t xml:space="preserve"> </w:t>
            </w:r>
            <w:r>
              <w:rPr>
                <w:b/>
                <w:i/>
              </w:rPr>
              <w:t>korostaa, että valtionlainojen korkojen liialliset erot lisäävät luottoehtojen epäjohdonmukaisuutta yhtenäiseen rahapolitiikan välittymiseen nähden ja erityisesti vaikeuttavat julkisen velan vähentämistä;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korostaa, että että digitaalisen euron mahdollisia vaikutuksia rahoitusvakauteen, rahapoliittiseen itsemääräämisoikeuteen kolmansissa maissa, yksityiseen digitaaliseen maksuekosysteemiin, joka syntyy julkisen palveluntarjoajan ensisijaisuudesta, kansalaisten yksityisyyteen sekä veronmaksajille aiheutuviin erittäin korkeisiin taloudellisiin kustannuksiin ei ole arvioitu asianmukaisesti;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kehottaa komissiota arvioimaan uudelleen tämän hankkeen kustannukset ja hyödyt uuden vaikutustenarvioinnin avulla ennen kuin se jatkaa hankkeen kehittämistä;</w:t>
            </w:r>
            <w:r>
              <w:t xml:space="preserve"> </w:t>
            </w:r>
            <w:r>
              <w:rPr>
                <w:b/>
                <w:i/>
              </w:rPr>
              <w:t>kehottaa, että sääntelyntarkastelulautakunta tarkastelee huolellisesti uutta vaikutustenarviointia;</w:t>
            </w:r>
            <w:r>
              <w:t xml:space="preserve"> </w:t>
            </w:r>
            <w:r>
              <w:rPr>
                <w:b/>
                <w:i/>
              </w:rPr>
              <w:t>huomauttaa, että on tarpeen arvioida uudelleen sen merkitystä ja soveltuvuutta euroalueen säästäjien ja sijoittajien tarpeisiin;</w:t>
            </w:r>
            <w:r>
              <w:t xml:space="preserve"> </w:t>
            </w:r>
            <w:r>
              <w:rPr>
                <w:b/>
                <w:i/>
              </w:rPr>
              <w:t>katsoo, että komission on kiireellisesti tutkittava vaihtoehtoisia tapoja edistää yleiseurooppalaista digitaalista maksuratkaisua yksityisten palveluntarjoajien tasolla ennen kuin se ryhtyy toteuttamaan digitaalista euroa koskevaa hanketta;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panee tyytyväisenä merkille EKP:n edistymisen digitaalista euroa koskevassa hankkeessa ja pitää myönteisenä sen jatkuvaa vuoropuhelua parlamentin kanssa; tuo esiin odotettuja hyötyjä, joita ovat muun muassa strategisen riippumattomuuden lisääntyminen</w:t>
            </w:r>
            <w:r>
              <w:rPr>
                <w:b/>
                <w:i/>
              </w:rPr>
              <w:t>,</w:t>
            </w:r>
            <w:r>
              <w:t xml:space="preserve"> taloudellisen osallisuuden parantuminen </w:t>
            </w:r>
            <w:r>
              <w:rPr>
                <w:b/>
                <w:i/>
              </w:rPr>
              <w:t>ja</w:t>
            </w:r>
            <w:r>
              <w:t xml:space="preserve"> verkon </w:t>
            </w:r>
            <w:r>
              <w:rPr>
                <w:b/>
                <w:i/>
              </w:rPr>
              <w:t>ulkopuolisen varamaksujärjestelmän saatavuus</w:t>
            </w:r>
            <w:r>
              <w:t>;</w:t>
            </w:r>
          </w:p>
        </w:tc>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tuo esiin odotettuja hyötyjä, joita ovat muun muassa strategisen riippumattomuuden lisääntyminen </w:t>
            </w:r>
            <w:r>
              <w:rPr>
                <w:b/>
                <w:i/>
              </w:rPr>
              <w:t>maksuissa ja</w:t>
            </w:r>
            <w:r>
              <w:t xml:space="preserve"> taloudellisen osallisuuden parantuminen</w:t>
            </w:r>
            <w:r>
              <w:rPr>
                <w:b/>
                <w:i/>
              </w:rPr>
              <w:t>; korostaa, että verkon ulkopuolinen komponentti saattaa osoittautua ongelmalliseksi, koska sen toteutuskustannukset ovat merkittävät ja kehitysajat pitkiä mutta käyttäjän saama hyöty on hyvin pientä;</w:t>
            </w:r>
            <w:r>
              <w:t xml:space="preserve"> </w:t>
            </w:r>
            <w:r>
              <w:rPr>
                <w:b/>
                <w:i/>
              </w:rPr>
              <w:t xml:space="preserve">korostaa myös, että maksunsaajaa ja maksajaa koskevien tietojen </w:t>
            </w:r>
            <w:r>
              <w:rPr>
                <w:b/>
                <w:i/>
              </w:rPr>
              <w:t>rajallinen</w:t>
            </w:r>
            <w:r>
              <w:t xml:space="preserve"> näkyvyys vähentäisi maksupalveluntarjoajien tehokkuutta rahanpesun, terrorismin rahoituksen ja petosten torjunnassa;</w:t>
            </w:r>
            <w:r>
              <w:t xml:space="preserve"> </w:t>
            </w:r>
            <w:r>
              <w:rPr>
                <w:b/>
                <w:i/>
              </w:rPr>
              <w:t>katsoo siksi, että tämän vuoksi kaksoistoiminnot</w:t>
            </w:r>
            <w:r>
              <w:t xml:space="preserve"> verkon </w:t>
            </w:r>
            <w:r>
              <w:rPr>
                <w:b/>
                <w:i/>
              </w:rPr>
              <w:t>ulkopuolella olisi suunniteltava vain lyhytaikaiseksi hätäratkaisuksi väärinkäytön tai laittoman toiminnan välttämiseksi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w:t>
            </w:r>
            <w:r>
              <w:rPr>
                <w:b/>
                <w:i/>
              </w:rPr>
              <w:t>tyytyväisenä</w:t>
            </w:r>
            <w:r>
              <w:t xml:space="preserve"> merkille EKP:n </w:t>
            </w:r>
            <w:r>
              <w:rPr>
                <w:b/>
                <w:i/>
              </w:rPr>
              <w:t>edistymisen</w:t>
            </w:r>
            <w:r>
              <w:t xml:space="preserve"> digitaalista euroa koskevassa hankkeessa ja </w:t>
            </w:r>
            <w:r>
              <w:rPr>
                <w:b/>
                <w:i/>
              </w:rPr>
              <w:t>pitää myönteisenä sen jatkuvaa vuoropuhelua</w:t>
            </w:r>
            <w:r>
              <w:t xml:space="preserve"> parlamentin kanssa; tuo esiin odotettuja hyötyjä, joita ovat muun muassa strategisen riippumattomuuden lisääntyminen, taloudellisen osallisuuden parantuminen ja verkon ulkopuolisen varamaksujärjestelmän saatavuus;</w:t>
            </w:r>
          </w:p>
        </w:tc>
        <w:tc>
          <w:tcPr>
            <w:tcW w:w="4876" w:type="dxa"/>
            <w:tcBorders>
              <w:top w:val="nil"/>
              <w:left w:val="nil"/>
              <w:bottom w:val="nil"/>
              <w:right w:val="nil"/>
            </w:tcBorders>
          </w:tcPr>
          <w:p>
            <w:pPr>
              <w:pStyle w:val="Normal6a"/>
            </w:pPr>
            <w:r>
              <w:t>20.</w:t>
            </w:r>
            <w:r>
              <w:tab/>
            </w:r>
            <w:r>
              <w:t xml:space="preserve">panee merkille EKP:n </w:t>
            </w:r>
            <w:r>
              <w:rPr>
                <w:b/>
                <w:i/>
              </w:rPr>
              <w:t>työn</w:t>
            </w:r>
            <w:r>
              <w:t xml:space="preserve"> digitaalista euroa koskevassa hankkeessa ja </w:t>
            </w:r>
            <w:r>
              <w:rPr>
                <w:b/>
                <w:i/>
              </w:rPr>
              <w:t>sen jatkuvan vuoropuhelun</w:t>
            </w:r>
            <w:r>
              <w:t xml:space="preserve"> parlamentin kanssa; tuo esiin odotettuja hyötyjä, joita ovat muun muassa strategisen riippumattomuuden lisääntyminen, taloudellisen osallisuuden parantuminen ja verkon ulkopuolisen varamaksujärjestelmän saatavuus; </w:t>
            </w:r>
            <w:r>
              <w:rPr>
                <w:b/>
                <w:i/>
              </w:rPr>
              <w:t>katsoo kuitenkin, että tässä hankkeessa olisi otettava huomioon Euroopan maksupalvelu-uudistuksen kehitys, erityisesti ensimmäisen maksupalveluasetuksen ja kolmannen maksupalveludirektiivin hyväksymisen myötä;</w:t>
            </w:r>
            <w:r>
              <w:t xml:space="preserve"> </w:t>
            </w:r>
            <w:r>
              <w:rPr>
                <w:b/>
                <w:i/>
              </w:rPr>
              <w:t>katsoo lisäksi, että digitaalista euroa koskevasta hankkeesta tulisi käydä laajempaa keskustelua Euroopan parlamentin lisäksi myös kansalaisyhteiskunnan ja erityisesti talouden alan sidosryhmien kanssa;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w:t>
            </w:r>
            <w:r>
              <w:rPr>
                <w:b/>
                <w:i/>
              </w:rPr>
              <w:t>tyytyväisenä</w:t>
            </w:r>
            <w:r>
              <w:t xml:space="preserve"> merkille EKP:n edistymisen digitaalista euroa koskevassa hankkeessa ja pitää myönteisenä sen jatkuvaa vuoropuhelua parlamentin kanssa; tuo esiin odotettuja hyötyjä, joita ovat muun muassa strategisen riippumattomuuden lisääntyminen, taloudellisen osallisuuden parantuminen ja verkon ulkopuolisen varamaksujärjestelmän saatavuus;</w:t>
            </w:r>
          </w:p>
        </w:tc>
        <w:tc>
          <w:tcPr>
            <w:tcW w:w="4876" w:type="dxa"/>
            <w:tcBorders>
              <w:top w:val="nil"/>
              <w:left w:val="nil"/>
              <w:bottom w:val="nil"/>
              <w:right w:val="nil"/>
            </w:tcBorders>
          </w:tcPr>
          <w:p>
            <w:pPr>
              <w:pStyle w:val="Normal6a"/>
            </w:pPr>
            <w:r>
              <w:t>20.</w:t>
            </w:r>
            <w:r>
              <w:tab/>
            </w:r>
            <w:r>
              <w:t xml:space="preserve">panee merkille EKP:n edistymisen digitaalista euroa koskevassa hankkeessa ja pitää myönteisenä sen jatkuvaa vuoropuhelua parlamentin kanssa; tuo esiin odotettuja hyötyjä, joita ovat muun muassa strategisen riippumattomuuden lisääntyminen, taloudellisen osallisuuden parantuminen ja verkon ulkopuolisen varamaksujärjestelmän saatavuus; </w:t>
            </w:r>
            <w:r>
              <w:rPr>
                <w:b/>
                <w:i/>
              </w:rPr>
              <w:t>toteaa kuitenkin, että saldorajoituksiin, yksityisyysnäkökohtiin, kilpailuun yksityisten maksuratkaisujen kanssa ja käytettävyyteen yritystoiminnassa liittyy vielä ratkaisemattomia kysymyksiä;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Auke Zijlstra,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w:t>
            </w:r>
            <w:r>
              <w:rPr>
                <w:b/>
                <w:i/>
              </w:rPr>
              <w:t>tyytyväisenä</w:t>
            </w:r>
            <w:r>
              <w:t xml:space="preserve"> merkille EKP:n </w:t>
            </w:r>
            <w:r>
              <w:rPr>
                <w:b/>
                <w:i/>
              </w:rPr>
              <w:t>edistymisen</w:t>
            </w:r>
            <w:r>
              <w:t xml:space="preserve"> digitaalista euroa </w:t>
            </w:r>
            <w:r>
              <w:rPr>
                <w:b/>
                <w:i/>
              </w:rPr>
              <w:t>koskevassa hankkeessa ja pitää myönteisenä sen jatkuvaa vuoropuhelua</w:t>
            </w:r>
            <w:r>
              <w:t xml:space="preserve"> parlamentin kanssa; </w:t>
            </w:r>
            <w:r>
              <w:rPr>
                <w:b/>
                <w:i/>
              </w:rPr>
              <w:t>tuo esiin odotettuja hyötyjä, joita ovat muun muassa strategisen riippumattomuuden lisääntyminen, taloudellisen osallisuuden parantuminen ja verkon ulkopuolisen varamaksujärjestelmän saatavuus</w:t>
            </w:r>
            <w:r>
              <w:t>;</w:t>
            </w:r>
          </w:p>
        </w:tc>
        <w:tc>
          <w:tcPr>
            <w:tcW w:w="4876" w:type="dxa"/>
            <w:tcBorders>
              <w:top w:val="nil"/>
              <w:left w:val="nil"/>
              <w:bottom w:val="nil"/>
              <w:right w:val="nil"/>
            </w:tcBorders>
          </w:tcPr>
          <w:p>
            <w:pPr>
              <w:pStyle w:val="Normal6a"/>
            </w:pPr>
            <w:r>
              <w:t>20.</w:t>
            </w:r>
            <w:r>
              <w:tab/>
            </w:r>
            <w:r>
              <w:t xml:space="preserve">panee merkille EKP:n digitaalista euroa </w:t>
            </w:r>
            <w:r>
              <w:rPr>
                <w:b/>
                <w:i/>
              </w:rPr>
              <w:t>koskevasta hankkeesta tekemän lisätutkimuksen ja sen jatkuvan vuoropuhelun</w:t>
            </w:r>
            <w:r>
              <w:t xml:space="preserve"> parlamentin kanssa; </w:t>
            </w:r>
            <w:r>
              <w:rPr>
                <w:b/>
                <w:i/>
              </w:rPr>
              <w:t>korostaa, että Piero Cipollonen väitettä määräävän markkina-aseman väärinkäytöstä digitaalisten maksujen markkinoilla, joka olisi peruste digitaalisen euron käyttöönotolle, ei tue mikään tutkimus eikä Euroopan kilpailuviranomaisen päätös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w:t>
            </w:r>
            <w:r>
              <w:rPr>
                <w:b/>
                <w:i/>
              </w:rPr>
              <w:t>tyytyväisenä</w:t>
            </w:r>
            <w:r>
              <w:t xml:space="preserve"> merkille EKP:n edistymisen digitaalista euroa koskevassa hankkeessa ja pitää myönteisenä sen jatkuvaa vuoropuhelua parlamentin kanssa; </w:t>
            </w:r>
            <w:r>
              <w:rPr>
                <w:b/>
                <w:i/>
              </w:rPr>
              <w:t>tuo esiin odotettuja hyötyjä, joita ovat muun muassa strategisen riippumattomuuden lisääntyminen, taloudellisen osallisuuden parantuminen ja verkon ulkopuolisen varamaksujärjestelmän saatavuus;</w:t>
            </w:r>
          </w:p>
        </w:tc>
        <w:tc>
          <w:tcPr>
            <w:tcW w:w="4876" w:type="dxa"/>
            <w:tcBorders>
              <w:top w:val="nil"/>
              <w:left w:val="nil"/>
              <w:bottom w:val="nil"/>
              <w:right w:val="nil"/>
            </w:tcBorders>
          </w:tcPr>
          <w:p>
            <w:pPr>
              <w:pStyle w:val="Normal6a"/>
            </w:pPr>
            <w:r>
              <w:t>20.</w:t>
            </w:r>
            <w:r>
              <w:tab/>
            </w:r>
            <w:r>
              <w:t>panee merkille EKP:n edistymisen digitaalista euroa koskevassa hankkeessa ja pitää myönteisenä sen jatkuvaa vuoropuhelua parlamentin kanssa;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w:t>
            </w:r>
            <w:r>
              <w:rPr>
                <w:b/>
                <w:i/>
              </w:rPr>
              <w:t>tuo esiin odotettuja hyötyjä, joita ovat muun muassa</w:t>
            </w:r>
            <w:r>
              <w:t xml:space="preserve"> strategisen riippumattomuuden </w:t>
            </w:r>
            <w:r>
              <w:rPr>
                <w:b/>
                <w:i/>
              </w:rPr>
              <w:t>lisääntyminen</w:t>
            </w:r>
            <w:r>
              <w:t xml:space="preserve">, taloudellisen osallisuuden </w:t>
            </w:r>
            <w:r>
              <w:rPr>
                <w:b/>
                <w:i/>
              </w:rPr>
              <w:t>parantuminen ja</w:t>
            </w:r>
            <w:r>
              <w:t xml:space="preserve"> verkon </w:t>
            </w:r>
            <w:r>
              <w:rPr>
                <w:b/>
                <w:i/>
              </w:rPr>
              <w:t>ulkopuolisen varamaksujärjestelmän saatavuus</w:t>
            </w:r>
            <w:r>
              <w:t>;</w:t>
            </w:r>
          </w:p>
        </w:tc>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w:t>
            </w:r>
            <w:r>
              <w:rPr>
                <w:b/>
                <w:i/>
              </w:rPr>
              <w:t>korostaa, että digitaalisen euron olisi tuotettava selkeää lisäarvoa Euroopan kansalaisille, mukaan lukien</w:t>
            </w:r>
            <w:r>
              <w:t xml:space="preserve"> strategisen riippumattomuuden </w:t>
            </w:r>
            <w:r>
              <w:rPr>
                <w:b/>
                <w:i/>
              </w:rPr>
              <w:t>lisääminen</w:t>
            </w:r>
            <w:r>
              <w:t xml:space="preserve">, taloudellisen osallisuuden </w:t>
            </w:r>
            <w:r>
              <w:rPr>
                <w:b/>
                <w:i/>
              </w:rPr>
              <w:t>parantaminen ja luotettava</w:t>
            </w:r>
            <w:r>
              <w:t xml:space="preserve"> verkon </w:t>
            </w:r>
            <w:r>
              <w:rPr>
                <w:b/>
                <w:i/>
              </w:rPr>
              <w:t>ulkopuolinen varamaksujärjestelmä, ja kehottaa EKP:tä tiedottamaan selkeästi näistä hyödyistä kansalaisten luottamuksen ja tietoisuuden lisäämiseksi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tuo esiin odotettuja hyötyjä, joita ovat muun muassa strategisen riippumattomuuden lisääntyminen, taloudellisen osallisuuden </w:t>
            </w:r>
            <w:r>
              <w:rPr>
                <w:b/>
                <w:i/>
              </w:rPr>
              <w:t>parantuminen</w:t>
            </w:r>
            <w:r>
              <w:t xml:space="preserve"> ja verkon ulkopuolisen varamaksujärjestelmän saatavuus;</w:t>
            </w:r>
          </w:p>
        </w:tc>
        <w:tc>
          <w:tcPr>
            <w:tcW w:w="4876" w:type="dxa"/>
            <w:tcBorders>
              <w:top w:val="nil"/>
              <w:left w:val="nil"/>
              <w:bottom w:val="nil"/>
              <w:right w:val="nil"/>
            </w:tcBorders>
          </w:tcPr>
          <w:p>
            <w:pPr>
              <w:pStyle w:val="Normal6a"/>
            </w:pPr>
            <w:r>
              <w:t>20.</w:t>
            </w:r>
            <w:r>
              <w:tab/>
            </w:r>
            <w:r>
              <w:t>panee tyytyväisenä merkille EKP:n edistymisen digitaalista euroa koskevassa hankkeessa ja pitää myönteisenä sen jatkuvaa vuoropuhelua parlamentin kanssa; tuo esiin odotettuja hyötyjä, joita ovat muun muassa strategisen riippumattomuuden lisääntyminen, </w:t>
            </w:r>
            <w:r>
              <w:rPr>
                <w:b/>
                <w:i/>
              </w:rPr>
              <w:t>vähittäismaksumarkkinoiden kilpailun lisääntyminen, mahdollisuus edistää innovointia maksu- ja rahoitusalalla,</w:t>
            </w:r>
            <w:r>
              <w:t xml:space="preserve"> taloudellisen osallisuuden </w:t>
            </w:r>
            <w:r>
              <w:rPr>
                <w:b/>
                <w:i/>
              </w:rPr>
              <w:t>parantaminen</w:t>
            </w:r>
            <w:r>
              <w:t xml:space="preserve"> ja verkon ulkopuolisen varamaksujärjestelmän saatavuus;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panee tyytyväisenä merkille EKP:n edistymisen</w:t>
            </w:r>
            <w:r>
              <w:t xml:space="preserve"> digitaalista euroa koskevassa hankkeessa ja </w:t>
            </w:r>
            <w:r>
              <w:rPr>
                <w:b/>
                <w:i/>
              </w:rPr>
              <w:t>pitää myönteisenä</w:t>
            </w:r>
            <w:r>
              <w:t xml:space="preserve"> sen jatkuvaa vuoropuhelua parlamentin kanssa; tuo esiin odotettuja hyötyjä, joita ovat muun muassa strategisen riippumattomuuden lisääntyminen, taloudellisen osallisuuden parantuminen ja verkon ulkopuolisen varamaksujärjestelmän saatavuus;</w:t>
            </w:r>
          </w:p>
        </w:tc>
        <w:tc>
          <w:tcPr>
            <w:tcW w:w="4876" w:type="dxa"/>
            <w:tcBorders>
              <w:top w:val="nil"/>
              <w:left w:val="nil"/>
              <w:bottom w:val="nil"/>
              <w:right w:val="nil"/>
            </w:tcBorders>
          </w:tcPr>
          <w:p>
            <w:pPr>
              <w:pStyle w:val="Normal6a"/>
            </w:pPr>
            <w:r>
              <w:t>20.</w:t>
            </w:r>
            <w:r>
              <w:tab/>
            </w:r>
            <w:r>
              <w:rPr>
                <w:b/>
                <w:i/>
              </w:rPr>
              <w:t>seuraa EKP:n edistymistä</w:t>
            </w:r>
            <w:r>
              <w:t xml:space="preserve"> digitaalista euroa koskevassa hankkeessa ja sen jatkuvaa vuoropuhelua parlamentin kanssa; tuo esiin odotettuja hyötyjä, joita ovat muun muassa strategisen riippumattomuuden lisääntyminen, taloudellisen osallisuuden parantuminen ja verkon ulkopuolisen varamaksujärjestelmän saatavuus;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tuo esiin odotettuja hyötyjä, joita ovat muun muassa </w:t>
            </w:r>
            <w:r>
              <w:rPr>
                <w:b/>
                <w:i/>
              </w:rPr>
              <w:t>strategisen riippumattomuuden</w:t>
            </w:r>
            <w:r>
              <w:t xml:space="preserve"> lisääntyminen</w:t>
            </w:r>
            <w:r>
              <w:rPr>
                <w:b/>
                <w:i/>
              </w:rPr>
              <w:t>, taloudellisen osallisuuden parantuminen ja verkon ulkopuolisen varamaksujärjestelmän saatavuus</w:t>
            </w:r>
            <w:r>
              <w:t>;</w:t>
            </w:r>
          </w:p>
        </w:tc>
        <w:tc>
          <w:tcPr>
            <w:tcW w:w="4876" w:type="dxa"/>
            <w:tcBorders>
              <w:top w:val="nil"/>
              <w:left w:val="nil"/>
              <w:bottom w:val="nil"/>
              <w:right w:val="nil"/>
            </w:tcBorders>
          </w:tcPr>
          <w:p>
            <w:pPr>
              <w:pStyle w:val="Normal6a"/>
            </w:pPr>
            <w:r>
              <w:t>20.</w:t>
            </w:r>
            <w:r>
              <w:tab/>
            </w:r>
            <w:r>
              <w:t xml:space="preserve">panee tyytyväisenä merkille EKP:n edistymisen digitaalista euroa koskevassa hankkeessa ja pitää myönteisenä sen jatkuvaa vuoropuhelua parlamentin kanssa; tuo esiin odotettuja hyötyjä, joita ovat muun muassa </w:t>
            </w:r>
            <w:r>
              <w:rPr>
                <w:b/>
                <w:i/>
              </w:rPr>
              <w:t>maksujärjestelmän häiriönsietokyvyn</w:t>
            </w:r>
            <w:r>
              <w:t xml:space="preserve"> lisääntyminen </w:t>
            </w:r>
            <w:r>
              <w:rPr>
                <w:b/>
                <w:i/>
              </w:rPr>
              <w:t>ja maksuttoman julkisen maksujärjestelmän syntyminen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painottaa, että digitaalinen euro on tuotava yleisesti saataville ja ettei sitä pidä typistää pelkäksi ”maksujärjestelmäksi”; vaatii siksi, että digitaalisen euron palveluja tuovat tarjolle monet erilaiset kaupalliset, julkiset ja voittoa tavoittelemattomat välittäjät liikepankkien tavallista toimialaa laajemmin;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katsoo, että digitaalisesta eurosta tulee menestystarina vain, jos se tarjoaa EU-kansalaisille konkreettista lisäarvoa, jonka he ymmärtävät;</w:t>
            </w:r>
            <w:r>
              <w:t xml:space="preserve"> </w:t>
            </w:r>
            <w:r>
              <w:rPr>
                <w:b/>
                <w:i/>
              </w:rPr>
              <w:t>panee merkille, että tällä hetkellä monet EU-kansalaiset joko eivät ole kuulleet digitaalista euroa koskevasta hankkeesta tai suhtautuvat siihen edelleen epäillen;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korostaa digitaalista euroa mahdollisena vaihtoehtoisena maksujärjestelmänä, joka voisi edistää kilpailua ja auttaa alentamaan kansalaisten ja yritysten transaktiokustannuksia;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katsoo, että päätös digitaalisen euron käyttöönotosta on viime kädessä poliittinen päätös, joka unionin lainsäätäjän on tehtävä;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toteaa jälleen, että digitaalisen euron olisi täydennettävä</w:t>
            </w:r>
            <w:r>
              <w:t xml:space="preserve"> fyysistä käteistä rahaa, että se ei saisi korvata käteistä kokonaan ja että käteisen olisi edelleen oltava jatkuvasti saatavilla;</w:t>
            </w:r>
          </w:p>
        </w:tc>
        <w:tc>
          <w:tcPr>
            <w:tcW w:w="4876" w:type="dxa"/>
            <w:tcBorders>
              <w:top w:val="nil"/>
              <w:left w:val="nil"/>
              <w:bottom w:val="nil"/>
              <w:right w:val="nil"/>
            </w:tcBorders>
          </w:tcPr>
          <w:p>
            <w:pPr>
              <w:pStyle w:val="Normal6a"/>
            </w:pPr>
            <w:r>
              <w:t>21.</w:t>
            </w:r>
            <w:r>
              <w:tab/>
            </w:r>
            <w:r>
              <w:rPr>
                <w:b/>
                <w:i/>
              </w:rPr>
              <w:t>korostaa, että fyysisen käteisen rahan on säilyttävä maksujärjestelmämme kulmakivenä ja että se on taloudellisen osallisuuden paras tae;</w:t>
            </w:r>
            <w:r>
              <w:t xml:space="preserve"> </w:t>
            </w:r>
            <w:r>
              <w:rPr>
                <w:b/>
                <w:i/>
              </w:rPr>
              <w:t>toteaa, että digitaalinen euro voi täydentää</w:t>
            </w:r>
            <w:r>
              <w:t xml:space="preserve"> fyysistä käteistä rahaa</w:t>
            </w:r>
            <w:r>
              <w:rPr>
                <w:b/>
                <w:i/>
              </w:rPr>
              <w:t>; korostaa</w:t>
            </w:r>
            <w:r>
              <w:t>, että se ei saisi korvata käteistä kokonaan ja että käteisen olisi edelleen oltava jatkuvasti saatavilla;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toteaa jälleen, että digitaalisen euron olisi täydennettävä fyysistä käteistä rahaa, että se ei saisi korvata käteistä kokonaan ja että käteisen olisi edelleen oltava jatkuvasti saatavilla;</w:t>
            </w:r>
          </w:p>
        </w:tc>
        <w:tc>
          <w:tcPr>
            <w:tcW w:w="4876" w:type="dxa"/>
            <w:tcBorders>
              <w:top w:val="nil"/>
              <w:left w:val="nil"/>
              <w:bottom w:val="nil"/>
              <w:right w:val="nil"/>
            </w:tcBorders>
          </w:tcPr>
          <w:p>
            <w:pPr>
              <w:pStyle w:val="Normal6a"/>
            </w:pPr>
            <w:r>
              <w:t>21.</w:t>
            </w:r>
            <w:r>
              <w:tab/>
            </w:r>
            <w:r>
              <w:t xml:space="preserve">toteaa jälleen, että digitaalisen euron olisi täydennettävä fyysistä käteistä rahaa, että se ei saisi korvata käteistä kokonaan ja että käteisen olisi edelleen oltava jatkuvasti saatavilla; </w:t>
            </w:r>
            <w:r>
              <w:rPr>
                <w:b/>
                <w:i/>
              </w:rPr>
              <w:t>suhtautuu tässä yhteydessä myönteisesti ehdotukseen asetukseksi eurokäteisen asemasta laillisena maksuvälineenä;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toteaa jälleen, että digitaalisen euron olisi täydennettävä fyysistä käteistä rahaa, että se ei saisi korvata käteistä kokonaan ja että käteisen olisi edelleen oltava jatkuvasti saatavilla;</w:t>
            </w:r>
          </w:p>
        </w:tc>
        <w:tc>
          <w:tcPr>
            <w:tcW w:w="4876" w:type="dxa"/>
            <w:tcBorders>
              <w:top w:val="nil"/>
              <w:left w:val="nil"/>
              <w:bottom w:val="nil"/>
              <w:right w:val="nil"/>
            </w:tcBorders>
          </w:tcPr>
          <w:p>
            <w:pPr>
              <w:pStyle w:val="Normal6a"/>
            </w:pPr>
            <w:r>
              <w:t>21.</w:t>
            </w:r>
            <w:r>
              <w:tab/>
            </w:r>
            <w:r>
              <w:t xml:space="preserve">toteaa jälleen, että digitaalisen euron olisi täydennettävä fyysistä käteistä rahaa, että se ei saisi korvata käteistä kokonaan ja että käteisen olisi edelleen oltava jatkuvasti </w:t>
            </w:r>
            <w:r>
              <w:rPr>
                <w:b/>
                <w:i/>
              </w:rPr>
              <w:t>laajasti</w:t>
            </w:r>
            <w:r>
              <w:t xml:space="preserve"> saatavilla;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toteaa jälleen, että digitaalisen euron olisi täydennettävä fyysistä käteistä rahaa, että se ei saisi korvata käteistä </w:t>
            </w:r>
            <w:r>
              <w:rPr>
                <w:b/>
                <w:i/>
              </w:rPr>
              <w:t>kokonaan</w:t>
            </w:r>
            <w:r>
              <w:t xml:space="preserve"> ja että käteisen olisi edelleen oltava jatkuvasti saatavilla;</w:t>
            </w:r>
          </w:p>
        </w:tc>
        <w:tc>
          <w:tcPr>
            <w:tcW w:w="4876" w:type="dxa"/>
            <w:tcBorders>
              <w:top w:val="nil"/>
              <w:left w:val="nil"/>
              <w:bottom w:val="nil"/>
              <w:right w:val="nil"/>
            </w:tcBorders>
          </w:tcPr>
          <w:p>
            <w:pPr>
              <w:pStyle w:val="Normal6a"/>
            </w:pPr>
            <w:r>
              <w:t>21.</w:t>
            </w:r>
            <w:r>
              <w:tab/>
            </w:r>
            <w:r>
              <w:t xml:space="preserve">toteaa jälleen, että digitaalisen euron olisi täydennettävä fyysistä käteistä rahaa, että se ei saisi korvata käteistä </w:t>
            </w:r>
            <w:r>
              <w:rPr>
                <w:b/>
                <w:i/>
              </w:rPr>
              <w:t>maksuvälineenä</w:t>
            </w:r>
            <w:r>
              <w:t xml:space="preserve"> ja että käteisen olisi edelleen oltava jatkuvasti saatavilla;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toteaa jälleen, että </w:t>
            </w:r>
            <w:r>
              <w:rPr>
                <w:b/>
                <w:i/>
              </w:rPr>
              <w:t>digitaalisen euron olisi täydennettävä</w:t>
            </w:r>
            <w:r>
              <w:t xml:space="preserve"> fyysistä käteistä rahaa, että se ei saisi korvata käteistä kokonaan ja että </w:t>
            </w:r>
            <w:r>
              <w:rPr>
                <w:b/>
                <w:i/>
              </w:rPr>
              <w:t>käteisen olisi</w:t>
            </w:r>
            <w:r>
              <w:t xml:space="preserve"> edelleen </w:t>
            </w:r>
            <w:r>
              <w:rPr>
                <w:b/>
                <w:i/>
              </w:rPr>
              <w:t>oltava</w:t>
            </w:r>
            <w:r>
              <w:t xml:space="preserve"> jatkuvasti saatavilla;</w:t>
            </w:r>
          </w:p>
        </w:tc>
        <w:tc>
          <w:tcPr>
            <w:tcW w:w="4876" w:type="dxa"/>
            <w:tcBorders>
              <w:top w:val="nil"/>
              <w:left w:val="nil"/>
              <w:bottom w:val="nil"/>
              <w:right w:val="nil"/>
            </w:tcBorders>
          </w:tcPr>
          <w:p>
            <w:pPr>
              <w:pStyle w:val="Normal6a"/>
            </w:pPr>
            <w:r>
              <w:t>21.</w:t>
            </w:r>
            <w:r>
              <w:tab/>
            </w:r>
            <w:r>
              <w:t xml:space="preserve">toteaa jälleen, että </w:t>
            </w:r>
            <w:r>
              <w:rPr>
                <w:b/>
                <w:i/>
              </w:rPr>
              <w:t>digitaalinen euro täydentää</w:t>
            </w:r>
            <w:r>
              <w:t xml:space="preserve"> fyysistä käteistä rahaa, että se ei saisi korvata käteistä kokonaan ja että </w:t>
            </w:r>
            <w:r>
              <w:rPr>
                <w:b/>
                <w:i/>
              </w:rPr>
              <w:t>käteistä on</w:t>
            </w:r>
            <w:r>
              <w:t xml:space="preserve"> edelleen jatkuvasti saatavilla;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toteaa jälleen, että digitaalisen euron olisi täydennettävä fyysistä käteistä rahaa, että se ei saisi korvata käteistä </w:t>
            </w:r>
            <w:r>
              <w:rPr>
                <w:b/>
                <w:i/>
              </w:rPr>
              <w:t>kokonaan</w:t>
            </w:r>
            <w:r>
              <w:t xml:space="preserve"> ja että käteisen olisi edelleen oltava jatkuvasti saatavilla;</w:t>
            </w:r>
          </w:p>
        </w:tc>
        <w:tc>
          <w:tcPr>
            <w:tcW w:w="4876" w:type="dxa"/>
            <w:tcBorders>
              <w:top w:val="nil"/>
              <w:left w:val="nil"/>
              <w:bottom w:val="nil"/>
              <w:right w:val="nil"/>
            </w:tcBorders>
          </w:tcPr>
          <w:p>
            <w:pPr>
              <w:pStyle w:val="Normal6a"/>
            </w:pPr>
            <w:r>
              <w:t>21.</w:t>
            </w:r>
            <w:r>
              <w:tab/>
            </w:r>
            <w:r>
              <w:t>toteaa jälleen, että digitaalisen euron olisi täydennettävä fyysistä käteistä rahaa, että se ei saisi korvata käteistä ja että käteisen olisi edelleen oltava jatkuvasti saatavilla;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toteaa </w:t>
            </w:r>
            <w:r>
              <w:rPr>
                <w:b/>
                <w:i/>
              </w:rPr>
              <w:t>jälleen</w:t>
            </w:r>
            <w:r>
              <w:t xml:space="preserve">, että digitaalisen euron olisi täydennettävä fyysistä käteistä rahaa, </w:t>
            </w:r>
            <w:r>
              <w:rPr>
                <w:b/>
                <w:i/>
              </w:rPr>
              <w:t>että se ei saisi korvata käteistä kokonaan ja että käteisen</w:t>
            </w:r>
            <w:r>
              <w:t xml:space="preserve"> olisi </w:t>
            </w:r>
            <w:r>
              <w:rPr>
                <w:b/>
                <w:i/>
              </w:rPr>
              <w:t>edelleen oltava jatkuvasti saatavilla</w:t>
            </w:r>
            <w:r>
              <w:t>;</w:t>
            </w:r>
          </w:p>
        </w:tc>
        <w:tc>
          <w:tcPr>
            <w:tcW w:w="4876" w:type="dxa"/>
            <w:tcBorders>
              <w:top w:val="nil"/>
              <w:left w:val="nil"/>
              <w:bottom w:val="nil"/>
              <w:right w:val="nil"/>
            </w:tcBorders>
          </w:tcPr>
          <w:p>
            <w:pPr>
              <w:pStyle w:val="Normal6a"/>
            </w:pPr>
            <w:r>
              <w:t>21.</w:t>
            </w:r>
            <w:r>
              <w:tab/>
            </w:r>
            <w:r>
              <w:t xml:space="preserve">toteaa, että digitaalisen euron </w:t>
            </w:r>
            <w:r>
              <w:rPr>
                <w:b/>
                <w:i/>
              </w:rPr>
              <w:t>käyttöönoton</w:t>
            </w:r>
            <w:r>
              <w:t xml:space="preserve"> olisi täydennettävä fyysistä käteistä rahaa, </w:t>
            </w:r>
            <w:r>
              <w:rPr>
                <w:b/>
                <w:i/>
              </w:rPr>
              <w:t>joka</w:t>
            </w:r>
            <w:r>
              <w:t xml:space="preserve"> olisi </w:t>
            </w:r>
            <w:r>
              <w:rPr>
                <w:b/>
                <w:i/>
              </w:rPr>
              <w:t>säilytettävä maksuvälineiden moninaisuuden varmistamiseksi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korostaa, että digitaalinen euro olisi suunniteltava siten, että turvataan meneillään olevat yksityisen sektorin investoinnit strategisilla aloilla, erityisesti niillä, joilla edistetään pikasiirtoja, kuten pikasiirtoja koskevassa asetuksessa (asetus 2024/866) todetaan;</w:t>
            </w:r>
            <w:r>
              <w:t xml:space="preserve"> </w:t>
            </w:r>
            <w:r>
              <w:rPr>
                <w:b/>
                <w:i/>
              </w:rPr>
              <w:t>korostaa lisäksi, että jotta näiden rahoituspalvelujen käyttäjille annetaan takeet, Euroopan ulkopuolisten yhteisöjen markkina-asemaa sekä loppukäyttäjiltä perittäviä lisämaksuja on vältettävä, kun otetaan huomioon tarve välttää monimutkaisuutta ja liiallisia kustannuksia;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korostaa, että digitaalista euroa koskevan hankkeen käytännön täytäntöönpanosta vastaavalle pankkialalle tarvitaan korvausmalli;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korostaa, että digitaalista euroa koskevan hankkeen käytännön täytäntöönpanosta vastaavalle pankkialalle tarvitaan korvausmalli;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korostaa, että </w:t>
            </w:r>
            <w:r>
              <w:rPr>
                <w:b/>
                <w:i/>
              </w:rPr>
              <w:t>digitaalista euroa koskevan hankkeen käytännön täytäntöönpanosta vastaavalle pankkialalle tarvitaan korvausmalli</w:t>
            </w:r>
            <w:r>
              <w:t>;</w:t>
            </w:r>
          </w:p>
        </w:tc>
        <w:tc>
          <w:tcPr>
            <w:tcW w:w="4876" w:type="dxa"/>
            <w:tcBorders>
              <w:top w:val="nil"/>
              <w:left w:val="nil"/>
              <w:bottom w:val="nil"/>
              <w:right w:val="nil"/>
            </w:tcBorders>
          </w:tcPr>
          <w:p>
            <w:pPr>
              <w:pStyle w:val="Normal6a"/>
            </w:pPr>
            <w:r>
              <w:t>22.</w:t>
            </w:r>
            <w:r>
              <w:tab/>
            </w:r>
            <w:r>
              <w:t xml:space="preserve">korostaa, että </w:t>
            </w:r>
            <w:r>
              <w:rPr>
                <w:b/>
                <w:i/>
              </w:rPr>
              <w:t>tarvitaan kustannusperusteinen korvausmalli, jossa pienten summien maksut jätetään laskelman ulkopuolelle;</w:t>
            </w:r>
            <w:r>
              <w:t xml:space="preserve"> </w:t>
            </w:r>
            <w:r>
              <w:rPr>
                <w:b/>
                <w:i/>
              </w:rPr>
              <w:t>muistuttaa, että korvausmallin on taattava käyttäjilleen maksuton euro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korostaa, että </w:t>
            </w:r>
            <w:r>
              <w:rPr>
                <w:b/>
                <w:i/>
              </w:rPr>
              <w:t>digitaalista euroa koskevan hankkeen käytännön täytäntöönpanosta vastaavalle pankkialalle</w:t>
            </w:r>
            <w:r>
              <w:t xml:space="preserve"> tarvitaan </w:t>
            </w:r>
            <w:r>
              <w:rPr>
                <w:b/>
                <w:i/>
              </w:rPr>
              <w:t>korvausmalli</w:t>
            </w:r>
            <w:r>
              <w:t>;</w:t>
            </w:r>
          </w:p>
        </w:tc>
        <w:tc>
          <w:tcPr>
            <w:tcW w:w="4876" w:type="dxa"/>
            <w:tcBorders>
              <w:top w:val="nil"/>
              <w:left w:val="nil"/>
              <w:bottom w:val="nil"/>
              <w:right w:val="nil"/>
            </w:tcBorders>
          </w:tcPr>
          <w:p>
            <w:pPr>
              <w:pStyle w:val="Normal6a"/>
            </w:pPr>
            <w:r>
              <w:t>22.</w:t>
            </w:r>
            <w:r>
              <w:tab/>
            </w:r>
            <w:r>
              <w:t xml:space="preserve">korostaa, että </w:t>
            </w:r>
            <w:r>
              <w:rPr>
                <w:b/>
                <w:i/>
              </w:rPr>
              <w:t>digitaalisen euron potentiaali häviää, jos digitaalinen euro on käytettävissä vain yksityisten välittäjien kautta;</w:t>
            </w:r>
            <w:r>
              <w:t xml:space="preserve"> </w:t>
            </w:r>
            <w:r>
              <w:rPr>
                <w:b/>
                <w:i/>
              </w:rPr>
              <w:t>korostaa, että</w:t>
            </w:r>
            <w:r>
              <w:t xml:space="preserve"> tarvitaan </w:t>
            </w:r>
            <w:r>
              <w:rPr>
                <w:b/>
                <w:i/>
              </w:rPr>
              <w:t>julkinen digitaalinen euro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Auke Zijlstra,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epäilee EKP:n väitettä, jonka mukaan se voi tarjota maksupalvelujaan kauppiaille edullisemmin kuin yksityiset toimijat, erityisesti siksi, että EKP ei ole toistaiseksi selvittänyt kustannusrakennettaan;</w:t>
            </w:r>
            <w:r>
              <w:t xml:space="preserve"> </w:t>
            </w:r>
            <w:r>
              <w:rPr>
                <w:b/>
                <w:i/>
              </w:rPr>
              <w:t>korostaa, että vaikka EKP:n tehtävään ei sisälly voittoa tavoittelevaa toimintaa, EKP ei ole voittoa tavoittelematon organisaatio, ja että mahdolliset voitot jaetaan vuosittain EKP:n osakkaille eli kansallisille keskuspankeille, ja toteaa, että jos digitaalisiin euromääräisiin maksuihin sovelletaan alhaisempia palkkioita, se vaikuttaa haitallisesti kansallisille keskuspankeille jaettaviin voittoihin;</w:t>
            </w:r>
            <w:r>
              <w:t xml:space="preserve"> </w:t>
            </w:r>
            <w:r>
              <w:rPr>
                <w:b/>
                <w:i/>
              </w:rPr>
              <w:t>korostaa, että EKP jakaa mahdolliset voittonsa ainoastaan osakkailleen eikä käytä niitä palvelujensa markkinahintojen subventoimiseen;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muistuttaa, että digitaalisten eurojen saldorajoitukset ovat tärkeitä, jotta ei aiheuteta lisäriskejä pankkien taseille etenkään kriisitilanteissa;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kehottaa EKP:tä ottamaan asianmukaisesti huomioon digitaaliseen euroon liittyvät yksityisyyttä koskevat huolenaiheet </w:t>
            </w:r>
            <w:r>
              <w:rPr>
                <w:b/>
                <w:i/>
              </w:rPr>
              <w:t>ja</w:t>
            </w:r>
            <w:r>
              <w:t xml:space="preserve"> korostaa, että sen kehittämisestä olisi tultava muille rahoituslaitoksille yksityisyyttä koskeva ensisijainen standardi;</w:t>
            </w:r>
          </w:p>
        </w:tc>
        <w:tc>
          <w:tcPr>
            <w:tcW w:w="4876" w:type="dxa"/>
            <w:tcBorders>
              <w:top w:val="nil"/>
              <w:left w:val="nil"/>
              <w:bottom w:val="nil"/>
              <w:right w:val="nil"/>
            </w:tcBorders>
          </w:tcPr>
          <w:p>
            <w:pPr>
              <w:pStyle w:val="Normal6a"/>
            </w:pPr>
            <w:r>
              <w:t>23.</w:t>
            </w:r>
            <w:r>
              <w:tab/>
            </w:r>
            <w:r>
              <w:t xml:space="preserve">kehottaa EKP:tä ottamaan asianmukaisesti huomioon digitaaliseen euroon liittyvät </w:t>
            </w:r>
            <w:r>
              <w:rPr>
                <w:b/>
                <w:i/>
              </w:rPr>
              <w:t>keskeiset</w:t>
            </w:r>
            <w:r>
              <w:t xml:space="preserve"> yksityisyyttä koskevat huolenaiheet </w:t>
            </w:r>
            <w:r>
              <w:rPr>
                <w:b/>
                <w:i/>
              </w:rPr>
              <w:t>noudattaen kaikilta osin yleistä tietosuoja-asetusta, ihmisoikeuksien yleismaailmallisen julistuksen 12 artiklaa, Euroopan ihmisoikeussopimuksen 8 artiklaa ja Euroopan unionin perusoikeuskirjan 7 artiklan 1 kohtaa;</w:t>
            </w:r>
            <w:r>
              <w:t xml:space="preserve"> </w:t>
            </w:r>
            <w:r>
              <w:rPr>
                <w:b/>
                <w:i/>
              </w:rPr>
              <w:t>vaatii, että perusoikeuskirjan 7 artiklan 2 kohdassa säädettyjä poikkeuksia henkilötietojen suojaa koskevaan oikeuteen ei sovelleta EKP:hen ja pankkisektoriin niiden tietojen osalta, jotka on kerätty digitaalisella eurolla suoritettavien transaktioiden yhteydessä;</w:t>
            </w:r>
            <w:r>
              <w:t xml:space="preserve"> korostaa, että sen kehittämisestä olisi tultava muille rahoituslaitoksille yksityisyyttä koskeva ensisijainen standardi; </w:t>
            </w:r>
            <w:r>
              <w:rPr>
                <w:b/>
                <w:i/>
              </w:rPr>
              <w:t>kehottaa antamaan kansallisille tietosuojaviranomaisille valtuudet valvoa EKP:n tietosuojajärjestelmää, mukaan luettuna kansallisten tietosuojajärjestelmien noudattamisen arviointi omien asukkaidensa digitaalisen euron lompakoiden osalta;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kehottaa EKP:tä </w:t>
            </w:r>
            <w:r>
              <w:rPr>
                <w:b/>
                <w:i/>
              </w:rPr>
              <w:t>ottamaan asianmukaisesti huomioon</w:t>
            </w:r>
            <w:r>
              <w:t xml:space="preserve"> digitaaliseen euroon liittyvät </w:t>
            </w:r>
            <w:r>
              <w:rPr>
                <w:b/>
                <w:i/>
              </w:rPr>
              <w:t>yksityisyyttä koskevat huolenaiheet ja korostaa, että sen kehittämisestä olisi tultava muille rahoituslaitoksille yksityisyyttä koskeva ensisijainen standardi</w:t>
            </w:r>
            <w:r>
              <w:t>;</w:t>
            </w:r>
          </w:p>
        </w:tc>
        <w:tc>
          <w:tcPr>
            <w:tcW w:w="4876" w:type="dxa"/>
            <w:tcBorders>
              <w:top w:val="nil"/>
              <w:left w:val="nil"/>
              <w:bottom w:val="nil"/>
              <w:right w:val="nil"/>
            </w:tcBorders>
          </w:tcPr>
          <w:p>
            <w:pPr>
              <w:pStyle w:val="Normal6a"/>
            </w:pPr>
            <w:r>
              <w:t>23.</w:t>
            </w:r>
            <w:r>
              <w:tab/>
            </w:r>
            <w:r>
              <w:t xml:space="preserve">kehottaa EKP:tä </w:t>
            </w:r>
            <w:r>
              <w:rPr>
                <w:b/>
                <w:i/>
              </w:rPr>
              <w:t>asettamaan etusijalle</w:t>
            </w:r>
            <w:r>
              <w:t xml:space="preserve"> digitaaliseen euroon liittyvät </w:t>
            </w:r>
            <w:r>
              <w:rPr>
                <w:b/>
                <w:i/>
              </w:rPr>
              <w:t>tiukat yksityisyyden suojatoimet, joilla tehdään niistä yksityisyyden suojaa koskeva ensisijainen standardi koko rahoitusalalla, jotta voidaan turvata kansalaisten luottamus ja käsitellä heidän tietosuojaa ja riippumattomuutta koskevia huolenaiheitaan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kehottaa EKP:tä ottamaan asianmukaisesti huomioon digitaaliseen euroon liittyvät yksityisyyttä koskevat huolenaiheet ja korostaa, että sen kehittämisestä olisi tultava muille rahoituslaitoksille yksityisyyttä koskeva ensisijainen standardi;</w:t>
            </w:r>
          </w:p>
        </w:tc>
        <w:tc>
          <w:tcPr>
            <w:tcW w:w="4876" w:type="dxa"/>
            <w:tcBorders>
              <w:top w:val="nil"/>
              <w:left w:val="nil"/>
              <w:bottom w:val="nil"/>
              <w:right w:val="nil"/>
            </w:tcBorders>
          </w:tcPr>
          <w:p>
            <w:pPr>
              <w:pStyle w:val="Normal6a"/>
            </w:pPr>
            <w:r>
              <w:t>23.</w:t>
            </w:r>
            <w:r>
              <w:tab/>
            </w:r>
            <w:r>
              <w:t xml:space="preserve">kehottaa EKP:tä ottamaan asianmukaisesti huomioon digitaaliseen euroon liittyvät yksityisyyttä koskevat huolenaiheet ja korostaa, että sen kehittämisestä olisi tultava muille rahoituslaitoksille yksityisyyttä </w:t>
            </w:r>
            <w:r>
              <w:rPr>
                <w:b/>
                <w:i/>
              </w:rPr>
              <w:t>ja anonymiteettia </w:t>
            </w:r>
            <w:r>
              <w:t>koskeva ensisijainen standardi;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yhtyy EKP:n huoleen pankkien ulkopuolisen rahoitussektorin kasvusta ja sen mahdollisesti aiheuttamasta riskistä rahoitusvakaudelle;</w:t>
            </w:r>
            <w:r>
              <w:t xml:space="preserve"> </w:t>
            </w:r>
            <w:r>
              <w:rPr>
                <w:b/>
                <w:i/>
              </w:rPr>
              <w:t>kehottaa EKP:tä tehostamaan seurantaansa, mitä tulee kryptovaluuttojen kehittämiseen ja siihen liittyviin riskeihin sekä uusiin uhkiin, jotka koskevat kyberturvallisuutta, rahanpesua, terrorismin rahoitusta ja muuta rikollista toimintaa;</w:t>
            </w:r>
            <w:r>
              <w:t xml:space="preserve"> </w:t>
            </w:r>
            <w:r>
              <w:rPr>
                <w:b/>
                <w:i/>
              </w:rPr>
              <w:t>painottaa, että alalle vaaditaan asianmukaista sääntelyä;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vaatii, että päätöstä digitaalisen euron käyttöönotosta ei saisi tehdä yksinomaan EKP:n neuvosto;</w:t>
            </w:r>
            <w:r>
              <w:t xml:space="preserve"> </w:t>
            </w:r>
            <w:r>
              <w:rPr>
                <w:b/>
                <w:i/>
              </w:rPr>
              <w:t>korostaa, että kyseessä on oltava komission, Euroopan parlamentin ja neuvoston yhteisymmärryksessä tekemä päätös, koska sillä voi olla kauaskantoisia seurauksia finanssipolitiikkaan ja koska se ei rajoitu pelkästään rahapolitiikkaan;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muistuttaa, että EKP:n on kuunneltava ja kunnioitettava Euroopan parlamenttia ja sen päätöksiä Euroopan kansalaisten edustajana ja oltava valmis jäädyttämään digitaalista euroa koskeva hanke, jos sen toteutusvaiheen aloittaminen ei saa riittävästi tukea;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kehottaa EKP:tä edistämään määrätietoisesti digitaalista euroa koskevaa hanketta;</w:t>
            </w:r>
            <w:r>
              <w:t xml:space="preserve"> </w:t>
            </w:r>
            <w:r>
              <w:rPr>
                <w:b/>
                <w:i/>
              </w:rPr>
              <w:t>korostaa, että digitaalisen euron käytön on oltava maksutonta, sillä se on julkinen hyödyke,</w:t>
            </w:r>
            <w:r>
              <w:t xml:space="preserve"> </w:t>
            </w:r>
            <w:r>
              <w:rPr>
                <w:b/>
                <w:i/>
              </w:rPr>
              <w:t>joka on saatavilla julkisten välittäjien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kehottaa EKP:tä ottamaan asianmukaisesti huomioon digitaalisen euron käyttöönotosta johtuvat rahoitusvakauteen liittyvät huolenaiheet ja mahdolliset muutokset rahoitusalan rakenteessa;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kehottaa EKP:tä käynnistämään yhdessä parlamentin kanssa digitaalista euroa koskevan laajan tiedotuskampanjan, jotta voidaan hälventää kansalaisten huolta;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w:t>
            </w:r>
            <w:r>
              <w:tab/>
            </w:r>
            <w:r>
              <w:rPr>
                <w:b/>
                <w:i/>
              </w:rPr>
              <w:t>kehottaa EKP:tä keskittymään uudelleen digitaalisiin maksuihin, jotta unioni voi ottaa kansainvälisen johtoaseman tukkumaksuihin tarkoitetun digitaalisen valuutan luomisessa keinona edistää talouden digitalisoitumista, parantaa pääomamarkkinoiden tehokkuutta ja syvyyttä sekä vahvistaa euron kansainvälistä asemaa;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kehottaa EKP:tä olemaan </w:t>
            </w:r>
            <w:r>
              <w:rPr>
                <w:b/>
                <w:i/>
              </w:rPr>
              <w:t>tekemättä päätöksiä poliittisin perustein ja pitäytymään hintavakauden ylläpitämistä koskevassa toimeksiannossaan</w:t>
            </w:r>
            <w:r>
              <w:t xml:space="preserve">; korostaa, että tämän </w:t>
            </w:r>
            <w:r>
              <w:rPr>
                <w:b/>
                <w:i/>
              </w:rPr>
              <w:t>toimeksiannon mukaisten valtuuksien ylittäminen vaikuttaa EKP:n poliittiseen riippumattomuuteen</w:t>
            </w:r>
            <w:r>
              <w:t>;</w:t>
            </w:r>
          </w:p>
        </w:tc>
        <w:tc>
          <w:tcPr>
            <w:tcW w:w="4876" w:type="dxa"/>
            <w:tcBorders>
              <w:top w:val="nil"/>
              <w:left w:val="nil"/>
              <w:bottom w:val="nil"/>
              <w:right w:val="nil"/>
            </w:tcBorders>
          </w:tcPr>
          <w:p>
            <w:pPr>
              <w:pStyle w:val="Normal6a"/>
            </w:pPr>
            <w:r>
              <w:t>24.</w:t>
            </w:r>
            <w:r>
              <w:tab/>
            </w:r>
            <w:r>
              <w:t xml:space="preserve">kehottaa EKP:tä olemaan </w:t>
            </w:r>
            <w:r>
              <w:rPr>
                <w:b/>
                <w:i/>
              </w:rPr>
              <w:t>toteuttamatta poliittisia toimia;</w:t>
            </w:r>
            <w:r>
              <w:t xml:space="preserve"> </w:t>
            </w:r>
            <w:r>
              <w:rPr>
                <w:b/>
                <w:i/>
              </w:rPr>
              <w:t>korostaa, että SEUT-sopimuksen 127 artiklassa kehotetaan EKP:tä tukemaan yleistä talouspolitiikkaa unionissa osallistuakseen SEU-sopimuksen 3 artiklassa määriteltyjen unionin tavoitteiden saavuttamiseen</w:t>
            </w:r>
            <w:r>
              <w:t xml:space="preserve">; korostaa, että tämän </w:t>
            </w:r>
            <w:r>
              <w:rPr>
                <w:b/>
                <w:i/>
              </w:rPr>
              <w:t>”tukitoimeksiannon” noudattaminen on EKP:n johtokunnan jäsenen Frank Eldersonin sanoin EKP:lle ”velvollisuus, ei vaihtoehto”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kehottaa EKP:tä olemaan tekemättä päätöksiä poliittisin perustein ja pitäytymään hintavakauden ylläpitämistä koskevassa toimeksiannossaan; </w:t>
            </w:r>
            <w:r>
              <w:rPr>
                <w:b/>
                <w:i/>
              </w:rPr>
              <w:t>korostaa, että tämän toimeksiannon mukaisten valtuuksien ylittäminen vaikuttaa EKP</w:t>
            </w:r>
            <w:r>
              <w:t>:</w:t>
            </w:r>
            <w:r>
              <w:rPr>
                <w:b/>
                <w:i/>
              </w:rPr>
              <w:t>n poliittiseen riippumattomuuteen</w:t>
            </w:r>
            <w:r>
              <w:t>;</w:t>
            </w:r>
          </w:p>
        </w:tc>
        <w:tc>
          <w:tcPr>
            <w:tcW w:w="4876" w:type="dxa"/>
            <w:tcBorders>
              <w:top w:val="nil"/>
              <w:left w:val="nil"/>
              <w:bottom w:val="nil"/>
              <w:right w:val="nil"/>
            </w:tcBorders>
          </w:tcPr>
          <w:p>
            <w:pPr>
              <w:pStyle w:val="Normal6a"/>
            </w:pPr>
            <w:r>
              <w:t>24.</w:t>
            </w:r>
            <w:r>
              <w:tab/>
            </w:r>
            <w:r>
              <w:t xml:space="preserve">kehottaa EKP:tä olemaan tekemättä päätöksiä poliittisin perustein ja pitäytymään hintavakauden ylläpitämistä koskevassa toimeksiannossaan; </w:t>
            </w:r>
            <w:r>
              <w:rPr>
                <w:b/>
                <w:i/>
              </w:rPr>
              <w:t>toteaa, että EKP voi tarvittaessa tarkastella päätöstensä vaikutusta talouskasvuun ja työllisyyteen EU</w:t>
            </w:r>
            <w:r>
              <w:t>:</w:t>
            </w:r>
            <w:r>
              <w:rPr>
                <w:b/>
                <w:i/>
              </w:rPr>
              <w:t>ssa niin, että samalla vältetään kajoamasta jäsenvaltioille varattuun finanssipolitiikan alaan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kehottaa EKP:tä </w:t>
            </w:r>
            <w:r>
              <w:rPr>
                <w:b/>
                <w:i/>
              </w:rPr>
              <w:t>olemaan tekemättä päätöksiä poliittisin perustein ja pitäytymään hintavakauden ylläpitämistä koskevassa toimeksiannossaan;</w:t>
            </w:r>
            <w:r>
              <w:t xml:space="preserve"> </w:t>
            </w:r>
            <w:r>
              <w:rPr>
                <w:b/>
                <w:i/>
              </w:rPr>
              <w:t>korostaa, että tämän toimeksiannon mukaisten valtuuksien ylittäminen vaikuttaa EKP:n poliittiseen riippumattomuuteen</w:t>
            </w:r>
            <w:r>
              <w:t>;</w:t>
            </w:r>
          </w:p>
        </w:tc>
        <w:tc>
          <w:tcPr>
            <w:tcW w:w="4876" w:type="dxa"/>
            <w:tcBorders>
              <w:top w:val="nil"/>
              <w:left w:val="nil"/>
              <w:bottom w:val="nil"/>
              <w:right w:val="nil"/>
            </w:tcBorders>
          </w:tcPr>
          <w:p>
            <w:pPr>
              <w:pStyle w:val="Normal6a"/>
            </w:pPr>
            <w:r>
              <w:t>24.</w:t>
            </w:r>
            <w:r>
              <w:tab/>
            </w:r>
            <w:r>
              <w:t xml:space="preserve">kehottaa EKP:tä </w:t>
            </w:r>
            <w:r>
              <w:rPr>
                <w:b/>
                <w:i/>
              </w:rPr>
              <w:t>tukemaan unionin yleisiä talouspoliittisia tavoitteita, kuten täystyöllisyyttä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kehottaa EKP:tä </w:t>
            </w:r>
            <w:r>
              <w:rPr>
                <w:b/>
                <w:i/>
              </w:rPr>
              <w:t>olemaan tekemättä päätöksiä poliittisin perustein ja</w:t>
            </w:r>
            <w:r>
              <w:t xml:space="preserve"> pitäytymään hintavakauden ylläpitämistä koskevassa toimeksiannossaan</w:t>
            </w:r>
            <w:r>
              <w:rPr>
                <w:b/>
                <w:i/>
              </w:rPr>
              <w:t>;</w:t>
            </w:r>
            <w:r>
              <w:t xml:space="preserve"> </w:t>
            </w:r>
            <w:r>
              <w:rPr>
                <w:b/>
                <w:i/>
              </w:rPr>
              <w:t>korostaa, että tämän toimeksiannon mukaisten valtuuksien ylittäminen vaikuttaa EKP:n poliittiseen riippumattomuuteen</w:t>
            </w:r>
            <w:r>
              <w:t>;</w:t>
            </w:r>
          </w:p>
        </w:tc>
        <w:tc>
          <w:tcPr>
            <w:tcW w:w="4876" w:type="dxa"/>
            <w:tcBorders>
              <w:top w:val="nil"/>
              <w:left w:val="nil"/>
              <w:bottom w:val="nil"/>
              <w:right w:val="nil"/>
            </w:tcBorders>
          </w:tcPr>
          <w:p>
            <w:pPr>
              <w:pStyle w:val="Normal6a"/>
            </w:pPr>
            <w:r>
              <w:t>24.</w:t>
            </w:r>
            <w:r>
              <w:tab/>
            </w:r>
            <w:r>
              <w:t xml:space="preserve">kehottaa EKP:tä pitäytymään hintavakauden ylläpitämistä koskevassa toimeksiannossaan </w:t>
            </w:r>
            <w:r>
              <w:rPr>
                <w:b/>
                <w:i/>
              </w:rPr>
              <w:t>ja toteuttamaan samalla toissijaista toimeksiantoaan SEUT-sopimuksen 3 artiklan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kehottaa EKP:tä olemaan tekemättä päätöksiä poliittisin perustein ja </w:t>
            </w:r>
            <w:r>
              <w:rPr>
                <w:b/>
                <w:i/>
              </w:rPr>
              <w:t>pitäytymään</w:t>
            </w:r>
            <w:r>
              <w:t xml:space="preserve"> hintavakauden ylläpitämistä </w:t>
            </w:r>
            <w:r>
              <w:rPr>
                <w:b/>
                <w:i/>
              </w:rPr>
              <w:t>koskevassa toimeksiannossaan;</w:t>
            </w:r>
            <w:r>
              <w:t xml:space="preserve"> </w:t>
            </w:r>
            <w:r>
              <w:rPr>
                <w:b/>
                <w:i/>
              </w:rPr>
              <w:t>korostaa, että tämän toimeksiannon mukaisten valtuuksien ylittäminen vaikuttaa EKP:n poliittiseen riippumattomuuteen</w:t>
            </w:r>
            <w:r>
              <w:t>;</w:t>
            </w:r>
          </w:p>
        </w:tc>
        <w:tc>
          <w:tcPr>
            <w:tcW w:w="4876" w:type="dxa"/>
            <w:tcBorders>
              <w:top w:val="nil"/>
              <w:left w:val="nil"/>
              <w:bottom w:val="nil"/>
              <w:right w:val="nil"/>
            </w:tcBorders>
          </w:tcPr>
          <w:p>
            <w:pPr>
              <w:pStyle w:val="Normal6a"/>
            </w:pPr>
            <w:r>
              <w:t>24.</w:t>
            </w:r>
            <w:r>
              <w:tab/>
            </w:r>
            <w:r>
              <w:t xml:space="preserve">kehottaa EKP:tä olemaan tekemättä päätöksiä poliittisin perustein ja </w:t>
            </w:r>
            <w:r>
              <w:rPr>
                <w:b/>
                <w:i/>
              </w:rPr>
              <w:t>olemaan vaarantamatta</w:t>
            </w:r>
            <w:r>
              <w:t xml:space="preserve"> hintavakauden ylläpitämistä </w:t>
            </w:r>
            <w:r>
              <w:rPr>
                <w:b/>
                <w:i/>
              </w:rPr>
              <w:t>koskevaa toimeksiantoaan, kun se edistää toissijaisia tavoitteitaan,</w:t>
            </w:r>
            <w:r>
              <w:t xml:space="preserve"> </w:t>
            </w:r>
            <w:r>
              <w:rPr>
                <w:b/>
                <w:i/>
              </w:rPr>
              <w:t>mikä on EKP:n poliittisen riippumattomuuden mukaista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panee merkille, että EKP toteaa kertomuksessaan, että vihreää siirtymää koskevaan toimintapolitiikkaan liittyvät maailmanlaajuiset päätökset vaikuttavat myös euroalueen talouden kilpailukykyyn;</w:t>
            </w:r>
            <w:r>
              <w:t xml:space="preserve"> </w:t>
            </w:r>
            <w:r>
              <w:rPr>
                <w:b/>
                <w:i/>
              </w:rPr>
              <w:t>kehottaa EKP:tä huomauttamaan, että Euroopan unionin vihreä politiikka haittaa euroalueen talouden kilpailukykyä;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kunnioittaa EKP:n riippumattomuutta ja kehottaa sitä puuttumaan markkinoiden toimintapuutteisiin ja varmistamaan resurssien tehokkaan kohdentamisen pitkällä aikavälillä pysyen samalla mahdollisimman epäpoliittisena ja kunnioittaen useissa tapauksissa markkinoiden neutraaliuden periaatetta;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Bruno Gonçalves, Carla Tavares,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pitää erittäin valitettavana, että EKP on edelleen poikkeus keskuspankkien keskuudessa, koska se ei sisällytä ensisijaiseen tehtäväänsä pyrkimystä täystyöllisyyteen;</w:t>
            </w:r>
            <w:r>
              <w:t xml:space="preserve"> </w:t>
            </w:r>
            <w:r>
              <w:rPr>
                <w:b/>
                <w:i/>
              </w:rPr>
              <w:t>kehottaa tarkistamaan sitä, jotta varmistetaan, että rahapolitiikka on sosiaalisesti tasapainoista;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korostaa, että EKP:n toissijaista tehtävää, joka on jäsenvaltioiden talouspolitiikan tukeminen, olisi sovellettava vain sillä ehdottomalla edellytyksellä, että se on täyttänyt ensisijaisen hintavakautta koskevan tehtävänsä;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korostaa, että vaikka EKP:n ensisijainen tavoite on hintatason vakaus, EKP:n on otettava huomioon ympäristöön liittyvät, sosiaaliset ja taloudelliset kestävyystavoitteet toissijaisen tehtävänsä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palauttaa mieliin, että SEUT-sopimuksessa edellytetään EKP:n tukevan SEU-sopimuksen 3 artiklassa määriteltyä yleistä talouspolitiikkaa unionissa, sanotun kuitenkaan rajoittamatta hintatason vakauden tavoitetta;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w:t>
            </w:r>
            <w:r>
              <w:tab/>
            </w:r>
            <w:r>
              <w:rPr>
                <w:b/>
                <w:i/>
              </w:rPr>
              <w:t>muistuttaa, että EKP:n ei pitäisi ryhtyä toimenpiteisiin, jotka vahingoittavat euroalueen kilpailukykyä globaalin vihreän politiikan nimissä, sillä EKP:n tehtävänä on turvata hintavakaus, eikä se saisi vaarantaa sitä ydintehtävänsä ulkopuolisilla tavoitteilla;</w:t>
            </w:r>
            <w:r>
              <w:t xml:space="preserve"> </w:t>
            </w:r>
            <w:r>
              <w:rPr>
                <w:b/>
                <w:i/>
              </w:rPr>
              <w:t>toistaa, että vihreän politiikan hallinnointi olisi jätettävä EU:n muille toimijoille ja että EKP:n päätökset eivät saisi vaikuttaa kilpailukykyyn, talouskasvuun ja markkinoiden tehokkuuteen;</w:t>
            </w:r>
            <w:r>
              <w:t xml:space="preserve"> </w:t>
            </w:r>
            <w:r>
              <w:rPr>
                <w:b/>
                <w:i/>
              </w:rPr>
              <w:t>kehottaa suojelemaan kilpailukykyä vauraan ja vapaan talousympäristön varmistamiseksi;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w:t>
            </w:r>
            <w:r>
              <w:tab/>
            </w:r>
            <w:r>
              <w:rPr>
                <w:b/>
                <w:i/>
              </w:rPr>
              <w:t>suhtautuu myönteisesti EKP:n toimiin eurojärjestelmän riskinarviointivälineiden ja -valmiuksien parantamiseksi edelleen, jotta ilmastoon ja ympäristöön liittyvät riskit voidaan ottaa paremmin huomioon erityisesti siksi, että ilmastonmuutos ja äärimmäiset sääilmiöt voivat lisätä hintojen epävakautta etenkin maatalouselintarvikealalla;</w:t>
            </w:r>
            <w:r>
              <w:t xml:space="preserve"> </w:t>
            </w:r>
            <w:r>
              <w:rPr>
                <w:b/>
                <w:i/>
              </w:rPr>
              <w:t>kehottaa EKP:tä jatkamaan sellaisia ilmastoriskien stressitestejä koskevaa työtään, jotka on kehitetty pankkien ja yritysten häiriönsietokyvyn arvioimiseksi ilmastonmuutokseen liittyvän riskin varalta;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w:t>
            </w:r>
            <w:r>
              <w:tab/>
            </w:r>
            <w:r>
              <w:rPr>
                <w:b/>
                <w:i/>
              </w:rPr>
              <w:t>korostaa, että asianmukaiset talletusrajat ovat ratkaisevan tärkeitä digitaalisen euron edistämiseksi ja että samalla liiketoimien volyymille on asetettava yläraja ennalta määrättyjen aikarajojen ja absoluuttisten arvojen puitteissa;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painottaa, että EKP:n toissijaiset tavoitteet saavutetaan parhaiten, kun vapaat markkinat toimivat ennustettavissa oleviin hintatasoihin perustuvassa vakaassa makrotaloudellisessa ympäristössä, joka kannustaa investointeihin;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painottaa, että EKP:n toissijaiset tavoitteet saavutetaan parhaiten, kun vapaat markkinat toimivat ennustettavissa oleviin hintatasoihin perustuvassa vakaassa makrotaloudellisessa ympäristössä, joka kannustaa investointeihin;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painottaa, että EKP:n toissijaiset tavoitteet saavutetaan parhaiten, kun vapaat markkinat toimivat ennustettavissa oleviin hintatasoihin perustuvassa vakaassa makrotaloudellisessa ympäristössä, joka kannustaa investointeihin;</w:t>
            </w:r>
          </w:p>
        </w:tc>
        <w:tc>
          <w:tcPr>
            <w:tcW w:w="4876" w:type="dxa"/>
            <w:tcBorders>
              <w:top w:val="nil"/>
              <w:left w:val="nil"/>
              <w:bottom w:val="nil"/>
              <w:right w:val="nil"/>
            </w:tcBorders>
          </w:tcPr>
          <w:p>
            <w:pPr>
              <w:pStyle w:val="Normal6a"/>
            </w:pPr>
            <w:r>
              <w:t>25.</w:t>
            </w:r>
            <w:r>
              <w:tab/>
            </w:r>
            <w:r>
              <w:t xml:space="preserve">painottaa, että EKP:n toissijaiset tavoitteet saavutetaan parhaiten, kun vapaat markkinat toimivat ennustettavissa oleviin hintatasoihin perustuvassa vakaassa makrotaloudellisessa ympäristössä, joka kannustaa investointeihin; </w:t>
            </w:r>
            <w:r>
              <w:rPr>
                <w:b/>
                <w:i/>
              </w:rPr>
              <w:t>korostaa siksi tarvetta vähentää riippuvuuttamme fossiilisista tuontipolttoaineista;</w:t>
            </w:r>
            <w:r>
              <w:t xml:space="preserve"> </w:t>
            </w:r>
            <w:r>
              <w:rPr>
                <w:b/>
                <w:i/>
              </w:rPr>
              <w:t>korostaa, että unionissa tuotettu puhdas energia vähentäisi EU:n talouden altistumista energiaan liittyville ulkoisille häiriöille ja edistäisi yleisesti EKP:n hintavakautta koskevaa toimeksiantoa;</w:t>
            </w:r>
            <w:r>
              <w:t xml:space="preserve"> </w:t>
            </w:r>
            <w:r>
              <w:rPr>
                <w:b/>
                <w:i/>
              </w:rPr>
              <w:t>tiedostaa tässä yhteydessä, että unionissa tuotetun puhtaan energian hinta todennäköisesti halpenee ja vakiintuu keskipitkällä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painottaa, että EKP:n toissijaiset tavoitteet saavutetaan </w:t>
            </w:r>
            <w:r>
              <w:rPr>
                <w:b/>
                <w:i/>
              </w:rPr>
              <w:t>parhaiten, kun vapaat</w:t>
            </w:r>
            <w:r>
              <w:t xml:space="preserve"> markkinat toimivat ennustettavissa oleviin hintatasoihin perustuvassa vakaassa makrotaloudellisessa ympäristössä, joka kannustaa investointeihin;</w:t>
            </w:r>
          </w:p>
        </w:tc>
        <w:tc>
          <w:tcPr>
            <w:tcW w:w="4876" w:type="dxa"/>
            <w:tcBorders>
              <w:top w:val="nil"/>
              <w:left w:val="nil"/>
              <w:bottom w:val="nil"/>
              <w:right w:val="nil"/>
            </w:tcBorders>
          </w:tcPr>
          <w:p>
            <w:pPr>
              <w:pStyle w:val="Normal6a"/>
            </w:pPr>
            <w:r>
              <w:t>25.</w:t>
            </w:r>
            <w:r>
              <w:tab/>
            </w:r>
            <w:r>
              <w:t>painottaa, että EKP:n toissijaiset tavoitteet saavutetaan</w:t>
            </w:r>
            <w:r>
              <w:rPr>
                <w:b/>
                <w:i/>
              </w:rPr>
              <w:t>, kun</w:t>
            </w:r>
            <w:r>
              <w:t xml:space="preserve"> markkinat toimivat ennustettavissa oleviin hintatasoihin perustuvassa vakaassa makrotaloudellisessa ympäristössä, joka kannustaa investointeihin; </w:t>
            </w:r>
            <w:r>
              <w:rPr>
                <w:b/>
                <w:i/>
              </w:rPr>
              <w:t>korostaa kuitenkin, että markkinamekanismit eivät yksistään johda vihreiden investointien pääomakustannusten riittävän merkittävään alenemiseen;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kannustaa EKP:tä jatkamaan toimivaltansa puitteissa toimenpiteitä, joilla tuetaan kestävää talouskasvua, työllisyyttä ja EU:n parempaa kilpailukykyä edistävää vakaata makrotaloudellista ympäristöä niin, että samalla vältetään puuttumista jäsenvaltioiden finanssipolitiikkaan ja noudattaen toissijaisuusperiaatetta;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kehottaa EKP:tä sisällyttämään vuosikertomukseensa erityisen luvun, jossa kerrotaan, miten se on tulkinnut ja toteuttanut toissijaisia tavoitteitaan;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korostaa, että EKP:n olisi estettävä hintojen signalointitehtävän vääristyminen, kun otetaan huomioon tämän tehtävän rooli resurssien tehokkaan kohdentamisen varmistamisessa; kehottaa EKP:tä arvioimaan, missä määrin ilmastonmuutos vaikuttaa sen kykyyn ylläpitää hintavakautta;</w:t>
            </w:r>
          </w:p>
        </w:tc>
        <w:tc>
          <w:tcPr>
            <w:tcW w:w="4876" w:type="dxa"/>
            <w:tcBorders>
              <w:top w:val="nil"/>
              <w:left w:val="nil"/>
              <w:bottom w:val="nil"/>
              <w:right w:val="nil"/>
            </w:tcBorders>
          </w:tcPr>
          <w:p>
            <w:pPr>
              <w:pStyle w:val="Normal6a"/>
            </w:pPr>
            <w:r>
              <w:t>26.</w:t>
            </w:r>
            <w:r>
              <w:tab/>
            </w:r>
            <w:r>
              <w:t xml:space="preserve">korostaa, että EKP:n olisi estettävä hintojen signalointitehtävän vääristyminen, kun otetaan huomioon tämän tehtävän rooli resurssien tehokkaan kohdentamisen varmistamisessa; </w:t>
            </w:r>
            <w:r>
              <w:rPr>
                <w:b/>
                <w:i/>
              </w:rPr>
              <w:t>muistuttaa EKP:n aiemmin tekemien tutkimusten osoittaneen, että ilmastonmuutokseen ja siirtymäpolitiikkaan liittyvät makrotalouden ja rahoitusmarkkinoiden häiriöt voivat vaikuttaa rahapolitiikan harjoittamiseen ja EKP:n kykyyn hoitaa hintavakautta koskevaa tehtäväänsä eri kanavien kautta;</w:t>
            </w:r>
            <w:r>
              <w:t xml:space="preserve"> kehottaa EKP:tä </w:t>
            </w:r>
            <w:r>
              <w:rPr>
                <w:b/>
                <w:i/>
              </w:rPr>
              <w:t>edelleen</w:t>
            </w:r>
            <w:r>
              <w:t xml:space="preserve"> arvioimaan, missä määrin ilmastonmuutos vaikuttaa sen kykyyn ylläpitää hintavakautta;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korostaa, että EKP:n olisi estettävä hintojen signalointitehtävän vääristyminen, </w:t>
            </w:r>
            <w:r>
              <w:rPr>
                <w:b/>
                <w:i/>
              </w:rPr>
              <w:t>kun otetaan huomioon tämän tehtävän rooli</w:t>
            </w:r>
            <w:r>
              <w:t xml:space="preserve"> resurssien </w:t>
            </w:r>
            <w:r>
              <w:rPr>
                <w:b/>
                <w:i/>
              </w:rPr>
              <w:t>tehokkaan kohdentamisen varmistamisessa;</w:t>
            </w:r>
            <w:r>
              <w:t xml:space="preserve"> </w:t>
            </w:r>
            <w:r>
              <w:rPr>
                <w:b/>
                <w:i/>
              </w:rPr>
              <w:t>kehottaa EKP:tä</w:t>
            </w:r>
            <w:r>
              <w:t xml:space="preserve"> arvioimaan, missä määrin ilmastonmuutos vaikuttaa sen kykyyn ylläpitää hintavakautta;</w:t>
            </w:r>
          </w:p>
        </w:tc>
        <w:tc>
          <w:tcPr>
            <w:tcW w:w="4876" w:type="dxa"/>
            <w:tcBorders>
              <w:top w:val="nil"/>
              <w:left w:val="nil"/>
              <w:bottom w:val="nil"/>
              <w:right w:val="nil"/>
            </w:tcBorders>
          </w:tcPr>
          <w:p>
            <w:pPr>
              <w:pStyle w:val="Normal6a"/>
            </w:pPr>
            <w:r>
              <w:t>26.</w:t>
            </w:r>
            <w:r>
              <w:tab/>
            </w:r>
            <w:r>
              <w:t xml:space="preserve">korostaa, että EKP:n olisi estettävä hintojen signalointitehtävän vääristyminen, </w:t>
            </w:r>
            <w:r>
              <w:rPr>
                <w:b/>
                <w:i/>
              </w:rPr>
              <w:t>paitsi jos ilmenee mittavaa näyttöä siitä, että näin toimiminen edistää</w:t>
            </w:r>
            <w:r>
              <w:t xml:space="preserve"> resurssien </w:t>
            </w:r>
            <w:r>
              <w:rPr>
                <w:b/>
                <w:i/>
              </w:rPr>
              <w:t>tehokasta kohdentamista;</w:t>
            </w:r>
            <w:r>
              <w:t xml:space="preserve"> </w:t>
            </w:r>
            <w:r>
              <w:rPr>
                <w:b/>
                <w:i/>
              </w:rPr>
              <w:t>panee merkille, että Pariisin sopimuksen mukaiset EU:n sitoumukset sitovat EKP:tä EU:n toimielimenä sen toimiessa tehtävänsä puitteissa;</w:t>
            </w:r>
            <w:r>
              <w:t xml:space="preserve"> </w:t>
            </w:r>
            <w:r>
              <w:rPr>
                <w:b/>
                <w:i/>
              </w:rPr>
              <w:t>kannustaa EKP:tä edelleen</w:t>
            </w:r>
            <w:r>
              <w:t xml:space="preserve"> arvioimaan, missä määrin ilmastonmuutos </w:t>
            </w:r>
            <w:r>
              <w:rPr>
                <w:b/>
                <w:i/>
              </w:rPr>
              <w:t>voi</w:t>
            </w:r>
            <w:r>
              <w:t xml:space="preserve"> vaikuttaa sen kykyyn ylläpitää hintavakautta;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korostaa, että EKP:n olisi estettävä hintojen signalointitehtävän vääristyminen, kun otetaan huomioon tämän tehtävän rooli resurssien tehokkaan kohdentamisen varmistamisessa;</w:t>
            </w:r>
            <w:r>
              <w:t xml:space="preserve"> kehottaa EKP:tä arvioimaan, missä määrin ilmastonmuutos vaikuttaa sen kykyyn ylläpitää hintavakautta;</w:t>
            </w:r>
          </w:p>
        </w:tc>
        <w:tc>
          <w:tcPr>
            <w:tcW w:w="4876" w:type="dxa"/>
            <w:tcBorders>
              <w:top w:val="nil"/>
              <w:left w:val="nil"/>
              <w:bottom w:val="nil"/>
              <w:right w:val="nil"/>
            </w:tcBorders>
          </w:tcPr>
          <w:p>
            <w:pPr>
              <w:pStyle w:val="Normal6a"/>
            </w:pPr>
            <w:r>
              <w:t>26.</w:t>
            </w:r>
            <w:r>
              <w:tab/>
            </w:r>
            <w:r>
              <w:t xml:space="preserve">kehottaa EKP:tä arvioimaan, missä määrin ilmastonmuutos vaikuttaa sen kykyyn ylläpitää hintavakautta </w:t>
            </w:r>
            <w:r>
              <w:rPr>
                <w:b/>
                <w:i/>
              </w:rPr>
              <w:t>ja tukea talouspolitiikkaa unionissa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korostaa, että EKP:n olisi estettävä hintojen signalointitehtävän vääristyminen, kun otetaan huomioon tämän tehtävän rooli resurssien tehokkaan kohdentamisen varmistamisessa;</w:t>
            </w:r>
            <w:r>
              <w:t xml:space="preserve"> </w:t>
            </w:r>
            <w:r>
              <w:rPr>
                <w:b/>
                <w:i/>
              </w:rPr>
              <w:t>kehottaa EKP:tä</w:t>
            </w:r>
            <w:r>
              <w:t xml:space="preserve"> arvioimaan, missä määrin ilmastonmuutos vaikuttaa sen kykyyn ylläpitää hintavakautta;</w:t>
            </w:r>
          </w:p>
        </w:tc>
        <w:tc>
          <w:tcPr>
            <w:tcW w:w="4876" w:type="dxa"/>
            <w:tcBorders>
              <w:top w:val="nil"/>
              <w:left w:val="nil"/>
              <w:bottom w:val="nil"/>
              <w:right w:val="nil"/>
            </w:tcBorders>
          </w:tcPr>
          <w:p>
            <w:pPr>
              <w:pStyle w:val="Normal6a"/>
            </w:pPr>
            <w:r>
              <w:t>26.</w:t>
            </w:r>
            <w:r>
              <w:tab/>
            </w:r>
            <w:r>
              <w:rPr>
                <w:b/>
                <w:i/>
              </w:rPr>
              <w:t>panee merkille, että Pariisin sopimuksen mukaiset EU:n sitoumukset sitovat EKP:tä EU:n toimielimenä sen toimiessa tehtävänsä puitteissa;</w:t>
            </w:r>
            <w:r>
              <w:t xml:space="preserve"> </w:t>
            </w:r>
            <w:r>
              <w:rPr>
                <w:b/>
                <w:i/>
              </w:rPr>
              <w:t>kannustaa EKP:tä edelleen</w:t>
            </w:r>
            <w:r>
              <w:t xml:space="preserve"> arvioimaan, missä määrin ilmastonmuutos </w:t>
            </w:r>
            <w:r>
              <w:rPr>
                <w:b/>
                <w:i/>
              </w:rPr>
              <w:t>voi</w:t>
            </w:r>
            <w:r>
              <w:t xml:space="preserve"> vaikuttaa sen kykyyn ylläpitää hintavakautta;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kehottaa EKP:tä tarkistamaan ilmastoon liittyviä toimintapolitiikkojaan, kuten sen hallussa olevien yritysjoukkovelkakirjalainojen irrottamista hiilestä, sen varmistamiseksi, että nämä toimenpiteet eivät heikennä EU:n kilpailukykyä tai poikkea markkinaneutraaliuden periaatteesta;</w:t>
            </w:r>
            <w:r>
              <w:t xml:space="preserve"> </w:t>
            </w:r>
            <w:r>
              <w:rPr>
                <w:b/>
                <w:i/>
              </w:rPr>
              <w:t>korostaa, että on vältettävä energiaintensiivisten teollisuudenalojen asettamista epäedulliseen asemaan, sillä säännösten noudattamisesta voi aiheutua niille suhteettomia kustannuksia verrattuna vastaaviin yrityksiin muualla maailmassa;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korostaa Euroopan sosiaalisten oikeuksien pilarin merkitystä sosioekonomiselle yhtenäistymiselle;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edellyttää EKP:n noudattavan markkinaneutraaliuden periaatetta kaikissa rahapoliittisissa operaatioissaan;</w:t>
            </w:r>
            <w:r>
              <w:t xml:space="preserve"> </w:t>
            </w:r>
            <w:r>
              <w:rPr>
                <w:b/>
                <w:i/>
              </w:rPr>
              <w:t>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edellyttää EKP:n noudattavan markkinaneutraaliuden periaatetta kaikissa rahapoliittisissa operaatioissaan;</w:t>
            </w:r>
            <w:r>
              <w:t xml:space="preserve"> </w:t>
            </w:r>
            <w:r>
              <w:rPr>
                <w:b/>
                <w:i/>
              </w:rPr>
              <w:t>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edellyttää EKP:n noudattavan</w:t>
            </w:r>
            <w:r>
              <w:t xml:space="preserve"> markkinaneutraaliuden </w:t>
            </w:r>
            <w:r>
              <w:rPr>
                <w:b/>
                <w:i/>
              </w:rPr>
              <w:t>periaatetta kaikissa rahapoliittisissa operaatioissaan;</w:t>
            </w:r>
            <w:r>
              <w:t xml:space="preserve"> </w:t>
            </w:r>
            <w:r>
              <w:rPr>
                <w:b/>
                <w:i/>
              </w:rPr>
              <w:t>pitää valitettavana, että EKP:n toimissa sen hallussa olevien yritysjoukkovelkakirjalainojen irrottamiseksi hiilestä ei ole noudatettu jo määritelmällisestikin markkinaneutraalia lähestymistapaa</w:t>
            </w:r>
            <w:r>
              <w:t>;</w:t>
            </w:r>
          </w:p>
        </w:tc>
        <w:tc>
          <w:tcPr>
            <w:tcW w:w="4876" w:type="dxa"/>
            <w:tcBorders>
              <w:top w:val="nil"/>
              <w:left w:val="nil"/>
              <w:bottom w:val="nil"/>
              <w:right w:val="nil"/>
            </w:tcBorders>
          </w:tcPr>
          <w:p>
            <w:pPr>
              <w:pStyle w:val="Normal6a"/>
            </w:pPr>
            <w:r>
              <w:t>27.</w:t>
            </w:r>
            <w:r>
              <w:tab/>
            </w:r>
            <w:r>
              <w:rPr>
                <w:b/>
                <w:i/>
              </w:rPr>
              <w:t>korostaa, että</w:t>
            </w:r>
            <w:r>
              <w:t xml:space="preserve"> markkinaneutraaliuden </w:t>
            </w:r>
            <w:r>
              <w:rPr>
                <w:b/>
                <w:i/>
              </w:rPr>
              <w:t>periaate ei ole oikeudellinen vaatimus;</w:t>
            </w:r>
            <w:r>
              <w:t xml:space="preserve"> </w:t>
            </w:r>
            <w:r>
              <w:rPr>
                <w:b/>
                <w:i/>
              </w:rPr>
              <w:t>painottaa EKP:n itsensä vahvistaneen, että markkinaneutraaliutta ei mainita EU:n primaarilainsäädännössä ja että tällaiselle käsitteelle lainopissa annettu merkitys on hyvin epäyhtenäinen;</w:t>
            </w:r>
            <w:r>
              <w:t xml:space="preserve"> </w:t>
            </w:r>
            <w:r>
              <w:rPr>
                <w:b/>
                <w:i/>
              </w:rPr>
              <w:t>korostaa, että keskuspankkien toimet ovat luonnostaan ristiriidassa markkinaneutraaliuden käsitteen kanssa, sillä mukauttamalla taseitaan ne pyrkivät jatkuvasti vaikuttamaan markkinatuloksiin;</w:t>
            </w:r>
            <w:r>
              <w:t xml:space="preserve"> </w:t>
            </w:r>
            <w:r>
              <w:rPr>
                <w:b/>
                <w:i/>
              </w:rPr>
              <w:t>kannattaa siksi sitä, että tällaisesta käsitteestä ei voi syntyä EKP:lle oikeudellisia velvoitteita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edellyttää EKP:n noudattavan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t>27.</w:t>
            </w:r>
            <w:r>
              <w:tab/>
            </w:r>
            <w:r>
              <w:t xml:space="preserve">edellyttää EKP:n noudattavan </w:t>
            </w:r>
            <w:r>
              <w:rPr>
                <w:b/>
                <w:i/>
              </w:rPr>
              <w:t>tiukasti</w:t>
            </w:r>
            <w:r>
              <w:t xml:space="preserve"> markkinaneutraaliuden periaatetta kaikissa rahapoliittisissa operaatioissaan; pitää valitettavana, että EKP:n toimissa sen hallussa olevien yritysjoukkovelkakirjalainojen irrottamiseksi hiilestä ei ole noudatettu jo määritelmällisestikin markkinaneutraalia lähestymistapaa </w:t>
            </w:r>
            <w:r>
              <w:rPr>
                <w:b/>
                <w:i/>
              </w:rPr>
              <w:t>ja että ne kertovat valikoivasta tuesta tietyille aloille mutta ei toisille, mikä vääristää kilpailua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edellyttää EKP:n noudattavan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t>27.</w:t>
            </w:r>
            <w:r>
              <w:tab/>
            </w:r>
            <w:r>
              <w:t xml:space="preserve">edellyttää EKP:n noudattavan markkinaneutraaliuden periaatetta kaikissa rahapoliittisissa operaatioissaan; pitää valitettavana, että EKP:n toimissa sen hallussa olevien yritysjoukkovelkakirjalainojen irrottamiseksi hiilestä ei ole noudatettu jo määritelmällisestikin markkinaneutraalia lähestymistapaa; </w:t>
            </w:r>
            <w:r>
              <w:rPr>
                <w:b/>
                <w:i/>
              </w:rPr>
              <w:t>toteaa, että tällaiset toimet eivät saa millään tavoin vaarantaa EKP:n ensisijaista tavoitetta;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edellyttää EKP:n noudattavan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t>27.</w:t>
            </w:r>
            <w:r>
              <w:tab/>
            </w:r>
            <w:r>
              <w:t xml:space="preserve">edellyttää EKP:n noudattavan </w:t>
            </w:r>
            <w:r>
              <w:rPr>
                <w:b/>
                <w:i/>
              </w:rPr>
              <w:t>aina</w:t>
            </w:r>
            <w:r>
              <w:t xml:space="preserve">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Pascal Canfin,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edellyttää EKP:n noudattavan markkinaneutraaliuden periaatetta kaikissa rahapoliittisissa operaatioissaan; </w:t>
            </w:r>
            <w:r>
              <w:rPr>
                <w:b/>
                <w:i/>
              </w:rPr>
              <w:t>pitää valitettavana</w:t>
            </w:r>
            <w:r>
              <w:t xml:space="preserve">, että EKP:n toimissa sen hallussa olevien yritysjoukkovelkakirjalainojen irrottamiseksi hiilestä ei ole noudatettu </w:t>
            </w:r>
            <w:r>
              <w:rPr>
                <w:b/>
                <w:i/>
              </w:rPr>
              <w:t>jo määritelmällisestikin</w:t>
            </w:r>
            <w:r>
              <w:t xml:space="preserve"> markkinaneutraalia lähestymistapaa;</w:t>
            </w:r>
          </w:p>
        </w:tc>
        <w:tc>
          <w:tcPr>
            <w:tcW w:w="4876" w:type="dxa"/>
            <w:tcBorders>
              <w:top w:val="nil"/>
              <w:left w:val="nil"/>
              <w:bottom w:val="nil"/>
              <w:right w:val="nil"/>
            </w:tcBorders>
          </w:tcPr>
          <w:p>
            <w:pPr>
              <w:pStyle w:val="Normal6a"/>
            </w:pPr>
            <w:r>
              <w:t>27.</w:t>
            </w:r>
            <w:r>
              <w:tab/>
            </w:r>
            <w:r>
              <w:t xml:space="preserve">edellyttää EKP:n noudattavan </w:t>
            </w:r>
            <w:r>
              <w:rPr>
                <w:b/>
                <w:i/>
              </w:rPr>
              <w:t>mahdollisuuksien mukaan</w:t>
            </w:r>
            <w:r>
              <w:t xml:space="preserve"> markkinaneutraaliuden periaatetta kaikissa rahapoliittisissa operaatioissaan; </w:t>
            </w:r>
            <w:r>
              <w:rPr>
                <w:b/>
                <w:i/>
              </w:rPr>
              <w:t>toteaa</w:t>
            </w:r>
            <w:r>
              <w:t xml:space="preserve">, että EKP:n toimissa sen hallussa olevien yritysjoukkovelkakirjalainojen irrottamiseksi hiilestä ei ole noudatettu </w:t>
            </w:r>
            <w:r>
              <w:rPr>
                <w:b/>
                <w:i/>
              </w:rPr>
              <w:t>tiukan</w:t>
            </w:r>
            <w:r>
              <w:t xml:space="preserve"> markkinaneutraalia lähestymistapaa;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edellyttää EKP:n noudattavan</w:t>
            </w:r>
            <w:r>
              <w:t xml:space="preserve">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c>
          <w:tcPr>
            <w:tcW w:w="4876" w:type="dxa"/>
            <w:tcBorders>
              <w:top w:val="nil"/>
              <w:left w:val="nil"/>
              <w:bottom w:val="nil"/>
              <w:right w:val="nil"/>
            </w:tcBorders>
          </w:tcPr>
          <w:p>
            <w:pPr>
              <w:pStyle w:val="Normal6a"/>
            </w:pPr>
            <w:r>
              <w:t>27.</w:t>
            </w:r>
            <w:r>
              <w:tab/>
            </w:r>
            <w:r>
              <w:rPr>
                <w:b/>
                <w:i/>
              </w:rPr>
              <w:t>korostaa, että EKP:n on noudatettava</w:t>
            </w:r>
            <w:r>
              <w:t xml:space="preserve"> markkinaneutraaliuden periaatetta kaikissa rahapoliittisissa operaatioissaan; pitää valitettavana, että EKP:n toimissa sen hallussa olevien yritysjoukkovelkakirjalainojen irrottamiseksi hiilestä ei ole noudatettu jo määritelmällisestikin markkinaneutraalia lähestymistapaa;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Pascal Canfin, Billy Kelleher, Gerben-Jan Gerbrandy,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ottavat ilmastoriskit vakavasti, jotta lievennetään ilmastonmuutoksesta johtuvia rahoitusriskejä; </w:t>
            </w:r>
            <w:r>
              <w:rPr>
                <w:b/>
                <w:i/>
              </w:rPr>
              <w:t>kannustaa EKP:tä toteuttamaan ilmasto- ja luontosuunnitelmansa vuosille 2024–2025 kokonaisuudessaan, muun muassa selvittämällä, onko rahapolitiikan välineissä ja rahapoliittisissa osto-ohjelmissa tarpeen ottaa käyttöön uusia ilmastonmuutokseen liittyviä näkökohtia;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w:t>
            </w:r>
            <w:r>
              <w:rPr>
                <w:b/>
                <w:i/>
              </w:rPr>
              <w:t>ottavat ilmastoriskit vakavasti, jotta lievennetään ilmastonmuutoksesta johtuvia rahoitusriskejä</w:t>
            </w:r>
            <w:r>
              <w:t>;</w:t>
            </w:r>
          </w:p>
        </w:tc>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w:t>
            </w:r>
            <w:r>
              <w:rPr>
                <w:b/>
                <w:i/>
              </w:rPr>
              <w:t>lieventävät ilmastonmuutoksesta johtuvia taloudellisia riskejä ja vihreän kehityksen ohjelman kielteisiä vaikutuksia hintoihin, erityisesti raaka-aineiden hintoihin, ja työllisyyteen, ja toteaa, että niitä voi syntyä, jos vihreään ja digitaaliseen siirtymään omaksutaan lähestymistapa, joka ei ole pragmaattinen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ottavat ilmastoriskit vakavasti, jotta lievennetään ilmastonmuutoksesta johtuvia rahoitusriskejä; </w:t>
            </w:r>
            <w:r>
              <w:rPr>
                <w:b/>
                <w:i/>
              </w:rPr>
              <w:t>muistuttaa, että tämä on toissijainen periaate eikä sen pitäisi vaikuttaa hintavakauteen, joka on EKP:n ensisijainen tavoite;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t>28.</w:t>
            </w:r>
            <w:r>
              <w:tab/>
            </w:r>
            <w:r>
              <w:rPr>
                <w:b/>
                <w:i/>
              </w:rPr>
              <w:t>suhtautuu myönteisesti ilmasto- ja luontosuunnitelmaan vuosille 2024–2025;</w:t>
            </w:r>
            <w:r>
              <w:t xml:space="preserve"> kehottaa EKP:tä käyttämään kaikkia käytettävissä olevia välineitään sen varmistamiseksi, että pankit ottavat ilmastoriskit vakavasti, jotta lievennetään ilmastonmuutoksesta johtuvia rahoitusriskejä;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ottavat </w:t>
            </w:r>
            <w:r>
              <w:rPr>
                <w:b/>
                <w:i/>
              </w:rPr>
              <w:t>ilmastoriskit vakavasti</w:t>
            </w:r>
            <w:r>
              <w:t xml:space="preserve">, jotta lievennetään </w:t>
            </w:r>
            <w:r>
              <w:rPr>
                <w:b/>
                <w:i/>
              </w:rPr>
              <w:t>ilmastonmuutoksesta johtuvia</w:t>
            </w:r>
            <w:r>
              <w:t xml:space="preserve"> rahoitusriskejä;</w:t>
            </w:r>
          </w:p>
        </w:tc>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ottavat </w:t>
            </w:r>
            <w:r>
              <w:rPr>
                <w:b/>
                <w:i/>
              </w:rPr>
              <w:t>huomioon ilmastoriskin</w:t>
            </w:r>
            <w:r>
              <w:t xml:space="preserve">, jotta lievennetään </w:t>
            </w:r>
            <w:r>
              <w:rPr>
                <w:b/>
                <w:i/>
              </w:rPr>
              <w:t>asiaan liittyviä</w:t>
            </w:r>
            <w:r>
              <w:t xml:space="preserve"> rahoitusriskejä</w:t>
            </w:r>
            <w:r>
              <w:rPr>
                <w:b/>
                <w:i/>
              </w:rPr>
              <w:t>, edellyttäen, että nämä toimenpiteet eivät vaaranna markkinaneutraaliutta tai ylitä EKP:n perustehtävää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t>28.</w:t>
            </w:r>
            <w:r>
              <w:tab/>
            </w:r>
            <w:r>
              <w:t xml:space="preserve">kehottaa EKP:tä käyttämään kaikkia käytettävissä olevia välineitään sen varmistamiseksi, että pankit ottavat ilmastoriskit vakavasti, </w:t>
            </w:r>
            <w:r>
              <w:rPr>
                <w:b/>
                <w:i/>
              </w:rPr>
              <w:t>siinä määrin kuin niistä on vankkaa numeerista näyttöä,</w:t>
            </w:r>
            <w:r>
              <w:t xml:space="preserve"> jotta lievennetään ilmastonmuutoksesta johtuvia rahoitusriskejä;</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p>
        </w:tc>
        <w:tc>
          <w:tcPr>
            <w:tcW w:w="4876" w:type="dxa"/>
            <w:tcBorders>
              <w:top w:val="nil"/>
              <w:left w:val="nil"/>
              <w:bottom w:val="nil"/>
              <w:right w:val="nil"/>
            </w:tcBorders>
          </w:tcPr>
          <w:p>
            <w:pPr>
              <w:pStyle w:val="Normal6a"/>
            </w:pPr>
            <w:r>
              <w:t>28.</w:t>
            </w:r>
            <w:r>
              <w:tab/>
            </w:r>
            <w:r>
              <w:t>kehottaa EKP:tä käyttämään kaikkia käytettävissä olevia välineitään sen varmistamiseksi, että pankit ottavat ilmastoriskit vakavasti, jotta lievennetään ilmastonmuutoksesta johtuvia rahoitusriskejä</w:t>
            </w:r>
            <w:r>
              <w:rPr>
                <w:b/>
                <w:i/>
              </w:rPr>
              <w:t>, vaarantamatta EKP:n ensisijaista tavoitetta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Bruno Gonçalves, Carla Tavares,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panee merkille euroalueen pankkialan ennätykselliset voitot, jotka ovat seurausta korkeamman korkotason tilanteesta;</w:t>
            </w:r>
            <w:r>
              <w:t xml:space="preserve"> </w:t>
            </w:r>
            <w:r>
              <w:rPr>
                <w:b/>
                <w:i/>
              </w:rPr>
              <w:t>kannustaa käyttämään näitä voittoja puskureiden kartuttamiseen ja siten turvaamaan rahoitusjärjestelmän vakauden;</w:t>
            </w:r>
            <w:r>
              <w:t xml:space="preserve"> </w:t>
            </w:r>
            <w:r>
              <w:rPr>
                <w:b/>
                <w:i/>
              </w:rPr>
              <w:t>panee merkille, että osingonjaon ja osakkeiden takaisinoston väliaikainen keskeyttäminen oli tehokas keino turvata pankkien häiriönsietokyky covid-19-kriisin aikana;</w:t>
            </w:r>
            <w:r>
              <w:t xml:space="preserve"> </w:t>
            </w:r>
            <w:r>
              <w:rPr>
                <w:b/>
                <w:i/>
              </w:rPr>
              <w:t>kehottaa ottamaan kriisiaikoina käyttöön osingonjakoa ja takaisinostoa koskevan sitovan rajoituksen;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tähdentää, että tarvitaan ympäristön kannalta kestävää rahapolitiikkaa esimerkiksi vihreiden kohdennettujen pitempiaikaisten rahoitusoperaatioiden, vihreiden korkojen tai vihreiden joukkovelkakirjojen ostoa koskevan pysyvän järjestelyn muodossa;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katsoo, että hintavakauden ja vakaiden makrotaloudellisten olosuhteiden ylläpitäminen voisi edistää oikeanlaisten olosuhteiden luomista EU:n yleisten talouspoliittisten tavoitteiden täytäntöönpanolle;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korostaa, että euron kansainvälisen aseman vahvistuminen johtaisi korkojen alenemiseen euroalueella, EU:n kansainvälisen aseman vahvistumiseen ja makrotaloudellisen vakauden paranemiseen;</w:t>
            </w:r>
          </w:p>
        </w:tc>
        <w:tc>
          <w:tcPr>
            <w:tcW w:w="4876" w:type="dxa"/>
            <w:tcBorders>
              <w:top w:val="nil"/>
              <w:left w:val="nil"/>
              <w:bottom w:val="nil"/>
              <w:right w:val="nil"/>
            </w:tcBorders>
          </w:tcPr>
          <w:p>
            <w:pPr>
              <w:pStyle w:val="Normal6a"/>
            </w:pPr>
            <w:r>
              <w:t>29.</w:t>
            </w:r>
            <w:r>
              <w:tab/>
            </w:r>
            <w:r>
              <w:t xml:space="preserve">korostaa, että euron kansainvälisen aseman vahvistuminen johtaisi korkojen alenemiseen euroalueella, EU:n kansainvälisen aseman vahvistumiseen ja makrotaloudellisen vakauden paranemiseen; </w:t>
            </w:r>
            <w:r>
              <w:rPr>
                <w:b/>
                <w:i/>
              </w:rPr>
              <w:t>muistuttaa, että euron kansainvälisen aseman vahvistuminen edistäisi osaltaan EU:n strategista riippumattomuutta;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a.</w:t>
            </w:r>
            <w:r>
              <w:tab/>
            </w:r>
            <w:r>
              <w:rPr>
                <w:b/>
                <w:i/>
              </w:rPr>
              <w:t>korostaa, että tarvitaan yhteisiä toimia rakenteellisten ja sääntelyllisten esteiden vähentämiseksi, mukaan lukien sääntöjen noudattamisesta aiheutuvat korkeat kustannukset ja byrokraattiset esteet, jotta voidaan houkutella investointeja, lisätä EU:n maailmanlaajuista kilpailukykyä ja parantaa euroalueen asemaa kansainvälisillä 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w:t>
            </w:r>
            <w:r>
              <w:tab/>
            </w:r>
            <w:r>
              <w:rPr>
                <w:b/>
                <w:i/>
              </w:rPr>
              <w:t>kehottaa Euroopan keskuspankkia tutkimaan ja arvioimaan vaihtoehtoisia välineitä perinteisille mekanismeille, kuten korkoja koskevia rahapoliittisia päätöksiä, jotta voidaan vahvistaa sen kykyä hallita inflaatiota ja samalla rajoittaa talouden häiriöitä;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kehottaa EKP:tä tarkastelemaan euron kansainvälisen aseman vahvistamista sen houkuttelevuuden lisäämiseksi varantovaluuttana </w:t>
            </w:r>
            <w:r>
              <w:rPr>
                <w:b/>
                <w:i/>
              </w:rPr>
              <w:t>sekä tukemaan tämänsuuntaisia markkinalähtöisiä muutoksia</w:t>
            </w:r>
            <w:r>
              <w:t>;</w:t>
            </w:r>
          </w:p>
        </w:tc>
        <w:tc>
          <w:tcPr>
            <w:tcW w:w="4876" w:type="dxa"/>
            <w:tcBorders>
              <w:top w:val="nil"/>
              <w:left w:val="nil"/>
              <w:bottom w:val="nil"/>
              <w:right w:val="nil"/>
            </w:tcBorders>
          </w:tcPr>
          <w:p>
            <w:pPr>
              <w:pStyle w:val="Normal6a"/>
            </w:pPr>
            <w:r>
              <w:t>30.</w:t>
            </w:r>
            <w:r>
              <w:tab/>
            </w:r>
            <w:r>
              <w:t>kehottaa EKP:tä tarkastelemaan euron kansainvälisen aseman vahvistamista sen houkuttelevuuden lisäämiseksi varantovaluuttana</w:t>
            </w:r>
            <w:r>
              <w:rPr>
                <w:b/>
                <w:i/>
              </w:rPr>
              <w:t>;</w:t>
            </w:r>
            <w:r>
              <w:t xml:space="preserve"> </w:t>
            </w:r>
            <w:r>
              <w:rPr>
                <w:b/>
                <w:i/>
              </w:rPr>
              <w:t>korostaa, että vahva kansainvälinen euro edellyttää talous- ja rahaliiton syventämistä ja täydentämistä;</w:t>
            </w:r>
            <w:r>
              <w:t xml:space="preserve"> </w:t>
            </w:r>
            <w:r>
              <w:rPr>
                <w:b/>
                <w:i/>
              </w:rPr>
              <w:t>korostaa, että lainsäädäntövallan käyttäjien on tärkeää pitää vastuu itsellään koko digitaalisen euron suunnittelun ajan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palauttaa mieliin pääjohtaja Lagarden aikaisemman lausunnon, jonka mukaan nykyisen jatkuvan geopoliittisen kriisin vuoksi EU:n finanssipoliittisessa yhdentymisessä on edistyttävä;</w:t>
            </w:r>
            <w:r>
              <w:t xml:space="preserve"> </w:t>
            </w:r>
            <w:r>
              <w:rPr>
                <w:b/>
                <w:i/>
              </w:rPr>
              <w:t>on tyytyväinen EKP:n antamaan pitkäaikaiseen tukeen talous- ja rahaliiton, pankkiunionin eli täysimittaisen eurooppalaisen talletussuojajärjestelmän perustamisen ja pääomamarkkinaunionin perusteellisesti harkitulle loppuun saattamiselle;</w:t>
            </w:r>
            <w:r>
              <w:t xml:space="preserve"> </w:t>
            </w:r>
            <w:r>
              <w:rPr>
                <w:b/>
                <w:i/>
              </w:rPr>
              <w:t>muistuttaa, että tämä edistäisi riskien hajauttamista rahaliitossa ja parantaisi sen rahoitusvakautta sekä vahvistaisi entisestään euron kansainvälistä asemaa ja sen houkuttelevuutta varantovaluuttana;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toteaa, että suuri yleisö on useaan otteeseen ymmärtänyt EKP:n kannat ja päätökset väärin;</w:t>
            </w:r>
            <w:r>
              <w:t xml:space="preserve"> </w:t>
            </w:r>
            <w:r>
              <w:rPr>
                <w:b/>
                <w:i/>
              </w:rPr>
              <w:t>pitää tässä yhteydessä tärkeänä asianmukaisen viestintäpolitiikan kehittämistä;</w:t>
            </w:r>
            <w:r>
              <w:t xml:space="preserve"> </w:t>
            </w:r>
            <w:r>
              <w:rPr>
                <w:b/>
                <w:i/>
              </w:rPr>
              <w:t>katsoo lisäksi, että EKP:n tulisi tehdä yhteistyötä EU:n toimielinten, kansallisten viranomaisten ja kansalaisyhteiskunnan kanssa finanssiosaamisen edistämiseksi;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kannustaa EKP:tä tukemaan EU:n aloitteita, joilla helpotetaan pk-yritysten pääsyä rahoitusmarkkinoille pääomamarkkinaunionin kautta, ja siten monipuolistamaan rahoituslähteitä, vähentämään riippuvuutta korkovaihteluille herkistä pankkilainoista ja parantamaan pk-yritysten kykyä sopeutua rahapoliittisiin muutoksiin;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katsoo, että ponnistelut makrotaloudellisen vakautusmekanismin luomiseksi ja euroalueen turvallisen sijoitusvälineen riittäväksi tarjoamiseksi ovat tärkeitä, jotta euron asemaa kansainvälisenä valuuttana vahvistetaan;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w:t>
            </w:r>
            <w:r>
              <w:tab/>
            </w:r>
            <w:r>
              <w:rPr>
                <w:b/>
                <w:i/>
              </w:rPr>
              <w:t>painottaa, että hyvin suunnitellun euroalueen turvallisen sijoitusvälineen perustaminen voisi helpottaa yhdentymistä ja auttaa pienentämään valtioiden ja kotimaisten pankkien välisen negatiivisen kierteen riskiä;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w:t>
            </w:r>
            <w:r>
              <w:tab/>
            </w:r>
            <w:r>
              <w:rPr>
                <w:b/>
                <w:i/>
              </w:rPr>
              <w:t>kannustaa yhteistyöhön kansallisten keskuspankkien kanssa finanssiosaamista koskevissa ohjelmissa, jotta yksityishenkilöt ja yritykset saavat mahdollisuuden tehdä tietoon perustuvia rahoituspäätöksiä;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kehottaa EKP:tä edistämään pankkiunionin ja pääomamarkkinaunionin valmiiksi saattamista, sillä ne ovat kriittisiä kehyksiä, joilla edistetään rahoitusvakautta, tuetaan talouskasvua ja luodaan kestävämpi rahoitusjärjestelmä euroalueelle;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muistuttaa EKP:tä siitä, että käteinen raha on edelleen tärkeää Euroopan kansalaisille muun muassa vararatkaisuna kriisitilanteissa, suojatoimenpiteenä miinuskorkoja vastaan ja koulutustarkoituksissa;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w:t>
            </w:r>
            <w:r>
              <w:tab/>
            </w:r>
            <w:r>
              <w:rPr>
                <w:b/>
                <w:i/>
              </w:rPr>
              <w:t>kannustaa EKP:tä tukemaan jäsenvaltioita niiden pyrkimyksissä parantaa kansalaistensa finanssiosaamista;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Auke Zijlstra, Enikő Győri,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suhtautuu myönteisesti</w:t>
            </w:r>
            <w:r>
              <w:t xml:space="preserve"> Basel III -</w:t>
            </w:r>
            <w:r>
              <w:rPr>
                <w:b/>
                <w:i/>
              </w:rPr>
              <w:t>kehyksen valmiiksi saattamiseen, koska se vahvistaa pankkialan häiriönsietokykyä</w:t>
            </w:r>
            <w:r>
              <w:t>;</w:t>
            </w:r>
          </w:p>
        </w:tc>
        <w:tc>
          <w:tcPr>
            <w:tcW w:w="4876" w:type="dxa"/>
            <w:tcBorders>
              <w:top w:val="nil"/>
              <w:left w:val="nil"/>
              <w:bottom w:val="nil"/>
              <w:right w:val="nil"/>
            </w:tcBorders>
          </w:tcPr>
          <w:p>
            <w:pPr>
              <w:pStyle w:val="Normal6a"/>
            </w:pPr>
            <w:r>
              <w:t>32.</w:t>
            </w:r>
            <w:r>
              <w:tab/>
            </w:r>
            <w:r>
              <w:rPr>
                <w:b/>
                <w:i/>
              </w:rPr>
              <w:t>kehottaa komissiota kehittämään edelleen pankkeja koskevaa</w:t>
            </w:r>
            <w:r>
              <w:t xml:space="preserve"> Basel III -</w:t>
            </w:r>
            <w:r>
              <w:rPr>
                <w:b/>
                <w:i/>
              </w:rPr>
              <w:t>kehystä, jotta varmistetaan yhtäläiset toimintaedellytykset kansainvälisesti ja jotta siitä saadaan tasapainoisempi, tehokkaampi ja oikeasuhteisempi Draghin raportin hengessä;</w:t>
            </w:r>
            <w:r>
              <w:t xml:space="preserve"> </w:t>
            </w:r>
            <w:r>
              <w:rPr>
                <w:b/>
                <w:i/>
              </w:rPr>
              <w:t>pahoittelee, että sen täytäntöönpano EU:ssa poikkeaa hyvin paljon kansainvälisestä kehyksestä;</w:t>
            </w:r>
            <w:r>
              <w:t xml:space="preserve"> </w:t>
            </w:r>
            <w:r>
              <w:rPr>
                <w:b/>
                <w:i/>
              </w:rPr>
              <w:t>katsoo, että pankkivalvonnan tulisi perustua todellisiin riskeihin eikä toissijaisiin näkökohtiin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 Billy Kelleher, Gerben-Jan Gerbrandy,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suhtautuu myönteisesti Basel III -kehyksen valmiiksi saattamiseen, koska </w:t>
            </w:r>
            <w:r>
              <w:rPr>
                <w:b/>
                <w:i/>
              </w:rPr>
              <w:t>se</w:t>
            </w:r>
            <w:r>
              <w:t xml:space="preserve"> vahvistaa pankkialan häiriönsietokykyä;</w:t>
            </w:r>
          </w:p>
        </w:tc>
        <w:tc>
          <w:tcPr>
            <w:tcW w:w="4876" w:type="dxa"/>
            <w:tcBorders>
              <w:top w:val="nil"/>
              <w:left w:val="nil"/>
              <w:bottom w:val="nil"/>
              <w:right w:val="nil"/>
            </w:tcBorders>
          </w:tcPr>
          <w:p>
            <w:pPr>
              <w:pStyle w:val="Normal6a"/>
            </w:pPr>
            <w:r>
              <w:t>32.</w:t>
            </w:r>
            <w:r>
              <w:tab/>
            </w:r>
            <w:r>
              <w:t xml:space="preserve">suhtautuu myönteisesti Basel III -kehyksen valmiiksi saattamiseen, koska </w:t>
            </w:r>
            <w:r>
              <w:rPr>
                <w:b/>
                <w:i/>
              </w:rPr>
              <w:t>sillä on potentiaalia</w:t>
            </w:r>
            <w:r>
              <w:t xml:space="preserve"> vahvistaa pankkialan häiriönsietokykyä; </w:t>
            </w:r>
            <w:r>
              <w:rPr>
                <w:b/>
                <w:i/>
              </w:rPr>
              <w:t>pitää kuitenkin erittäin valitettavana, että täytäntöönpano on viivästynyt ja että siihen liittyy epäselvyyttä tietyillä muilla lainkäyttöalueilla, mikä johtaa maailmanlaajuisella tasolla epätasapuolisiin toimintaedellytyksiin;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suhtautuu myönteisesti Basel III -kehyksen valmiiksi saattamiseen, koska se vahvistaa pankkialan häiriönsietokykyä;</w:t>
            </w:r>
          </w:p>
        </w:tc>
        <w:tc>
          <w:tcPr>
            <w:tcW w:w="4876" w:type="dxa"/>
            <w:tcBorders>
              <w:top w:val="nil"/>
              <w:left w:val="nil"/>
              <w:bottom w:val="nil"/>
              <w:right w:val="nil"/>
            </w:tcBorders>
          </w:tcPr>
          <w:p>
            <w:pPr>
              <w:pStyle w:val="Normal6a"/>
            </w:pPr>
            <w:r>
              <w:t>32.</w:t>
            </w:r>
            <w:r>
              <w:tab/>
            </w:r>
            <w:r>
              <w:t xml:space="preserve">suhtautuu myönteisesti Basel III -kehyksen valmiiksi saattamiseen, koska se vahvistaa pankkialan häiriönsietokykyä; </w:t>
            </w:r>
            <w:r>
              <w:rPr>
                <w:b/>
                <w:i/>
              </w:rPr>
              <w:t>on samaa mieltä EKP:n kanssa siitä, että Basel III -säännösten lykkääminen, mukaan lukien kaupankäyntivaraston perusteellinen tarkistaminen, on tarpeetonta ja että Basel III -sääntöjen nopea täytäntöönpano ei olisi vahingoksi EU:n pankkien kilpailukyvylle;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suhtautuu myönteisesti Basel III -kehyksen valmiiksi saattamiseen</w:t>
            </w:r>
            <w:r>
              <w:rPr>
                <w:b/>
                <w:i/>
              </w:rPr>
              <w:t>, koska se vahvistaa pankkialan häiriönsietokykyä</w:t>
            </w:r>
            <w:r>
              <w:t>;</w:t>
            </w:r>
          </w:p>
        </w:tc>
        <w:tc>
          <w:tcPr>
            <w:tcW w:w="4876" w:type="dxa"/>
            <w:tcBorders>
              <w:top w:val="nil"/>
              <w:left w:val="nil"/>
              <w:bottom w:val="nil"/>
              <w:right w:val="nil"/>
            </w:tcBorders>
          </w:tcPr>
          <w:p>
            <w:pPr>
              <w:pStyle w:val="Normal6a"/>
            </w:pPr>
            <w:r>
              <w:t>32.</w:t>
            </w:r>
            <w:r>
              <w:tab/>
            </w:r>
            <w:r>
              <w:rPr>
                <w:b/>
                <w:i/>
              </w:rPr>
              <w:t>katsoo, että rahoitusvakaus on tehokkaan rahapolitiikan ja kestävän rahoitusjärjestelmän edellytys;</w:t>
            </w:r>
            <w:r>
              <w:t xml:space="preserve"> </w:t>
            </w:r>
            <w:r>
              <w:rPr>
                <w:b/>
                <w:i/>
              </w:rPr>
              <w:t>varoittaa sääntöjen noudattamatta jättämisen riskistä;</w:t>
            </w:r>
            <w:r>
              <w:t xml:space="preserve"> suhtautuu </w:t>
            </w:r>
            <w:r>
              <w:rPr>
                <w:b/>
                <w:i/>
              </w:rPr>
              <w:t>siksi</w:t>
            </w:r>
            <w:r>
              <w:t xml:space="preserve"> myönteisesti Basel III -kehyksen valmiiksi saattamiseen;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suhtautuu myönteisesti Basel III -kehyksen valmiiksi saattamiseen, koska se vahvistaa pankkialan häiriönsietokykyä;</w:t>
            </w:r>
          </w:p>
        </w:tc>
        <w:tc>
          <w:tcPr>
            <w:tcW w:w="4876" w:type="dxa"/>
            <w:tcBorders>
              <w:top w:val="nil"/>
              <w:left w:val="nil"/>
              <w:bottom w:val="nil"/>
              <w:right w:val="nil"/>
            </w:tcBorders>
          </w:tcPr>
          <w:p>
            <w:pPr>
              <w:pStyle w:val="Normal6a"/>
            </w:pPr>
            <w:r>
              <w:t>32.</w:t>
            </w:r>
            <w:r>
              <w:tab/>
            </w:r>
            <w:r>
              <w:t xml:space="preserve">suhtautuu myönteisesti Basel III -kehyksen valmiiksi saattamiseen </w:t>
            </w:r>
            <w:r>
              <w:rPr>
                <w:b/>
                <w:i/>
              </w:rPr>
              <w:t>ja sen täytäntöönpanoon 1. tammikuuta 2025 lähtien</w:t>
            </w:r>
            <w:r>
              <w:t>, koska se vahvistaa pankkialan häiriönsietokykyä;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suhtautuu myönteisesti Basel III -kehyksen valmiiksi saattamiseen, koska se vahvistaa pankkialan häiriönsietokykyä;</w:t>
            </w:r>
          </w:p>
        </w:tc>
        <w:tc>
          <w:tcPr>
            <w:tcW w:w="4876" w:type="dxa"/>
            <w:tcBorders>
              <w:top w:val="nil"/>
              <w:left w:val="nil"/>
              <w:bottom w:val="nil"/>
              <w:right w:val="nil"/>
            </w:tcBorders>
          </w:tcPr>
          <w:p>
            <w:pPr>
              <w:pStyle w:val="Normal6a"/>
            </w:pPr>
            <w:r>
              <w:t>32.</w:t>
            </w:r>
            <w:r>
              <w:tab/>
            </w:r>
            <w:r>
              <w:t xml:space="preserve">suhtautuu myönteisesti Basel III -kehyksen valmiiksi saattamiseen, koska se vahvistaa pankkialan häiriönsietokykyä; </w:t>
            </w:r>
            <w:r>
              <w:rPr>
                <w:b/>
                <w:i/>
              </w:rPr>
              <w:t>kehottaa olemaan lykkäämättä sen täytäntöönpanoa;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toteaa, että pääomamarkkinaunioni (johon uusi Euroopan komissio viittaa nimellä säästö- ja sijoitusunioni) ja pankkiunioni on saatettava kiireellisesti valmiiksi eurooppalaisella talletussuojajärjestelmällä (EDIS), jotta voidaan lisätä pankkialamme joustavuutta ja parantaa euroalueen kilpailukykyä;</w:t>
            </w:r>
            <w:r>
              <w:t xml:space="preserve"> </w:t>
            </w:r>
            <w:r>
              <w:rPr>
                <w:b/>
                <w:i/>
              </w:rPr>
              <w:t>toteaa jälleen, että on poistettava byrokraattiset esteet, jotka vaikeuttavat rajat ylittävien sijoitusten tekemistä EU:ssa, sekä kevennettävä yritysten verotaakkaa, yksinkertaistettava oikeudellisia kehyksiä pääoman houkuttelemiseksi, helpotettava pk-yritysten pääsyä rahoitusmarkkinoille ja edistettävä finanssiosaamista kansalaisten keskuudessa, jotta heillä olisi enemmän tietoa sijoitusten tarjoamista hyödyistä;</w:t>
            </w:r>
            <w:r>
              <w:t xml:space="preserve"> </w:t>
            </w:r>
            <w:r>
              <w:rPr>
                <w:b/>
                <w:i/>
              </w:rPr>
              <w:t>korostaa, että on kiireellisesti sovittava vähittäissijoittajastrategiasta, jolla on myönteinen vaikutus ja joka antaa vähittäissijoittajille paremman suojan, avoimuuden ja mahdollisuuden käyttää monipuolisia sijoitusmahdollisuuksia, jotka ovat olennaisen tärkeitä, jotta he luottavat markkinoihin ja osallistuvat niille aktiivisesti;</w:t>
            </w:r>
            <w:r>
              <w:t xml:space="preserve"> </w:t>
            </w:r>
            <w:r>
              <w:rPr>
                <w:b/>
                <w:i/>
              </w:rPr>
              <w:t>muistuttaa, että pankkiunionin ja pääomamarkkinaunionin saattaminen valmiiksi vaatii poliittista tahtoa;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suosittaa, että EKP laskee korkoja edelleen viimeaikaisten koronalennusten jälkeen osana laajempaa strategiaa, jolla tuetaan rahoituspaineita kohtaavien kotitalouksien ja yritysten talouden häiriönsietokykyä;</w:t>
            </w:r>
            <w:r>
              <w:t xml:space="preserve"> </w:t>
            </w:r>
            <w:r>
              <w:rPr>
                <w:b/>
                <w:i/>
              </w:rPr>
              <w:t>korostaa, että korkoja on pyrittävä alentamaan lisää, jotta voidaan pienentää lainakustannuksia merkittävästi, kannustaa investointeihin ja parantaa luotonsaantia ja siten edistää vakautta ja talouden elpymistä koko euroalueella;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pitää myönteisenä EKP:n tukea pankkiunionin saattamiselle valmiiksi;</w:t>
            </w:r>
            <w:r>
              <w:t xml:space="preserve"> </w:t>
            </w:r>
            <w:r>
              <w:rPr>
                <w:b/>
                <w:i/>
              </w:rPr>
              <w:t>kannustaa EKP:tä ryhtymään kaikkiin tarvittaviin toimiin sellaisten rajatylittävien pankkien sulautumisten mahdollistamiseksi, joilla varmistetaan rahoitusvakaus ja edistetään samalla Euroopan pankkimarkkinoiden yhdentymistä;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kehottaa tehostamaan edelleen EKP:n väärinkäytösten paljastamista koskevaa sisäistä kehystä ja saattamaan sen väärinkäytösten paljastajia koskevan EU:n direktiivin mukaiseksi;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Denis Nesci, Francesco Ventola,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w:t>
            </w:r>
            <w:r>
              <w:tab/>
            </w:r>
            <w:r>
              <w:rPr>
                <w:b/>
                <w:i/>
              </w:rPr>
              <w:t>suhtautuu myönteisesti Basel III -kehyksen valmiiksi saattamiseen, koska se vahvistaa pankkialan häiriönsietokykyä;</w:t>
            </w:r>
            <w:r>
              <w:t xml:space="preserve"> </w:t>
            </w:r>
            <w:r>
              <w:rPr>
                <w:b/>
                <w:i/>
              </w:rPr>
              <w:t>korostaa, että koska muut lainkäyttöalueet eivät ole hyväksyneet kehystä, on olennaisen tärkeää ottaa huomioon mahdolliset vaikutukset EU:n pankkien kilpailukykyyn erityisesti kaupankäyntivaraston perusteellisen tarkistuksen täytäntöönpanosta johtuen;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tukee EKP:n tavoitetta lisätä naisten edustusta kannustamalla naisia etenemään tällä alalla; panee siksi tyytyväisenä merkille EKP:n Women in Economics -apurahan kaltaiset aloitteet;</w:t>
            </w:r>
          </w:p>
        </w:tc>
        <w:tc>
          <w:tcPr>
            <w:tcW w:w="4876" w:type="dxa"/>
            <w:tcBorders>
              <w:top w:val="nil"/>
              <w:left w:val="nil"/>
              <w:bottom w:val="nil"/>
              <w:right w:val="nil"/>
            </w:tcBorders>
          </w:tcPr>
          <w:p>
            <w:pPr>
              <w:pStyle w:val="Normal6a"/>
            </w:pPr>
            <w:r>
              <w:t>33.</w:t>
            </w:r>
            <w:r>
              <w:tab/>
            </w:r>
            <w:r>
              <w:t xml:space="preserve">tukee EKP:n tavoitetta lisätä naisten edustusta kannustamalla naisia etenemään tällä alalla; panee siksi tyytyväisenä merkille EKP:n Women in Economics -apurahan kaltaiset aloitteet; </w:t>
            </w:r>
            <w:r>
              <w:rPr>
                <w:b/>
                <w:i/>
              </w:rPr>
              <w:t>toistaa, että EKP:n nimitysten tulisi perustua objektiivisiin ansioihin ja pätevyyden arviointimenettelyihin eikä tiettyihin ryhmiin liittyviin kiintiöperusteisiin;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Bas Eickhout</w:t>
      </w:r>
      <w:r>
        <w:rPr>
          <w:rStyle w:val="HideTWBExt"/>
          <w:b w:val="0"/>
        </w:rPr>
        <w:t>&lt;/Members&gt;</w:t>
      </w:r>
    </w:p>
    <w:p>
      <w:r>
        <w:rPr>
          <w:rStyle w:val="HideTWBExt"/>
          <w:b w:val="0"/>
        </w:rPr>
        <w:t>&lt;AuNomDe&gt;</w:t>
      </w:r>
      <w:r>
        <w:rPr>
          <w:rStyle w:val="HideTWBInt"/>
        </w:rPr>
        <w:t>{Greens/EFA}</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pitää valitettavana, että EKP:n johtokunnassa ja neuvostossa on vain kaksi naisjäsentä;</w:t>
            </w:r>
            <w:r>
              <w:t xml:space="preserve"> </w:t>
            </w:r>
            <w:r>
              <w:rPr>
                <w:b/>
                <w:i/>
              </w:rPr>
              <w:t>muistuttaa, että johtokunnan nimityksissä olisi otettava huomioon sukupuolten tasapuolinen edustus ja että esivalintaluettelot olisi toimitettava parlamentille;</w:t>
            </w:r>
            <w:r>
              <w:t xml:space="preserve"> </w:t>
            </w:r>
            <w:r>
              <w:rPr>
                <w:b/>
                <w:i/>
              </w:rPr>
              <w:t>pitää erittäin valitettavana, että sen sijaan, että jäsenvaltiot olisivat toimittaneet ehdokkaista esivalintaluettelot, ne ovat äskettäin nimenneet avoimia paikkoja vastaavan määrän ehdokkaita;</w:t>
            </w:r>
            <w:r>
              <w:t xml:space="preserve"> </w:t>
            </w:r>
            <w:r>
              <w:rPr>
                <w:b/>
                <w:i/>
              </w:rPr>
              <w:t>palauttaa mieliin, että parlamentti on aiemmin sitoutunut olemaan ottamatta huomioon sellaisia esivalintaluetteloita, joissa ei noudateta sukupuolten tasapuolisen edustuksen periaatetta, sukupuolten tasa-arvosta nimettäessä ehdokkaita talous- ja rahapolitiikkaa koskeviin EU-tehtäviin antamansa päätöslauselman mukaisesti;</w:t>
            </w:r>
            <w:r>
              <w:t xml:space="preserve"> </w:t>
            </w:r>
            <w:r>
              <w:rPr>
                <w:b/>
                <w:i/>
              </w:rPr>
              <w:t>kehottaa euroalueen jäsenvaltioita tekemään oman osuutensa ja sisällyttämään sukupuolten tasa-arvon periaatteen kaikilta osin nimitysprosesseihinsa;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Evelyn Regner, René Repasi, Irene Tinagli, Aurore Lalucq, Francisco Assis, Jonás Fernández, Niels Fuglsang, Matthias Ecke,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pitää valitettavana, että EKP:n neuvostossa on tällä hetkellä vain kaksi naisjäsentä;</w:t>
            </w:r>
            <w:r>
              <w:t xml:space="preserve"> </w:t>
            </w:r>
            <w:r>
              <w:rPr>
                <w:b/>
                <w:i/>
              </w:rPr>
              <w:t>kehottaa euroalueen jäsenvaltioita täyttämään velvoitteensa ja soveltamaan nimitysmenettelyissään sukupuolten tasa-arvon periaatteita, jotta molemmilla sukupuolilla on yhtäläiset mahdollisuudet toimia maansa keskuspankin pääjohtajana;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Johan Van Overtveldt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kehottaa EKP:tä jatkamaan ja vahvistamaan vuoropuheluaan kansallisten parlamenttien kanssa;</w:t>
            </w:r>
            <w:r>
              <w:t xml:space="preserve"> </w:t>
            </w:r>
            <w:r>
              <w:rPr>
                <w:b/>
                <w:i/>
              </w:rPr>
              <w:t>katsoo, että näin vahvistettaisiin EKP:n legitimiteettiä ja politiikkatoimia;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kehottaa EKP:tä ottamaan keskuspankin ylemmän johdon tehtävissä käyttöön tulospalkkauksen, jotta kannustetaan alhaisen inflaation saavuttamiseen;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panee merkille EKP:n ja parlamentin väliset nykyiset vastuuvelvollisuuskäytännöt;</w:t>
            </w:r>
            <w:r>
              <w:t xml:space="preserve"> </w:t>
            </w:r>
            <w:r>
              <w:rPr>
                <w:b/>
                <w:i/>
              </w:rPr>
              <w:t>tuo esiin EKP:n avoimuutta ja sitä, että se on parlamentin käytettävissä;</w:t>
            </w:r>
            <w:r>
              <w:t xml:space="preserve"> </w:t>
            </w:r>
            <w:r>
              <w:rPr>
                <w:b/>
                <w:i/>
              </w:rPr>
              <w:t>kehottaa EKP:tä ja parlamenttia hyödyntämään vastuuvelvollisuutta ja avoimuutta koskevia järjestelyjä kaikilta osin ja edelleen tehostamaan niitä;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765.337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142</w:t>
    </w:r>
    <w:r>
      <w:fldChar w:fldCharType="end"/>
    </w:r>
    <w:r>
      <w:t>/</w:t>
    </w:r>
    <w:r>
      <w:fldChar w:fldCharType="begin"/>
    </w:r>
    <w:r>
      <w:instrText xml:space="preserve"> NUMPAGES </w:instrText>
    </w:r>
    <w:r>
      <w:fldChar w:fldCharType="separate"/>
    </w:r>
    <w:r>
      <w:t>143</w:t>
    </w:r>
    <w:r>
      <w:fldChar w:fldCharType="end"/>
    </w:r>
    <w:r>
      <w:tab/>
    </w:r>
    <w:r>
      <w:rPr>
        <w:rStyle w:val="HideTWBExt"/>
      </w:rPr>
      <w:t>&lt;PathFdR&gt;</w:t>
    </w:r>
    <w:r>
      <w:t>AM\1310138FI.docx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AM\1310138FI.docx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143</w:t>
    </w:r>
    <w:r>
      <w:fldChar w:fldCharType="end"/>
    </w:r>
    <w:r>
      <w:tab/>
    </w:r>
    <w:r>
      <w:t>PE</w:t>
    </w:r>
    <w:r>
      <w:rPr>
        <w:rStyle w:val="HideTWBExt"/>
      </w:rPr>
      <w:t>&lt;NoPE&gt;</w:t>
    </w:r>
    <w:r>
      <w:t>765.337</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AM\1310138FI.docx</w:t>
    </w:r>
    <w:r>
      <w:rPr>
        <w:rStyle w:val="HideTWBExt"/>
      </w:rPr>
      <w:t>&lt;/PathFdR&gt;</w:t>
    </w:r>
    <w:r>
      <w:tab/>
    </w:r>
    <w:r>
      <w:tab/>
    </w:r>
    <w:r>
      <w:t>PE</w:t>
    </w:r>
    <w:r>
      <w:rPr>
        <w:rStyle w:val="HideTWBExt"/>
      </w:rPr>
      <w:t>&lt;NoPE&gt;</w:t>
    </w:r>
    <w:r>
      <w:t>765.337</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143</Pages>
  <Words>19678</Words>
  <Characters>159994</Characters>
  <Application>Microsoft Office Word</Application>
  <DocSecurity>0</DocSecurity>
  <Lines>1</Lines>
  <Paragraphs>2775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1310138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92890</vt:lpwstr>
  </property>
  <property fmtid="{D5CDD505-2E9C-101B-9397-08002B2CF9AE}" pid="7" name="dmxml.render.traceId">
    <vt:lpwstr>6744a99101a11bf93429927d67d5bdce</vt:lpwstr>
  </property>
  <property fmtid="{D5CDD505-2E9C-101B-9397-08002B2CF9AE}" pid="8" name="FooterPath">
    <vt:lpwstr>AM\1310138FI.docx</vt:lpwstr>
  </property>
  <property fmtid="{D5CDD505-2E9C-101B-9397-08002B2CF9AE}" pid="9" name="PE Number">
    <vt:lpwstr>765.337</vt:lpwstr>
  </property>
  <property fmtid="{D5CDD505-2E9C-101B-9397-08002B2CF9AE}" pid="10" name="UID">
    <vt:lpwstr>eu.europa.europarl-DIN1-2024-0000054504_01.00-fi-01.00_text-xml</vt:lpwstr>
  </property>
</Properties>
</file>