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Επιτροπή Οικονομικής και Νομισματικής Πολιτικής</w:t>
      </w:r>
      <w:r>
        <w:rPr>
          <w:rStyle w:val="HideTWBExt"/>
        </w:rPr>
        <w:t>&lt;/Commission&gt;</w:t>
      </w:r>
    </w:p>
    <w:p>
      <w:pPr>
        <w:pStyle w:val="LineBottom"/>
      </w:pPr>
      <w:r>
        <w:t xml:space="preserve"> </w:t>
      </w:r>
    </w:p>
    <w:p>
      <w:pPr>
        <w:pStyle w:val="CoverReference"/>
      </w:pPr>
      <w:r>
        <w:rPr>
          <w:rStyle w:val="HideTWBExt"/>
        </w:rPr>
        <w:t>&lt;RefProc&gt;</w:t>
      </w:r>
      <w:r>
        <w:t>2024/2079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{03/02/2025}</w:t>
      </w:r>
      <w:r>
        <w:t>3.2.2025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326</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Lara Wolters</w:t>
      </w:r>
      <w:r>
        <w:rPr>
          <w:rStyle w:val="HideTWBExt"/>
        </w:rPr>
        <w:t>&lt;/Rapporteur&gt;</w:t>
      </w:r>
    </w:p>
    <w:p>
      <w:pPr>
        <w:pStyle w:val="CoverNormal24a"/>
      </w:pPr>
      <w:r>
        <w:rPr>
          <w:rStyle w:val="HideTWBExt"/>
        </w:rPr>
        <w:t>&lt;DocRefPE&gt;</w:t>
      </w:r>
      <w:r>
        <w:t>(PE765.240v01-00)</w:t>
      </w:r>
      <w:r>
        <w:rPr>
          <w:rStyle w:val="HideTWBExt"/>
        </w:rPr>
        <w:t>&lt;/DocRefPE&gt;</w:t>
      </w:r>
    </w:p>
    <w:p>
      <w:pPr>
        <w:pStyle w:val="CoverNormal"/>
      </w:pPr>
      <w:r>
        <w:rPr>
          <w:rStyle w:val="HideTWBExt"/>
        </w:rPr>
        <w:t>&lt;Titre&gt;</w:t>
      </w:r>
      <w:r>
        <w:t>Πολιτική ανταγωνισμού - ετήσια έκθεση για το 2024</w:t>
      </w:r>
      <w:r>
        <w:rPr>
          <w:rStyle w:val="HideTWBExt"/>
        </w:rPr>
        <w:t>&lt;/Titre&gt;</w:t>
      </w:r>
    </w:p>
    <w:p>
      <w:pPr>
        <w:pStyle w:val="CoverNormal24a"/>
      </w:pPr>
      <w:r>
        <w:rPr>
          <w:rStyle w:val="HideTWBExt"/>
        </w:rPr>
        <w:t>&lt;DocRef&gt;</w:t>
      </w:r>
      <w:r>
        <w:t>(2024/2079(INI))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άρθρο 11 της ΣΛΕΕ, το οποίο επιβάλλει την ενσωμάτωση της προστασίας του περιβάλλοντος σε όλες τις πολιτικές της ΕΕ με σκοπό την προώθηση της βιώσιμης ανάπτυξης,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αριθ. 62/2023, του Φεβρουαρίου 2023, με τίτλο «Βιομηχανικό σχέδιο της Πράσινης Συμφωνίας για την εποχή των μηδενικών καθαρών εκπομπών,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στόχο για κλιματική ουδετερότητα έως το 2050 του κανονισμού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αριθ. 98/2020 της Επιτροπής, του Μαρτίου 2020, με τίτλο «Ένα νέο σχέδιο δράσης για την κυκλική οικονομία – Για μια πιο καθαρή και πιο ανταγωνιστική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άρθρο 3 της απόφασης (ΕΕ) 2022/591 του Ευρωπαϊκού Κοινοβουλίου και του Συμβουλίου, της 6 Απριλίου 2022, σχετικά με γενικό ενωσιακό πρόγραμμα δράσης για το περιβάλλον έως το 2030, το οποίο προβλέπει ότι οι επιζήμιες για το περιβάλλον επιδοτήσεις, ιδίως οι επιδοτήσεις ορυκτών καυσίμων, καταργούνται σταδιακά χωρίς καθυστέρηση,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αριθ. 21/2020, του Ιανουαρίου 2020, με τίτλο ««Επενδυτικό Σχέδιο «Βιώσιμη Ευρώπη – Επενδυτικό Σχέδιο της Ευρωπαϊκής Πράσινης Συμφωνίας»,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τις βασικές συστάσεις 4 και 5 της έκθεσης αξιολόγησης 2024 της Ευρωπαϊκής Επιστημονικής Συμβουλευτικής Επιτροπής για την Κλιματική Αλλαγή,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έχοντας υπόψη τις αποφάσεις του Δικαστηρίου της Ευρωπαϊκής Ένωσης της 22ας Σεπτεμβρίου 2022 στην υπόθεση C-611/22 P (Illumina κατά Επιτροπής)</w:t>
            </w:r>
            <w:r>
              <w:rPr>
                <w:vertAlign w:val="superscript"/>
              </w:rPr>
              <w:t>2</w:t>
            </w:r>
            <w:r>
              <w:t>, της 10ης Σεπτεμβρίου στην υπόθεση C-465/20 P (Ευρωπαϊκή Επιτροπή κατά Ιρλανδίας και Apple Sales International)</w:t>
            </w:r>
            <w:r>
              <w:rPr>
                <w:vertAlign w:val="superscript"/>
              </w:rPr>
              <w:t>3</w:t>
            </w:r>
            <w:r>
              <w:rPr>
                <w:b/>
                <w:i/>
              </w:rPr>
              <w:t>και</w:t>
            </w:r>
            <w:r>
              <w:t xml:space="preserve"> της 10ης Σεπτεμβρίου 2024 στην υπόθεση C-48/22 P (Google και Alphabet κατά Επιτροπής)</w:t>
            </w:r>
            <w:r>
              <w:rPr>
                <w:vertAlign w:val="superscript"/>
              </w:rPr>
              <w:t>4</w:t>
            </w:r>
            <w:r>
              <w:t>,</w:t>
            </w:r>
          </w:p>
        </w:tc>
        <w:tc>
          <w:tcPr>
            <w:tcW w:w="4876" w:type="dxa"/>
            <w:tcBorders>
              <w:top w:val="nil"/>
              <w:left w:val="nil"/>
              <w:bottom w:val="nil"/>
              <w:right w:val="nil"/>
            </w:tcBorders>
          </w:tcPr>
          <w:p>
            <w:pPr>
              <w:pStyle w:val="Normal6a"/>
            </w:pPr>
            <w:r>
              <w:t>–</w:t>
            </w:r>
            <w:r>
              <w:tab/>
            </w:r>
            <w:r>
              <w:t>έχοντας υπόψη τις αποφάσεις του Δικαστηρίου της Ευρωπαϊκής Ένωσης της 22ας Σεπτεμβρίου 2022 στην υπόθεση C-611/22 P (Illumina κατά Επιτροπής)</w:t>
            </w:r>
            <w:r>
              <w:rPr>
                <w:vertAlign w:val="superscript"/>
              </w:rPr>
              <w:t>2</w:t>
            </w:r>
            <w:r>
              <w:t>, της 10ης Σεπτεμβρίου στην υπόθεση C-465/20 P (Ευρωπαϊκή Επιτροπή κατά Ιρλανδίας και Apple Sales International)</w:t>
            </w:r>
            <w:r>
              <w:rPr>
                <w:vertAlign w:val="superscript"/>
              </w:rPr>
              <w:t>3</w:t>
            </w:r>
            <w:r>
              <w:t xml:space="preserve"> </w:t>
            </w:r>
            <w:r>
              <w:rPr>
                <w:b/>
                <w:i/>
              </w:rPr>
              <w:t>,</w:t>
            </w:r>
            <w:r>
              <w:t xml:space="preserve"> της 10ης Σεπτεμβρίου 2024 στην υπόθεση C-48/22 P (Google και Alphabet κατά Επιτροπής)</w:t>
            </w:r>
            <w:r>
              <w:rPr>
                <w:vertAlign w:val="superscript"/>
              </w:rPr>
              <w:t>4</w:t>
            </w:r>
            <w:r>
              <w:t xml:space="preserve">, </w:t>
            </w:r>
            <w:r>
              <w:rPr>
                <w:b/>
                <w:i/>
              </w:rPr>
              <w:t>καθώς και την υπόθεση COMP/M.6166 (Deutsche Börse/ NYSE Euronext)</w:t>
            </w:r>
            <w:r>
              <w:rPr>
                <w:b/>
                <w:i/>
                <w:vertAlign w:val="superscript"/>
              </w:rPr>
              <w:t>4a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Αναίρεση που άσκησε στις 22 Σεπτεμβρίου 2022 η Illumina, Inc. κατά της αποφάσεως που εξέδωσε το Γενικό Δικαστήριο στις 13 Ιουλίου 2022 στην υπόθεση 62021TJ0227, Illumina κατά Επιτροπής, ΕΕ C 432 της 14.11.2022, σ. 13.</w:t>
            </w:r>
          </w:p>
        </w:tc>
        <w:tc>
          <w:tcPr>
            <w:tcW w:w="4876" w:type="dxa"/>
            <w:tcBorders>
              <w:top w:val="nil"/>
              <w:left w:val="nil"/>
              <w:bottom w:val="nil"/>
              <w:right w:val="nil"/>
            </w:tcBorders>
          </w:tcPr>
          <w:p>
            <w:pPr>
              <w:pStyle w:val="Normal6a"/>
            </w:pPr>
            <w:r>
              <w:rPr>
                <w:vertAlign w:val="superscript"/>
              </w:rPr>
              <w:t>2</w:t>
            </w:r>
            <w:r>
              <w:t xml:space="preserve"> </w:t>
            </w:r>
            <w:r>
              <w:t>Αναίρεση που άσκησε στις 22 Σεπτεμβρίου 2022 η Illumina, Inc. κατά της αποφάσεως που εξέδωσε το Γενικό Δικαστήριο στις 13 Ιουλίου 2022 στην υπόθεση 62021TJ0227, Illumina κατά Επιτροπής, ΕΕ C 432 της 14.11.2022, σ. 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Απόφαση του Γενικού Δικαστηρίου της 10ης Σεπτεμβρίου 2024, Ευρωπαϊκή Επιτροπή κατά Ιρλανδίας και Apple Sales International, 62020CJ0465, ECLI:EU:C:2024:724.</w:t>
            </w:r>
          </w:p>
        </w:tc>
        <w:tc>
          <w:tcPr>
            <w:tcW w:w="4876" w:type="dxa"/>
            <w:tcBorders>
              <w:top w:val="nil"/>
              <w:left w:val="nil"/>
              <w:bottom w:val="nil"/>
              <w:right w:val="nil"/>
            </w:tcBorders>
          </w:tcPr>
          <w:p>
            <w:pPr>
              <w:pStyle w:val="Normal6a"/>
            </w:pPr>
            <w:r>
              <w:rPr>
                <w:vertAlign w:val="superscript"/>
              </w:rPr>
              <w:t>3</w:t>
            </w:r>
            <w:r>
              <w:t xml:space="preserve"> </w:t>
            </w:r>
            <w:r>
              <w:t>Απόφαση του Γενικού Δικαστηρίου της 10ης Σεπτεμβρίου 2024, Ευρωπαϊκή Επιτροπή κατά Ιρλανδίας και Apple Sales International, 62020CJ0465, ECLI:EU:C:2024:724.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Απόφαση του Δικαστηρίου της 10ης Σεπτεμβρίου 2024, Google LLC και Alphabet Inc. κατά Ευρωπαϊκής Επιτροπής, 62022CJ0048, ECLI:EU:C:2024:726.</w:t>
            </w:r>
          </w:p>
        </w:tc>
        <w:tc>
          <w:tcPr>
            <w:tcW w:w="4876" w:type="dxa"/>
            <w:tcBorders>
              <w:top w:val="nil"/>
              <w:left w:val="nil"/>
              <w:bottom w:val="nil"/>
              <w:right w:val="nil"/>
            </w:tcBorders>
          </w:tcPr>
          <w:p>
            <w:pPr>
              <w:pStyle w:val="Normal6a"/>
            </w:pPr>
            <w:r>
              <w:rPr>
                <w:vertAlign w:val="superscript"/>
              </w:rPr>
              <w:t>4</w:t>
            </w:r>
            <w:r>
              <w:t xml:space="preserve"> </w:t>
            </w:r>
            <w:r>
              <w:t>Απόφαση του Δικαστηρίου της 10ης Σεπτεμβρίου 2024, Google LLC και Alphabet Inc. κατά Ευρωπαϊκής Επιτροπής, 62022CJ0048, ECLI:EU:C:2024:726.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Απόφαση της Επιτροπής, της 1ης Φεβρουαρίου 2012, απευθυνόμενη στις Deutsche Börse και NYSE Euronext, M.6166.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μελέτη του Θεματικού Τμήματος Διαρθρωτικής Πολιτικής και Πολιτικής Συνοχής του Ευρωπαϊκού Κοινοβουλίου με τίτλο «Ο ρόλος των εμπόρων βασικών προϊόντων στη διαμόρφωση των γεωργικών αγορών», που δημοσιεύτηκε τον Νοέμβριο του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ενημερωτικό δελτίο της Ευρωπαϊκής Επιτροπής «Competition merger brief» (Δελτίο περί συγχωνεύσεων επιχειρήσεων), τεύχος 4, Νοέμβριος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w:t>
            </w:r>
            <w:r>
              <w:tab/>
            </w:r>
            <w:r>
              <w:t>λαμβάνοντας υπόψη ότι ένα δύσκολο γεωπολιτικό πλαίσιο απαιτεί μια ανανεωμένη προσέγγιση της ευρωπαϊκής ανταγωνιστικότητας·</w:t>
            </w:r>
          </w:p>
        </w:tc>
        <w:tc>
          <w:tcPr>
            <w:tcW w:w="4876" w:type="dxa"/>
            <w:tcBorders>
              <w:top w:val="nil"/>
              <w:left w:val="nil"/>
              <w:bottom w:val="nil"/>
              <w:right w:val="nil"/>
            </w:tcBorders>
          </w:tcPr>
          <w:p>
            <w:pPr>
              <w:pStyle w:val="Normal6a"/>
            </w:pPr>
            <w:r>
              <w:rPr>
                <w:b/>
                <w:i/>
              </w:rPr>
              <w:t>Α</w:t>
            </w:r>
            <w:r>
              <w:t>.</w:t>
            </w:r>
            <w:r>
              <w:tab/>
            </w:r>
            <w:r>
              <w:t>λαμβάνοντας υπόψη ότι ένα δύσκολο γεωπολιτικό πλαίσιο</w:t>
            </w:r>
            <w:r>
              <w:rPr>
                <w:b/>
                <w:i/>
              </w:rPr>
              <w:t>, που χαρακτηρίζεται από την έλλειψη εταιρειών επαρκούς κλίμακας εντός της ΕΕ</w:t>
            </w:r>
            <w:r>
              <w:rPr>
                <w:b/>
                <w:i/>
                <w:vertAlign w:val="superscript"/>
              </w:rPr>
              <w:t>1a</w:t>
            </w:r>
            <w:r>
              <w:rPr>
                <w:b/>
                <w:i/>
              </w:rPr>
              <w:t>,</w:t>
            </w:r>
            <w:r>
              <w:t xml:space="preserve"> απαιτεί μια ανανεωμένη προσέγγιση της ευρωπαϊκής ανταγωνιστικότητας·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Το μέλλον της ευρωπαϊκής ανταγωνιστικότητας Μέρος Β</w:t>
            </w:r>
            <w:r>
              <w:t xml:space="preserve"> </w:t>
            </w:r>
            <w:r>
              <w:rPr>
                <w:b/>
                <w:i/>
              </w:rPr>
              <w:t>| Λεπτομερής ανάλυση και συστάσεις, Κεφάλαιο 4 - Αναμόρφωση του Ανταγωνισμού, σελ. 300.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λαμβάνοντας υπόψη ότι ένα δύσκολο</w:t>
            </w:r>
            <w:r>
              <w:t xml:space="preserve"> γεωπολιτικό πλαίσιο απαιτεί μια ανανεωμένη προσέγγιση της ευρωπαϊκής ανταγωνιστικότητας·</w:t>
            </w:r>
          </w:p>
        </w:tc>
        <w:tc>
          <w:tcPr>
            <w:tcW w:w="4876" w:type="dxa"/>
            <w:tcBorders>
              <w:top w:val="nil"/>
              <w:left w:val="nil"/>
              <w:bottom w:val="nil"/>
              <w:right w:val="nil"/>
            </w:tcBorders>
          </w:tcPr>
          <w:p>
            <w:pPr>
              <w:pStyle w:val="Normal6a"/>
            </w:pPr>
            <w:r>
              <w:rPr>
                <w:b/>
                <w:i/>
              </w:rPr>
              <w:t>Α.</w:t>
            </w:r>
            <w:r>
              <w:tab/>
            </w:r>
            <w:r>
              <w:rPr>
                <w:b/>
                <w:i/>
              </w:rPr>
              <w:t>Θεωρεί ότι το τρέχον</w:t>
            </w:r>
            <w:r>
              <w:t xml:space="preserve"> γεωπολιτικό πλαίσιο</w:t>
            </w:r>
            <w:r>
              <w:rPr>
                <w:b/>
                <w:i/>
              </w:rPr>
              <w:t>, σε συνδυασμό με ορισμένες αποφάσεις που έχουν ληφθεί σε ευρωπαϊκό επίπεδο και έχουν επηρεάσει αρνητικά την οικονομία της ευρωζώνης,</w:t>
            </w:r>
            <w:r>
              <w:t xml:space="preserve"> απαιτεί μια ανανεωμένη προσέγγιση της ευρωπαϊκής ανταγωνιστικότητας·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Lídia Pereira,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w:t>
            </w:r>
            <w:r>
              <w:tab/>
            </w:r>
            <w:r>
              <w:t xml:space="preserve">λαμβάνοντας υπόψη ότι </w:t>
            </w:r>
            <w:r>
              <w:rPr>
                <w:b/>
                <w:i/>
              </w:rPr>
              <w:t>ένα</w:t>
            </w:r>
            <w:r>
              <w:t xml:space="preserve"> δύσκολο γεωπολιτικό πλαίσιο απαιτεί μια ανανεωμένη προσέγγιση της ευρωπαϊκής ανταγωνιστικότητας·</w:t>
            </w:r>
          </w:p>
        </w:tc>
        <w:tc>
          <w:tcPr>
            <w:tcW w:w="4876" w:type="dxa"/>
            <w:tcBorders>
              <w:top w:val="nil"/>
              <w:left w:val="nil"/>
              <w:bottom w:val="nil"/>
              <w:right w:val="nil"/>
            </w:tcBorders>
          </w:tcPr>
          <w:p>
            <w:pPr>
              <w:pStyle w:val="Normal6a"/>
            </w:pPr>
            <w:r>
              <w:rPr>
                <w:b/>
                <w:i/>
              </w:rPr>
              <w:t>Α</w:t>
            </w:r>
            <w:r>
              <w:t>.</w:t>
            </w:r>
            <w:r>
              <w:tab/>
            </w:r>
            <w:r>
              <w:t xml:space="preserve">λαμβάνοντας υπόψη ότι </w:t>
            </w:r>
            <w:r>
              <w:rPr>
                <w:b/>
                <w:i/>
              </w:rPr>
              <w:t>το</w:t>
            </w:r>
            <w:r>
              <w:t xml:space="preserve"> δύσκολο </w:t>
            </w:r>
            <w:r>
              <w:rPr>
                <w:b/>
                <w:i/>
              </w:rPr>
              <w:t>και, μεταξύ άλλων, αβέβαιο και απρόβλεπτο</w:t>
            </w:r>
            <w:r>
              <w:t xml:space="preserve"> γεωπολιτικό πλαίσιο απαιτεί μια ανανεωμένη προσέγγιση της ευρωπαϊκής ανταγωνιστικότητας </w:t>
            </w:r>
            <w:r>
              <w:rPr>
                <w:b/>
                <w:i/>
              </w:rPr>
              <w:t>και συγκεκριμένες στρατηγικές για την τόνωση της οικονομικής ανάπτυξης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w:t>
            </w:r>
            <w:r>
              <w:tab/>
            </w:r>
            <w:r>
              <w:t>λαμβάνοντας υπόψη ότι ένα δύσκολο γεωπολιτικό πλαίσιο απαιτεί μια ανανεωμένη προσέγγιση της ευρωπαϊκής ανταγωνιστικότητας·</w:t>
            </w:r>
          </w:p>
        </w:tc>
        <w:tc>
          <w:tcPr>
            <w:tcW w:w="4876" w:type="dxa"/>
            <w:tcBorders>
              <w:top w:val="nil"/>
              <w:left w:val="nil"/>
              <w:bottom w:val="nil"/>
              <w:right w:val="nil"/>
            </w:tcBorders>
          </w:tcPr>
          <w:p>
            <w:pPr>
              <w:pStyle w:val="Normal6a"/>
            </w:pPr>
            <w:r>
              <w:rPr>
                <w:b/>
                <w:i/>
              </w:rPr>
              <w:t>Α</w:t>
            </w:r>
            <w:r>
              <w:t>.</w:t>
            </w:r>
            <w:r>
              <w:tab/>
            </w:r>
            <w:r>
              <w:t>λαμβάνοντας υπόψη ότι ένα δύσκολο γεωπολιτικό πλαίσιο</w:t>
            </w:r>
            <w:r>
              <w:rPr>
                <w:b/>
                <w:i/>
              </w:rPr>
              <w:t>, χωρίς οικονομική ανάπτυξη και χαμηλή παραγωγικότητα,</w:t>
            </w:r>
            <w:r>
              <w:t xml:space="preserve"> απαιτεί μια ανανεωμένη προσέγγιση της ευρωπαϊκής ανταγωνιστικότητας·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w:t>
            </w:r>
            <w:r>
              <w:tab/>
            </w:r>
            <w:r>
              <w:t xml:space="preserve">λαμβάνοντας υπόψη ότι ένα δύσκολο γεωπολιτικό πλαίσιο </w:t>
            </w:r>
            <w:r>
              <w:rPr>
                <w:b/>
                <w:i/>
              </w:rPr>
              <w:t>απαιτεί</w:t>
            </w:r>
            <w:r>
              <w:t xml:space="preserve"> μια ανανεωμένη προσέγγιση της ευρωπαϊκής ανταγωνιστικότητας·</w:t>
            </w:r>
          </w:p>
        </w:tc>
        <w:tc>
          <w:tcPr>
            <w:tcW w:w="4876" w:type="dxa"/>
            <w:tcBorders>
              <w:top w:val="nil"/>
              <w:left w:val="nil"/>
              <w:bottom w:val="nil"/>
              <w:right w:val="nil"/>
            </w:tcBorders>
          </w:tcPr>
          <w:p>
            <w:pPr>
              <w:pStyle w:val="Normal6a"/>
            </w:pPr>
            <w:r>
              <w:rPr>
                <w:b/>
                <w:i/>
              </w:rPr>
              <w:t>Α</w:t>
            </w:r>
            <w:r>
              <w:t>.</w:t>
            </w:r>
            <w:r>
              <w:tab/>
            </w:r>
            <w:r>
              <w:t xml:space="preserve">λαμβάνοντας υπόψη ότι ένα δύσκολο </w:t>
            </w:r>
            <w:r>
              <w:rPr>
                <w:b/>
                <w:i/>
              </w:rPr>
              <w:t>οικονομικό και</w:t>
            </w:r>
            <w:r>
              <w:t xml:space="preserve"> γεωπολιτικό πλαίσιο</w:t>
            </w:r>
            <w:r>
              <w:rPr>
                <w:b/>
                <w:i/>
              </w:rPr>
              <w:t>, καθώς και η κλιματική κρίση, απαιτούν</w:t>
            </w:r>
            <w:r>
              <w:t xml:space="preserve"> μια ανανεωμένη προσέγγιση της ευρωπαϊκής ανταγωνιστικότητας·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ο ανοικτός και επί ίσοις όροις ανταγωνισμός αποτελεί ουσιώδες στοιχείο για την ορθή λειτουργία της εσωτερικής αγοράς, την οικονομική ανάπτυξη, την καινοτομία, τη δημιουργία θέσεων εργασίας και την προστασία των καταναλωτών·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οι επιδεινούμενες προκλήσεις της κλιματικής αλλαγής και οι αυξανόμενοι κίνδυνοι για τη βιοποικιλότητα απαιτούν ριζική αναστροφή των βιομηχανικών πολιτικών και του τρόπου με τον οποίο μπορεί να δημιουργηθεί ανταγωνιστικότητα·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w:t>
            </w:r>
            <w:r>
              <w:tab/>
            </w:r>
            <w:r>
              <w:t xml:space="preserve">λαμβάνοντας υπόψη ότι η ορθή </w:t>
            </w:r>
            <w:r>
              <w:rPr>
                <w:b/>
                <w:i/>
              </w:rPr>
              <w:t>επιβολή</w:t>
            </w:r>
            <w:r>
              <w:t xml:space="preserve"> του πλαισίου πολιτικής ανταγωνισμού της ΕΕ οδηγεί σε χαμηλότερες τιμές, υψηλότερη ποιότητα, ταχύτερη καινοτομία και </w:t>
            </w:r>
            <w:r>
              <w:rPr>
                <w:b/>
                <w:i/>
              </w:rPr>
              <w:t>μια</w:t>
            </w:r>
            <w:r>
              <w:t xml:space="preserve"> πιο ανθεκτική οικονομία·</w:t>
            </w:r>
          </w:p>
        </w:tc>
        <w:tc>
          <w:tcPr>
            <w:tcW w:w="4876" w:type="dxa"/>
            <w:tcBorders>
              <w:top w:val="nil"/>
              <w:left w:val="nil"/>
              <w:bottom w:val="nil"/>
              <w:right w:val="nil"/>
            </w:tcBorders>
          </w:tcPr>
          <w:p>
            <w:pPr>
              <w:pStyle w:val="Normal6a"/>
            </w:pPr>
            <w:r>
              <w:rPr>
                <w:b/>
                <w:i/>
              </w:rPr>
              <w:t>Β</w:t>
            </w:r>
            <w:r>
              <w:t>.</w:t>
            </w:r>
            <w:r>
              <w:tab/>
            </w:r>
            <w:r>
              <w:t xml:space="preserve">λαμβάνοντας υπόψη ότι η ορθή </w:t>
            </w:r>
            <w:r>
              <w:rPr>
                <w:b/>
                <w:i/>
              </w:rPr>
              <w:t>εφαρμογή</w:t>
            </w:r>
            <w:r>
              <w:t xml:space="preserve"> του πλαισίου </w:t>
            </w:r>
            <w:r>
              <w:rPr>
                <w:b/>
                <w:i/>
              </w:rPr>
              <w:t>της</w:t>
            </w:r>
            <w:r>
              <w:t xml:space="preserve"> πολιτικής ανταγωνισμού της ΕΕ οδηγεί σε χαμηλότερες τιμές, υψηλότερη ποιότητα, ταχύτερη καινοτομία και πιο ανθεκτική οικονομία</w:t>
            </w:r>
            <w:r>
              <w:rPr>
                <w:b/>
                <w:i/>
              </w:rPr>
              <w:t>, λαμβάνοντας υπόψη ότι οι στόχοι αυτοί επιτυγχάνονται με την ενίσχυση της ελεύθερης αγοράς, η οποία διασφαλίζει τον αποτελεσματικό ανταγωνισμό με την άρση των φραγμών εισόδου, την προώθηση της καινοτομίας και τη διευκόλυνση της αποτελεσματικής κατανομής των πόρων με βάση τα μηνύματα προσφοράς και ζήτησης· λαμβάνοντας επίσης υπόψη ότι το πλαίσιο της πολιτικής ανταγωνισμού πρέπει να προστατεύει την ισότητα όρων ανταγωνισμού μεταξύ των οικονομικών παραγόντων στην αγορά, καταπολεμώντας τυχόν καταχρήσεις δεσπόζουσας θέσης, μονοπώλια και αντιανταγωνιστικές πρακτικές που θα μπορούσαν να στρεβλώσουν τη λειτουργία της εσωτερικής αγοράς</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w:t>
            </w:r>
            <w:r>
              <w:tab/>
            </w:r>
            <w:r>
              <w:t>λαμβάνοντας υπόψη ότι η ορθή επιβολή του πλαισίου πολιτικής ανταγωνισμού της ΕΕ οδηγεί σε χαμηλότερες τιμές, υψηλότερη ποιότητα, ταχύτερη καινοτομία και μια πιο ανθεκτική οικονομία·</w:t>
            </w:r>
          </w:p>
        </w:tc>
        <w:tc>
          <w:tcPr>
            <w:tcW w:w="4876" w:type="dxa"/>
            <w:tcBorders>
              <w:top w:val="nil"/>
              <w:left w:val="nil"/>
              <w:bottom w:val="nil"/>
              <w:right w:val="nil"/>
            </w:tcBorders>
          </w:tcPr>
          <w:p>
            <w:pPr>
              <w:pStyle w:val="Normal6a"/>
            </w:pPr>
            <w:r>
              <w:rPr>
                <w:b/>
                <w:i/>
              </w:rPr>
              <w:t>Β</w:t>
            </w:r>
            <w:r>
              <w:t>.</w:t>
            </w:r>
            <w:r>
              <w:tab/>
            </w:r>
            <w:r>
              <w:t>λαμβάνοντας υπόψη ότι η ορθή επιβολή του πλαισίου πολιτικής ανταγωνισμού της ΕΕ</w:t>
            </w:r>
            <w:r>
              <w:rPr>
                <w:b/>
                <w:i/>
              </w:rPr>
              <w:t>, σε τομείς που δεν υπόκεινται στην κρατική κυριαρχία,</w:t>
            </w:r>
            <w:r>
              <w:t xml:space="preserve"> οδηγεί σε χαμηλότερες τιμές, υψηλότερη ποιότητα, ταχύτερη καινοτομία και μια πιο ανθεκτική οικονομία</w:t>
            </w:r>
            <w:r>
              <w:rPr>
                <w:b/>
                <w:i/>
              </w:rPr>
              <w:t>, διευκολύνοντας τη μακρόπνοη ευημερία των βιομηχανικών αλυσίδων εφοδιασμού</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w:t>
            </w:r>
            <w:r>
              <w:tab/>
            </w:r>
            <w:r>
              <w:t xml:space="preserve">λαμβάνοντας υπόψη </w:t>
            </w:r>
            <w:r>
              <w:rPr>
                <w:b/>
                <w:i/>
              </w:rPr>
              <w:t>ότι η ορθή επιβολή του πλαισίου πολιτικής ανταγωνισμού της ΕΕ οδηγεί σε χαμηλότερες τιμές, υψηλότερη ποιότητα, ταχύτερη καινοτομία και μια πιο ανθεκτική οικονομία</w:t>
            </w:r>
            <w:r>
              <w:t>·</w:t>
            </w:r>
          </w:p>
        </w:tc>
        <w:tc>
          <w:tcPr>
            <w:tcW w:w="4876" w:type="dxa"/>
            <w:tcBorders>
              <w:top w:val="nil"/>
              <w:left w:val="nil"/>
              <w:bottom w:val="nil"/>
              <w:right w:val="nil"/>
            </w:tcBorders>
          </w:tcPr>
          <w:p>
            <w:pPr>
              <w:pStyle w:val="Normal6a"/>
            </w:pPr>
            <w:r>
              <w:rPr>
                <w:b/>
                <w:i/>
              </w:rPr>
              <w:t>Β</w:t>
            </w:r>
            <w:r>
              <w:t>.</w:t>
            </w:r>
            <w:r>
              <w:tab/>
            </w:r>
            <w:r>
              <w:t xml:space="preserve">λαμβάνοντας υπόψη </w:t>
            </w:r>
            <w:r>
              <w:rPr>
                <w:b/>
                <w:i/>
              </w:rPr>
              <w:t>την επείγουσα ανάγκη για ένα βιομηχανικό σοκ στην Ευρώπη, προκειμένου να καλυφθεί η υστέρηση που έχει σωρευθεί σε σχέση με τους ανταγωνιστές εκτός Ευρώπης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w:t>
            </w:r>
            <w:r>
              <w:tab/>
            </w:r>
            <w:r>
              <w:t>λαμβάνοντας υπόψη ότι η ορθή επιβολή του πλαισίου πολιτικής ανταγωνισμού της ΕΕ οδηγεί σε χαμηλότερες τιμές, υψηλότερη ποιότητα</w:t>
            </w:r>
            <w:r>
              <w:rPr>
                <w:b/>
                <w:i/>
              </w:rPr>
              <w:t>, ταχύτερη</w:t>
            </w:r>
            <w:r>
              <w:t xml:space="preserve"> καινοτομία και μια πιο ανθεκτική οικονομία·</w:t>
            </w:r>
          </w:p>
        </w:tc>
        <w:tc>
          <w:tcPr>
            <w:tcW w:w="4876" w:type="dxa"/>
            <w:tcBorders>
              <w:top w:val="nil"/>
              <w:left w:val="nil"/>
              <w:bottom w:val="nil"/>
              <w:right w:val="nil"/>
            </w:tcBorders>
          </w:tcPr>
          <w:p>
            <w:pPr>
              <w:pStyle w:val="Normal6a"/>
            </w:pPr>
            <w:r>
              <w:rPr>
                <w:b/>
                <w:i/>
              </w:rPr>
              <w:t>Β</w:t>
            </w:r>
            <w:r>
              <w:t>.</w:t>
            </w:r>
            <w:r>
              <w:tab/>
            </w:r>
            <w:r>
              <w:t xml:space="preserve">λαμβάνοντας υπόψη ότι η ορθή επιβολή του πλαισίου πολιτικής ανταγωνισμού της ΕΕ οδηγεί σε χαμηλότερες τιμές, </w:t>
            </w:r>
            <w:r>
              <w:rPr>
                <w:b/>
                <w:i/>
              </w:rPr>
              <w:t>υψηλότερους μισθούς,</w:t>
            </w:r>
            <w:r>
              <w:t xml:space="preserve"> υψηλότερη ποιότητα </w:t>
            </w:r>
            <w:r>
              <w:rPr>
                <w:b/>
                <w:i/>
              </w:rPr>
              <w:t>αγαθών και υπηρεσιών, βελτιωμένη</w:t>
            </w:r>
            <w:r>
              <w:t xml:space="preserve"> καινοτομία και μια πιο </w:t>
            </w:r>
            <w:r>
              <w:rPr>
                <w:b/>
                <w:i/>
              </w:rPr>
              <w:t>δίκαιη και</w:t>
            </w:r>
            <w:r>
              <w:t xml:space="preserve"> ανθεκτική οικονομία·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w:t>
            </w:r>
            <w:r>
              <w:tab/>
            </w:r>
            <w:r>
              <w:t>λαμβάνοντας υπόψη ότι η ορθή επιβολή του πλαισίου πολιτικής ανταγωνισμού της ΕΕ οδηγεί σε χαμηλότερες τιμές, υψηλότερη ποιότητα, ταχύτερη καινοτομία και μια πιο ανθεκτική οικονομία·</w:t>
            </w:r>
          </w:p>
        </w:tc>
        <w:tc>
          <w:tcPr>
            <w:tcW w:w="4876" w:type="dxa"/>
            <w:tcBorders>
              <w:top w:val="nil"/>
              <w:left w:val="nil"/>
              <w:bottom w:val="nil"/>
              <w:right w:val="nil"/>
            </w:tcBorders>
          </w:tcPr>
          <w:p>
            <w:pPr>
              <w:pStyle w:val="Normal6a"/>
            </w:pPr>
            <w:r>
              <w:rPr>
                <w:b/>
                <w:i/>
              </w:rPr>
              <w:t>Β</w:t>
            </w:r>
            <w:r>
              <w:t>.</w:t>
            </w:r>
            <w:r>
              <w:tab/>
            </w:r>
            <w:r>
              <w:t>λαμβάνοντας υπόψη ότι η ορθή επιβολή του πλαισίου πολιτικής ανταγωνισμού της ΕΕ οδηγεί σε χαμηλότερες τιμές, υψηλότερη ποιότητα</w:t>
            </w:r>
            <w:r>
              <w:rPr>
                <w:b/>
                <w:i/>
              </w:rPr>
              <w:t>, περισσότερες επιλογές για τους καταναλωτές</w:t>
            </w:r>
            <w:r>
              <w:t>, ταχύτερη καινοτομία και μια πιο ανθεκτική οικονομία·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η έλλειψη ολοκλήρωσης της ΕΕ στους τομείς του χρηματοπιστωτικού τομέα, της ενέργειας και των ηλεκτρονικών επικοινωνιών αποτελεί πρωταρχικό λόγο για τη φθίνουσα ανταγωνιστικότητα της Ευρώπης</w:t>
            </w:r>
            <w:r>
              <w:rPr>
                <w:b/>
                <w:i/>
                <w:vertAlign w:val="superscript"/>
              </w:rPr>
              <w:t>2a</w:t>
            </w:r>
            <w:r>
              <w:rPr>
                <w:b/>
                <w:i/>
              </w:rPr>
              <w:t>·</w:t>
            </w:r>
            <w:r>
              <w:t xml:space="preserve"> </w:t>
            </w:r>
            <w:r>
              <w:rPr>
                <w:b/>
                <w:i/>
              </w:rPr>
              <w:t>λαμβάνοντας υπόψη ότι η ενδεδειγμένη ολοκλήρωση της ενιαίας αγοράς της ΕΕ σε αυτούς τους τομείς θα διεύρυνε κατά πολύ τη σχετική με τον ανταγωνισμό αγορά·</w:t>
            </w:r>
            <w:r>
              <w:t xml:space="preserve"> </w:t>
            </w:r>
            <w:r>
              <w:rPr>
                <w:b/>
                <w:i/>
              </w:rPr>
              <w:t>λαμβάνοντας υπόψη ότι μια διευρυμένη σχετική αγορά παρέχει περισσότερα περιθώρια στις εταιρείες να επεκταθούν, ώστε να ανταγωνίζονται σε παγκόσμιο επίπεδο, ενώ ταυτόχρονα ενισχύει τον ανταγωνισμό εντός της ενιαίας αγοράς προς όφελος των καταναλωτών·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Much More Than a Market:</w:t>
            </w:r>
            <w:r>
              <w:t xml:space="preserve"> </w:t>
            </w:r>
            <w:r>
              <w:rPr>
                <w:b/>
                <w:i/>
              </w:rPr>
              <w:t>A vision for Europe's future (Πολύ περισσότερο από μια αγορά: Ένα όραμα για το μέλλον της Ευρώπης).</w:t>
            </w:r>
            <w:r>
              <w:t xml:space="preserve"> </w:t>
            </w:r>
            <w:r>
              <w:rPr>
                <w:b/>
                <w:i/>
              </w:rPr>
              <w:t>Enrico Letta. σ.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η δέσμευση της νέας κυβέρνησης των ΗΠΑ να δώσει νέα ώθηση στην ενέργεια από ορυκτά καύσιμα και στην «ενεργειακή αφθονία» υπογραμμίζει πόσο επείγεται η ΕΕ να μεταβεί στην πράσινη ενέργεια, όπως τονίζεται από τον Mario Draghi, προκειμένου να είναι οι ευρωπαϊκές εταιρείες σε θέση να ανταγωνιστούν τις αμερικανικές αντίστοιχες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η έκθεση του Mario Draghi υπογραμμίζει ότι η ΕΕ διαθέτει ευρεία και διαφοροποιημένη βάση βιομηχανικής καινοτομίας, με ισχυρό συγκριτικό πλεονέκτημα στις πράσινες τεχνολογίες, αλλά ότι απαιτούνται συνεχείς προσπάθειες προκειμένου να διατηρηθεί αυτό το πλεονέκτημα·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η πολιτική ανταγωνισμού θα μπορούσε να συμβάλει στην ενίσχυση της ανθεκτικότητας της εσωτερικής αγοράς, καθώς και στην επίτευξη των στόχων της Ευρωπαϊκής Πράσινης Συμφωνίας, της Ψηφιακής Πυξίδας και της Πυξίδας Ανταγωνιστικότητας·</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η Ευρωπαϊκή Επιτροπή και οι εθνικές αρχές ανταγωνισμού πρέπει να ενεργούν με αμερόληπτο και αντικειμενικό τρόπο, προκειμένου να διατηρηθεί η αξιοπιστία της πολιτικής ανταγωνισμού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ο οικολογικός προσανατολισμός της πολιτικής ανταγωνισμού αποτελεί την κύρια κινητήρια δύναμη για την ευρωπαϊκή ευημερία και τη μακρόπνοη ανταγωνιστικότητα·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β.</w:t>
            </w:r>
            <w:r>
              <w:tab/>
            </w:r>
            <w:r>
              <w:rPr>
                <w:b/>
                <w:i/>
              </w:rPr>
              <w:t>λαμβάνοντας υπόψη ότι οι διεθνείς ανταλλαγές και η διεθνής συνεργασία είναι απαραίτητες για την επίτευξη ισότιμων όρων ανταγωνισμού σε παγκόσμιο επίπεδο και για την αντιμετώπιση των προκλήσεων της διττής ψηφιακής και πράσινης μετάβασης με συντονισμένο τρόπο·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β.</w:t>
            </w:r>
            <w:r>
              <w:tab/>
            </w:r>
            <w:r>
              <w:rPr>
                <w:b/>
                <w:i/>
              </w:rPr>
              <w:t>λαμβάνοντας υπόψη ότι η πολιτική ανεξαρτησία των εθνικών αρχών ανταγωνισμού είναι εξαιρετικής σημασίας για τη διασφάλιση της αμεροληψίας και της αξιοπιστίας της πολιτικής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β.</w:t>
            </w:r>
            <w:r>
              <w:tab/>
            </w:r>
            <w:r>
              <w:rPr>
                <w:b/>
                <w:i/>
              </w:rPr>
              <w:t>λαμβάνοντας υπόψη ότι η μακρόπνοη ανταγωνιστικότητα και ανθεκτικότητα της ΕΕ απαιτεί την ενσωμάτωση κλιματικών και περιβαλλοντικών παραμέτρων στο πλαίσιο της πολιτικής ανταγωνισμού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1 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θεωρεί ότι η πολιτική ανταγωνισμού διαδραματίζει σημαντικό ρόλο στην ανάπτυξη των συναλλαγών και στην ανάπτυξη των επιχειρήσεων, ιδίως των ΜΜΕ, εντός της ενιαίας αγοράς·</w:t>
            </w:r>
            <w:r>
              <w:t xml:space="preserve"> </w:t>
            </w:r>
            <w:r>
              <w:rPr>
                <w:b/>
                <w:i/>
              </w:rPr>
              <w:t>υπενθυμίζει, επιπλέον, ότι η πλήρης ανάπτυξη των επιχειρήσεων εξαρτάται από την επιτυχία στην άρση των φραγμών εισόδου, στην καταπολέμηση αντιανταγωνιστικών πρακτικών, όπως τα μονοπώλια ή οι συμπράξεις, και στη διασφάλιση ισότιμων όρων ανταγωνισμού για όλους τους οικονομικούς φορείς·</w:t>
            </w:r>
            <w:r>
              <w:t xml:space="preserve"> </w:t>
            </w:r>
            <w:r>
              <w:rPr>
                <w:b/>
                <w:i/>
              </w:rPr>
              <w:t>τονίζει ότι μια αποτελεσματική πολιτική ανταγωνισμού πρέπει να αποφεύγει την υπερβολική ρύθμιση και τον δυσανάλογο διοικητικό φόρτο, ενθαρρύνοντας την καινοτομία και επιτρέποντας στις επιχειρήσεις να αξιοποιούν στο έπακρο τα οφέλη και τις ευκαιρίες που προσφέρει η ελεύθερη αγορά·</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w:t>
            </w:r>
          </w:p>
        </w:tc>
        <w:tc>
          <w:tcPr>
            <w:tcW w:w="4876" w:type="dxa"/>
            <w:tcBorders>
              <w:top w:val="nil"/>
              <w:left w:val="nil"/>
              <w:bottom w:val="nil"/>
              <w:right w:val="nil"/>
            </w:tcBorders>
          </w:tcPr>
          <w:p>
            <w:pPr>
              <w:pStyle w:val="Normal6a"/>
            </w:pPr>
            <w:r>
              <w:t>1.</w:t>
            </w:r>
            <w:r>
              <w:tab/>
            </w:r>
            <w:r>
              <w:t xml:space="preserve">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 </w:t>
            </w:r>
            <w:r>
              <w:rPr>
                <w:b/>
                <w:i/>
              </w:rPr>
              <w:t>τονίζει ότι η προστασία των καταναλωτών πρέπει να επιτευχθεί με τη δημιουργία μιας αγοράς που θα ενθαρρύνει την είσοδο νέων ανταγωνιστών, την καινοτομία και την οικονομική αποδοτικότητα, αποφεύγοντας καταχρηστικές πρακτικές που περιορίζουν την προσφορά, αυξάνουν τεχνητά τις τιμές ή υποβαθμίζουν την ποιότητα των προϊόντων·</w:t>
            </w:r>
            <w:r>
              <w:t xml:space="preserve"> </w:t>
            </w:r>
            <w:r>
              <w:rPr>
                <w:b/>
                <w:i/>
              </w:rPr>
              <w:t>τονίζει ότι η πολιτική ανταγωνισμού θα πρέπει να παρεμβαίνει καταπολεμώντας αντιανταγωνιστικές πρακτικές και να αποφεύγει δυσανάλογες ρυθμίσεις ή παρεμβάσεις που θα μπορούσαν να στρεβλώσουν την ελεύθερη λειτουργία της αγοράς ή να αποθαρρύνουν την ανάπτυξη των επιχειρήσεων και την καινοτομία·</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w:t>
            </w:r>
          </w:p>
        </w:tc>
        <w:tc>
          <w:tcPr>
            <w:tcW w:w="4876" w:type="dxa"/>
            <w:tcBorders>
              <w:top w:val="nil"/>
              <w:left w:val="nil"/>
              <w:bottom w:val="nil"/>
              <w:right w:val="nil"/>
            </w:tcBorders>
          </w:tcPr>
          <w:p>
            <w:pPr>
              <w:pStyle w:val="Normal6a"/>
            </w:pPr>
            <w:r>
              <w:t>1.</w:t>
            </w:r>
            <w:r>
              <w:tab/>
            </w:r>
            <w:r>
              <w:t>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w:t>
            </w:r>
            <w:r>
              <w:rPr>
                <w:b/>
                <w:i/>
              </w:rPr>
              <w:t>,</w:t>
            </w:r>
            <w:r>
              <w:t xml:space="preserve"> </w:t>
            </w:r>
            <w:r>
              <w:rPr>
                <w:b/>
                <w:i/>
              </w:rPr>
              <w:t>διασφαλίζοντας ότι οι αγορές παραμένουν ανταγωνιστικές και αποτελεσματικές, δυναμικές και καινοτόμες, παρέχοντας προϊόντα και υπηρεσίες υψηλής ποιότητας σε θεμιτές τιμές και εύλογα περιθώρια κέρδους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w:t>
            </w:r>
          </w:p>
        </w:tc>
        <w:tc>
          <w:tcPr>
            <w:tcW w:w="4876" w:type="dxa"/>
            <w:tcBorders>
              <w:top w:val="nil"/>
              <w:left w:val="nil"/>
              <w:bottom w:val="nil"/>
              <w:right w:val="nil"/>
            </w:tcBorders>
          </w:tcPr>
          <w:p>
            <w:pPr>
              <w:pStyle w:val="Normal6a"/>
            </w:pPr>
            <w:r>
              <w:t>1.</w:t>
            </w:r>
            <w:r>
              <w:tab/>
            </w:r>
            <w:r>
              <w:t>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w:t>
            </w:r>
            <w:r>
              <w:rPr>
                <w:b/>
                <w:i/>
              </w:rPr>
              <w:t>, ενθαρρύνοντας την αποτελεσματικότητα και την καινοτομία και μειώνοντας τις τιμές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Pierre Pimpie, Aleksandar Nikolic,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θεωρεί ότι η πολιτική ανταγωνισμού της ΕΕ προστατεύει από τις </w:t>
            </w:r>
            <w:r>
              <w:rPr>
                <w:b/>
                <w:i/>
              </w:rPr>
              <w:t>συγκεντρώσεις</w:t>
            </w:r>
            <w:r>
              <w:t xml:space="preserve"> και τη συσσώρευση ισχύος στην αγορά </w:t>
            </w:r>
            <w:r>
              <w:rPr>
                <w:b/>
                <w:i/>
              </w:rPr>
              <w:t>και επιβεβαιώνει τον ρόλο της στην προστασία των καταναλωτών·</w:t>
            </w:r>
          </w:p>
        </w:tc>
        <w:tc>
          <w:tcPr>
            <w:tcW w:w="4876" w:type="dxa"/>
            <w:tcBorders>
              <w:top w:val="nil"/>
              <w:left w:val="nil"/>
              <w:bottom w:val="nil"/>
              <w:right w:val="nil"/>
            </w:tcBorders>
          </w:tcPr>
          <w:p>
            <w:pPr>
              <w:pStyle w:val="Normal6a"/>
            </w:pPr>
            <w:r>
              <w:t>1.</w:t>
            </w:r>
            <w:r>
              <w:tab/>
            </w:r>
            <w:r>
              <w:t xml:space="preserve">θεωρεί ότι η πολιτική ανταγωνισμού της ΕΕ προστατεύει από τις </w:t>
            </w:r>
            <w:r>
              <w:rPr>
                <w:b/>
                <w:i/>
              </w:rPr>
              <w:t>συγχωνεύσεις</w:t>
            </w:r>
            <w:r>
              <w:t xml:space="preserve"> και τη συσσώρευση ισχύος στην αγορά</w:t>
            </w:r>
            <w:r>
              <w:rPr>
                <w:b/>
                <w:i/>
              </w:rPr>
              <w:t>, τονίζοντας παράλληλα την ανάγκη να μην παρεμποδίζεται η δραστηριότητα των μειζόνων παραγόντων οι οποίοι μπορούν να ανταγωνίζονται με δυνάμεις εκτός ΕΕ.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w:t>
            </w:r>
          </w:p>
        </w:tc>
        <w:tc>
          <w:tcPr>
            <w:tcW w:w="4876" w:type="dxa"/>
            <w:tcBorders>
              <w:top w:val="nil"/>
              <w:left w:val="nil"/>
              <w:bottom w:val="nil"/>
              <w:right w:val="nil"/>
            </w:tcBorders>
          </w:tcPr>
          <w:p>
            <w:pPr>
              <w:pStyle w:val="Normal6a"/>
            </w:pPr>
            <w:r>
              <w:t>1.</w:t>
            </w:r>
            <w:r>
              <w:tab/>
            </w:r>
            <w:r>
              <w:t xml:space="preserve">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 </w:t>
            </w:r>
            <w:r>
              <w:rPr>
                <w:b/>
                <w:i/>
              </w:rPr>
              <w:t>και της ισοτιμίας των όρων ανταγωνισμού εντός της εσωτερικής αγοράς</w:t>
            </w:r>
            <w:r>
              <w:rPr>
                <w:b/>
                <w:i/>
                <w:vertAlign w:val="superscript"/>
              </w:rPr>
              <w:t>3a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Much More Than a Market:</w:t>
            </w:r>
            <w:r>
              <w:t xml:space="preserve"> </w:t>
            </w:r>
            <w:r>
              <w:rPr>
                <w:b/>
                <w:i/>
              </w:rPr>
              <w:t>A vision for Europe's future (Πολύ περισσότερο από μια αγορά. Ένα όραμα για το μέλλον της Ευρώπης).</w:t>
            </w:r>
            <w:r>
              <w:t xml:space="preserve"> </w:t>
            </w:r>
            <w:r>
              <w:rPr>
                <w:b/>
                <w:i/>
              </w:rPr>
              <w:t>Enrico Letta. σ.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θεωρεί ότι η πολιτική ανταγωνισμού της ΕΕ προστατεύει από </w:t>
            </w:r>
            <w:r>
              <w:rPr>
                <w:b/>
                <w:i/>
              </w:rPr>
              <w:t>τις συγκεντρώσεις και τη συσσώρευση</w:t>
            </w:r>
            <w:r>
              <w:t xml:space="preserve"> ισχύος στην αγορά και επιβεβαιώνει τον ρόλο της </w:t>
            </w:r>
            <w:r>
              <w:rPr>
                <w:b/>
                <w:i/>
              </w:rPr>
              <w:t>στην προστασία</w:t>
            </w:r>
            <w:r>
              <w:t xml:space="preserve"> των καταναλωτών·</w:t>
            </w:r>
          </w:p>
        </w:tc>
        <w:tc>
          <w:tcPr>
            <w:tcW w:w="4876" w:type="dxa"/>
            <w:tcBorders>
              <w:top w:val="nil"/>
              <w:left w:val="nil"/>
              <w:bottom w:val="nil"/>
              <w:right w:val="nil"/>
            </w:tcBorders>
          </w:tcPr>
          <w:p>
            <w:pPr>
              <w:pStyle w:val="Normal6a"/>
            </w:pPr>
            <w:r>
              <w:t>1.</w:t>
            </w:r>
            <w:r>
              <w:tab/>
            </w:r>
            <w:r>
              <w:t xml:space="preserve">Θεωρεί ότι η πολιτική ανταγωνισμού της ΕΕ προστατεύει από </w:t>
            </w:r>
            <w:r>
              <w:rPr>
                <w:b/>
                <w:i/>
              </w:rPr>
              <w:t>τον υπερβολικό βαθμό συγκεντρώσεων και συσσώρευσης</w:t>
            </w:r>
            <w:r>
              <w:t xml:space="preserve"> ισχύος στην αγορά και επιβεβαιώνει τον ρόλο της </w:t>
            </w:r>
            <w:r>
              <w:rPr>
                <w:b/>
                <w:i/>
              </w:rPr>
              <w:t>πολιτικής ανταγωνισμού προς όφελος</w:t>
            </w:r>
            <w:r>
              <w:t xml:space="preserve"> των καταναλωτών </w:t>
            </w:r>
            <w:r>
              <w:rPr>
                <w:b/>
                <w:i/>
              </w:rPr>
              <w:t>με την επίτευξη χαμηλότερων τιμών και ευρύτερων επιλογών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Regina Doherty, Lídia Pereira, Dirk Gotink, Μιχάλης Χατζηπαντέλα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θεωρεί ότι η πολιτική ανταγωνισμού της ΕΕ προστατεύει από τις συγκεντρώσεις και τη συσσώρευση ισχύος στην αγορά </w:t>
            </w:r>
            <w:r>
              <w:rPr>
                <w:b/>
                <w:i/>
              </w:rPr>
              <w:t>και επιβεβαιώνει</w:t>
            </w:r>
            <w:r>
              <w:t xml:space="preserve"> τον ρόλο της στην προστασία των καταναλωτών·</w:t>
            </w:r>
          </w:p>
        </w:tc>
        <w:tc>
          <w:tcPr>
            <w:tcW w:w="4876" w:type="dxa"/>
            <w:tcBorders>
              <w:top w:val="nil"/>
              <w:left w:val="nil"/>
              <w:bottom w:val="nil"/>
              <w:right w:val="nil"/>
            </w:tcBorders>
          </w:tcPr>
          <w:p>
            <w:pPr>
              <w:pStyle w:val="Normal6a"/>
            </w:pPr>
            <w:r>
              <w:t>1.</w:t>
            </w:r>
            <w:r>
              <w:tab/>
            </w:r>
            <w:r>
              <w:t xml:space="preserve">θεωρεί ότι η πολιτική ανταγωνισμού της ΕΕ </w:t>
            </w:r>
            <w:r>
              <w:rPr>
                <w:b/>
                <w:i/>
              </w:rPr>
              <w:t>πρέπει να προωθεί την καινοτομία, τον δυναμισμό και τη μεγέθυνση, καθώς και να</w:t>
            </w:r>
            <w:r>
              <w:t xml:space="preserve"> προστατεύει από τις συγκεντρώσεις και τη συσσώρευση ισχύος στην αγορά</w:t>
            </w:r>
            <w:r>
              <w:rPr>
                <w:b/>
                <w:i/>
              </w:rPr>
              <w:t>, επιβεβαιώνει δε</w:t>
            </w:r>
            <w:r>
              <w:t xml:space="preserve"> τον ρόλο της </w:t>
            </w:r>
            <w:r>
              <w:rPr>
                <w:b/>
                <w:i/>
              </w:rPr>
              <w:t>πολιτικής ανταγωνισμού</w:t>
            </w:r>
            <w:r>
              <w:t xml:space="preserve"> στην προστασία των καταναλωτών·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θεωρεί ότι η πολιτική ανταγωνισμού της ΕΕ προστατεύει από τις συγκεντρώσεις και τη συσσώρευση ισχύος στην αγορά και επιβεβαιώνει τον ρόλο της στην προστασία των καταναλωτών·</w:t>
            </w:r>
          </w:p>
        </w:tc>
        <w:tc>
          <w:tcPr>
            <w:tcW w:w="4876" w:type="dxa"/>
            <w:tcBorders>
              <w:top w:val="nil"/>
              <w:left w:val="nil"/>
              <w:bottom w:val="nil"/>
              <w:right w:val="nil"/>
            </w:tcBorders>
          </w:tcPr>
          <w:p>
            <w:pPr>
              <w:pStyle w:val="Normal6a"/>
            </w:pPr>
            <w:r>
              <w:t>1.</w:t>
            </w:r>
            <w:r>
              <w:tab/>
            </w:r>
            <w:r>
              <w:t xml:space="preserve">θεωρεί ότι η πολιτική ανταγωνισμού της ΕΕ </w:t>
            </w:r>
            <w:r>
              <w:rPr>
                <w:b/>
                <w:i/>
              </w:rPr>
              <w:t>επιδιώκει να</w:t>
            </w:r>
            <w:r>
              <w:t xml:space="preserve"> προστατεύει από τις συγκεντρώσεις και τη συσσώρευση ισχύος στην αγορά και επιβεβαιώνει τον ρόλο της στην προστασία των καταναλωτών·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προειδοποιεί ότι η πολιτική επιρροή που ασκούν στις κυβερνήσεις και στις εκλογές οι μεγάλες εταιρείες τεχνολογίας των ΗΠΑ και οι διευθύνοντες σύμβουλοί τους καταδεικνύει τους κινδύνους που εγκυμονεί για τις δημοκρατίες η υπερβολική εταιρική ισχύς·</w:t>
            </w:r>
            <w:r>
              <w:t xml:space="preserve"> </w:t>
            </w:r>
            <w:r>
              <w:rPr>
                <w:b/>
                <w:i/>
              </w:rPr>
              <w:t>ζητεί μια αντιμονοπωλιακή πολιτική που να αντιστρέφει την τρέχουσα τάση προς αύξηση της συγκέντρωσης της αγοράς, δημιουργία μονοπωλίων και ολιγοπωλίων και να προασπίζεται τη δημοκρατία και τους πολίτες από τις συνέπειες της υπερβολικής εταιρικής ισχύος·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υποστηρίζει τη σημασία μιας ισχυρής και συνεκτικής πολιτικής ανταγωνισμού που θα προωθεί τον θεμιτό ανταγωνισμό, θα αποτρέπει αντιανταγωνιστικές πρακτικές και θα διασφαλίζει την αποτελεσματική λειτουργία της ευρωπαϊκής εσωτερικής αγοράς, προς όφελος των επιχειρήσεων και των καταναλωτών·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1α.</w:t>
            </w:r>
            <w:r>
              <w:tab/>
            </w:r>
            <w:r>
              <w:rPr>
                <w:b/>
                <w:i/>
              </w:rPr>
              <w:t>θεωρεί ότι η δυσανάλογη χρήση των κρατικών ενισχύσεων μπορεί να υπονομεύσει την εύρυθμη λειτουργία της ενιαίας αγοράς και την ανάπτυξη της οικονομίας της ΕΕ·</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w:t>
            </w:r>
            <w:r>
              <w:t xml:space="preserve"> </w:t>
            </w:r>
            <w:r>
              <w:rPr>
                <w:b/>
                <w:i/>
              </w:rPr>
              <w:t>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w:t>
            </w:r>
            <w:r>
              <w:rPr>
                <w:b/>
                <w:i/>
              </w:rPr>
              <w:t>συμβάλλει σε όλες τις πολιτικές της ΕΕ, ιδίως στους τομείς του περιβάλλοντος και της ψηφιοποίησης·</w:t>
            </w:r>
            <w:r>
              <w:t xml:space="preserve"> </w:t>
            </w:r>
            <w:r>
              <w:rPr>
                <w:b/>
                <w:i/>
              </w:rPr>
              <w:t>χαιρετίζει τη δέσμευση της Επιτροπής για ένα νέο</w:t>
            </w:r>
            <w:r>
              <w:t xml:space="preserve"> πλαίσιο κρατικών ενισχύσεων </w:t>
            </w:r>
            <w:r>
              <w:rPr>
                <w:b/>
                <w:i/>
              </w:rPr>
              <w:t>που θα συνοδεύει τη συμφωνία για καθαρή βιομηχανία</w:t>
            </w:r>
            <w:r>
              <w:t>·</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w:t>
            </w:r>
            <w:r>
              <w:rPr>
                <w:b/>
                <w:i/>
              </w:rPr>
              <w:t>επικεντρώνεται στον πρωταρχικό της στόχο όπως ορίζεται στις Συνθήκες·</w:t>
            </w:r>
            <w:r>
              <w:t xml:space="preserve"> </w:t>
            </w:r>
            <w:r>
              <w:rPr>
                <w:b/>
                <w:i/>
              </w:rPr>
              <w:t>σημειώνει με βαθιά ανησυχία τις διαπιστώσεις του Ευρωπαϊκού Ελεγκτικού Συνεδρίου</w:t>
            </w:r>
            <w:r>
              <w:rPr>
                <w:b/>
                <w:i/>
                <w:vertAlign w:val="superscript"/>
              </w:rPr>
              <w:t>4a</w:t>
            </w:r>
            <w:r>
              <w:rPr>
                <w:b/>
                <w:i/>
              </w:rPr>
              <w:t>, σύμφωνα με τις οποίες υπάρχει κίνδυνος ακόμη και προσωρινές εξαιρέσεις από το πλαίσιο για τις κρατικές ενισχύσεις να έχουν διαρκή αντίκτυπο στον ανταγωνισμό της εσωτερικής αγοράς, καθώς και ο κίνδυνος να χρησιμοποιήσουν τα κράτη μέλη το πλαίσιο κρίσης και μετάβασης ή άλλα μελλοντικά πλαίσια για να προσελκύσουν επενδύσεις από κράτη μέλη που δεν παρέχουν ενισχύσεις·</w:t>
            </w:r>
            <w:r>
              <w:t xml:space="preserve"> </w:t>
            </w:r>
            <w:r>
              <w:rPr>
                <w:b/>
                <w:i/>
              </w:rPr>
              <w:t>καλεί την Επιτροπή να καταργήσει πλήρως το</w:t>
            </w:r>
            <w:r>
              <w:t xml:space="preserve"> πλαίσιο </w:t>
            </w:r>
            <w:r>
              <w:rPr>
                <w:b/>
                <w:i/>
              </w:rPr>
              <w:t>κρίσης και μετάβασης, δεδομένου ότι δεν έχει εκτιμήσει επαρκώς την αναγκαιότητά του ούτε τον κίνδυνο στρέβλωσης της εσωτερικής αγοράς που προκύπτει από τις ολοένα και πιο διαφορετικές προσεγγίσεις των κρατών μελών όσον αφορά τη χορήγηση</w:t>
            </w:r>
            <w:r>
              <w:t xml:space="preserve"> κρατικών ενισχύσεων </w:t>
            </w:r>
            <w:r>
              <w:rPr>
                <w:b/>
                <w:i/>
              </w:rPr>
              <w:t>μέσω αυτού, με αποτέλεσμα να υπονομεύεται η ισοτιμία των όρων ανταγωνισμού και η αποτελεσματικότητα της πολιτικής ανταγωνισμού, οι οποίες είναι απαραίτητες για τη διασφάλιση των καλύτερων προϊόντων στις πλέον ανταγωνιστικές τιμές για όλους τους Ευρωπαίους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Ειδική έκθεση 21/2024:</w:t>
            </w:r>
            <w:r>
              <w:t xml:space="preserve"> </w:t>
            </w:r>
            <w:r>
              <w:rPr>
                <w:b/>
                <w:i/>
              </w:rPr>
              <w:t>State aid in times of crisis – Swift reaction but shortcomings in the Commission’s monitoring and inconsistencies in the framework to support the EU’s industrial policy objectives (Κρατικές ενισχύσεις σε περιόδους κρίσης — Αντίδραση άμεση αλλά ελλείψεις στην παρακολούθηση της Επιτροπής και ασυνέπειες στο πλαίσιο για τη στήριξη των στόχων της βιομηχανικής πολιτικής της ΕΕ), σ. 46-50.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του περιβάλλοντος και της </w:t>
            </w:r>
            <w:r>
              <w:rPr>
                <w:b/>
                <w:i/>
              </w:rPr>
              <w:t>ψηφιοποίησης</w:t>
            </w:r>
            <w:r>
              <w:t>· 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επαναλαμβάνει ότι η πολιτική ανταγωνισμού θα πρέπει να συμβάλλει σε όλες τις πολιτικές της ΕΕ, ιδίως στους τομείς του περιβάλλοντος</w:t>
            </w:r>
            <w:r>
              <w:rPr>
                <w:b/>
                <w:i/>
              </w:rPr>
              <w:t>, της ψηφιοποίησης, της άμυνας</w:t>
            </w:r>
            <w:r>
              <w:t xml:space="preserve"> και της </w:t>
            </w:r>
            <w:r>
              <w:rPr>
                <w:b/>
                <w:i/>
              </w:rPr>
              <w:t>γεωργίας</w:t>
            </w:r>
            <w:r>
              <w:t>· χαιρετίζει τη δέσμευση της Επιτροπής για ένα νέο πλαίσιο κρατικών ενισχύσεων που θα συνοδεύει τη συμφωνία για καθαρή βιομηχανία</w:t>
            </w:r>
            <w:r>
              <w:rPr>
                <w:b/>
                <w:i/>
              </w:rPr>
              <w:t>, επιτρέποντας στα κράτη μέλη της ΕΕ να χορηγούν κρατικές ενισχύσεις για την επιτάχυνση της ανάπτυξης ανανεώσιμων πηγών ενέργειας, την ανάπτυξη της απαλλαγής της βιομηχανίας από τις ανθρακούχες εκπομπές και τη διασφάλιση επαρκούς παραγωγικής ικανότητας για καθαρή τεχνολογία ευρωπαϊκής προέλευσης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 </w:t>
            </w:r>
            <w:r>
              <w:rPr>
                <w:b/>
                <w:i/>
              </w:rPr>
              <w:t>χαιρετίζει τη δέσμευση της Επιτροπής για ένα νέο πλαίσιο</w:t>
            </w:r>
            <w:r>
              <w:t xml:space="preserve">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 </w:t>
            </w:r>
            <w:r>
              <w:rPr>
                <w:b/>
                <w:i/>
              </w:rPr>
              <w:t>τονίζει ότι η ανάπτυξη ενός νέου πλαισίου</w:t>
            </w:r>
            <w:r>
              <w:t xml:space="preserve"> κρατικών ενισχύσεων που θα συνοδεύει τη συμφωνία για καθαρή βιομηχανία </w:t>
            </w:r>
            <w:r>
              <w:rPr>
                <w:b/>
                <w:i/>
              </w:rPr>
              <w:t>πρέπει να διασφαλίζει ότι δεν εμποδίζει την καινοτομία, δεν οδηγεί σε υψηλότερες τιμές ούτε περιορίζει τον ανταγωνισμό στην ευρωπαϊκή αγορά</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w:t>
            </w:r>
            <w:r>
              <w:rPr>
                <w:b/>
                <w:i/>
              </w:rPr>
              <w:t>του περιβάλλοντος</w:t>
            </w:r>
            <w:r>
              <w:t xml:space="preserve"> και της ψηφιοποίησης· 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w:t>
            </w:r>
            <w:r>
              <w:rPr>
                <w:b/>
                <w:i/>
              </w:rPr>
              <w:t>της βιωσιμότητας, της ενέργειας, της άμυνας</w:t>
            </w:r>
            <w:r>
              <w:t xml:space="preserve"> και της ψηφιοποίησης· χαιρετίζει τη δέσμευση της Επιτροπής για ένα νέο πλαίσιο κρατικών ενισχύσεων που θα συνοδεύει τη συμφωνία για καθαρή βιομηχανία· </w:t>
            </w:r>
            <w:r>
              <w:rPr>
                <w:b/>
                <w:i/>
              </w:rPr>
              <w:t>επαναλαμβάνει ότι οι κρατικές ενισχύσεις θα πρέπει να στοχεύουν μόνο στις απολύτως αναγκαίες διορθώσεις στην οικονομία και δεν θα πρέπει να στρεβλώνουν τον θεμιτό και αποτελεσματικό ανταγωνισμό·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 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 χαιρετίζει τη δέσμευση της Επιτροπής για ένα νέο πλαίσιο κρατικών ενισχύσεων που θα συνοδεύει τη συμφωνία για καθαρή βιομηχανία</w:t>
            </w:r>
            <w:r>
              <w:rPr>
                <w:b/>
                <w:i/>
              </w:rPr>
              <w:t>, ώστε να κινητοποιηθεί η αναγκαία δημόσια στήριξη για την ενεργειακή μετάβαση με σκοπό την απαλλαγή της ευρωπαϊκής βιομηχανίας από τις ανθρακούχες εκπομπές και τη διασφάλιση της ανταγωνιστικότητάς της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w:t>
            </w:r>
            <w:r>
              <w:rPr>
                <w:b/>
                <w:i/>
              </w:rPr>
              <w:t>συμβάλλει σε όλες τις πολιτικές της ΕΕ, ιδίως στους τομείς του περιβάλλοντος και της ψηφιοποίησης·</w:t>
            </w:r>
            <w:r>
              <w:t xml:space="preserve"> </w:t>
            </w:r>
            <w:r>
              <w:rPr>
                <w:b/>
                <w:i/>
              </w:rPr>
              <w:t>χαιρετίζει τη δέσμευση της Επιτροπής για ένα νέο</w:t>
            </w:r>
            <w:r>
              <w:t xml:space="preserve"> πλαίσιο κρατικών ενισχύσεων </w:t>
            </w:r>
            <w:r>
              <w:rPr>
                <w:b/>
                <w:i/>
              </w:rPr>
              <w:t>που θα συνοδεύει τη συμφωνία για καθαρή βιομηχανία</w:t>
            </w:r>
            <w:r>
              <w:t>·</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w:t>
            </w:r>
            <w:r>
              <w:rPr>
                <w:b/>
                <w:i/>
              </w:rPr>
              <w:t>παραμείνει ουδέτερη και ανεξάρτητη, εστιάζοντας αποκλειστικά στη διασφάλιση ελεύθερων και δυναμικών αγορών που προωθούν την καινοτομία, την αποτελεσματικότητα και τους ίσους όρους ανταγωνισμού·</w:t>
            </w:r>
            <w:r>
              <w:t xml:space="preserve"> </w:t>
            </w:r>
            <w:r>
              <w:rPr>
                <w:b/>
                <w:i/>
              </w:rPr>
              <w:t>θεωρεί ότι οποιοδήποτε</w:t>
            </w:r>
            <w:r>
              <w:t xml:space="preserve"> πλαίσιο κρατικών ενισχύσεων </w:t>
            </w:r>
            <w:r>
              <w:rPr>
                <w:b/>
                <w:i/>
              </w:rPr>
              <w:t>θα πρέπει να αποφεύγει τη στρέβλωση του ανταγωνισμού, να δίνει προτεραιότητα στην ελεύθερη αγορά και να διασφαλίζει ότι δεν υπάρχει ευνοϊκή μεταχείριση για ορισμένους τομείς ή εταιρείες εις βάρος άλλων</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 </w:t>
            </w:r>
            <w:r>
              <w:rPr>
                <w:b/>
                <w:i/>
              </w:rPr>
              <w:t>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 </w:t>
            </w:r>
            <w:r>
              <w:rPr>
                <w:b/>
                <w:i/>
              </w:rPr>
              <w:t>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w:t>
            </w:r>
            <w:r>
              <w:rPr>
                <w:b/>
                <w:i/>
              </w:rPr>
              <w:t>σε</w:t>
            </w:r>
            <w:r>
              <w:t xml:space="preserve"> όλες τις πολιτικές της ΕΕ, </w:t>
            </w:r>
            <w:r>
              <w:rPr>
                <w:b/>
                <w:i/>
              </w:rPr>
              <w:t>ιδίως στους τομείς του περιβάλλοντος και της ψηφιοποίησης</w:t>
            </w:r>
            <w:r>
              <w:t>· 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w:t>
            </w:r>
            <w:r>
              <w:rPr>
                <w:b/>
                <w:i/>
              </w:rPr>
              <w:t>και να ωφελεί ουσιαστικά</w:t>
            </w:r>
            <w:r>
              <w:t xml:space="preserve"> όλες τις πολιτικές της ΕΕ, </w:t>
            </w:r>
            <w:r>
              <w:rPr>
                <w:b/>
                <w:i/>
              </w:rPr>
              <w:t>με αποτελεσματικές και φιλόδοξες περιβαλλοντικές και ψηφιακές πολιτικές στο επίκεντρο μιας επιτυχημένης πολιτικής ανταγωνισμού</w:t>
            </w:r>
            <w:r>
              <w:t>· χαιρετίζει τη δέσμευση της Επιτροπής για ένα νέο πλαίσιο κρατικών ενισχύσεων που θα συνοδεύει τη συμφωνία για καθαρή βιομηχανία·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w:t>
            </w:r>
            <w:r>
              <w:rPr>
                <w:b/>
                <w:i/>
              </w:rPr>
              <w:t>θα πρέπει να συμβάλλει σε</w:t>
            </w:r>
            <w:r>
              <w:t xml:space="preserve"> όλες τις πολιτικές της ΕΕ, ιδίως στους τομείς του περιβάλλοντος και της ψηφιοποίησης· </w:t>
            </w:r>
            <w:r>
              <w:rPr>
                <w:b/>
                <w:i/>
              </w:rPr>
              <w:t>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w:t>
            </w:r>
            <w:r>
              <w:rPr>
                <w:b/>
                <w:i/>
              </w:rPr>
              <w:t>είναι βασικό εργαλείο για</w:t>
            </w:r>
            <w:r>
              <w:t xml:space="preserve"> όλες τις πολιτικές της ΕΕ, ιδίως στους τομείς του περιβάλλοντος και της ψηφιοποίησης·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Lídia Pereira,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w:t>
            </w:r>
            <w:r>
              <w:rPr>
                <w:b/>
                <w:i/>
              </w:rPr>
              <w:t>του περιβάλλοντος</w:t>
            </w:r>
            <w:r>
              <w:t xml:space="preserve"> και της </w:t>
            </w:r>
            <w:r>
              <w:rPr>
                <w:b/>
                <w:i/>
              </w:rPr>
              <w:t>ψηφιοποίησης</w:t>
            </w:r>
            <w:r>
              <w:t>· 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w:t>
            </w:r>
            <w:r>
              <w:rPr>
                <w:b/>
                <w:i/>
              </w:rPr>
              <w:t>της πράσινης</w:t>
            </w:r>
            <w:r>
              <w:t xml:space="preserve"> και της </w:t>
            </w:r>
            <w:r>
              <w:rPr>
                <w:b/>
                <w:i/>
              </w:rPr>
              <w:t>ψηφιακής μετάβασης και όσον αφορά την ανανεωμένη προσέγγιση της πολιτικής ανταγωνιστικότητας της ΕΕ</w:t>
            </w:r>
            <w:r>
              <w:t>· χαιρετίζει τη δέσμευση της Επιτροπής για ένα νέο πλαίσιο κρατικών ενισχύσεων που θα συνοδεύει τη συμφωνία για καθαρή βιομηχανία·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Pierre Pimpie, Aleksandar Nikolic,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 χαιρετίζει τη δέσμευση της Επιτροπής για ένα νέο πλαίσιο κρατικών ενισχύσεων που θα </w:t>
            </w:r>
            <w:r>
              <w:rPr>
                <w:b/>
                <w:i/>
              </w:rPr>
              <w:t>συνοδεύει τη συμφωνία για καθαρή βιομηχανία</w:t>
            </w:r>
            <w:r>
              <w:t>·</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του περιβάλλοντος και της ψηφιοποίησης· χαιρετίζει τη δέσμευση της Επιτροπής για ένα νέο πλαίσιο κρατικών ενισχύσεων που θα </w:t>
            </w:r>
            <w:r>
              <w:rPr>
                <w:b/>
                <w:i/>
              </w:rPr>
              <w:t>υποστηρίζει τις ευρωπαϊκές επιχειρήσεις ενόψει του εξωτερικού ανταγωνισμού</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w:t>
            </w:r>
            <w:r>
              <w:rPr>
                <w:b/>
                <w:i/>
              </w:rPr>
              <w:t>συμβάλλει σε όλες τις</w:t>
            </w:r>
            <w:r>
              <w:t xml:space="preserve"> πολιτικές της ΕΕ</w:t>
            </w:r>
            <w:r>
              <w:rPr>
                <w:b/>
                <w:i/>
              </w:rPr>
              <w:t>, ιδίως στους τομείς του περιβάλλοντος και της ψηφιοποίησης</w:t>
            </w:r>
            <w:r>
              <w:t>· 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w:t>
            </w:r>
            <w:r>
              <w:rPr>
                <w:b/>
                <w:i/>
              </w:rPr>
              <w:t>συνάδει με τις ευρύτερες</w:t>
            </w:r>
            <w:r>
              <w:t xml:space="preserve"> πολιτικές </w:t>
            </w:r>
            <w:r>
              <w:rPr>
                <w:b/>
                <w:i/>
              </w:rPr>
              <w:t>επιλογές</w:t>
            </w:r>
            <w:r>
              <w:t xml:space="preserve"> της ΕΕ· χαιρετίζει τη δέσμευση της Επιτροπής για ένα νέο πλαίσιο κρατικών ενισχύσεων που θα συνοδεύει τη συμφωνία για καθαρή βιομηχανία·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w:t>
            </w:r>
            <w:r>
              <w:rPr>
                <w:b/>
                <w:i/>
              </w:rPr>
              <w:t>του περιβάλλοντος</w:t>
            </w:r>
            <w:r>
              <w:t xml:space="preserve"> και της ψηφιοποίησης· χαιρετίζει τη δέσμευση της Επιτροπής για ένα νέο πλαίσιο κρατικών ενισχύσεων που θα συνοδεύει τη συμφωνία για καθαρή βιομηχανία·</w:t>
            </w:r>
          </w:p>
        </w:tc>
        <w:tc>
          <w:tcPr>
            <w:tcW w:w="4876" w:type="dxa"/>
            <w:tcBorders>
              <w:top w:val="nil"/>
              <w:left w:val="nil"/>
              <w:bottom w:val="nil"/>
              <w:right w:val="nil"/>
            </w:tcBorders>
          </w:tcPr>
          <w:p>
            <w:pPr>
              <w:pStyle w:val="Normal6a"/>
            </w:pPr>
            <w:r>
              <w:t>2.</w:t>
            </w:r>
            <w:r>
              <w:tab/>
            </w:r>
            <w:r>
              <w:t xml:space="preserve">επαναλαμβάνει ότι η πολιτική ανταγωνισμού θα πρέπει να συμβάλλει σε όλες τις πολιτικές της ΕΕ, ιδίως στους τομείς </w:t>
            </w:r>
            <w:r>
              <w:rPr>
                <w:b/>
                <w:i/>
              </w:rPr>
              <w:t>της βιομηχανίας</w:t>
            </w:r>
            <w:r>
              <w:t xml:space="preserve"> και της ψηφιοποίησης· χαιρετίζει τη δέσμευση της Επιτροπής για ένα νέο πλαίσιο κρατικών ενισχύσεων που θα συνοδεύει τη συμφωνία για καθαρή βιομηχανία·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χαιρετίζει τη δέσμευση της Επιτροπής σε ένα νέο πλαίσιο κρατικών ενισχύσεων που θα συνοδεύει τη συμφωνία για καθαρή βιομηχανία·</w:t>
            </w:r>
            <w:r>
              <w:t xml:space="preserve"> </w:t>
            </w:r>
            <w:r>
              <w:rPr>
                <w:b/>
                <w:i/>
              </w:rPr>
              <w:t>τονίζει την ανάγκη να συμβάλει τούτο στην υλοποίηση της Ευρωπαϊκής Πράσινης Συμφωνίας, διασφαλίζοντας ότι η απαλλαγή από τις ανθρακούχες εκπομπές και η ανταγωνιστικότητα συμβαδίζουν χωρίς τη στήριξη των ορυκτών καυσίμων·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κοινωνικά και περιβαλλοντικά πρότυπα·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κοινωνικά και περιβαλλοντικά πρότυπα·</w:t>
            </w:r>
          </w:p>
        </w:tc>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κοινωνικά και περιβαλλοντικά πρότυπα· </w:t>
            </w:r>
            <w:r>
              <w:rPr>
                <w:b/>
                <w:i/>
              </w:rPr>
              <w:t>τονίζει ότι η εσωτερική και εξωτερική ανταγωνιστικότητα θα πρέπει να αποτελεί την κύρια κινητήρια δύναμη της ισχύος της ενιαίας αγοράς, προωθώντας ένα ανταγωνιστικό περιβάλλον που θα ευνοεί την καινοτομία, τη μείωση των φραγμών και την αποτελεσματική κατανομή πόρων·</w:t>
            </w:r>
            <w:r>
              <w:t xml:space="preserve"> </w:t>
            </w:r>
            <w:r>
              <w:rPr>
                <w:b/>
                <w:i/>
              </w:rPr>
              <w:t>επαναβεβαιώνει ότι τα κοινά κοινωνικά και περιβαλλοντικά πρότυπα είναι σημαντικά για τη διασφάλιση επιβλαβών πρακτικών, αλλά θα πρέπει να είναι αναλογικά, όχι υπερβολικά περιοριστικά, και να σχεδιάζονται κατά τρόπο που να μη θέτει σε κίνδυνο την ανταγωνιστικότητα της ενιαίας αγοράς·</w:t>
            </w:r>
            <w:r>
              <w:t xml:space="preserve"> </w:t>
            </w:r>
            <w:r>
              <w:rPr>
                <w:b/>
                <w:i/>
              </w:rPr>
              <w:t>τονίζει επίσης την ανάγκη να διασφαλιστεί ότι τα πρότυπα αυτά εξασφαλίζουν επαρκή ευελιξία, ώστε να προσαρμοστούν τα κράτη στο σχετικό πλαίσιο, χωρίς να επιβάλλουν περιττές επιβαρύνσεις στις επιχειρήσεις·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κοινωνικά και περιβαλλοντικά πρότυπα·</w:t>
            </w:r>
          </w:p>
        </w:tc>
        <w:tc>
          <w:tcPr>
            <w:tcW w:w="4876" w:type="dxa"/>
            <w:tcBorders>
              <w:top w:val="nil"/>
              <w:left w:val="nil"/>
              <w:bottom w:val="nil"/>
              <w:right w:val="nil"/>
            </w:tcBorders>
          </w:tcPr>
          <w:p>
            <w:pPr>
              <w:pStyle w:val="Normal6a"/>
            </w:pPr>
            <w:r>
              <w:t>3.</w:t>
            </w:r>
            <w:r>
              <w:tab/>
            </w:r>
            <w:r>
              <w:t>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κοινωνικά και περιβαλλοντικά πρότυπα</w:t>
            </w:r>
            <w:r>
              <w:rPr>
                <w:b/>
                <w:i/>
              </w:rPr>
              <w:t>, που δεν επηρεάζουν αρνητικά την ανταγωνιστικότητα των ευρωπαϊκών εταιρειών, ιδίως των πολύ μικρών, των μικρών και των μεσαίων επιχειρήσεων·</w:t>
            </w:r>
            <w:r>
              <w:t xml:space="preserve"> </w:t>
            </w:r>
            <w:r>
              <w:rPr>
                <w:b/>
                <w:i/>
              </w:rPr>
              <w:t>επισημαίνει, στο πλαίσιο αυτό, τον αυξανόμενο διοικητικό φόρτο για τις επιχειρήσεις·</w:t>
            </w:r>
            <w:r>
              <w:t xml:space="preserve"> </w:t>
            </w:r>
            <w:r>
              <w:rPr>
                <w:b/>
                <w:i/>
              </w:rPr>
              <w:t>ζητεί μια απλούστευση που θα υπερβαίνει την εξάλειψη των διοικητικών επικαλύψεων και θα προσφέρει επίσης τη δυνατότητα εξάλειψης των κανονιστικών απαιτήσεων που βαρύνουν την ανταγωνιστικότητα</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w:t>
            </w:r>
            <w:r>
              <w:rPr>
                <w:b/>
                <w:i/>
              </w:rPr>
              <w:t>κοινωνικά και περιβαλλοντικά πρότυπα</w:t>
            </w:r>
            <w:r>
              <w:t>·</w:t>
            </w:r>
          </w:p>
        </w:tc>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w:t>
            </w:r>
            <w:r>
              <w:rPr>
                <w:b/>
                <w:i/>
              </w:rPr>
              <w:t>πρότυπα·</w:t>
            </w:r>
            <w:r>
              <w:t xml:space="preserve"> </w:t>
            </w:r>
            <w:r>
              <w:rPr>
                <w:b/>
                <w:i/>
              </w:rPr>
              <w:t>τονίζει την ανάγκη να εξισορροπήσει η Επιτροπή τις προτεραιότητες της Πράσινης Συμφωνίας με την εφαρμογή των θεμελιωδών αρχών του ανταγωνισμού, διασφαλίζοντας ότι αμφότεροι οι στόχοι προάγονται αποτελεσματικά χωρίς να υπονομεύεται η ακεραιότητα της ενιαίας αγοράς της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Pierre Pimpie, Enikő Győri, 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τονίζει ότι η παγκόσμια ισχύς και σημασία της ενιαίας αγοράς της ΕΕ απορρέει όχι μόνο από την εσωτερική και εξωτερική ανταγωνιστικότητά της</w:t>
            </w:r>
            <w:r>
              <w:rPr>
                <w:b/>
                <w:i/>
              </w:rPr>
              <w:t>, αλλά</w:t>
            </w:r>
            <w:r>
              <w:t xml:space="preserve"> και από την ικανότητά της να </w:t>
            </w:r>
            <w:r>
              <w:rPr>
                <w:b/>
                <w:i/>
              </w:rPr>
              <w:t>καθορίζει κοινά κοινωνικά και περιβαλλοντικά πρότυπα</w:t>
            </w:r>
            <w:r>
              <w:t>·</w:t>
            </w:r>
          </w:p>
        </w:tc>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και από την ικανότητά της να </w:t>
            </w:r>
            <w:r>
              <w:rPr>
                <w:b/>
                <w:i/>
              </w:rPr>
              <w:t>ευνοεί τη διασυνοριακή δραστηριότητα των επιχειρήσεων, ιδίως των ΜΜΕ, μέσω της απλοποίησης των προτύπων</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w:t>
            </w:r>
            <w:r>
              <w:rPr>
                <w:b/>
                <w:i/>
              </w:rPr>
              <w:t>καθορίζει κοινά κοινωνικά και περιβαλλοντικά πρότυπα</w:t>
            </w:r>
            <w:r>
              <w:t>·</w:t>
            </w:r>
          </w:p>
        </w:tc>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w:t>
            </w:r>
            <w:r>
              <w:rPr>
                <w:b/>
                <w:i/>
              </w:rPr>
              <w:t>τον ανοικτό χαρακτήρα και</w:t>
            </w:r>
            <w:r>
              <w:t xml:space="preserve"> την ικανότητά της να </w:t>
            </w:r>
            <w:r>
              <w:rPr>
                <w:b/>
                <w:i/>
              </w:rPr>
              <w:t>θέτει υψηλά πρότυπα ανταγωνισμού σε νεοσύστατες αγορές μετά τις παγκόσμιες τεχνολογικές εξελίξεις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w:t>
            </w:r>
            <w:r>
              <w:rPr>
                <w:b/>
                <w:i/>
              </w:rPr>
              <w:t>όχι μόνο</w:t>
            </w:r>
            <w:r>
              <w:t xml:space="preserve"> από την εσωτερική και εξωτερική ανταγωνιστικότητά της</w:t>
            </w:r>
            <w:r>
              <w:rPr>
                <w:b/>
                <w:i/>
              </w:rPr>
              <w:t>, αλλά και από την ικανότητά της να καθορίζει κοινά κοινωνικά και περιβαλλοντικά πρότυπα</w:t>
            </w:r>
            <w:r>
              <w:t>·</w:t>
            </w:r>
          </w:p>
        </w:tc>
        <w:tc>
          <w:tcPr>
            <w:tcW w:w="4876" w:type="dxa"/>
            <w:tcBorders>
              <w:top w:val="nil"/>
              <w:left w:val="nil"/>
              <w:bottom w:val="nil"/>
              <w:right w:val="nil"/>
            </w:tcBorders>
          </w:tcPr>
          <w:p>
            <w:pPr>
              <w:pStyle w:val="Normal6a"/>
            </w:pPr>
            <w:r>
              <w:t>3.</w:t>
            </w:r>
            <w:r>
              <w:tab/>
            </w:r>
            <w:r>
              <w:t>τονίζει ότι η παγκόσμια ισχύς και σημασία της ενιαίας αγοράς της ΕΕ απορρέει από την εσωτερική και εξωτερική ανταγωνιστικότητά της·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w:t>
            </w:r>
            <w:r>
              <w:rPr>
                <w:b/>
                <w:i/>
              </w:rPr>
              <w:t>κοινά κοινωνικά και περιβαλλοντικά πρότυπα</w:t>
            </w:r>
            <w:r>
              <w:t>·</w:t>
            </w:r>
          </w:p>
        </w:tc>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w:t>
            </w:r>
            <w:r>
              <w:rPr>
                <w:b/>
                <w:i/>
              </w:rPr>
              <w:t>κανόνες ανταγωνισμού που ευνοούν ένα υψηλό επίπεδο κοινών κοινωνικών και περιβαλλοντικών προτύπων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κοινωνικά </w:t>
            </w:r>
            <w:r>
              <w:rPr>
                <w:b/>
                <w:i/>
              </w:rPr>
              <w:t>και περιβαλλοντικά πρότυπα</w:t>
            </w:r>
            <w:r>
              <w:t>·</w:t>
            </w:r>
          </w:p>
        </w:tc>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κοινωνικά </w:t>
            </w:r>
            <w:r>
              <w:rPr>
                <w:b/>
                <w:i/>
              </w:rPr>
              <w:t>πρότυπα και να διασφαλίζει την εδαφική συνοχή</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κοινωνικά και περιβαλλοντικά πρότυπα·</w:t>
            </w:r>
          </w:p>
        </w:tc>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w:t>
            </w:r>
            <w:r>
              <w:rPr>
                <w:b/>
                <w:i/>
              </w:rPr>
              <w:t>ελάχιστα</w:t>
            </w:r>
            <w:r>
              <w:t xml:space="preserve"> κοινωνικά και περιβαλλοντικά πρότυπα·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w:t>
            </w:r>
            <w:r>
              <w:rPr>
                <w:b/>
                <w:i/>
              </w:rPr>
              <w:t>κοινωνικά και περιβαλλοντικά</w:t>
            </w:r>
            <w:r>
              <w:t xml:space="preserve"> πρότυπα·</w:t>
            </w:r>
          </w:p>
        </w:tc>
        <w:tc>
          <w:tcPr>
            <w:tcW w:w="4876" w:type="dxa"/>
            <w:tcBorders>
              <w:top w:val="nil"/>
              <w:left w:val="nil"/>
              <w:bottom w:val="nil"/>
              <w:right w:val="nil"/>
            </w:tcBorders>
          </w:tcPr>
          <w:p>
            <w:pPr>
              <w:pStyle w:val="Normal6a"/>
            </w:pPr>
            <w:r>
              <w:t>3.</w:t>
            </w:r>
            <w:r>
              <w:tab/>
            </w:r>
            <w:r>
              <w:t>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πρότυπα·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λαμβάνοντας υπόψη τον εκτεταμένο αρνητικό αντίκτυπο της αυξανόμενης συγκέντρωσης της αγοράς·</w:t>
            </w:r>
            <w:r>
              <w:t xml:space="preserve"> </w:t>
            </w:r>
            <w:r>
              <w:rPr>
                <w:b/>
                <w:i/>
              </w:rPr>
              <w:t>υποστηρίζει την αποτελεσματική και αποφασιστική εφαρμογή των κανόνων ανταγωνισμού και την καθιέρωση εντολής μέσω της Επιτροπής να αντιμετωπιστεί η επιβλαβής συγκέντρωση οικονομικής ισχύος και ελέγχου στην ΕΕ, μεταξύ άλλων και στις κεφαλαιαγορές·</w:t>
            </w:r>
            <w:r>
              <w:t xml:space="preserve"> </w:t>
            </w:r>
            <w:r>
              <w:rPr>
                <w:b/>
                <w:i/>
              </w:rPr>
              <w:t>σημειώνει ότι αυτό θα πρέπει να περιλαμβάνει μεγαλύτερο συντονισμό και συνοχή μεταξύ των πολιτικών για τον ανταγωνισμό, το εμπόριο, τη βιομηχανία, την προστασία των δεδομένων, την ψηφιακή τεχνολογία, την εργασία, την προστασία των καταναλωτών και τη φορολογία, καθώς και την αποτελεσματική επιβολή των σχετικών εργαλείων·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υποστηρίζει την αρχή σύμφωνα με την οποία η χρήση δημόσιου χρήματος πρέπει να συνεπάγεται δημόσια ιδιοκτησία και έλεγχο·</w:t>
            </w:r>
            <w:r>
              <w:t xml:space="preserve"> </w:t>
            </w:r>
            <w:r>
              <w:rPr>
                <w:b/>
                <w:i/>
              </w:rPr>
              <w:t>ζητά να δίνεται προτεραιότητα στις δημόσιες επενδύσεις που διευκολύνουν τη δημόσια ιδιοκτησία και τον δημόσιο έλεγχο σε στρατηγικές αποφάσεις εταιρειών, όπως σχετικά με το κλείσιμο, τη μείωση παραγωγής ή τις μετεγκαταστάσεις, αντί για τη χρήση επιδοτήσεων ως κρατικής ενίσχυσης·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υπογραμμίζει ότι ένα από τα σημαντικότερα τρωτά σημεία της ΕΕ είναι η εξάρτησή της από την εισαγωγή πρώτων υλών και ενέργειας·</w:t>
            </w:r>
            <w:r>
              <w:t xml:space="preserve"> </w:t>
            </w:r>
            <w:r>
              <w:rPr>
                <w:b/>
                <w:i/>
              </w:rPr>
              <w:t>ως εκ τούτου, μια πιο φιλόδοξη πολιτική για την κυκλική οικονομία, καθώς και η επαναχρησιμοποίηση και η αξιοποίηση των υφιστάμενων υλικών, ιδίως των κρίσιμων πρώτων υλών, αποτελούν βασικούς ακρογωνιαίους λίθους για την ευρωπαϊκή ανταγωνιστικότητα·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τονίζει ότι η ανταγωνιστικότητα και η ανάπτυξη της εσωτερικής αγοράς δεν μπορούν να εξεταστούν εν κενώ, καθώς εξαρτώνται σε μεγάλο βαθμό από την ανταγωνιστικότητα της ΕΕ έναντι των παγκόσμιων ανταγωνιστών της·</w:t>
            </w:r>
            <w:r>
              <w:t xml:space="preserve"> </w:t>
            </w:r>
            <w:r>
              <w:rPr>
                <w:b/>
                <w:i/>
              </w:rPr>
              <w:t>παροτρύνει τους υπεύθυνους για τη χάραξη πολιτικής να λάβουν δεόντως υπόψη τις διεθνείς κανονιστικές εξελίξεις και τις εξελίξεις της αγοράς·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καλεί την Ευρωπαϊκή Επιτροπή να ενισχύσει τα εργαλεία επιβολής του ανταγωνισμού, προκειμένου να διασφαλίσει ότι οι εταιρείες τηρούν τους κανόνες ανταγωνισμού και ότι οι παραβάσεις τιμωρούνται δεόντως, προκειμένου να προστατεύεται η ενιαία αγορά από επιβλαβείς πρακτικές·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υπογραμμίζει τον καίριο ρόλο του Ευρωπαϊκού Δικτύου Ανταγωνισμού (ΕΔΑ) ως φόρουμ για την προώθηση της συνεργασίας και της σύμπραξης μεταξύ των ευρωπαϊκών αρχών ανταγωνισμού·</w:t>
            </w:r>
            <w:r>
              <w:t xml:space="preserve"> </w:t>
            </w:r>
            <w:r>
              <w:rPr>
                <w:b/>
                <w:i/>
              </w:rPr>
              <w:t>καλεί την Επιτροπή να καταβάλει προσπάθειες για συνεχή εποικοδομητικό διάλογο και συνεργασία σε διεθνές επίπεδο·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Τονίζει ότι πρέπει να διασφαλίζεται η πολιτική ανεξαρτησία των εθνικών αρχών ανταγωνισμού προκειμένου να ενεργούν σύμφωνα με την αρχή της αμεροληψίας και με μοναδικό στόχο την εξασφάλιση της ομαλής λειτουργίας των αγορών·</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3α.</w:t>
            </w:r>
            <w:r>
              <w:tab/>
            </w:r>
            <w:r>
              <w:rPr>
                <w:b/>
                <w:i/>
              </w:rPr>
              <w:t>θεωρεί ότι, προκειμένου να αποφευχθεί ο αθέμιτος ανταγωνισμός τόσο εντός όσο και εκτός της ΕΕ, πρέπει να καταπολεμηθούν οι αθέμιτες πρακτικές φοροαποφυγής και η μεταφορά εταιρικών εδρών σε «ευρωπαϊκούς φορολογικούς παραδείσους»·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επισημαίνει ότι σε έναν παγκοσμιοποιημένο κόσμο, η διεθνής συνεργασία είναι ζωτικής σημασίας για τη διασφάλιση της επιβολής αποτελεσματικού ανταγωνισμού·</w:t>
            </w:r>
            <w:r>
              <w:t xml:space="preserve"> </w:t>
            </w:r>
            <w:r>
              <w:rPr>
                <w:b/>
                <w:i/>
              </w:rPr>
              <w:t>τονίζει ότι οι ειδικές συμφωνίες συνεργασίας με τρίτες χώρες στον τομέα της πολιτικής ανταγωνισμού μπορούν να συμβάλουν σημαντικά στην αποτελεσματικότητα της πολιτικής ανταγωνισμού·</w:t>
            </w:r>
            <w:r>
              <w:t xml:space="preserve"> </w:t>
            </w:r>
            <w:r>
              <w:rPr>
                <w:b/>
                <w:i/>
              </w:rPr>
              <w:t>καλεί την Επιτροπή να διευρύνει την επιρροή της πολιτικής ανταγωνισμού στον κόσμο, ιδίως με την ενίσχυση της συνεργασίας με τρίτες χώρες μέσω συμφωνιών συνεργασίας δεύτερης γενιάς που επιτρέπουν μια πιο αποτελεσματική ανταλλαγή πληροφοριών μεταξύ αρχών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εκφράζει την ικανοποίησή του για τη δέσμευση της Επιτροπής να απλουστεύσει το κεκτημένο της ΕΕ και να μειώσει τη γραφειοκρατία και χαιρετίζει τη σύσταση εσωτερικών ομάδων έργου για την υλοποίηση των πολιτικών προτεραιοτήτων·</w:t>
            </w:r>
            <w:r>
              <w:t xml:space="preserve"> </w:t>
            </w:r>
            <w:r>
              <w:rPr>
                <w:b/>
                <w:i/>
              </w:rPr>
              <w:t>πιστεύει ότι αυτό θα μπορούσε να συμβάλει σημαντικά στην τόνωση της ανταγωνιστικότητας της ΕΕ·</w:t>
            </w:r>
            <w:r>
              <w:t xml:space="preserve"> </w:t>
            </w:r>
            <w:r>
              <w:rPr>
                <w:b/>
                <w:i/>
              </w:rPr>
              <w:t>τονίζει, ωστόσο, ότι πρέπει να προχωρήσουμε στην απλούστευση κατά τρόπο που δεν μειώνει τις φιλοδοξίες μας για την κλιματική αλλαγή ούτε υπονομεύει τις διεθνείς μας δεσμεύσεις·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3β.</w:t>
            </w:r>
            <w:r>
              <w:tab/>
            </w:r>
            <w:r>
              <w:rPr>
                <w:b/>
                <w:i/>
              </w:rPr>
              <w:t>επιβεβαιώνει ότι, προκειμένου να εφαρμοστεί μια πολιτική ανταγωνισμού που θα διασφαλίζει ότι οι εταιρείες ανταγωνίζονται επί ίσοις όροις, η Ευρώπη πρέπει να προστατεύεται από αθέμιτες εμπορικές πρακτικές τρίτων χωρών·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 </w:t>
            </w:r>
            <w:r>
              <w:rPr>
                <w:b/>
                <w:i/>
              </w:rPr>
              <w:t>απορρίπτει την προώθηση της ανταγωνιστικότητας μέσω της ανταγωνιστικότητας κόστους, καθώς στο παρελθόν είχε ως αποτέλεσμα την εφαρμογή κοινωνικά επιζήμιων μεταρρυθμίσεων που υπονομεύουν τη διαπραγματευτική ισχύ των εργαζομένων και τις μισθολογικές διεκδικήσεις·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c>
          <w:tcPr>
            <w:tcW w:w="4876" w:type="dxa"/>
            <w:tcBorders>
              <w:top w:val="nil"/>
              <w:left w:val="nil"/>
              <w:bottom w:val="nil"/>
              <w:right w:val="nil"/>
            </w:tcBorders>
          </w:tcPr>
          <w:p>
            <w:pPr>
              <w:pStyle w:val="Normal6a"/>
            </w:pPr>
            <w:r>
              <w:t>4.</w:t>
            </w:r>
            <w:r>
              <w:tab/>
            </w:r>
            <w:r>
              <w:rPr>
                <w:b/>
                <w:i/>
              </w:rPr>
              <w:t>σημειώνει ότι η Ευρώπη είναι ένας ολοένα και πιο μικρός παράγοντας σε παγκόσμια κλίμακα και ότι τα κράτη μέλη από μόνα τους δεν μπορούν να ευδοκιμήσουν, ως εκ τούτου οι συντονισμένες προσπάθειες σε επίπεδο ΕΕ είναι σημαντικότερες από ποτέ·</w:t>
            </w:r>
            <w:r>
              <w:t xml:space="preserve"> 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υποστηρίζει τη δέσμευση της Επιτροπής</w:t>
            </w:r>
            <w:r>
              <w:t xml:space="preserve"> να επενδύσει </w:t>
            </w:r>
            <w:r>
              <w:rPr>
                <w:b/>
                <w:i/>
              </w:rPr>
              <w:t>στη βιώσιμη</w:t>
            </w:r>
            <w:r>
              <w:t xml:space="preserve"> ανταγωνιστικότητα· χαιρετίζει την έμφαση που δίνει ο Mario Draghi στην καινοτομία, τις επενδύσεις, την </w:t>
            </w:r>
            <w:r>
              <w:rPr>
                <w:b/>
                <w:i/>
              </w:rPr>
              <w:t>ολοκλήρωση της αγοράς, την</w:t>
            </w:r>
            <w:r>
              <w:t xml:space="preserve"> απανθρακοποίηση και την ανθεκτικότητα,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c>
          <w:tcPr>
            <w:tcW w:w="4876" w:type="dxa"/>
            <w:tcBorders>
              <w:top w:val="nil"/>
              <w:left w:val="nil"/>
              <w:bottom w:val="nil"/>
              <w:right w:val="nil"/>
            </w:tcBorders>
          </w:tcPr>
          <w:p>
            <w:pPr>
              <w:pStyle w:val="Normal6a"/>
            </w:pPr>
            <w:r>
              <w:t>4.</w:t>
            </w:r>
            <w:r>
              <w:tab/>
            </w:r>
            <w:r>
              <w:rPr>
                <w:b/>
                <w:i/>
              </w:rPr>
              <w:t>καλεί την Επιτροπή</w:t>
            </w:r>
            <w:r>
              <w:t xml:space="preserve"> να επενδύσει </w:t>
            </w:r>
            <w:r>
              <w:rPr>
                <w:b/>
                <w:i/>
              </w:rPr>
              <w:t>στην</w:t>
            </w:r>
            <w:r>
              <w:t xml:space="preserve"> ανταγωνιστικότητα· χαιρετίζει την έμφαση που δίνει ο Mario Draghi στην καινοτομία, τις επενδύσεις, την απανθρακοποίηση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 </w:t>
            </w:r>
            <w:r>
              <w:rPr>
                <w:b/>
                <w:i/>
              </w:rPr>
              <w:t>καθώς</w:t>
            </w:r>
            <w:r>
              <w:t xml:space="preserve"> και τη βιώσιμη ανάπτυξη για όλους·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w:t>
            </w:r>
            <w:r>
              <w:rPr>
                <w:b/>
                <w:i/>
              </w:rPr>
              <w:t>στη βιώσιμη</w:t>
            </w:r>
            <w:r>
              <w:t xml:space="preserve"> ανταγωνιστικότητα· χαιρετίζει την έμφαση που δίνει ο Mario Draghi στην καινοτομία, τις επενδύσεις, την ολοκλήρωση της αγοράς</w:t>
            </w:r>
            <w:r>
              <w:rPr>
                <w:b/>
                <w:i/>
              </w:rPr>
              <w:t>, την απανθρακοποίηση</w:t>
            </w:r>
            <w:r>
              <w:t xml:space="preserve"> και την ανθεκτικότητα,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w:t>
            </w:r>
            <w:r>
              <w:rPr>
                <w:b/>
                <w:i/>
              </w:rPr>
              <w:t>στην</w:t>
            </w:r>
            <w:r>
              <w:t xml:space="preserve"> ανταγωνιστικότητα· χαιρετίζει την έμφαση που δίνει ο Mario Draghi στην καινοτομία, τις επενδύσεις, την ολοκλήρωση της αγοράς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υποστηρίζει τη δέσμευση της Επιτροπής να </w:t>
            </w:r>
            <w:r>
              <w:rPr>
                <w:b/>
                <w:i/>
              </w:rPr>
              <w:t>επενδύσει στη βιώσιμη</w:t>
            </w:r>
            <w:r>
              <w:t xml:space="preserve"> ανταγωνιστικότητα</w:t>
            </w:r>
            <w:r>
              <w:rPr>
                <w:b/>
                <w:i/>
              </w:rPr>
              <w:t>·</w:t>
            </w:r>
            <w:r>
              <w:t xml:space="preserve"> </w:t>
            </w:r>
            <w:r>
              <w:rPr>
                <w:b/>
                <w:i/>
              </w:rPr>
              <w:t>χαιρετίζει την έμφαση που δίνει ο</w:t>
            </w:r>
            <w:r>
              <w:t xml:space="preserve"> Mario Draghi </w:t>
            </w:r>
            <w:r>
              <w:rPr>
                <w:b/>
                <w:i/>
              </w:rPr>
              <w:t>στην</w:t>
            </w:r>
            <w:r>
              <w:t xml:space="preserve"> καινοτομία, τις επενδύσεις, την ολοκλήρωση της αγοράς, την απανθρακοποίηση και την ανθεκτικότητα, και την προσήλωση του Enrico Letta στην ολοκλήρωση</w:t>
            </w:r>
            <w:r>
              <w:rPr>
                <w:b/>
                <w:i/>
              </w:rPr>
              <w:t>, την αυτονομία και την αλληλεγγύη</w:t>
            </w:r>
            <w:r>
              <w:t xml:space="preserve">· ενθαρρύνει πολιτικές που προωθούν την καινοτομία και </w:t>
            </w:r>
            <w:r>
              <w:rPr>
                <w:b/>
                <w:i/>
              </w:rPr>
              <w:t>τη βιώσιμη</w:t>
            </w:r>
            <w:r>
              <w:t xml:space="preserve"> ανάπτυξη </w:t>
            </w:r>
            <w:r>
              <w:rPr>
                <w:b/>
                <w:i/>
              </w:rPr>
              <w:t>για όλους</w:t>
            </w:r>
            <w:r>
              <w:t>·</w:t>
            </w:r>
          </w:p>
        </w:tc>
        <w:tc>
          <w:tcPr>
            <w:tcW w:w="4876" w:type="dxa"/>
            <w:tcBorders>
              <w:top w:val="nil"/>
              <w:left w:val="nil"/>
              <w:bottom w:val="nil"/>
              <w:right w:val="nil"/>
            </w:tcBorders>
          </w:tcPr>
          <w:p>
            <w:pPr>
              <w:pStyle w:val="Normal6a"/>
            </w:pPr>
            <w:r>
              <w:t>4.</w:t>
            </w:r>
            <w:r>
              <w:tab/>
            </w:r>
            <w:r>
              <w:t xml:space="preserve">υποστηρίζει τη δέσμευση της Επιτροπής να </w:t>
            </w:r>
            <w:r>
              <w:rPr>
                <w:b/>
                <w:i/>
              </w:rPr>
              <w:t>βελτιώσει την</w:t>
            </w:r>
            <w:r>
              <w:t xml:space="preserve"> ανταγωνιστικότητα </w:t>
            </w:r>
            <w:r>
              <w:rPr>
                <w:b/>
                <w:i/>
              </w:rPr>
              <w:t>της Ένωσης·</w:t>
            </w:r>
            <w:r>
              <w:t xml:space="preserve"> </w:t>
            </w:r>
            <w:r>
              <w:rPr>
                <w:b/>
                <w:i/>
              </w:rPr>
              <w:t>χαιρετίζει τη διάγνωση του</w:t>
            </w:r>
            <w:r>
              <w:t xml:space="preserve"> Mario Draghi </w:t>
            </w:r>
            <w:r>
              <w:rPr>
                <w:b/>
                <w:i/>
              </w:rPr>
              <w:t>όσον αφορά την</w:t>
            </w:r>
            <w:r>
              <w:t xml:space="preserve"> καινοτομία, τις επενδύσεις, την ολοκλήρωση της αγοράς, την απανθρακοποίηση και την ανθεκτικότητα, </w:t>
            </w:r>
            <w:r>
              <w:rPr>
                <w:b/>
                <w:i/>
              </w:rPr>
              <w:t>καθώς</w:t>
            </w:r>
            <w:r>
              <w:t xml:space="preserve"> και την προσήλωση του Enrico Letta στην ολοκλήρωση </w:t>
            </w:r>
            <w:r>
              <w:rPr>
                <w:b/>
                <w:i/>
              </w:rPr>
              <w:t>των αγορών</w:t>
            </w:r>
            <w:r>
              <w:t xml:space="preserve">· ενθαρρύνει πολιτικές που προωθούν την καινοτομία και </w:t>
            </w:r>
            <w:r>
              <w:rPr>
                <w:b/>
                <w:i/>
              </w:rPr>
              <w:t>την οικονομική</w:t>
            </w:r>
            <w:r>
              <w:t xml:space="preserve"> ανάπτυξη </w:t>
            </w:r>
            <w:r>
              <w:rPr>
                <w:b/>
                <w:i/>
              </w:rPr>
              <w:t>της Ένωσης</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και την προσήλωση του Enrico Letta στην ολοκλήρωση, την αυτονομία και την αλληλεγγύη· ενθαρρύνει πολιτικές που προωθούν την καινοτομία </w:t>
            </w:r>
            <w:r>
              <w:rPr>
                <w:b/>
                <w:i/>
              </w:rPr>
              <w:t>και τη βιώσιμη</w:t>
            </w:r>
            <w:r>
              <w:t xml:space="preserve"> ανάπτυξη </w:t>
            </w:r>
            <w:r>
              <w:rPr>
                <w:b/>
                <w:i/>
              </w:rPr>
              <w:t>για όλους</w:t>
            </w:r>
            <w:r>
              <w:t>·</w:t>
            </w:r>
          </w:p>
        </w:tc>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w:t>
            </w:r>
            <w:r>
              <w:rPr>
                <w:b/>
                <w:i/>
              </w:rPr>
              <w:t>, την ανταγωνιστικότητα και την</w:t>
            </w:r>
            <w:r>
              <w:t xml:space="preserve"> ανάπτυξη·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και την προσήλωση του Enrico Letta στην ολοκλήρωση, την αυτονομία και την αλληλεγγύη· ενθαρρύνει πολιτικές που προωθούν την καινοτομία και </w:t>
            </w:r>
            <w:r>
              <w:rPr>
                <w:b/>
                <w:i/>
              </w:rPr>
              <w:t>τη βιώσιμη</w:t>
            </w:r>
            <w:r>
              <w:t xml:space="preserve"> ανάπτυξη </w:t>
            </w:r>
            <w:r>
              <w:rPr>
                <w:b/>
                <w:i/>
              </w:rPr>
              <w:t>για όλους·</w:t>
            </w:r>
          </w:p>
        </w:tc>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 και </w:t>
            </w:r>
            <w:r>
              <w:rPr>
                <w:b/>
                <w:i/>
              </w:rPr>
              <w:t>την</w:t>
            </w:r>
            <w:r>
              <w:t xml:space="preserve"> ανάπτυξη</w:t>
            </w:r>
            <w:r>
              <w:rPr>
                <w:b/>
                <w:i/>
              </w:rPr>
              <w:t>·</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w:t>
            </w:r>
            <w:r>
              <w:rPr>
                <w:b/>
                <w:i/>
              </w:rPr>
              <w:t>στη βιώσιμη</w:t>
            </w:r>
            <w:r>
              <w:t xml:space="preserve">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w:t>
            </w:r>
            <w:r>
              <w:rPr>
                <w:b/>
                <w:i/>
              </w:rPr>
              <w:t>στην</w:t>
            </w:r>
            <w:r>
              <w:t xml:space="preserve"> ανταγωνιστικότητα· χαιρετίζει την έμφαση που δίνει ο Mario Draghi στην καινοτομία, τις επενδύσεις, την ολοκλήρωση της αγοράς, την απανθρακοποίηση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w:t>
            </w:r>
            <w:r>
              <w:rPr>
                <w:b/>
                <w:i/>
              </w:rPr>
              <w:t>, την απανθρακοποίηση</w:t>
            </w:r>
            <w:r>
              <w:t xml:space="preserve"> και την ανθεκτικότητα,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c>
          <w:tcPr>
            <w:tcW w:w="4876" w:type="dxa"/>
            <w:tcBorders>
              <w:top w:val="nil"/>
              <w:left w:val="nil"/>
              <w:bottom w:val="nil"/>
              <w:right w:val="nil"/>
            </w:tcBorders>
          </w:tcPr>
          <w:p>
            <w:pPr>
              <w:pStyle w:val="Normal6a"/>
            </w:pPr>
            <w:r>
              <w:t>4.</w:t>
            </w:r>
            <w:r>
              <w:tab/>
            </w:r>
            <w:r>
              <w:t xml:space="preserve">υποστηρίζει τη δέσμευση της Επιτροπής να επενδύσει στη βιώσιμη ανταγωνιστικότητα· χαιρετίζει την έμφαση που δίνει ο Mario Draghi στην καινοτομία, τις επενδύσεις, την ολοκλήρωση της αγοράς και την ανθεκτικότητα, </w:t>
            </w:r>
            <w:r>
              <w:rPr>
                <w:b/>
                <w:i/>
              </w:rPr>
              <w:t>καθώς</w:t>
            </w:r>
            <w:r>
              <w:t xml:space="preserve"> και την προσήλωση του Enrico Letta στην ολοκλήρωση, την αυτονομία και την αλληλεγγύη· ενθαρρύνει πολιτικές που προωθούν την καινοτομία και τη βιώσιμη ανάπτυξη για όλους·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υπογραμμίζει ότι ο εξορθολογισμός της νομοθεσίας και η μείωση του διοικητικού φόρτου αποτελούν βασικά βήματα για τη στήριξη της ανταγωνιστικότητας·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w:t>
            </w:r>
            <w:r>
              <w:rPr>
                <w:b/>
                <w:i/>
              </w:rPr>
              <w:t>ή κατάχρηση αυτής</w:t>
            </w:r>
            <w:r>
              <w:t xml:space="preserve">, και συνιστά </w:t>
            </w:r>
            <w:r>
              <w:rPr>
                <w:b/>
                <w:i/>
              </w:rPr>
              <w:t>την αποφυγή της ενοποίησης</w:t>
            </w:r>
            <w:r>
              <w:t xml:space="preserve"> της αγοράς μέσω συγχωνεύσεων·</w:t>
            </w:r>
          </w:p>
        </w:tc>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w:t>
            </w:r>
            <w:r>
              <w:rPr>
                <w:b/>
                <w:i/>
              </w:rPr>
              <w:t>ούτε σε συγκέντρωση της αγοράς που διευκολύνει τις καταχρήσεις δεσπόζουσας θέσης και τις παρεπόμενες αθέμιτες πρακτικές</w:t>
            </w:r>
            <w:r>
              <w:t xml:space="preserve">, και συνιστά </w:t>
            </w:r>
            <w:r>
              <w:rPr>
                <w:b/>
                <w:i/>
              </w:rPr>
              <w:t>να μη γίνει η ενοποίηση</w:t>
            </w:r>
            <w:r>
              <w:t xml:space="preserve"> της αγοράς μέσω συγχωνεύσεων· </w:t>
            </w:r>
            <w:r>
              <w:rPr>
                <w:b/>
                <w:i/>
              </w:rPr>
              <w:t>υπογραμμίζει επίσης ότι η βιομηχανική πολιτική πρέπει να προάγει και το δημόσιο συμφέρον, συνδέοντας τη δημόσια χρηματοδότηση με κοινωνικές και περιβαλλοντικές προϋποθέσεις που διασφαλίζουν την προστασία των εργαζομένων, τα δικαιώματα των εργαζομένων, τη βιωσιμότητα και την οικονομική ανθεκτικότητα·</w:t>
            </w:r>
            <w:r>
              <w:t xml:space="preserve"> </w:t>
            </w:r>
            <w:r>
              <w:rPr>
                <w:b/>
                <w:i/>
              </w:rPr>
              <w:t>σημειώνει ότι οι προϋποθέσεις αυτές θα πρέπει να περιλαμβάνουν διατάξεις ανάκτησης και αυστηρούς περιορισμούς όσον αφορά τις επαναγορές μετοχών και τις πληρωμές μερισμάτων·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w:t>
            </w:r>
            <w:r>
              <w:rPr>
                <w:b/>
                <w:i/>
              </w:rPr>
              <w:t>, και</w:t>
            </w:r>
            <w:r>
              <w:t xml:space="preserve"> συνιστά </w:t>
            </w:r>
            <w:r>
              <w:rPr>
                <w:b/>
                <w:i/>
              </w:rPr>
              <w:t>την αποφυγή της ενοποίησης</w:t>
            </w:r>
            <w:r>
              <w:t xml:space="preserve"> της αγοράς </w:t>
            </w:r>
            <w:r>
              <w:rPr>
                <w:b/>
                <w:i/>
              </w:rPr>
              <w:t>μέσω συγχωνεύσεων</w:t>
            </w:r>
            <w:r>
              <w:t>·</w:t>
            </w:r>
          </w:p>
        </w:tc>
        <w:tc>
          <w:tcPr>
            <w:tcW w:w="4876" w:type="dxa"/>
            <w:tcBorders>
              <w:top w:val="nil"/>
              <w:left w:val="nil"/>
              <w:bottom w:val="nil"/>
              <w:right w:val="nil"/>
            </w:tcBorders>
          </w:tcPr>
          <w:p>
            <w:pPr>
              <w:pStyle w:val="Normal6a"/>
            </w:pPr>
            <w:r>
              <w:t>5.</w:t>
            </w:r>
            <w:r>
              <w:tab/>
            </w:r>
            <w:r>
              <w:t>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w:t>
            </w:r>
            <w:r>
              <w:rPr>
                <w:b/>
                <w:i/>
              </w:rPr>
              <w:t>·</w:t>
            </w:r>
            <w:r>
              <w:t xml:space="preserve"> </w:t>
            </w:r>
            <w:r>
              <w:rPr>
                <w:b/>
                <w:i/>
              </w:rPr>
              <w:t>επισημαίνει ότι η δυναμική αυτή δεν θα πρέπει να οδηγήσει σε δεσπόζουσα θέση στην αγορά ή κατάχρηση της αγοράς, τονίζοντας ότι η παρέμβαση σε περιπτώσεις κατάχρησης θα πρέπει να περιορίζεται σε προφανείς αντιανταγωνιστικές πρακτικές, όπως τα μονοπώλια και οι συμπράξεις·</w:t>
            </w:r>
            <w:r>
              <w:t xml:space="preserve"> συνιστά </w:t>
            </w:r>
            <w:r>
              <w:rPr>
                <w:b/>
                <w:i/>
              </w:rPr>
              <w:t>να μη γίνει η ολοκλήρωση των αγορών μέσω συγχωνεύσεων, τονίζοντας ότι οι συγχωνεύσεις αυτές θα πρέπει να αξιολογούνται με βάση τον πραγματικό τους αντίκτυπο στον ανταγωνισμό και στα οφέλη για τους καταναλωτές και δεν θα πρέπει να αντιμετωπίζονται εν γένει αρνητικά, εφόσον δεν βλάπτουν τη συνολική ανταγωνιστικότητα</w:t>
            </w:r>
            <w:r>
              <w:t xml:space="preserve"> της αγοράς </w:t>
            </w:r>
            <w:r>
              <w:rPr>
                <w:b/>
                <w:i/>
              </w:rPr>
              <w:t>ή τα συμφέροντα των καταναλωτών</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w:t>
            </w:r>
            <w:r>
              <w:rPr>
                <w:b/>
                <w:i/>
              </w:rPr>
              <w:t>πρέπει να οδηγήσει σε δεσπόζουσα θέση</w:t>
            </w:r>
            <w:r>
              <w:t xml:space="preserve"> στην αγορά ή </w:t>
            </w:r>
            <w:r>
              <w:rPr>
                <w:b/>
                <w:i/>
              </w:rPr>
              <w:t>κατάχρηση αυτής, και συνιστά την αποφυγή της ενοποίησης της</w:t>
            </w:r>
            <w:r>
              <w:t xml:space="preserve"> αγοράς </w:t>
            </w:r>
            <w:r>
              <w:rPr>
                <w:b/>
                <w:i/>
              </w:rPr>
              <w:t>μέσω συγχωνεύσεων</w:t>
            </w:r>
            <w:r>
              <w:t>·</w:t>
            </w:r>
          </w:p>
        </w:tc>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w:t>
            </w:r>
            <w:r>
              <w:rPr>
                <w:b/>
                <w:i/>
              </w:rPr>
              <w:t>μπορεί να γίνει εις βάρος των Ευρωπαίων καταναλωτών μέσω της χαλάρωσης της δεσπόζουσας θέσης</w:t>
            </w:r>
            <w:r>
              <w:t xml:space="preserve"> στην αγορά ή </w:t>
            </w:r>
            <w:r>
              <w:rPr>
                <w:b/>
                <w:i/>
              </w:rPr>
              <w:t>της παραβίασης των προτύπων στην πολιτική ανταγωνισμού της ΕΕ·</w:t>
            </w:r>
            <w:r>
              <w:t xml:space="preserve"> </w:t>
            </w:r>
            <w:r>
              <w:rPr>
                <w:b/>
                <w:i/>
              </w:rPr>
              <w:t>επαναλαμβάνει ότι τόσο τα υψηλότερα πρότυπα ανταγωνισμού όσο και η αναγκαία αναβάθμιση των ευρωπαϊκών επιχειρήσεων μπορούν να ενισχυθούν με μια αποτελεσματική εμβάθυνση της ενιαίας</w:t>
            </w:r>
            <w:r>
              <w:t xml:space="preserve"> αγοράς</w:t>
            </w:r>
            <w:r>
              <w:rPr>
                <w:b/>
                <w:i/>
              </w:rPr>
              <w:t>, ώστε να καταστεί η αγορά που θα πλαισιώνει όλους τους τομείς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 </w:t>
            </w:r>
            <w:r>
              <w:rPr>
                <w:b/>
                <w:i/>
              </w:rPr>
              <w:t>και συνιστά την αποφυγή της ενοποίησης της αγοράς μέσω συγχωνεύσεων</w:t>
            </w:r>
            <w:r>
              <w:t>·</w:t>
            </w:r>
          </w:p>
        </w:tc>
        <w:tc>
          <w:tcPr>
            <w:tcW w:w="4876" w:type="dxa"/>
            <w:tcBorders>
              <w:top w:val="nil"/>
              <w:left w:val="nil"/>
              <w:bottom w:val="nil"/>
              <w:right w:val="nil"/>
            </w:tcBorders>
          </w:tcPr>
          <w:p>
            <w:pPr>
              <w:pStyle w:val="Normal6a"/>
            </w:pPr>
            <w:r>
              <w:t>5.</w:t>
            </w:r>
            <w:r>
              <w:tab/>
            </w:r>
            <w:r>
              <w:t xml:space="preserve">υπογραμμίζει την ανάγκη για μια </w:t>
            </w:r>
            <w:r>
              <w:rPr>
                <w:b/>
                <w:i/>
              </w:rPr>
              <w:t>συντονισμένη και στοχοθετημένη</w:t>
            </w:r>
            <w:r>
              <w:t xml:space="preserve">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 </w:t>
            </w:r>
            <w:r>
              <w:rPr>
                <w:b/>
                <w:i/>
              </w:rPr>
              <w:t>στρέβλωση των τιμών ή οικονομικές ανεπάρκειες·</w:t>
            </w:r>
            <w:r>
              <w:t xml:space="preserve"> </w:t>
            </w:r>
            <w:r>
              <w:rPr>
                <w:b/>
                <w:i/>
              </w:rPr>
              <w:t>τάσσεται κατά της χάραξης ασυντόνιστης και αποκλειστικά εθνικής βιομηχανικής πολιτικής·</w:t>
            </w:r>
            <w:r>
              <w:t xml:space="preserve"> </w:t>
            </w:r>
            <w:r>
              <w:rPr>
                <w:b/>
                <w:i/>
              </w:rPr>
              <w:t>τονίζει την ανάγκη ανάληψης δράσης κατά του αθέμιτου και άνισου ανταγωνισμού από τρίτες χώρες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υπογραμμίζει</w:t>
            </w:r>
            <w:r>
              <w:t xml:space="preserve"> την ανάγκη για </w:t>
            </w:r>
            <w:r>
              <w:rPr>
                <w:b/>
                <w:i/>
              </w:rPr>
              <w:t>μια βιομηχανική πολιτική που να ενισχύει την ευρωπαϊκή ανταγωνιστικότητα</w:t>
            </w:r>
            <w:r>
              <w:t xml:space="preserve">· σημειώνει ότι αυτό δεν πρέπει να οδηγήσει σε </w:t>
            </w:r>
            <w:r>
              <w:rPr>
                <w:b/>
                <w:i/>
              </w:rPr>
              <w:t>δεσπόζουσα θέση</w:t>
            </w:r>
            <w:r>
              <w:t xml:space="preserve"> στην αγορά </w:t>
            </w:r>
            <w:r>
              <w:rPr>
                <w:b/>
                <w:i/>
              </w:rPr>
              <w:t>ή κατάχρηση αυτής,</w:t>
            </w:r>
            <w:r>
              <w:t xml:space="preserve"> και συνιστά </w:t>
            </w:r>
            <w:r>
              <w:rPr>
                <w:b/>
                <w:i/>
              </w:rPr>
              <w:t>την αποφυγή της ενοποίησης</w:t>
            </w:r>
            <w:r>
              <w:t xml:space="preserve"> της αγοράς μέσω συγχωνεύσεων·</w:t>
            </w:r>
          </w:p>
        </w:tc>
        <w:tc>
          <w:tcPr>
            <w:tcW w:w="4876" w:type="dxa"/>
            <w:tcBorders>
              <w:top w:val="nil"/>
              <w:left w:val="nil"/>
              <w:bottom w:val="nil"/>
              <w:right w:val="nil"/>
            </w:tcBorders>
          </w:tcPr>
          <w:p>
            <w:pPr>
              <w:pStyle w:val="Normal6a"/>
            </w:pPr>
            <w:r>
              <w:t>5.</w:t>
            </w:r>
            <w:r>
              <w:tab/>
            </w:r>
            <w:r>
              <w:rPr>
                <w:b/>
                <w:i/>
              </w:rPr>
              <w:t>τονίζει</w:t>
            </w:r>
            <w:r>
              <w:t xml:space="preserve"> την ανάγκη για </w:t>
            </w:r>
            <w:r>
              <w:rPr>
                <w:b/>
                <w:i/>
              </w:rPr>
              <w:t>εθνικές βιομηχανικές πολιτικές και συνέργειες μεταξύ των κρατών μελών για την τόνωση της ευρωπαϊκής ανταγωνιστικότητας</w:t>
            </w:r>
            <w:r>
              <w:t xml:space="preserve">· σημειώνει ότι αυτό δεν πρέπει να οδηγήσει σε </w:t>
            </w:r>
            <w:r>
              <w:rPr>
                <w:b/>
                <w:i/>
              </w:rPr>
              <w:t>καταχρήσεις δεσπόζουσας θέσης</w:t>
            </w:r>
            <w:r>
              <w:t xml:space="preserve"> στην αγορά και συνιστά </w:t>
            </w:r>
            <w:r>
              <w:rPr>
                <w:b/>
                <w:i/>
              </w:rPr>
              <w:t>να μη γίνει η ενοποίηση</w:t>
            </w:r>
            <w:r>
              <w:t xml:space="preserve"> της αγοράς μέσω συγχωνεύσεων·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υπογραμμίζει την ανάγκη </w:t>
            </w:r>
            <w:r>
              <w:rPr>
                <w:b/>
                <w:i/>
              </w:rPr>
              <w:t>για μια</w:t>
            </w:r>
            <w:r>
              <w:t xml:space="preserve"> βιομηχανική πολιτική </w:t>
            </w:r>
            <w:r>
              <w:rPr>
                <w:b/>
                <w:i/>
              </w:rPr>
              <w:t>που να ενισχύει την ευρωπαϊκή ανταγωνιστικότητα</w:t>
            </w:r>
            <w:r>
              <w:t>· σημειώνει ότι αυτό δεν πρέπει να οδηγήσει σε δεσπόζουσα θέση στην αγορά ή κατάχρηση αυτής, και συνιστά την αποφυγή της ενοποίησης της αγοράς μέσω συγχωνεύσεων·</w:t>
            </w:r>
          </w:p>
        </w:tc>
        <w:tc>
          <w:tcPr>
            <w:tcW w:w="4876" w:type="dxa"/>
            <w:tcBorders>
              <w:top w:val="nil"/>
              <w:left w:val="nil"/>
              <w:bottom w:val="nil"/>
              <w:right w:val="nil"/>
            </w:tcBorders>
          </w:tcPr>
          <w:p>
            <w:pPr>
              <w:pStyle w:val="Normal6a"/>
            </w:pPr>
            <w:r>
              <w:t>5.</w:t>
            </w:r>
            <w:r>
              <w:tab/>
            </w:r>
            <w:r>
              <w:t xml:space="preserve">υπογραμμίζει την ανάγκη </w:t>
            </w:r>
            <w:r>
              <w:rPr>
                <w:b/>
                <w:i/>
              </w:rPr>
              <w:t>να ενισχύσει η</w:t>
            </w:r>
            <w:r>
              <w:t xml:space="preserve"> βιομηχανική πολιτική </w:t>
            </w:r>
            <w:r>
              <w:rPr>
                <w:b/>
                <w:i/>
              </w:rPr>
              <w:t>την ευρωπαϊκή ανταγωνιστικότητα, διασφαλίζοντας παράλληλα τον εσωτερικό ανταγωνισμό και τους μικρούς παράγοντες εντός της ενιαίας αγοράς</w:t>
            </w:r>
            <w:r>
              <w:t>· σημειώνει ότι αυτό δεν πρέπει να οδηγήσει σε δεσπόζουσα θέση στην αγορά ή κατάχρηση αυτής, και συνιστά την αποφυγή της ενοποίησης της αγοράς μέσω συγχωνεύσεων·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w:t>
            </w:r>
            <w:r>
              <w:rPr>
                <w:b/>
                <w:i/>
              </w:rPr>
              <w:t>, και συνιστά την αποφυγή της ενοποίησης της αγοράς μέσω συγχωνεύσεων</w:t>
            </w:r>
            <w:r>
              <w:t>·</w:t>
            </w:r>
          </w:p>
        </w:tc>
        <w:tc>
          <w:tcPr>
            <w:tcW w:w="4876" w:type="dxa"/>
            <w:tcBorders>
              <w:top w:val="nil"/>
              <w:left w:val="nil"/>
              <w:bottom w:val="nil"/>
              <w:right w:val="nil"/>
            </w:tcBorders>
          </w:tcPr>
          <w:p>
            <w:pPr>
              <w:pStyle w:val="Normal6a"/>
            </w:pPr>
            <w:r>
              <w:t>5.</w:t>
            </w:r>
            <w:r>
              <w:tab/>
            </w:r>
            <w:r>
              <w:t>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w:t>
            </w:r>
            <w:r>
              <w:rPr>
                <w:b/>
                <w:i/>
              </w:rPr>
              <w:t>, και συνιστά την αποφυγή της ενοποίησης της αγοράς μέσω συγχωνεύσεων</w:t>
            </w:r>
            <w:r>
              <w:t>·</w:t>
            </w:r>
          </w:p>
        </w:tc>
        <w:tc>
          <w:tcPr>
            <w:tcW w:w="4876" w:type="dxa"/>
            <w:tcBorders>
              <w:top w:val="nil"/>
              <w:left w:val="nil"/>
              <w:bottom w:val="nil"/>
              <w:right w:val="nil"/>
            </w:tcBorders>
          </w:tcPr>
          <w:p>
            <w:pPr>
              <w:pStyle w:val="Normal6a"/>
            </w:pPr>
            <w:r>
              <w:t>5.</w:t>
            </w:r>
            <w:r>
              <w:tab/>
            </w:r>
            <w:r>
              <w:t>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 και συνιστά την αποφυγή της ενοποίησης της αγοράς μέσω συγχωνεύσεων·</w:t>
            </w:r>
          </w:p>
        </w:tc>
        <w:tc>
          <w:tcPr>
            <w:tcW w:w="4876" w:type="dxa"/>
            <w:tcBorders>
              <w:top w:val="nil"/>
              <w:left w:val="nil"/>
              <w:bottom w:val="nil"/>
              <w:right w:val="nil"/>
            </w:tcBorders>
          </w:tcPr>
          <w:p>
            <w:pPr>
              <w:pStyle w:val="Normal6a"/>
            </w:pPr>
            <w:r>
              <w:t>5.</w:t>
            </w:r>
            <w:r>
              <w:tab/>
            </w:r>
            <w:r>
              <w:t xml:space="preserve">υπογραμμίζει την ανάγκη για μια </w:t>
            </w:r>
            <w:r>
              <w:rPr>
                <w:b/>
                <w:i/>
              </w:rPr>
              <w:t>νέα βιώσιμη</w:t>
            </w:r>
            <w:r>
              <w:t xml:space="preserve">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 και συνιστά την αποφυγή της ενοποίησης της αγοράς μέσω συγχωνεύσεων·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w:t>
            </w:r>
            <w:r>
              <w:rPr>
                <w:b/>
                <w:i/>
              </w:rPr>
              <w:t>ευρωπαϊκή</w:t>
            </w:r>
            <w:r>
              <w:t xml:space="preserve"> ανταγωνιστικότητα· σημειώνει ότι αυτό δεν πρέπει να οδηγήσει σε δεσπόζουσα θέση στην αγορά ή κατάχρηση αυτής, και συνιστά </w:t>
            </w:r>
            <w:r>
              <w:rPr>
                <w:b/>
                <w:i/>
              </w:rPr>
              <w:t>την αποφυγή της ενοποίησης</w:t>
            </w:r>
            <w:r>
              <w:t xml:space="preserve"> της αγοράς μέσω συγχωνεύσεων·</w:t>
            </w:r>
          </w:p>
        </w:tc>
        <w:tc>
          <w:tcPr>
            <w:tcW w:w="4876" w:type="dxa"/>
            <w:tcBorders>
              <w:top w:val="nil"/>
              <w:left w:val="nil"/>
              <w:bottom w:val="nil"/>
              <w:right w:val="nil"/>
            </w:tcBorders>
          </w:tcPr>
          <w:p>
            <w:pPr>
              <w:pStyle w:val="Normal6a"/>
            </w:pPr>
            <w:r>
              <w:t>5.</w:t>
            </w:r>
            <w:r>
              <w:tab/>
            </w:r>
            <w:r>
              <w:t xml:space="preserve">υπογραμμίζει την ανάγκη για μια </w:t>
            </w:r>
            <w:r>
              <w:rPr>
                <w:b/>
                <w:i/>
              </w:rPr>
              <w:t>γνήσια ευρωπαϊκή</w:t>
            </w:r>
            <w:r>
              <w:t xml:space="preserve"> βιομηχανική πολιτική που να ενισχύει την ανταγωνιστικότητα· σημειώνει ότι αυτό δεν πρέπει να οδηγήσει σε δεσπόζουσα θέση στην αγορά ή κατάχρηση αυτής, και συνιστά </w:t>
            </w:r>
            <w:r>
              <w:rPr>
                <w:b/>
                <w:i/>
              </w:rPr>
              <w:t>να μη γίνει η ενοποίηση</w:t>
            </w:r>
            <w:r>
              <w:t xml:space="preserve"> της αγοράς μέσω συγχωνεύσεων·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πρέπει να οδηγήσει </w:t>
            </w:r>
            <w:r>
              <w:rPr>
                <w:b/>
                <w:i/>
              </w:rPr>
              <w:t>σε δεσπόζουσα θέση στην αγορά ή κατάχρηση αυτής, και συνιστά την αποφυγή της ενοποίησης της αγοράς μέσω</w:t>
            </w:r>
            <w:r>
              <w:t xml:space="preserve"> συγχωνεύσεων·</w:t>
            </w:r>
          </w:p>
        </w:tc>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πρέπει να οδηγήσει </w:t>
            </w:r>
            <w:r>
              <w:rPr>
                <w:b/>
                <w:i/>
              </w:rPr>
              <w:t>στην κατάχρηση δεσπόζουσας θέσης στην αγορά·</w:t>
            </w:r>
            <w:r>
              <w:t xml:space="preserve"> </w:t>
            </w:r>
            <w:r>
              <w:rPr>
                <w:b/>
                <w:i/>
              </w:rPr>
              <w:t>επισημαίνει την ανάγκη αποτελεσματικών διαδικασιών ελέγχου των</w:t>
            </w:r>
            <w:r>
              <w:t xml:space="preserve"> συγχωνεύσεων·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 και συνιστά την </w:t>
            </w:r>
            <w:r>
              <w:rPr>
                <w:b/>
                <w:i/>
              </w:rPr>
              <w:t>αποφυγή της ενοποίησης της αγοράς</w:t>
            </w:r>
            <w:r>
              <w:t xml:space="preserve"> μέσω συγχωνεύσεων·</w:t>
            </w:r>
          </w:p>
        </w:tc>
        <w:tc>
          <w:tcPr>
            <w:tcW w:w="4876" w:type="dxa"/>
            <w:tcBorders>
              <w:top w:val="nil"/>
              <w:left w:val="nil"/>
              <w:bottom w:val="nil"/>
              <w:right w:val="nil"/>
            </w:tcBorders>
          </w:tcPr>
          <w:p>
            <w:pPr>
              <w:pStyle w:val="Normal6a"/>
            </w:pPr>
            <w:r>
              <w:t>5.</w:t>
            </w:r>
            <w:r>
              <w:tab/>
            </w:r>
            <w:r>
              <w:t xml:space="preserve">υπογραμμίζει την ανάγκη για μια βιομηχανική πολιτική που να ενισχύει την ευρωπαϊκή ανταγωνιστικότητα· σημειώνει ότι αυτό δεν πρέπει να οδηγήσει σε δεσπόζουσα θέση στην αγορά ή κατάχρηση αυτής, και συνιστά την </w:t>
            </w:r>
            <w:r>
              <w:rPr>
                <w:b/>
                <w:i/>
              </w:rPr>
              <w:t>προσεκτική επιτήρηση της ολοκλήρωσης των αγορών</w:t>
            </w:r>
            <w:r>
              <w:t xml:space="preserve"> μέσω συγχωνεύσεων·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υπογραμμίζει τη σημασία των σημαντικών έργων κοινού ευρωπαϊκού ενδιαφέροντος (ΣΕΚΕΕ) για τη χρηματοδότηση μεγάλων διακρατικών έργων και την επίτευξη των στρατηγικών προτεραιοτήτων της ΕΕ, αλλά εκφράζει τη λύπη του που η διαδικασία και ο χρόνος που απαιτούνται επιβαρύνουν υπερβολικά τις ΜΜΕ·</w:t>
            </w:r>
            <w:r>
              <w:t xml:space="preserve"> </w:t>
            </w:r>
            <w:r>
              <w:rPr>
                <w:b/>
                <w:i/>
              </w:rPr>
              <w:t>καλεί την Επιτροπή και τα κράτη μέλη να διασφαλίσουν ότι κάθε κοινοποίηση θα ολοκληρώνεται το αργότερο εντός έξι μηνών·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5α.</w:t>
            </w:r>
            <w:r>
              <w:tab/>
            </w:r>
            <w:r>
              <w:rPr>
                <w:b/>
                <w:i/>
              </w:rPr>
              <w:t>τονίζει τη σημασία της μείωσης του ενεργειακού κόστους προκειμένου να διασφαλιστεί η ανταγωνιστικότητα της ΕΕ με την παροχή κινήτρων για τη χρήση εναλλακτικών πηγών, όπως η πυρηνική ενέργεια αιχμής·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5β.</w:t>
            </w:r>
            <w:r>
              <w:tab/>
            </w:r>
            <w:r>
              <w:rPr>
                <w:b/>
                <w:i/>
              </w:rPr>
              <w:t>τονίζει τη σημασία μίας πολιτικής σχεδιασμένης για να καταστήσει την ΕΕ ενεργειακά αποδοτικότερη, με σκοπό την επαύξηση της ανταγωνιστικότητας και τη μείωση της υπερβολικής εξάρτησης της ηπείρου από τρίτες χώρες, ευνοώντας εντός λογικών πλαισίων την κρατική αρωγή σε στρατηγικούς τομείς όπως η θερμομόνωση, οι ανανεώσιμες πηγές ενέργειας και η βελτιστοποίηση των βιομηχανικών διαδικασιών·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παρά την ενεργό επιβολή της νομοθεσίας περί ανταγωνισμού·</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παρά την ενεργό επιβολή της νομοθεσίας περί ανταγωνισμού·</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παρά την ενεργό επιβολή της νομοθεσίας περί ανταγωνισμού·</w:t>
            </w:r>
          </w:p>
        </w:tc>
        <w:tc>
          <w:tcPr>
            <w:tcW w:w="4876" w:type="dxa"/>
            <w:tcBorders>
              <w:top w:val="nil"/>
              <w:left w:val="nil"/>
              <w:bottom w:val="nil"/>
              <w:right w:val="nil"/>
            </w:tcBorders>
          </w:tcPr>
          <w:p>
            <w:pPr>
              <w:pStyle w:val="Normal6a"/>
            </w:pPr>
            <w:r>
              <w:t>6.</w:t>
            </w:r>
            <w:r>
              <w:tab/>
            </w:r>
            <w:r>
              <w:t xml:space="preserve">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παρά την ενεργό επιβολή της νομοθεσίας περί ανταγωνισμού· </w:t>
            </w:r>
            <w:r>
              <w:rPr>
                <w:b/>
                <w:i/>
              </w:rPr>
              <w:t>επισημαίνει ότι η αύξηση της συγκέντρωσης της αγοράς, των προσαυξήσεων και των κερδών δεν υποδεικνύει απαραιτήτως δυσλειτουργία της αγοράς, υπενθυμίζοντας ότι μπορεί να αντικατοπτρίζει βελτιώσεις στην αποδοτικότητα, την καινοτομία και τις οικονομίες κλίμακας που επιτεύχθηκαν από τις εταιρείες·</w:t>
            </w:r>
            <w:r>
              <w:t xml:space="preserve"> </w:t>
            </w:r>
            <w:r>
              <w:rPr>
                <w:b/>
                <w:i/>
              </w:rPr>
              <w:t>πιστεύει ότι η μείωση του δυναμισμού της βιομηχανίας θα μπορούσε να συνδέεται περισσότερο με υπερβολικά ρυθμιστική παρέμβαση που περιορίζει την ικανότητα προσαρμογής και ανταγωνισμού των εταιρειών σε μία παγκόσμια αγορά·</w:t>
            </w:r>
            <w:r>
              <w:t xml:space="preserve"> </w:t>
            </w:r>
            <w:r>
              <w:rPr>
                <w:b/>
                <w:i/>
              </w:rPr>
              <w:t>καλεί την Επιτροπή να επανεξετάσει το ρυθμιστικό πλαίσιο για να προωθήσει ένα ευέλικτο και ανταγωνιστικό περιβάλλον το οποίο επιτρέπει στις εταιρείες να καινοτομούν και να αναπτύσσονται χωρίς περιττούς περιορισμούς και επιβαρύνσεις·</w:t>
            </w:r>
            <w:r>
              <w:t xml:space="preserve"> </w:t>
            </w:r>
            <w:r>
              <w:rPr>
                <w:b/>
                <w:i/>
              </w:rPr>
              <w:t>υπενθυμίζει ότι η επιβολή της νομοθεσίας περί ανταγωνισμού θα πρέπει να επικεντρώνεται στη διασφάλιση ανοικτών, ανταγωνιστικών αγορών απαλλαγμένων από αντιανταγωνιστικές πρακτικές, χωρίς τυχόν περιττές παρεμβάσεις στη φυσική δυναμική της αγοράς·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w:t>
            </w:r>
            <w:r>
              <w:rPr>
                <w:b/>
                <w:i/>
              </w:rPr>
              <w:t>, παρά την ενεργό επιβολή της νομοθεσίας περί ανταγωνισμού·</w:t>
            </w:r>
          </w:p>
        </w:tc>
        <w:tc>
          <w:tcPr>
            <w:tcW w:w="4876" w:type="dxa"/>
            <w:tcBorders>
              <w:top w:val="nil"/>
              <w:left w:val="nil"/>
              <w:bottom w:val="nil"/>
              <w:right w:val="nil"/>
            </w:tcBorders>
          </w:tcPr>
          <w:p>
            <w:pPr>
              <w:pStyle w:val="Normal6a"/>
            </w:pPr>
            <w:r>
              <w:t>6.</w:t>
            </w:r>
            <w:r>
              <w:tab/>
            </w:r>
            <w:r>
              <w:t>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w:t>
            </w:r>
            <w:r>
              <w:rPr>
                <w:b/>
                <w:i/>
              </w:rPr>
              <w:t>·</w:t>
            </w:r>
            <w:r>
              <w:t xml:space="preserve"> </w:t>
            </w:r>
            <w:r>
              <w:rPr>
                <w:b/>
                <w:i/>
              </w:rPr>
              <w:t>λαμβάνει επίσης υπόψη ότι οι συγχωνεύσεις και οι εξαγορές από κορυφαίες εταιρείες πιθανώς έχουν συμβάλει στην παρατηρούμενη αύξηση των προσαυξήσεων και της συγκέντρωσης·</w:t>
            </w:r>
            <w:r>
              <w:t xml:space="preserve"> </w:t>
            </w:r>
            <w:r>
              <w:rPr>
                <w:b/>
                <w:i/>
              </w:rPr>
              <w:t>επιπροσθέτως σημειώνει ότι τα χαμηλά επίπεδα ανταγωνισμού είχαν σημαντικό αρνητικό αντίκτυπο στους καταναλωτές, την αγοραστική δύναμη και την ανταγωνιστικότητα των εταιρειών της ΕΕ και τη συνολική οικονομική ανάπτυξη·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παρά την ενεργό επιβολή της νομοθεσίας περί ανταγωνισμού·</w:t>
            </w:r>
          </w:p>
        </w:tc>
        <w:tc>
          <w:tcPr>
            <w:tcW w:w="4876" w:type="dxa"/>
            <w:tcBorders>
              <w:top w:val="nil"/>
              <w:left w:val="nil"/>
              <w:bottom w:val="nil"/>
              <w:right w:val="nil"/>
            </w:tcBorders>
          </w:tcPr>
          <w:p>
            <w:pPr>
              <w:pStyle w:val="Normal6a"/>
            </w:pPr>
            <w:r>
              <w:t>6.</w:t>
            </w:r>
            <w:r>
              <w:tab/>
            </w:r>
            <w:r>
              <w:t xml:space="preserve">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w:t>
            </w:r>
            <w:r>
              <w:rPr>
                <w:b/>
                <w:i/>
              </w:rPr>
              <w:t>σημαντικά</w:t>
            </w:r>
            <w:r>
              <w:t>, παρά την ενεργό επιβολή της νομοθεσίας περί ανταγωνισμού·</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σημειώνει</w:t>
            </w:r>
            <w:r>
              <w:t xml:space="preserve">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παρά την ενεργό επιβολή της νομοθεσίας περί ανταγωνισμού·</w:t>
            </w:r>
          </w:p>
        </w:tc>
        <w:tc>
          <w:tcPr>
            <w:tcW w:w="4876" w:type="dxa"/>
            <w:tcBorders>
              <w:top w:val="nil"/>
              <w:left w:val="nil"/>
              <w:bottom w:val="nil"/>
              <w:right w:val="nil"/>
            </w:tcBorders>
          </w:tcPr>
          <w:p>
            <w:pPr>
              <w:pStyle w:val="Normal6a"/>
            </w:pPr>
            <w:r>
              <w:t>6.</w:t>
            </w:r>
            <w:r>
              <w:tab/>
            </w:r>
            <w:r>
              <w:rPr>
                <w:b/>
                <w:i/>
              </w:rPr>
              <w:t>εκφράζει τη βαθιά του ανησυχία για</w:t>
            </w:r>
            <w:r>
              <w:t xml:space="preserve">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παρά την ενεργό επιβολή της νομοθεσίας περί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υποστηρίζει ότι η πολιτική ανταγωνισμού προβλέπεται να διαδραματίσει βασικό ρόλο στην αντιμετώπιση και τον μετριασμό της διακοπής που οδηγεί σε κρίση το κόστους ζωής σε ολόκληρη την ΕΕ·</w:t>
            </w:r>
            <w:r>
              <w:t xml:space="preserve"> </w:t>
            </w:r>
            <w:r>
              <w:rPr>
                <w:b/>
                <w:i/>
              </w:rPr>
              <w:t>υπογραμμίζει σε αυτό το πλαίσιο ότι, ως αντίδραση στους συχνότερους κλυδωνισμούς προσφοράς που προκαλούνται από γεωπολιτικές εντάσεις και την περιβαλλοντική και κλιματική κρίση, οι εταιρείες συντονίζουν τις απότομες ανατιμήσεις για να προστατεύσουν ή ακόμα και να αυξήσουν τα περιθώρια κέρδους επιτείνοντας αυτούς τους κλυδωνισμούς·</w:t>
            </w:r>
            <w:r>
              <w:t xml:space="preserve"> </w:t>
            </w:r>
            <w:r>
              <w:rPr>
                <w:b/>
                <w:i/>
              </w:rPr>
              <w:t>πιστεύει ότι ενώ ο αντίκτυπος της νομισματικής πολιτικής θα μπορούσε να περιοριστεί περισσότερο όταν πρόκειται για τέτοια διακοπή που οφείλεται στην προσφορά, η στοχευμένη και συντονισμένη επιβολή αντιμονοπωλιακών μέτρων θα μπορούσε να είναι αποτελεσματικότερη·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6α.</w:t>
            </w:r>
            <w:r>
              <w:tab/>
            </w:r>
            <w:r>
              <w:rPr>
                <w:b/>
                <w:i/>
              </w:rPr>
              <w:t>τονίζει τη σημασία της παροχής καλύτερης προστασίας για τις μικρές και τις μεσαίες εταιρείες και, γενικά, για όλες τις εταιρείες που είναι πρόθυμες να αυξήσουν το κεφάλαιο επιχειρηματικών συμμετοχών·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β.</w:t>
            </w:r>
            <w:r>
              <w:tab/>
            </w:r>
            <w:r>
              <w:rPr>
                <w:b/>
                <w:i/>
              </w:rPr>
              <w:t>καλεί την Ευρωπαϊκή Επιτροπή σε αυτό το πλαίσιο να αξιολογήσει πώς εφαρμόζονται οι αντιμονοπωλιακοί κανόνες στις αυξήσεις των τιμών σε περιπτώσεις ελλείψεων και να αναπτύξει ένα πλαίσιο για την επιβολή τους σε περίπτωση άδικης τιμολόγησης·</w:t>
            </w:r>
            <w:r>
              <w:t xml:space="preserve"> </w:t>
            </w:r>
            <w:r>
              <w:rPr>
                <w:b/>
                <w:i/>
              </w:rPr>
              <w:t>υπενθυμίζει τη δέσμευση της Επιτρόπου Ribera για την έκδοση κατευθυντήριων γραμμών σχετικά με την αξιολόγηση και την αντιμετώπιση καταχρήσεων από κυρίαρχες επιχειρήσεις ώστε να καταστεί αποτελεσματικότερη η επιβολή του άρθρου 102 ΣΛΕΕ·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6β.</w:t>
            </w:r>
            <w:r>
              <w:tab/>
            </w:r>
            <w:r>
              <w:rPr>
                <w:b/>
                <w:i/>
              </w:rPr>
              <w:t>ζητά μεγαλύτερη διαφάνεια και συνεργασία μεταξύ των εθνικών αρχών και της Ευρωπαϊκής Επιτροπής κατά την εφαρμογή των κανόνων ανταγωνισμού, με σκοπό τη διασφάλιση ότι εφαρμόζεται σε ολόκληρη την Ένωση ομοιόμορφη και συνεκτική προσέγγιση·</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6γ.</w:t>
            </w:r>
            <w:r>
              <w:tab/>
            </w:r>
            <w:r>
              <w:rPr>
                <w:b/>
                <w:i/>
              </w:rPr>
              <w:t>επισημαίνει την ανάγκη ακριβούς ανάλυσης της κρατικής συνδρομής, ιδίως για εταιρείες σε στρατηγικούς τομείς όπως η ενέργεια, η τεχνολογία και η καινοτομία·</w:t>
            </w:r>
            <w:r>
              <w:t xml:space="preserve"> </w:t>
            </w:r>
            <w:r>
              <w:rPr>
                <w:b/>
                <w:i/>
              </w:rPr>
              <w:t>τονίζει τη σημασία της διασφάλισης ότι η κρατική συνδρομή είναι αποτελεσματική στη γεωργία, την εφοδιαστική και τις μεταφορές·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επισημαίνει ότι οι κρατικές ενισχύσεις χρησιμοποιούνται όλο και περισσότερο για τη στήριξη των στόχων της βιομηχανικής πολιτικής·</w:t>
            </w:r>
            <w:r>
              <w:t xml:space="preserve"> </w:t>
            </w:r>
            <w:r>
              <w:rPr>
                <w:b/>
                <w:i/>
              </w:rPr>
              <w:t>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w:t>
            </w:r>
            <w:r>
              <w:t xml:space="preserve"> </w:t>
            </w:r>
            <w:r>
              <w:rPr>
                <w:b/>
                <w:i/>
              </w:rPr>
              <w:t>καλεί την Επιτροπή να παρακολουθεί αυτές τις επιπτώσεις·</w:t>
            </w:r>
            <w:r>
              <w:t xml:space="preserve"> </w:t>
            </w:r>
            <w:r>
              <w:rPr>
                <w:b/>
                <w:i/>
              </w:rPr>
              <w:t>καλεί την Επιτροπή και τα κράτη μέλη να μην συμμετέχουν σε ανταγωνισμό επιδοτήσεων·</w:t>
            </w:r>
            <w:r>
              <w:t xml:space="preserve"> </w:t>
            </w:r>
            <w:r>
              <w:rPr>
                <w:b/>
                <w:i/>
              </w:rPr>
              <w:t>καταλήγει στο συμπέρασμα ότι το προσωρινό πλαίσιο κρατικών ενισχύσεων δεν κατάφερε να αποτρέψει τον περαιτέρω κατακερματισμό·</w:t>
            </w:r>
            <w:r>
              <w:t xml:space="preserve"> </w:t>
            </w:r>
            <w:r>
              <w:rPr>
                <w:b/>
                <w:i/>
              </w:rPr>
              <w:t>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w:t>
            </w:r>
            <w:r>
              <w:rPr>
                <w:b/>
                <w:i/>
              </w:rPr>
              <w:t>σημειώνει τις διαφορές στη δημοσιονομική ικανότητα των κρατών μελών και προειδοποιεί ότι ο κατακερματισμός</w:t>
            </w:r>
            <w:r>
              <w:t xml:space="preserve"> των κρατικών ενισχύσεων δημιουργεί άνισους όρους ανταγωνισμού· καλεί την Επιτροπή να παρακολουθεί αυτές τις επιπτώσεις</w:t>
            </w:r>
            <w:r>
              <w:rPr>
                <w:b/>
                <w:i/>
              </w:rPr>
              <w:t>·</w:t>
            </w:r>
            <w:r>
              <w:t xml:space="preserve"> </w:t>
            </w:r>
            <w:r>
              <w:rPr>
                <w:b/>
                <w:i/>
              </w:rPr>
              <w:t>καλεί την</w:t>
            </w:r>
            <w:r>
              <w:t xml:space="preserve">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w:t>
            </w:r>
            <w:r>
              <w:rPr>
                <w:b/>
                <w:i/>
              </w:rPr>
              <w:t>και ενίσχυση της υποβολής</w:t>
            </w:r>
            <w:r>
              <w:t xml:space="preserve"> εκθέσεων για τις κρατικές ενισχύσεις και </w:t>
            </w:r>
            <w:r>
              <w:rPr>
                <w:b/>
                <w:i/>
              </w:rPr>
              <w:t>της διαφάνειας</w:t>
            </w:r>
            <w:r>
              <w:t xml:space="preserve">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w:t>
            </w:r>
            <w:r>
              <w:rPr>
                <w:b/>
                <w:i/>
              </w:rPr>
              <w:t>πιστεύει ότι η χρήση των κρατικών ενισχύσεων για βιομηχανικούς σκοπούς στρεβλώνει την αγορά ευνοώντας ορισμένους τομείς ή εταιρείες εις βάρος άλλων, το οποίο μπορεί να προκαλέσει ανεπάρκειες και να αποθαρρύνει την καινοτομία και τον ανταγωνισμό·</w:t>
            </w:r>
            <w:r>
              <w:t xml:space="preserve"> </w:t>
            </w:r>
            <w:r>
              <w:rPr>
                <w:b/>
                <w:i/>
              </w:rPr>
              <w:t>σημειώνει την απόκλιση</w:t>
            </w:r>
            <w:r>
              <w:t xml:space="preserve"> των κρατικών ενισχύσεων </w:t>
            </w:r>
            <w:r>
              <w:rPr>
                <w:b/>
                <w:i/>
              </w:rPr>
              <w:t>στην ΕΕ η οποία</w:t>
            </w:r>
            <w:r>
              <w:t xml:space="preserve"> δημιουργεί άνισους όρους ανταγωνισμού</w:t>
            </w:r>
            <w:r>
              <w:rPr>
                <w:b/>
                <w:i/>
              </w:rPr>
              <w:t>, γεγονός το οποίο στρεβλώνει την αγορά</w:t>
            </w:r>
            <w:r>
              <w:t xml:space="preserve">· καλεί την Επιτροπή να παρακολουθεί αυτές τις επιπτώσεις </w:t>
            </w:r>
            <w:r>
              <w:rPr>
                <w:b/>
                <w:i/>
              </w:rPr>
              <w:t>και να τις διορθώνει·</w:t>
            </w:r>
            <w:r>
              <w:t xml:space="preserve"> </w:t>
            </w:r>
            <w:r>
              <w:rPr>
                <w:b/>
                <w:i/>
              </w:rPr>
              <w:t>προτείνει στην</w:t>
            </w:r>
            <w:r>
              <w:t xml:space="preserve"> Επιτροπή και τα κράτη μέλη να μην συμμετέχουν σε ανταγωνισμό επιδοτήσεων </w:t>
            </w:r>
            <w:r>
              <w:rPr>
                <w:b/>
                <w:i/>
              </w:rPr>
              <w:t>ο οποίος αυξάνει απλώς τις στρεβλώσεις της αγοράς, ευνοώντας συχνά τις εταιρείες που είναι ανεπαρκείς, αλλά να προτείνουν αντιθέτως μέτρα που ενθαρρύνουν την ανταγωνιστικότητα της ενιαίας αγοράς</w:t>
            </w:r>
            <w:r>
              <w:t xml:space="preserve">· καταλήγει στο συμπέρασμα ότι το προσωρινό πλαίσιο κρατικών ενισχύσεων δεν κατάφερε να αποτρέψει τον περαιτέρω κατακερματισμό </w:t>
            </w:r>
            <w:r>
              <w:rPr>
                <w:b/>
                <w:i/>
              </w:rPr>
              <w:t>και υπογραμμίζει ότι αυτό καταδεικνύει την ανάγκη για λιγότερη κρατική παρέμβαση στην αγορά</w:t>
            </w:r>
            <w:r>
              <w:t xml:space="preserve">· ζητεί αυστηρότερη παρακολούθηση των κοινοποιήσεων για τις κρατικές ενισχύσεις </w:t>
            </w:r>
            <w:r>
              <w:rPr>
                <w:b/>
                <w:i/>
              </w:rPr>
              <w:t>προκειμένου να ενισχυθεί η υποβολή</w:t>
            </w:r>
            <w:r>
              <w:t xml:space="preserve"> εκθέσεων για τις κρατικές ενισχύσεις και </w:t>
            </w:r>
            <w:r>
              <w:rPr>
                <w:b/>
                <w:i/>
              </w:rPr>
              <w:t>η διαφάνεια</w:t>
            </w:r>
            <w:r>
              <w:t xml:space="preserve"> σύμφωνα με τις συστάσεις του Ευρωπαϊκού Ελεγκτικού Συνεδρίου</w:t>
            </w:r>
            <w:r>
              <w:rPr>
                <w:b/>
                <w:i/>
              </w:rPr>
              <w:t>, καθώς και να μειωθεί η εξάρτηση των εταιρειών από τις κρατικές ενισχύσεις και να προωθηθεί ο ανταγωνισμός στην ενιαία αγορά</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 Lídia Pereira, 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w:t>
            </w:r>
            <w:r>
              <w:rPr>
                <w:b/>
                <w:i/>
              </w:rPr>
              <w:t>τονίζει ότι η χαλάρωση των κανόνων της ΕΕ για τις κρατικές ενισχύσεις που επήλθε τα τελευταία χρόνια δημιούργησε τεράστιες ανισορροπίες στην ενιαία αγορά, ιδίως στον τομέα των χρηματοδοτικών κρατικών ενισχύσεων·</w:t>
            </w:r>
            <w:r>
              <w:t xml:space="preserve"> </w:t>
            </w:r>
            <w:r>
              <w:rPr>
                <w:b/>
                <w:i/>
              </w:rPr>
              <w:t>τονίζει ότι οι χρηματοδοτικές επιδοτήσεις συνιστούν ακριβό και συχνά μη αποδοτικό τρόπο υποστήριξης των μεγάλων παραγόντων της αγοράς κυρίως εις βάρος του πραγματικού ανταγωνισμού και της καινοτομίας·</w:t>
            </w:r>
            <w:r>
              <w:t xml:space="preserve"> </w:t>
            </w:r>
            <w:r>
              <w:rPr>
                <w:b/>
                <w:i/>
              </w:rPr>
              <w:t>υπενθυμίζει ότι οι χρηματοδοτικές επιδοτήσεις ωφελούν μόνο τα κράτη μέλη που έχουν τους πόρους να δαπανούν τεράστια χρηματικά ποσά·</w:t>
            </w:r>
            <w:r>
              <w:t xml:space="preserve">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επισημαίνει</w:t>
            </w:r>
            <w:r>
              <w:t xml:space="preserve">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rPr>
                <w:b/>
                <w:i/>
              </w:rPr>
              <w:t>σημειώνει με ανησυχία</w:t>
            </w:r>
            <w:r>
              <w:t xml:space="preserve"> ότι οι κρατικές ενισχύσεις χρησιμοποιούνται όλο και περισσότερο για τη στήριξη των στόχων της βιομηχανικής πολιτικής· </w:t>
            </w:r>
            <w:r>
              <w:rPr>
                <w:b/>
                <w:i/>
              </w:rPr>
              <w:t>υπενθυμίζει ότι αυτού του είδους οι ενισχύσεις, όπως επιτρέπονται βάσει του άρθρου 107 παράγραφος 3 στοιχείο γ) ΣΛΕΕ, δεν πρέπει να επηρεάζουν δυσμενώς τους όρους συναλλαγών ή το κοινό συμφέρον·</w:t>
            </w:r>
            <w:r>
              <w:t xml:space="preserve">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w:t>
            </w:r>
            <w:r>
              <w:rPr>
                <w:b/>
                <w:i/>
              </w:rPr>
              <w:t>ζητεί οι ενισχύσεις να προβλέπονται σε μεγαλύτερο βαθμό από τον προϋπολογισμό της ΕΕ, παρά ως εθνικές και πιθανώς μη συντονισμένες κρατικές ενισχύσεις·</w:t>
            </w:r>
            <w:r>
              <w:t xml:space="preserve"> </w:t>
            </w:r>
            <w:r>
              <w:rPr>
                <w:b/>
                <w:i/>
              </w:rPr>
              <w:t>παρατηρεί με ανησυχία ότι το 77% των κρατικών ενισχύσεων</w:t>
            </w:r>
            <w:r>
              <w:rPr>
                <w:b/>
                <w:i/>
                <w:vertAlign w:val="superscript"/>
              </w:rPr>
              <w:t>5a</w:t>
            </w:r>
            <w:r>
              <w:t xml:space="preserve"> </w:t>
            </w:r>
            <w:r>
              <w:rPr>
                <w:b/>
                <w:i/>
              </w:rPr>
              <w:t>που κοινοποιούνται στο προσωρινό πλαίσιο κρίσης αντιστοιχεί σε δύο μόνο κράτη μέλη·</w:t>
            </w:r>
            <w:r>
              <w:t xml:space="preserve">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State aid in the wake of the pandemic, war and foreign subsidies - Συντάκτης:</w:t>
            </w:r>
            <w:r>
              <w:t xml:space="preserve"> </w:t>
            </w:r>
            <w:r>
              <w:rPr>
                <w:b/>
                <w:i/>
              </w:rPr>
              <w:t>Marcin Cesluk-Grajewski Υπηρεσία Έρευνας για τους Βουλευτές PE 747.106 – Απρίλιος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w:t>
            </w:r>
            <w:r>
              <w:rPr>
                <w:b/>
                <w:i/>
              </w:rPr>
              <w:t>καταλήγει στο συμπέρασμα ότι το προσωρινό πλαίσιο κρατικών ενισχύσεων δεν κατάφερε να αποτρέψει τον περαιτέρω κατακερματισμό·</w:t>
            </w:r>
            <w:r>
              <w:t xml:space="preserve"> </w:t>
            </w:r>
            <w:r>
              <w:rPr>
                <w:b/>
                <w:i/>
              </w:rPr>
              <w:t>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w:t>
            </w:r>
            <w:r>
              <w:rPr>
                <w:b/>
                <w:i/>
              </w:rPr>
              <w:t>και προειδοποιεί ότι ο κατακερματισμός των κρατικών ενισχύσεων δημιουργεί άνισους όρους ανταγωνισμού·</w:t>
            </w:r>
            <w:r>
              <w:t xml:space="preserve"> </w:t>
            </w:r>
            <w:r>
              <w:rPr>
                <w:b/>
                <w:i/>
              </w:rPr>
              <w:t>καλεί την Επιτροπή να παρακολουθεί αυτές τις επιπτώσεις</w:t>
            </w:r>
            <w:r>
              <w:t xml:space="preserve">· καλεί την Επιτροπή και τα κράτη μέλη να </w:t>
            </w:r>
            <w:r>
              <w:rPr>
                <w:b/>
                <w:i/>
              </w:rPr>
              <w:t>μην συμμετέχουν σε ανταγωνισμό επιδοτήσεων·</w:t>
            </w:r>
            <w:r>
              <w:t xml:space="preserve"> </w:t>
            </w:r>
            <w:r>
              <w:rPr>
                <w:b/>
                <w:i/>
              </w:rPr>
              <w:t>καταλήγει στο συμπέρασμα ότι το προσωρινό πλαίσιο κρατικών ενισχύσεων δεν κατάφερε να αποτρέψει τον περαιτέρω κατακερματισμό</w:t>
            </w:r>
            <w:r>
              <w:t>·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καλεί την Επιτροπή και τα κράτη μέλη να </w:t>
            </w:r>
            <w:r>
              <w:rPr>
                <w:b/>
                <w:i/>
              </w:rPr>
              <w:t>στηρίξουν τις ευρωπαϊκές βιομηχανίες με κάθε μέσο</w:t>
            </w:r>
            <w:r>
              <w:t>·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Stéphanie Yon-Courtin,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w:t>
            </w:r>
            <w:r>
              <w:rPr>
                <w:b/>
                <w:i/>
              </w:rPr>
              <w:t>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w:t>
            </w:r>
            <w:r>
              <w:rPr>
                <w:b/>
                <w:i/>
              </w:rPr>
              <w:t>παρακολουθεί αυτές τις επιπτώσεις</w:t>
            </w:r>
            <w:r>
              <w:t>·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w:t>
            </w:r>
            <w:r>
              <w:rPr>
                <w:b/>
                <w:i/>
              </w:rPr>
              <w:t>εντός της ενιαίας αγοράς</w:t>
            </w:r>
            <w:r>
              <w:t xml:space="preserve">· καλεί την Επιτροπή να </w:t>
            </w:r>
            <w:r>
              <w:rPr>
                <w:b/>
                <w:i/>
              </w:rPr>
              <w:t>διασφαλίσει την ακεραιότητα της ενιαίας αγοράς</w:t>
            </w:r>
            <w:r>
              <w:t>·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w:t>
            </w:r>
            <w:r>
              <w:rPr>
                <w:b/>
                <w:i/>
              </w:rPr>
              <w:t>·</w:t>
            </w:r>
            <w:r>
              <w:t xml:space="preserve"> </w:t>
            </w:r>
            <w:r>
              <w:rPr>
                <w:b/>
                <w:i/>
              </w:rPr>
              <w:t>καταλήγει στο συμπέρασμα ότι το προσωρινό πλαίσιο κρατικών ενισχύσεων δεν κατάφερε να αποτρέψει τον περαιτέρω κατακερματισμό</w:t>
            </w:r>
            <w:r>
              <w:t>·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w:t>
            </w:r>
            <w:r>
              <w:rPr>
                <w:b/>
                <w:i/>
              </w:rPr>
              <w:t>υπενθυμίζει ότι αρκετές περιπτώσεις κρατικών ενισχύσεων στο πρόσφατο παρελθόν κατέληξαν σε εμφανή αποτυχία και αναφέρει ως παράδειγμα την υπόθεση Northvolt στο Dithmarschen·</w:t>
            </w:r>
            <w:r>
              <w:t xml:space="preserve">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w:t>
            </w:r>
            <w:r>
              <w:rPr>
                <w:b/>
                <w:i/>
              </w:rPr>
              <w:t>και να δημιουργήσει ένα κοινό χρηματοδοτικό μέσο για μία ευρωπαϊκή βιομηχανική πολιτική</w:t>
            </w:r>
            <w:r>
              <w:t>·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w:t>
            </w:r>
            <w:r>
              <w:rPr>
                <w:b/>
                <w:i/>
              </w:rPr>
              <w:t>ο κατακερματισμός</w:t>
            </w:r>
            <w:r>
              <w:t xml:space="preserve"> των κρατικών ενισχύσεων </w:t>
            </w:r>
            <w:r>
              <w:rPr>
                <w:b/>
                <w:i/>
              </w:rPr>
              <w:t>δημιουργεί</w:t>
            </w:r>
            <w:r>
              <w:t xml:space="preserve"> άνισους όρους ανταγωνισμού· καλεί την Επιτροπή να παρακολουθεί αυτές τις επιπτώσεις· καλεί την Επιτροπή και τα κράτη μέλη να μην συμμετέχουν σε </w:t>
            </w:r>
            <w:r>
              <w:rPr>
                <w:b/>
                <w:i/>
              </w:rPr>
              <w:t>ανταγωνισμό</w:t>
            </w:r>
            <w:r>
              <w:t xml:space="preserve"> επιδοτήσεων· </w:t>
            </w:r>
            <w:r>
              <w:rPr>
                <w:b/>
                <w:i/>
              </w:rPr>
              <w:t>καταλήγει στο συμπέρασμα ότι το προσωρινό πλαίσιο κρατικών ενισχύσεων δεν κατάφερε να αποτρέψει τον περαιτέρω κατακερματισμό·</w:t>
            </w:r>
            <w:r>
              <w:t xml:space="preserve"> </w:t>
            </w:r>
            <w:r>
              <w:rPr>
                <w:b/>
                <w:i/>
              </w:rPr>
              <w:t>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t>7.</w:t>
            </w:r>
            <w:r>
              <w:tab/>
            </w:r>
            <w:r>
              <w:t xml:space="preserve">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w:t>
            </w:r>
            <w:r>
              <w:rPr>
                <w:b/>
                <w:i/>
              </w:rPr>
              <w:t>η άνιση προσέγγιση κατά τη χορήγηση</w:t>
            </w:r>
            <w:r>
              <w:t xml:space="preserve"> των κρατικών ενισχύσεων </w:t>
            </w:r>
            <w:r>
              <w:rPr>
                <w:b/>
                <w:i/>
              </w:rPr>
              <w:t>μπορεί να δημιουργήσει</w:t>
            </w:r>
            <w:r>
              <w:t xml:space="preserve"> άνισους όρους ανταγωνισμού </w:t>
            </w:r>
            <w:r>
              <w:rPr>
                <w:b/>
                <w:i/>
              </w:rPr>
              <w:t>σε όλη την ενιαία αγορά</w:t>
            </w:r>
            <w:r>
              <w:t xml:space="preserve">· καλεί την Επιτροπή να παρακολουθεί αυτές τις επιπτώσεις· καλεί την Επιτροπή και τα κράτη μέλη να μην συμμετέχουν σε </w:t>
            </w:r>
            <w:r>
              <w:rPr>
                <w:b/>
                <w:i/>
              </w:rPr>
              <w:t>αγώνα</w:t>
            </w:r>
            <w:r>
              <w:t xml:space="preserve"> επιδοτήσεων·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επισημαίνει ότι οι κρατικές ενισχύσεις χρησιμοποιούνται όλο και περισσότερο για τη στήριξη των στόχων της βιομηχανικής πολιτικής·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καλεί την Επιτροπή και τα κράτη μέλη να μην συμμετέχουν σε ανταγωνισμό επιδοτήσεων· καταλήγει στο συμπέρασμα ότι το προσωρινό πλαίσιο κρατικών ενισχύσεων δεν κατάφερε να αποτρέψει τον περαιτέρω κατακερματισμό·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τονίζει ότι η πολιτική ανταγωνισμού δεν θα πρέπει να αποτελεί εμπόδιο στην εφαρμογή μιας ενεργής βιομηχανικής στρατηγικής·</w:t>
            </w:r>
            <w:r>
              <w:t xml:space="preserve"> </w:t>
            </w:r>
            <w:r>
              <w:rPr>
                <w:b/>
                <w:i/>
              </w:rPr>
              <w:t>ζητά, τα κράτη μέλη και η Ένωση να επιδιώξουν μια ενεργή προσέγγιση για τη βιομηχανική πολιτική, υποστηριζόμενη από ισχυρές δημόσιες επενδύσεις για την καταπολέμηση της κοινωνικής και περιφερειακής ανισότητας, την απαλλαγή της βιομηχανίας από τις ανθρακούχες εκπομπές και την ενίσχυση της αυτονομίας σε βασικούς οικονομικούς τομείς, συμβάλλοντας ταυτόχρονα στην ομοιόμορφη και βιώσιμη οικονομική ανάπτυξη·</w:t>
            </w:r>
            <w:r>
              <w:t xml:space="preserve"> </w:t>
            </w:r>
            <w:r>
              <w:rPr>
                <w:b/>
                <w:i/>
              </w:rPr>
              <w:t>ζητεί συντονισμένη ευελιξία των κανόνων για τις κρατικές ενισχύσεις και τη θέσπιση ειδικών μόνιμων ευρωπαϊκών ταμείων αλληλεγγύης για να αντισταθμιστεί η άνιση βιομηχανική στήριξη και ανάπτυξη στα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επισημαίνει ότι η πολιτική κρατικών ενισχύσεων εξακολουθεί να στηρίζει τα ορυκτά καύσιμα·</w:t>
            </w:r>
            <w:r>
              <w:t xml:space="preserve"> </w:t>
            </w:r>
            <w:r>
              <w:rPr>
                <w:b/>
                <w:i/>
              </w:rPr>
              <w:t>επαναλαμβάνει το 8ο πρόγραμμα δράσης για το περιβάλλον για τη σταδιακή κατάργηση των επιβλαβών για το περιβάλλον επιδοτήσεων, ιδίως των επιδοτήσεων των ορυκτών καυσίμων·</w:t>
            </w:r>
            <w:r>
              <w:t xml:space="preserve"> </w:t>
            </w:r>
            <w:r>
              <w:rPr>
                <w:b/>
                <w:i/>
              </w:rPr>
              <w:t>λαμβάνει υπόψη τις βασικές συστάσεις 4 και 5 της έκθεσης αξιολόγησης για το 2024 της Ευρωπαϊκής Επιστημονικής Συμβουλευτικής Επιτροπής για την Κλιματική Αλλαγή, κυρίως τη σύσταση ότι οι κανόνες της ΕΕ που διέπουν τις κρατικές ενισχύσεις για εταιρείες θα πρέπει να καταστούν συναφέστεροι με τους στόχους της ΕΕ για το κλίμα·</w:t>
            </w:r>
            <w:r>
              <w:t xml:space="preserve"> </w:t>
            </w:r>
            <w:r>
              <w:rPr>
                <w:b/>
                <w:i/>
              </w:rPr>
              <w:t>ζητά περισσότερη φιλοδοξία για να παύσει η άμεση και έμμεση χρηματοδοτική συνδρομή στα ορυκτά καύσιμα να είναι επιλέξιμη για στήριξη στο πλαίσιο πολιτικής κρατικών ενισχύσεων·</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Evelyn Regner, Irene Tinagli, Lara Wolters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επισημαίνει ότι το τρέχον πλαίσιο κρατικών ενισχύσεων συχνά περιορίζει την δημόσια παρέμβαση στην στεγαστική αγορά, περιορίζοντας την ικανότητα των κρατών μελών να χρηματοδοτήσουν απευθείας κοινωνικά και προσιτά έργα στέγασης·</w:t>
            </w:r>
            <w:r>
              <w:t xml:space="preserve"> </w:t>
            </w:r>
            <w:r>
              <w:rPr>
                <w:b/>
                <w:i/>
              </w:rPr>
              <w:t>τονίζει ότι το καθεστώς κρατικών ενισχύσεων πρέπει να προσαρμοστεί ώστε να αντανακλά το δημόσιο αγαθό που παρέχεται από προσιτή στέγαση και να παρέχει τη δυνατότητα πιο στοχευμένων επενδύσεων σε κοινωνική και προσιτή στέγη· τέτοιες αλλαγές θα στήριζαν τα κράτη μέλη ώστε να αντιμετωπίσουν καλύτερα τις τοπικές και περιφερειακές ελλείψεις στέγης και να διευκολύνουν την οικονομική προσιτότητα μακροπρόθεσμα·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7α.</w:t>
            </w:r>
            <w:r>
              <w:tab/>
            </w:r>
            <w:r>
              <w:rPr>
                <w:b/>
                <w:i/>
              </w:rPr>
              <w:t>υπογραμμίζει τη σημασία των κρατικών ενισχύσεων ως μέσου ελάττωσης του οικονομικού χάσματος ανάμεσα στις πιο αναπτυγμένες περιοχές της ΕΕ και τις νησιωτικές περιοχές, την ενδοχώρα, τις εξόχως απόκεντρες περιοχές και τις οικονομικά υποβαθμισμένες περιοχές και όλες τις περιοχές της ΕΕ που βρίσκονται σε μειονεκτική θέση λόγω φυσικών παραγόντων·</w:t>
            </w:r>
            <w:r>
              <w:t xml:space="preserve"> </w:t>
            </w:r>
            <w:r>
              <w:rPr>
                <w:b/>
                <w:i/>
              </w:rPr>
              <w:t>ζητά μεγαλύτερη ευελιξία και λιγότερους περιορισμούς στις κρατικές ενισχύσεις για τις νησιωτικές και τις πιο ευάλωτες περιοχές της ΕΕ·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εκφράζει την ικανοποίησή του για την προστασία των ισότιμων όρων ανταγωνισμού στις ευρωπαϊκές αγορές και τις ευρωπαϊκές εταιρείες και τους εργαζομένους τους με μέτρα αντιντάμπινγκ που διορθώνουν τις στρεβλωτικές ξένες κρατικές ενισχύσεις·</w:t>
            </w:r>
            <w:r>
              <w:t xml:space="preserve"> </w:t>
            </w:r>
            <w:r>
              <w:rPr>
                <w:b/>
                <w:i/>
              </w:rPr>
              <w:t>προειδοποιεί ότι οι εισαγωγικοί δασμοί δεν θα πρέπει να αυξηθούν περισσότερο από τις επιδοτήσεις και ότι πρέπει να αποτραπούν η εφαρμογή αντιποίνων και ο λεγόμενο δασμολογικός πόλεμος·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β.</w:t>
            </w:r>
            <w:r>
              <w:tab/>
            </w:r>
            <w:r>
              <w:rPr>
                <w:b/>
                <w:i/>
              </w:rPr>
              <w:t>θεωρεί ότι η μακρόπνοη ανταγωνιστικότητα και ανθεκτικότητα της ΕΕ απαιτεί την ενσωμάτωση κλιματικών και περιβαλλοντικών παραμέτρων στο πλαίσιο της πολιτικής ανταγωνισμού της ΕΕ·</w:t>
            </w:r>
            <w:r>
              <w:t xml:space="preserve"> </w:t>
            </w:r>
            <w:r>
              <w:rPr>
                <w:b/>
                <w:i/>
              </w:rPr>
              <w:t>υπογραμμίζει την ανάγκη περιβαλλοντικής ενσωμάτωσης στην πολιτική κρατικών ενισχύσεων μέσω της εισαγωγής προϋποθέσεων για το κλίμα και το περιβάλλον στην πολιτική κρατικών ενισχύσεων·</w:t>
            </w:r>
            <w:r>
              <w:t xml:space="preserve"> </w:t>
            </w:r>
            <w:r>
              <w:rPr>
                <w:b/>
                <w:i/>
              </w:rPr>
              <w:t>υποστηρίζει ότι τέτοιοι όροι θα πρέπει να περιλαμβάνουν συστηματικά την ουσιαστική εφαρμογή της αρχής της μη πρόκλησης σημαντικής βλάβης για να αποτραπούν δυνητικά αρνητικές επιπτώσεις στο κλίμα και το περιβάλλον από τυχόν ενισχύσεις·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β.</w:t>
            </w:r>
            <w:r>
              <w:tab/>
            </w:r>
            <w:r>
              <w:rPr>
                <w:b/>
                <w:i/>
              </w:rPr>
              <w:t>θεωρεί ότι οποιεσδήποτε κρατικές ενισχύσεις χορηγούνται θα πρέπει να συνάδουν με τους στόχους πολιτικής της ΕΕ, όπως η Πράσινη Συμφωνία και ο πυλώνας κοινωνικών δικαιωμάτων·</w:t>
            </w:r>
            <w:r>
              <w:t xml:space="preserve"> </w:t>
            </w:r>
            <w:r>
              <w:rPr>
                <w:b/>
                <w:i/>
              </w:rPr>
              <w:t>ζητεί να αποκλειστούν από τις διαδικασίες δημόσιων συμβάσεων και τη λήψη κρατικών ενισχύσεων οι εταιρείες που εμπλέκονται σε φοροαποφυγή χρησιμοποιώντας φορολογικούς παραδείσους τρίτων χωρών, καθώς οι εταιρείες αυτές ανταγωνίζονται, υπό αθέμιτες συνθήκες, εταιρείες που δεν είναι εγκατεστημένες σε φορολογικούς παραδείσους·</w:t>
            </w:r>
            <w:r>
              <w:t xml:space="preserve"> </w:t>
            </w:r>
            <w:r>
              <w:rPr>
                <w:b/>
                <w:i/>
              </w:rPr>
              <w:t>καλεί την Επιτροπή να διερευνήσει την έλλειψη εναρμόνισης των μηχανισμών ανάκτησης στα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7β.</w:t>
            </w:r>
            <w:r>
              <w:tab/>
            </w:r>
            <w:r>
              <w:rPr>
                <w:b/>
                <w:i/>
              </w:rPr>
              <w:t>ζητά την περιοδική επανεξέταση των πολιτικών ανταγωνισμού της ΕΕ για να διασφαλίζεται ότι μπορούν να αντιμετωπίζουν τις προκλήσεις της παγκόσμιας αγοράς, της νέας τεχνολογίας και των καταναλωτικών αναγκών, ώστε να καθίστανται τα μέτρα αποτελεσματικότερα·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γ.</w:t>
            </w:r>
            <w:r>
              <w:tab/>
            </w:r>
            <w:r>
              <w:rPr>
                <w:b/>
                <w:i/>
              </w:rPr>
              <w:t>υπογραμμίζει τη σημασία των σημαντικών έργων κοινού ευρωπαϊκού ενδιαφέροντος (ΣΕΚΕΕ) για τη χρηματοδότηση έργων με διασυνοριακή διάσταση εντός της ΕΕ·</w:t>
            </w:r>
            <w:r>
              <w:t xml:space="preserve"> </w:t>
            </w:r>
            <w:r>
              <w:rPr>
                <w:b/>
                <w:i/>
              </w:rPr>
              <w:t>τονίζει ότι τα ΣΕΚΕΕ θα πρέπει να έχουν πραγματική ευρωπαϊκή προστιθέμενη αξία, πράγμα που σημαίνει ότι θα πρέπει να έχουν θετικό αντίκτυπο σε περισσότερα από ένα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7γ.</w:t>
            </w:r>
            <w:r>
              <w:tab/>
            </w:r>
            <w:r>
              <w:rPr>
                <w:b/>
                <w:i/>
              </w:rPr>
              <w:t>ζητά την ενίσχυση του συντονισμού μεταξύ των εθνικών αρχών ανταγωνισμού για μεγαλύτερη αποτελεσματικότητα και για τη διασφάλιση της ομοιόμορφης εφαρμογής των κανόνων ανταγωνισμού σε όλη την Ένωση·</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σημειώνει την εκτίμηση του Mario Draghi ότι απαιτούνται επιπλέον 800 δισ. EUR ετησίων για την προστασία της ανταγωνιστικότητας της ΕΕ·</w:t>
            </w:r>
            <w:r>
              <w:t xml:space="preserve"> </w:t>
            </w:r>
            <w:r>
              <w:rPr>
                <w:b/>
                <w:i/>
              </w:rPr>
              <w:t>αναγνωρίζει τη σημασία των δημόσιων επενδύσεων στο πλαίσιο αυτό·</w:t>
            </w:r>
            <w:r>
              <w:t xml:space="preserve"> </w:t>
            </w:r>
            <w:r>
              <w:rPr>
                <w:b/>
                <w:i/>
              </w:rPr>
              <w:t>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σημειώνει την εκτίμηση του Mario Draghi ότι απαιτούνται επιπλέον 800 δισ. EUR ετησίων για την προστασία της ανταγωνιστικότητας της ΕΕ·</w:t>
            </w:r>
            <w:r>
              <w:t xml:space="preserve"> </w:t>
            </w:r>
            <w:r>
              <w:rPr>
                <w:b/>
                <w:i/>
              </w:rPr>
              <w:t>αναγνωρίζει τη σημασία των δημόσιων επενδύσεων στο πλαίσιο αυτό·</w:t>
            </w:r>
            <w:r>
              <w:t xml:space="preserve"> </w:t>
            </w:r>
            <w:r>
              <w:rPr>
                <w:b/>
                <w:i/>
              </w:rPr>
              <w:t>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την εκτίμηση του Mario Draghi ότι </w:t>
            </w:r>
            <w:r>
              <w:rPr>
                <w:b/>
                <w:i/>
              </w:rPr>
              <w:t>απαιτούνται</w:t>
            </w:r>
            <w:r>
              <w:t xml:space="preserve"> επιπλέον 800 δισ. EUR ετησίων </w:t>
            </w:r>
            <w:r>
              <w:rPr>
                <w:b/>
                <w:i/>
              </w:rPr>
              <w:t>για την προστασία της ανταγωνιστικότητας της ΕΕ·</w:t>
            </w:r>
            <w:r>
              <w:t xml:space="preserve"> </w:t>
            </w:r>
            <w:r>
              <w:rPr>
                <w:b/>
                <w:i/>
              </w:rPr>
              <w:t>αναγνωρίζει τη σημασία</w:t>
            </w:r>
            <w:r>
              <w:t xml:space="preserve"> των δημόσιων επενδύσεων </w:t>
            </w:r>
            <w:r>
              <w:rPr>
                <w:b/>
                <w:i/>
              </w:rPr>
              <w:t>στο πλαίσιο αυτό·</w:t>
            </w:r>
            <w:r>
              <w:t xml:space="preserve"> </w:t>
            </w:r>
            <w:r>
              <w:rPr>
                <w:b/>
                <w:i/>
              </w:rPr>
              <w:t>θεωρεί</w:t>
            </w:r>
            <w:r>
              <w:t xml:space="preserve"> ζωτικής </w:t>
            </w:r>
            <w:r>
              <w:rPr>
                <w:b/>
                <w:i/>
              </w:rPr>
              <w:t>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w:t>
            </w:r>
            <w:r>
              <w:rPr>
                <w:b/>
                <w:i/>
              </w:rPr>
              <w:t>ενδέχεται να χρειαστούν</w:t>
            </w:r>
            <w:r>
              <w:t xml:space="preserve"> επιπλέον </w:t>
            </w:r>
            <w:r>
              <w:rPr>
                <w:b/>
                <w:i/>
              </w:rPr>
              <w:t>περίπου</w:t>
            </w:r>
            <w:r>
              <w:t xml:space="preserve"> 800 δισ. EUR ετησίων</w:t>
            </w:r>
            <w:r>
              <w:rPr>
                <w:b/>
                <w:i/>
              </w:rPr>
              <w:t>·</w:t>
            </w:r>
            <w:r>
              <w:t xml:space="preserve"> </w:t>
            </w:r>
            <w:r>
              <w:rPr>
                <w:b/>
                <w:i/>
              </w:rPr>
              <w:t>θεωρεί ότι η ανταγωνιστικότητα δεν θα πρέπει να εξαρτάται από περισσότερες δημόσιες επενδύσεις, αλλά περισσότερο από ένα ανταγωνιστικό και ρυθμιστικό περιβάλλον το οποίο προωθεί την αποτελεσματικότητα της αγορά και επιτρέπει στις εταιρείες να καινοτομούν και να ανταγωνίζονται ελεύθερα·</w:t>
            </w:r>
            <w:r>
              <w:t xml:space="preserve"> </w:t>
            </w:r>
            <w:r>
              <w:rPr>
                <w:b/>
                <w:i/>
              </w:rPr>
              <w:t>επισημαίνει ότι ο ιδιωτικός τομέας αποτελεί τον κύριο παράγοντα επενδύσεων και οικονομικής ανάπτυξης και ότι η επέκταση</w:t>
            </w:r>
            <w:r>
              <w:t xml:space="preserve"> των δημόσιων επενδύσεων </w:t>
            </w:r>
            <w:r>
              <w:rPr>
                <w:b/>
                <w:i/>
              </w:rPr>
              <w:t>μπορεί να οδηγήσει σε ανεπάρκειες και να αποθαρρύνει τον ανταγωνισμό·</w:t>
            </w:r>
            <w:r>
              <w:t xml:space="preserve"> </w:t>
            </w:r>
            <w:r>
              <w:rPr>
                <w:b/>
                <w:i/>
              </w:rPr>
              <w:t>αναγνωρίζει ότι οι δημόσιες επενδύσεις μπορούν να διαδραματίσουν συμπληρωματικό ρόλο, αλλά τονίζει ότι η κρατική παρέμβαση θα πρέπει να είναι περιορισμένη και να μην αντικαταστήσει τις ιδιωτικές επενδύσεις·</w:t>
            </w:r>
            <w:r>
              <w:t xml:space="preserve"> </w:t>
            </w:r>
            <w:r>
              <w:rPr>
                <w:b/>
                <w:i/>
              </w:rPr>
              <w:t>πιστεύει ότι η επίτευξη της ένωσης κεφαλαιαγορών είναι</w:t>
            </w:r>
            <w:r>
              <w:t xml:space="preserve"> ζωτικής </w:t>
            </w:r>
            <w:r>
              <w:rPr>
                <w:b/>
                <w:i/>
              </w:rPr>
              <w:t>σημασία για την απόκτηση των απαραίτητων ιδιωτικών επενδύσεων·</w:t>
            </w:r>
            <w:r>
              <w:t xml:space="preserve"> </w:t>
            </w:r>
            <w:r>
              <w:rPr>
                <w:b/>
                <w:i/>
              </w:rPr>
              <w:t>τάσσεται υπέρ μίας πολιτικής η οποία επικεντρώνεται στη μείωση των ρυθμιστικών φραγμών, την προώθηση της ελευθέρωσης των αγορών και την παροχή δυνατότητας στον ιδιωτικό τομέα να αναλάβει πιο προορατικό ρόλο στις επενδύσεις·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την εκτίμηση του Mario Draghi ότι </w:t>
            </w:r>
            <w:r>
              <w:rPr>
                <w:b/>
                <w:i/>
              </w:rPr>
              <w:t>απαιτούνται επιπλέον 800 δισ. EUR ετησίων</w:t>
            </w:r>
            <w:r>
              <w:t xml:space="preserve"> για την προστασία της ανταγωνιστικότητας της ΕΕ· αναγνωρίζει </w:t>
            </w:r>
            <w:r>
              <w:rPr>
                <w:b/>
                <w:i/>
              </w:rPr>
              <w:t>τη σημασία των δημόσιων επενδύσεων στο πλαίσιο αυτό·</w:t>
            </w:r>
            <w:r>
              <w:t xml:space="preserve"> </w:t>
            </w:r>
            <w:r>
              <w:rPr>
                <w:b/>
                <w:i/>
              </w:rPr>
              <w:t>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w:t>
            </w:r>
            <w:r>
              <w:rPr>
                <w:b/>
                <w:i/>
              </w:rPr>
              <w:t>απαιτείται επειγόντως αύξηση της παραγωγικότητας και της οικονομικής δυνατότητας</w:t>
            </w:r>
            <w:r>
              <w:t xml:space="preserve"> για την προστασία της ανταγωνιστικότητας της ΕΕ· αναγνωρίζει </w:t>
            </w:r>
            <w:r>
              <w:rPr>
                <w:b/>
                <w:i/>
              </w:rPr>
              <w:t>την επείγουσα ανάγκη για μεταρρυθμίσεις παράλληλα με την αποτελεσματική εφαρμογή των τριών πυλώνων της έκθεσης Draghi: i) γεφύρωμα του χάσματος καινοτομίας με τις ΗΠΑ και την Κίνα, ii) κοινό σχέδιο απεξάρτησης από τον άνθρακα και ανταγωνιστικότητας για να επιταχυνθεί η μετάβαση και να μειωθούν τα ενεργειακά κόστη·</w:t>
            </w:r>
            <w:r>
              <w:t xml:space="preserve"> </w:t>
            </w:r>
            <w:r>
              <w:rPr>
                <w:b/>
                <w:i/>
              </w:rPr>
              <w:t>και iii) αύξηση της ασφάλειας και μείωση των εξαρτήσεων.</w:t>
            </w:r>
            <w:r>
              <w:t xml:space="preserve"> </w:t>
            </w:r>
            <w:r>
              <w:rPr>
                <w:b/>
                <w:i/>
              </w:rPr>
              <w:t>Η πρόοδος σε αυτούς τους πυλώνες θα εξαρτηθεί επίσης από τους εγκάρσιους και αλληλένδετους παράγοντες της ανταγωνιστικότητας και της ανάπτυξης χωρίς αποκλεισμούς — εμβάθυνση ενιαίας αγοράς, απλούστευση, ανάπτυξη δεξιοτήτων και ποιοτικών θέσεων εργασίας, χρηματοδότηση επενδύσεων και βελτίωση του συντονισμού·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w:t>
            </w:r>
            <w:r>
              <w:rPr>
                <w:b/>
                <w:i/>
              </w:rPr>
              <w:t>σημαντικών</w:t>
            </w:r>
            <w:r>
              <w:t xml:space="preserve"> δημόσιων </w:t>
            </w:r>
            <w:r>
              <w:rPr>
                <w:b/>
                <w:i/>
              </w:rPr>
              <w:t>και ιδιωτικών</w:t>
            </w:r>
            <w:r>
              <w:t xml:space="preserve"> επενδύσεων στο πλαίσιο αυτό· θεωρεί ζωτικής σημασίας τη δημιουργία μόνιμης επενδυτικής ικανότητας της ΕΕ· </w:t>
            </w:r>
            <w:r>
              <w:rPr>
                <w:b/>
                <w:i/>
              </w:rPr>
              <w:t>θεωρεί την απολύτως αναμενόμενη στρατηγική της Επιτροπής για μία Ένωση Αποταμιεύσεων και Επενδύσεων, καθώς και τη στρατηγική επενδύσεων στο λιανεμπόριο ζωτικής σημασίας για την ενθάρρυνση και την κινητοποίηση ιδιωτικών επενδύσεων και παροτρύνει τους συννομοθέτες να παραμείνουν φιλόδοξοι και να επιτύχουν ταχεία πρόοδο προς αυτές τις πρωτοβουλίες·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w:t>
            </w:r>
            <w:r>
              <w:rPr>
                <w:b/>
                <w:i/>
              </w:rPr>
              <w:t>και ιδιωτικών</w:t>
            </w:r>
            <w:r>
              <w:t xml:space="preserve"> επενδύσεων στο πλαίσιο αυτό</w:t>
            </w:r>
            <w:r>
              <w:rPr>
                <w:b/>
                <w:i/>
              </w:rPr>
              <w:t>·</w:t>
            </w:r>
            <w:r>
              <w:t xml:space="preserve"> </w:t>
            </w:r>
            <w:r>
              <w:rPr>
                <w:b/>
                <w:i/>
              </w:rPr>
              <w:t>τονίζει ότι η διάθεση ιδιωτικών επενδύσεων στην απαραίτητη κλίμακα θα απαιτεί σημαντική μείωση στο ιδιωτικό κόστος κεφαλαίου η οποία μπορεί να επιτευχθεί χάρη σε φορολογικά κίνητρα και βελτιωμένη αποτελεσματικότητα των κεφαλαιαγορών</w:t>
            </w:r>
            <w:r>
              <w:rPr>
                <w:b/>
                <w:i/>
                <w:vertAlign w:val="superscript"/>
              </w:rPr>
              <w:t>6a</w:t>
            </w:r>
            <w:r>
              <w:t>· θεωρεί ζωτικής σημασίας τη δημιουργία μόνιμης επενδυτικής ικανότητας της ΕΕ·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Το μέλλον της ευρωπαϊκής ανταγωνιστικότητας Μέρος Β</w:t>
            </w:r>
            <w:r>
              <w:t xml:space="preserve"> </w:t>
            </w:r>
            <w:r>
              <w:rPr>
                <w:b/>
                <w:i/>
              </w:rPr>
              <w:t>| Λεπτομερής ανάλυση και συστάσεις, Κεφάλαιο 3 - Στήριξη των επενδύσεων, σελ. 283.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ζωτικής σημασίας τη δημιουργία μόνιμης επενδυτικής ικανότητας της ΕΕ· </w:t>
            </w:r>
            <w:r>
              <w:rPr>
                <w:b/>
                <w:i/>
              </w:rPr>
              <w:t>θεωρεί ζωτικής σημασίας να καθορίσουν η Επιτροπή και τα κράτη μέλη πώς μπορεί να καλυφθεί αυτή η έκτακτη χρηματοδοτική ανάγκη και τι συνεισφορά θα απαιτείται από κάθε κράτος μέλος·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w:t>
            </w:r>
            <w:r>
              <w:rPr>
                <w:b/>
                <w:i/>
              </w:rPr>
              <w:t>βιώσιμων</w:t>
            </w:r>
            <w:r>
              <w:t xml:space="preserve"> δημόσιων επενδύσεων στο πλαίσιο αυτό· θεωρεί ζωτικής σημασίας τη δημιουργία μόνιμης επενδυτικής ικανότητας της ΕΕ· </w:t>
            </w:r>
            <w:r>
              <w:rPr>
                <w:b/>
                <w:i/>
              </w:rPr>
              <w:t>υπογραμμίζει τη σημασία των ιδιωτικών επενδύσεων για την ενίσχυση της ανταγωνιστικότητας και θεωρεί ότι επείγει να ξεκινήσει η Ένωση Αποταμιεύσεων και Επενδύσεων, η οποία συμπληρώνει την Ένωση Κεφαλαιαγορών·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w:t>
            </w:r>
            <w:r>
              <w:rPr>
                <w:b/>
                <w:i/>
              </w:rPr>
              <w:t>θεωρεί ζωτικής σημασίας τη δημιουργία μόνιμης επενδυτικής ικανότητας</w:t>
            </w:r>
            <w:r>
              <w:t xml:space="preserve">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w:t>
            </w:r>
            <w:r>
              <w:rPr>
                <w:b/>
                <w:i/>
              </w:rPr>
              <w:t>και ιδιωτικών</w:t>
            </w:r>
            <w:r>
              <w:t xml:space="preserve"> επενδύσεων στο πλαίσιο αυτό· </w:t>
            </w:r>
            <w:r>
              <w:rPr>
                <w:b/>
                <w:i/>
              </w:rPr>
              <w:t>υπογραμμίζει ότι θα χρειαστούν επιπρόσθετες δημόσιες και ιδιωτικές επενδύσεις για την αντιμετώπιση του κατακερματισμού της εσωτερικής αγοράς, τη στήριξη της βιομηχανικής στρατηγικής</w:t>
            </w:r>
            <w:r>
              <w:t xml:space="preserve"> της ΕΕ</w:t>
            </w:r>
            <w:r>
              <w:rPr>
                <w:b/>
                <w:i/>
              </w:rPr>
              <w:t>, τη μείωση των κρίσιμων εξαρτήσεών μας και τη διασφάλιση της ανοικτής στρατηγικής αυτονομίας μας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Anouk Van Brug,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w:t>
            </w:r>
            <w:r>
              <w:rPr>
                <w:b/>
                <w:i/>
              </w:rPr>
              <w:t>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w:t>
            </w:r>
            <w:r>
              <w:rPr>
                <w:b/>
                <w:i/>
              </w:rPr>
              <w:t>τόσο</w:t>
            </w:r>
            <w:r>
              <w:t xml:space="preserve"> των δημόσιων </w:t>
            </w:r>
            <w:r>
              <w:rPr>
                <w:b/>
                <w:i/>
              </w:rPr>
              <w:t>όσο και των ιδιωτικών</w:t>
            </w:r>
            <w:r>
              <w:t xml:space="preserve"> επενδύσεων στο πλαίσιο αυτό· </w:t>
            </w:r>
            <w:r>
              <w:rPr>
                <w:b/>
                <w:i/>
              </w:rPr>
              <w:t>τονίζει ότι η ολοκλήρωση της Ένωσης κεφαλαιαγορών είναι ουσιώδης για την αξιοποίηση του δυναμικού των ιδιωτικών κεφαλαίων για αυτό το σκοπό·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w:t>
            </w:r>
            <w:r>
              <w:rPr>
                <w:b/>
                <w:i/>
              </w:rPr>
              <w:t>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w:t>
            </w:r>
            <w:r>
              <w:rPr>
                <w:b/>
                <w:i/>
              </w:rPr>
              <w:t>ζωτικής σημασίας τη δημιουργία</w:t>
            </w:r>
            <w:r>
              <w:t xml:space="preserve"> μόνιμης επενδυτικής </w:t>
            </w:r>
            <w:r>
              <w:rPr>
                <w:b/>
                <w:i/>
              </w:rPr>
              <w:t>ικανότητας</w:t>
            </w:r>
            <w:r>
              <w:t xml:space="preserve"> της ΕΕ</w:t>
            </w:r>
            <w:r>
              <w:rPr>
                <w:b/>
                <w:i/>
              </w:rPr>
              <w:t>·</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w:t>
            </w:r>
            <w:r>
              <w:rPr>
                <w:b/>
                <w:i/>
              </w:rPr>
              <w:t>την εισαγωγή μίας</w:t>
            </w:r>
            <w:r>
              <w:t xml:space="preserve"> μόνιμης επενδυτικής </w:t>
            </w:r>
            <w:r>
              <w:rPr>
                <w:b/>
                <w:i/>
              </w:rPr>
              <w:t>δυνατότητας</w:t>
            </w:r>
            <w:r>
              <w:t xml:space="preserve"> της ΕΕ </w:t>
            </w:r>
            <w:r>
              <w:rPr>
                <w:b/>
                <w:i/>
              </w:rPr>
              <w:t>ουσιώδους σημασίας για την ολοκλήρωση της διττής οικολογικής και ψηφιακής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Pierre Pimpie, Aleksandar Nikolic,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w:t>
            </w:r>
            <w:r>
              <w:rPr>
                <w:b/>
                <w:i/>
              </w:rPr>
              <w:t>ύπαρξης μίας απαραίτητης συνέργειας μεταξύ</w:t>
            </w:r>
            <w:r>
              <w:t xml:space="preserve"> των δημόσιων </w:t>
            </w:r>
            <w:r>
              <w:rPr>
                <w:b/>
                <w:i/>
              </w:rPr>
              <w:t>και ιδιωτικών</w:t>
            </w:r>
            <w:r>
              <w:t xml:space="preserve"> επενδύσεων στο πλαίσιο αυτό· θεωρεί ζωτικής σημασίας τη δημιουργία μόνιμης επενδυτικής ικανότητας της ΕΕ·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ζωτικής σημασίας τη δημιουργία μόνιμης επενδυτικής ικανότητας της ΕΕ·</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αναγνωρίζει τη σημασία των δημόσιων επενδύσεων στο πλαίσιο αυτό· θεωρεί ζωτικής σημασίας τη δημιουργία μόνιμης επενδυτικής ικανότητας της ΕΕ </w:t>
            </w:r>
            <w:r>
              <w:rPr>
                <w:b/>
                <w:i/>
              </w:rPr>
              <w:t>υπό τον έλεγχο των κρατών μελών</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w:t>
            </w:r>
            <w:r>
              <w:rPr>
                <w:b/>
                <w:i/>
              </w:rPr>
              <w:t>αναγνωρίζει τη σημασία των δημόσιων επενδύσεων στο πλαίσιο αυτό·</w:t>
            </w:r>
            <w:r>
              <w:t xml:space="preserve"> </w:t>
            </w:r>
            <w:r>
              <w:rPr>
                <w:b/>
                <w:i/>
              </w:rPr>
              <w:t>θεωρεί ζωτικής σημασίας τη δημιουργία μόνιμης επενδυτικής ικανότητας της ΕΕ</w:t>
            </w:r>
            <w:r>
              <w:t>·</w:t>
            </w:r>
          </w:p>
        </w:tc>
        <w:tc>
          <w:tcPr>
            <w:tcW w:w="4876" w:type="dxa"/>
            <w:tcBorders>
              <w:top w:val="nil"/>
              <w:left w:val="nil"/>
              <w:bottom w:val="nil"/>
              <w:right w:val="nil"/>
            </w:tcBorders>
          </w:tcPr>
          <w:p>
            <w:pPr>
              <w:pStyle w:val="Normal6a"/>
            </w:pPr>
            <w:r>
              <w:t>8.</w:t>
            </w:r>
            <w:r>
              <w:tab/>
            </w:r>
            <w:r>
              <w:t xml:space="preserve">σημειώνει την εκτίμηση του Mario Draghi ότι απαιτούνται επιπλέον 800 δισ. EUR ετησίων για την προστασία της ανταγωνιστικότητας της ΕΕ· </w:t>
            </w:r>
            <w:r>
              <w:rPr>
                <w:b/>
                <w:i/>
              </w:rPr>
              <w:t>επισημαίνει ότι αυτές οι επενδύσεις θα πρέπει να χρηματοδοτούνται κυρίως ιδιωτικά και να υποστηρίζονται επιπλέον από δημόσιες επενδύσεις, ιδίως στις υποδομές και την εκπαίδευση</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Regina Doherty, Lídia Pereira, Dirk Gotink, Μιχάλης Χατζηπαντέλα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τονίζει ότι η ανταγωνιστικότητα δεν είναι πρόκληση η οποία θα επιλυθεί μόνο με επιπλέον χρήματα·</w:t>
            </w:r>
            <w:r>
              <w:t xml:space="preserve"> </w:t>
            </w:r>
            <w:r>
              <w:rPr>
                <w:b/>
                <w:i/>
              </w:rPr>
              <w:t>τονίζει ότι η ΕΕ δεν μπορεί να ξεφύγει από τη σχετική επιδείνωση μόνο με χρήματα·</w:t>
            </w:r>
            <w:r>
              <w:t xml:space="preserve"> </w:t>
            </w:r>
            <w:r>
              <w:rPr>
                <w:b/>
                <w:i/>
              </w:rPr>
              <w:t>καλεί την Επιτροπή και όλα τα κράτη μέλη να αναλάβουν δράση και να εφαρμόσουν νομικές και διοικητικές μεταρρυθμίσεις που θα επαυξήσουν την ανταγωνιστικότητα, θα προωθήσουν την καινοτομία και τη δυναμική, θα εξορθολογίσουν τη γραφειοκρατία, θα μειώσουν το κόστος και τις ρυθμιστικές επιβαρύνσεις για τους καινοτομούντες, θα απλοποιήσουν τις απαιτήσεις υποβολής εκθέσεων, θα δημιουργήσουν φιλοεπενδυτικό κλίμα στην Ευρώπη, θα αυξήσουν τις ευκαιρίες για συναλλαγές με τρίτες χώρες, θα αντιμετωπίσουν τον κανονιστικό υπερθεματισμό και θα βελτιώσουν την εποπτική συνεργασία μεταξύ των κρατών μελών·</w:t>
            </w:r>
            <w:r>
              <w:t xml:space="preserve"> </w:t>
            </w:r>
            <w:r>
              <w:rPr>
                <w:b/>
                <w:i/>
              </w:rPr>
              <w:t>απορρίπτει κάθε ενέργεια που ευνοεί τον αυξημένο προστατευτισμό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σημειώνει ότι το διεθνές περιβάλλον πρέπει να αναλύεται προσεκτικά όταν αποφασίζεται ο ορισμός της σχετικής αγοράς σε υποθέσεις ανταγωνισμού και ελέγχου των συγκεντρώσεων·</w:t>
            </w:r>
            <w:r>
              <w:t xml:space="preserve"> </w:t>
            </w:r>
            <w:r>
              <w:rPr>
                <w:b/>
                <w:i/>
              </w:rPr>
              <w:t>εκφράζει τη λύπη του για το γεγονός ότι η Επιτροπή είχε κάποιες φορές στο παρελθόν πολύ στενή οπτική για τη σχετική αγορά, στερώντας έτσι στις ευρωπαϊκές εταιρείες την ευκαιρία να ανταγωνιστούν αποτελεσματικά σε ένα παγκοσμιοποιημένο περιβάλλον·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καλεί την Επιτροπή να ολοκληρώσει τα διασυνοριακά τμήματα του διευρωπαϊκού δικτύου μεταφορών (ΔΕΔ-Μ) για να προωθήσει τη διασύνδεση της ευρωπαϊκής ενιαίας αγοράς·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παρατηρεί μεταβολές στις επαγγελματικές πρακτικές, επισημαίνοντας μείωση των περιπτώσεων καρτέλ παράλληλα με μία μετατόπιση προς νέες μορφές επιβλαβούς συμπεριφοράς, όπως σιωπηρή αθέμιτη σύμπραξη και αλγοριθμική συμπαιγνία, και τονίζει την ανάγκη να ευθυγραμμιστούν οι προτεραιότητες επιβολής των κανόνων με αυτήν την εξελισσόμενη κατάσταση·</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3 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καλεί την Επιτροπή να ολοκληρώσει και να εφαρμόσει το σύστημα του ευρωπαϊκού διπλώματος ευρεσιτεχνίας και τη νομολογία του Ενιαίου Δικαστηρίου για το δίπλωμα ευρεσιτεχνίας·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3 β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υπογραμμίζει τη σημασία της νομοθεσίας της ΕΕ περί αναγνώρισης των γεωγραφικών ενδείξεων για τα βιοτεχνικά και βιομηχανικά προϊόντα·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χαιρετίζει την πρόταση του Mario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χαιρετίζει την πρόταση του Mario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χαιρετίζει την πρόταση του Mario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w:t>
            </w:r>
          </w:p>
        </w:tc>
        <w:tc>
          <w:tcPr>
            <w:tcW w:w="4876" w:type="dxa"/>
            <w:tcBorders>
              <w:top w:val="nil"/>
              <w:left w:val="nil"/>
              <w:bottom w:val="nil"/>
              <w:right w:val="nil"/>
            </w:tcBorders>
          </w:tcPr>
          <w:p>
            <w:pPr>
              <w:pStyle w:val="Normal6a"/>
            </w:pPr>
            <w:r>
              <w:t>9.</w:t>
            </w:r>
            <w:r>
              <w:tab/>
            </w:r>
            <w:r>
              <w:t>χαιρετίζει την πρόταση του Mario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 τονίζει επιπροσθέτως ότι στη σημερινή οικονομία των δεδομένων, η διαλειτουργικότητα, η φορητότητα των δεδομένων και η ίση πρόσβαση σε βασικές πηγές δεδομένων είναι ουσιώδεις για να αντιμετωπιστούν τα ισχυρά αποτελέσματα δικτύου και ο αποκλειστικός έλεγχος δεδομένων, καθιστώντας δυνατή την ευρύτερη συμμετοχή σε διάφορα επίπεδα αγοράς</w:t>
            </w:r>
            <w:r>
              <w:rPr>
                <w:b/>
                <w:i/>
                <w:vertAlign w:val="superscript"/>
              </w:rPr>
              <w:t>7a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Το μέλλον της ευρωπαϊκής ανταγωνιστικότητας Μέρος Β</w:t>
            </w:r>
            <w:r>
              <w:t xml:space="preserve"> </w:t>
            </w:r>
            <w:r>
              <w:rPr>
                <w:b/>
                <w:i/>
              </w:rPr>
              <w:t>| Λεπτομερής ανάλυση και συστάσεις, Κεφάλαιο 3 - Στήριξη των επενδύσεων, σελ. 283.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χαιρετίζει την πρόταση του Mario Draghi για ένα «νέο εργαλείο ανταγωνισμού» ως ευέλικτο εργαλείο έρευνας της αγοράς σχεδιασμένο για την αντιμετώπιση </w:t>
            </w:r>
            <w:r>
              <w:rPr>
                <w:b/>
                <w:i/>
              </w:rPr>
              <w:t>διαρθρωτικών</w:t>
            </w:r>
            <w:r>
              <w:t xml:space="preserve">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w:t>
            </w:r>
          </w:p>
        </w:tc>
        <w:tc>
          <w:tcPr>
            <w:tcW w:w="4876" w:type="dxa"/>
            <w:tcBorders>
              <w:top w:val="nil"/>
              <w:left w:val="nil"/>
              <w:bottom w:val="nil"/>
              <w:right w:val="nil"/>
            </w:tcBorders>
          </w:tcPr>
          <w:p>
            <w:pPr>
              <w:pStyle w:val="Normal6a"/>
            </w:pPr>
            <w:r>
              <w:t>9.</w:t>
            </w:r>
            <w:r>
              <w:tab/>
            </w:r>
            <w:r>
              <w:t xml:space="preserve">χαιρετίζει την πρόταση του Mario Draghi για ένα «νέο εργαλείο ανταγωνισμού» ως ευέλικτο εργαλείο έρευνας της αγοράς σχεδιασμένο για την αντιμετώπιση προβλημάτων ανταγωνισμού </w:t>
            </w:r>
            <w:r>
              <w:rPr>
                <w:b/>
                <w:i/>
              </w:rPr>
              <w:t>τα οποία δεν είναι αποτέλεσμα αντιανταγωνιστικών συμφωνιών ή κατάχρησης δεσπόζουσας θέσης, και για την επιβολή μέτρων συμπεριφοράς ή διαρθρωτικού χαρακτήρα με μελλοντική προοπτική για το σύνολο της αγοράς, μεταξύ άλλων</w:t>
            </w:r>
            <w:r>
              <w:t xml:space="preserve"> μέσω της μείωσης των φραγμών εισόδου στην αγορά για τους ανταγωνιστές </w:t>
            </w:r>
            <w:r>
              <w:rPr>
                <w:b/>
                <w:i/>
              </w:rPr>
              <w:t>και τις εκποιήσεις</w:t>
            </w:r>
            <w:r>
              <w:t xml:space="preserve">, με στόχο την αύξηση της ανταγωνιστικότητας, την παροχή κινήτρων για καινοτομία και την προστασία των ευάλωτων καταναλωτών· </w:t>
            </w:r>
            <w:r>
              <w:rPr>
                <w:b/>
                <w:i/>
              </w:rPr>
              <w:t>πιστεύει ότι το εργαλείο αυτό θα πρέπει να εφαρμόζεται σε όλους τους τομείς·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χαιρετίζει την πρόταση του Mario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w:t>
            </w:r>
          </w:p>
        </w:tc>
        <w:tc>
          <w:tcPr>
            <w:tcW w:w="4876" w:type="dxa"/>
            <w:tcBorders>
              <w:top w:val="nil"/>
              <w:left w:val="nil"/>
              <w:bottom w:val="nil"/>
              <w:right w:val="nil"/>
            </w:tcBorders>
          </w:tcPr>
          <w:p>
            <w:pPr>
              <w:pStyle w:val="Normal6a"/>
            </w:pPr>
            <w:r>
              <w:t>9.</w:t>
            </w:r>
            <w:r>
              <w:tab/>
            </w:r>
            <w:r>
              <w:t xml:space="preserve">χαιρετίζει την πρόταση του Mario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 </w:t>
            </w:r>
            <w:r>
              <w:rPr>
                <w:b/>
                <w:i/>
              </w:rPr>
              <w:t>καλεί την Ευρωπαϊκή Επιτροπή να εξετάσει πώς το «νέο εργαλείο ανταγωνισμού» του Mario Draghi προσαρμόζεται στο υφιστάμενο πλαίσιο για έρευνες του τομέα·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χαιρετίζει την πρόταση του Mario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w:t>
            </w:r>
          </w:p>
        </w:tc>
        <w:tc>
          <w:tcPr>
            <w:tcW w:w="4876" w:type="dxa"/>
            <w:tcBorders>
              <w:top w:val="nil"/>
              <w:left w:val="nil"/>
              <w:bottom w:val="nil"/>
              <w:right w:val="nil"/>
            </w:tcBorders>
          </w:tcPr>
          <w:p>
            <w:pPr>
              <w:pStyle w:val="Normal6a"/>
            </w:pPr>
            <w:r>
              <w:t>9.</w:t>
            </w:r>
            <w:r>
              <w:tab/>
            </w:r>
            <w:r>
              <w:t>χαιρετίζει την πρόταση του Mario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μέσω της μείωσης των φραγμών εισόδου στην αγορά για τους ανταγωνιστές, με στόχο την αύξηση της ανταγωνιστικότητας, την παροχή κινήτρων για καινοτομία</w:t>
            </w:r>
            <w:r>
              <w:rPr>
                <w:b/>
                <w:i/>
              </w:rPr>
              <w:t>, τον περιορισμό της ανεπιθύμητης συγκέντρωσης της αγοράς</w:t>
            </w:r>
            <w:r>
              <w:t xml:space="preserve"> και την προστασία των ευάλωτων καταναλωτών·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9α.</w:t>
            </w:r>
            <w:r>
              <w:tab/>
            </w:r>
            <w:r>
              <w:rPr>
                <w:b/>
                <w:i/>
              </w:rPr>
              <w:t>θεωρεί ζωτικής σημασίας να αναπτυχθούν περαιτέρω τα χαρακτηριστικά και οι τρόποι λειτουργίας ενός τέτοιου εργαλείου έρευνας με τον σαφή προσδιορισμό των κριτηρίων ενεργοποίησης και με την παροχή της δυνατότητας να προτείνει πιθανά μέτρα πρόληψης των αντιανταγωνιστικών πρακτικών·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9α.</w:t>
            </w:r>
            <w:r>
              <w:tab/>
            </w:r>
            <w:r>
              <w:rPr>
                <w:b/>
                <w:i/>
              </w:rPr>
              <w:t>καλεί την Επιτροπή να θεσπίσει δασμούς έναντι των τρίτων χωρών που δεν τηρούν τα ευρωπαϊκά πρότυπα ως προς την ποιότητα, το περιβάλλον και την προστασία των εργαζομένων·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9β.</w:t>
            </w:r>
            <w:r>
              <w:tab/>
            </w:r>
            <w:r>
              <w:rPr>
                <w:b/>
                <w:i/>
              </w:rPr>
              <w:t>τονίζει ότι σε ορισμένα κράτη μέλη, για την διαχείριση των διαρθρωτικών προβλημάτων που αντιμετωπίζουν ορισμένες αγορές, μεταξύ άλλων και στην περίπτωση απουσίας συγκεκριμένων πρακτικών που παραβιάζουν τους κανόνες κατά των τράστ, ο εθνικός νομοθέτης έχει θεσπίσει, μέσω της τροποποίησης των υφιστάμενων εθνικών νόμων ανταγωνισμού, ένα νέο ερευνητικό εργαλείο το οποίο εξουσιοδοτεί τις εθνικές αρχές ανταγωνισμού να εγκρίνουν μέτρα συμπεριφοράς και διαρθρωτικού χαρακτήρα όταν διαπιστώνεται, ως συμπέρασμα έρευνας της αγοράς, η ύπαρξη σημαντικών και μακροχρόνιων στρεβλώσεων της σωστής λειτουργίας των υπό διερεύνηση αγορών·</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9β.</w:t>
            </w:r>
            <w:r>
              <w:tab/>
            </w:r>
            <w:r>
              <w:rPr>
                <w:b/>
                <w:i/>
              </w:rPr>
              <w:t>καλεί την Επιτροπή να ολοκληρώσει τη μεταρρύθμιση του Ευρωπαϊκού τελωνειακού κώδικα για να εναρμονιστούν οι έλεγχοι μεταξύ των κρατών μελών και να εντατικοποιηθούν οι δραστηριότητες καταπολέμησης της παραποίησης και της απάτης·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υπενθυμίζει ότι η Επιτροπή είναι εξουσιοδοτημένη βάσει της Συνθήκης να αντιμετωπίζει καταχρηστικές πρακτικές εκμετάλλευσης·</w:t>
            </w:r>
            <w:r>
              <w:t xml:space="preserve"> </w:t>
            </w:r>
            <w:r>
              <w:rPr>
                <w:b/>
                <w:i/>
              </w:rPr>
              <w:t>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w:t>
            </w:r>
            <w:r>
              <w:t xml:space="preserve"> </w:t>
            </w:r>
            <w:r>
              <w:rPr>
                <w:b/>
                <w:i/>
              </w:rPr>
              <w:t>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υπενθυμίζει ότι η Επιτροπή είναι εξουσιοδοτημένη βάσει της Συνθήκης να αντιμετωπίζει καταχρηστικές πρακτικές εκμετάλλευσης·</w:t>
            </w:r>
            <w:r>
              <w:t xml:space="preserve"> </w:t>
            </w:r>
            <w:r>
              <w:rPr>
                <w:b/>
                <w:i/>
              </w:rPr>
              <w:t>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w:t>
            </w:r>
            <w:r>
              <w:t xml:space="preserve"> </w:t>
            </w:r>
            <w:r>
              <w:rPr>
                <w:b/>
                <w:i/>
              </w:rPr>
              <w:t>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υπενθυμίζει ότι η Επιτροπή είναι εξουσιοδοτημένη βάσει της Συνθήκης να αντιμετωπίζει καταχρηστικές πρακτικές εκμετάλλευσης·</w:t>
            </w:r>
            <w:r>
              <w:t xml:space="preserve"> </w:t>
            </w:r>
            <w:r>
              <w:rPr>
                <w:b/>
                <w:i/>
              </w:rPr>
              <w:t>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w:t>
            </w:r>
            <w:r>
              <w:t xml:space="preserve"> </w:t>
            </w:r>
            <w:r>
              <w:rPr>
                <w:b/>
                <w:i/>
              </w:rPr>
              <w:t>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w:t>
            </w:r>
            <w:r>
              <w:rPr>
                <w:b/>
                <w:i/>
              </w:rPr>
              <w:t>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w:t>
            </w:r>
            <w:r>
              <w:t xml:space="preserve"> </w:t>
            </w:r>
            <w:r>
              <w:rPr>
                <w:b/>
                <w:i/>
              </w:rPr>
              <w:t>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c>
          <w:tcPr>
            <w:tcW w:w="4876" w:type="dxa"/>
            <w:tcBorders>
              <w:top w:val="nil"/>
              <w:left w:val="nil"/>
              <w:bottom w:val="nil"/>
              <w:right w:val="nil"/>
            </w:tcBorders>
          </w:tcPr>
          <w:p>
            <w:pPr>
              <w:pStyle w:val="Normal6a"/>
            </w:pPr>
            <w:r>
              <w:t>10.</w:t>
            </w:r>
            <w:r>
              <w:tab/>
            </w:r>
            <w:r>
              <w:t>υπενθυμίζει ότι η Επιτροπή είναι εξουσιοδοτημένη βάσει της Συνθήκης να αντιμετωπίζει καταχρηστικές πρακτικές εκμετάλλευσης·</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 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 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 </w:t>
            </w:r>
            <w:r>
              <w:rPr>
                <w:b/>
                <w:i/>
              </w:rPr>
              <w:t>καταδικάζει την κατάχρηση ισχύος στην αγορά από εταιρείες που συνδέονται με τον πληθωρισμό της απληστίας ο οποίος οδηγεί σε υψηλότερα επίπεδα πληθωρισμού και επιδεινώνει την κρίση του κόστους ζωής·</w:t>
            </w:r>
            <w:r>
              <w:t xml:space="preserve"> </w:t>
            </w:r>
            <w:r>
              <w:rPr>
                <w:b/>
                <w:i/>
              </w:rPr>
              <w:t>καλεί τα κράτη μέλη και την Επιτροπή να θεσπίσουν μόνιμους και γενικούς φόρους επί των ακούσιων κερδών και να μεταρρυθμίσουν τη νομοθεσία περί ανταγωνισμού προκειμένου να δοθεί η δυνατότητα στις αρχές ανταγωνισμού να διερευνούν και να παρεμβαίνουν συστηματικά σε τομεακό επίπεδο με αθέμιτες αυξήσεις των τιμών·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w:t>
            </w:r>
            <w:r>
              <w:rPr>
                <w:b/>
                <w:i/>
              </w:rPr>
              <w:t>ή απληστίας·</w:t>
            </w:r>
            <w:r>
              <w:t xml:space="preserve"> </w:t>
            </w:r>
            <w:r>
              <w:rPr>
                <w:b/>
                <w:i/>
              </w:rPr>
              <w:t>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r>
              <w:t>·</w:t>
            </w:r>
          </w:p>
        </w:tc>
        <w:tc>
          <w:tcPr>
            <w:tcW w:w="4876" w:type="dxa"/>
            <w:tcBorders>
              <w:top w:val="nil"/>
              <w:left w:val="nil"/>
              <w:bottom w:val="nil"/>
              <w:right w:val="nil"/>
            </w:tcBorders>
          </w:tcPr>
          <w:p>
            <w:pPr>
              <w:pStyle w:val="Normal6a"/>
            </w:pPr>
            <w:r>
              <w:t>10.</w:t>
            </w:r>
            <w:r>
              <w:tab/>
            </w:r>
            <w:r>
              <w:t>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 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w:t>
            </w:r>
            <w:r>
              <w:rPr>
                <w:b/>
                <w:i/>
              </w:rPr>
              <w:t>λαμβάνοντας δεόντως υπόψη την ευπάθεια των καταναλωτών</w:t>
            </w:r>
            <w:r>
              <w:t>·</w:t>
            </w:r>
          </w:p>
        </w:tc>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w:t>
            </w:r>
            <w:r>
              <w:rPr>
                <w:b/>
                <w:i/>
              </w:rPr>
              <w:t>των πρακτικών που εισάγουν διακρίσεις ή</w:t>
            </w:r>
            <w:r>
              <w:t xml:space="preserve"> της αύξησης των τιμών που προκαλείται από τον πληθωρισμό λόγω κέρδους ή απληστίας· 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w:t>
            </w:r>
            <w:r>
              <w:rPr>
                <w:b/>
                <w:i/>
              </w:rPr>
              <w:t>λαμβανομένου υπόψη και του αρνητικού αντικτύπου που έχουν αυτές οι πρακτικές στις επιχειρήσεις, τους καταναλωτές και το δημόσιο συμφέρον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 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c>
          <w:tcPr>
            <w:tcW w:w="4876" w:type="dxa"/>
            <w:tcBorders>
              <w:top w:val="nil"/>
              <w:left w:val="nil"/>
              <w:bottom w:val="nil"/>
              <w:right w:val="nil"/>
            </w:tcBorders>
          </w:tcPr>
          <w:p>
            <w:pPr>
              <w:pStyle w:val="Normal6a"/>
            </w:pPr>
            <w:r>
              <w:t>10.</w:t>
            </w:r>
            <w:r>
              <w:tab/>
            </w:r>
            <w:r>
              <w:t>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w:t>
            </w:r>
            <w:r>
              <w:rPr>
                <w:b/>
                <w:i/>
              </w:rPr>
              <w:t>, ειδικά από οντότητες που απολαύουν δεσπόζουσας θέσης,</w:t>
            </w:r>
            <w:r>
              <w:t xml:space="preserve"> θα μπορούσε να συμβάλει στην άμεση αντιμετώπιση της αύξησης των τιμών που προκαλείται από τον πληθωρισμό λόγω κέρδους ή απληστίας· 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 </w:t>
            </w:r>
            <w:r>
              <w:rPr>
                <w:b/>
                <w:i/>
              </w:rPr>
              <w:t>διαπιστώνει ότι, δυστυχώς, η Επιτροπή σπανίως έχει ασχοληθεί με περιπτώσεις εκμετάλλευσης και ζητεί</w:t>
            </w:r>
            <w:r>
              <w:t xml:space="preserve"> να επικαιροποιηθούν οι σχετικές κατευθυντήριες γραμμές </w:t>
            </w:r>
            <w:r>
              <w:rPr>
                <w:b/>
                <w:i/>
              </w:rPr>
              <w:t>λαμβάνοντας</w:t>
            </w:r>
            <w:r>
              <w:t xml:space="preserve"> δεόντως υπόψη </w:t>
            </w:r>
            <w:r>
              <w:rPr>
                <w:b/>
                <w:i/>
              </w:rPr>
              <w:t>την ευπάθεια</w:t>
            </w:r>
            <w:r>
              <w:t xml:space="preserve"> των καταναλωτών</w:t>
            </w:r>
            <w:r>
              <w:rPr>
                <w:b/>
                <w:i/>
              </w:rPr>
              <w:t>·</w:t>
            </w:r>
          </w:p>
        </w:tc>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 </w:t>
            </w:r>
            <w:r>
              <w:rPr>
                <w:b/>
                <w:i/>
              </w:rPr>
              <w:t>ζητά</w:t>
            </w:r>
            <w:r>
              <w:t xml:space="preserve"> να επικαιροποιηθούν οι σχετικές κατευθυντήριες γραμμές </w:t>
            </w:r>
            <w:r>
              <w:rPr>
                <w:b/>
                <w:i/>
              </w:rPr>
              <w:t>λαμβανομένης</w:t>
            </w:r>
            <w:r>
              <w:t xml:space="preserve"> δεόντως υπόψη </w:t>
            </w:r>
            <w:r>
              <w:rPr>
                <w:b/>
                <w:i/>
              </w:rPr>
              <w:t>και της ευπάθειας</w:t>
            </w:r>
            <w:r>
              <w:t xml:space="preserve"> των καταναλωτών</w:t>
            </w:r>
            <w:r>
              <w:rPr>
                <w:b/>
                <w:i/>
              </w:rPr>
              <w:t>·</w:t>
            </w:r>
            <w:r>
              <w:t xml:space="preserve">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w:t>
            </w:r>
            <w:r>
              <w:rPr>
                <w:b/>
                <w:i/>
              </w:rPr>
              <w:t>υποστηρίζει ότι η ιεράρχηση των καταχρηστικών πρακτικών εκμετάλλευσης εις βάρος των καταναλωτών θα μπορούσε να συμβάλει στην άμεση αντιμετώπιση της αύξησης των τιμών που προκαλείται από τον πληθωρισμό λόγω κέρδους ή απληστίας</w:t>
            </w:r>
            <w:r>
              <w:t>· 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c>
          <w:tcPr>
            <w:tcW w:w="4876" w:type="dxa"/>
            <w:tcBorders>
              <w:top w:val="nil"/>
              <w:left w:val="nil"/>
              <w:bottom w:val="nil"/>
              <w:right w:val="nil"/>
            </w:tcBorders>
          </w:tcPr>
          <w:p>
            <w:pPr>
              <w:pStyle w:val="Normal6a"/>
            </w:pPr>
            <w:r>
              <w:t>10.</w:t>
            </w:r>
            <w:r>
              <w:tab/>
            </w:r>
            <w:r>
              <w:t xml:space="preserve">υπενθυμίζει ότι η Επιτροπή είναι εξουσιοδοτημένη βάσει της Συνθήκης να αντιμετωπίζει καταχρηστικές πρακτικές εκμετάλλευσης· </w:t>
            </w:r>
            <w:r>
              <w:rPr>
                <w:b/>
                <w:i/>
              </w:rPr>
              <w:t>καλεί την Επιτροπή να παρακολουθεί στενά, από κοινού με τις εθνικές αρχές ανταγωνισμού, τις συνέπειες της αντιανταγωνιστικής συμπεριφοράς και τον ρόλο της στην εξέλιξη του πληθωρισμού</w:t>
            </w:r>
            <w:r>
              <w:t>· διαπιστώνει ότι, δυστυχώς, η Επιτροπή σπανίως έχει ασχοληθεί με περιπτώσεις εκμετάλλευσης και ζητεί να επικαιροποιηθούν οι σχετικές κατευθυντήριες γραμμές λαμβάνοντας δεόντως υπόψη την ευπάθεια των καταναλωτών·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λαμβάνει υπόψη τα προκαταρκτικά πορίσματα της έρευνας της υπόθεσης AT.40628 – Τεχνολογία διαφήμισης και σχετικές με δεδομένα πρακτικές της Google και εκφράζει την ικανοποίησή του για τη διαπίστωση των υποχρεωτικών αποεπενδύσεων ως αναλογικού και αποτελεσματικού μέτρου για την αντιμετώπιση της εγγενούς σύγκρουσης συμφερόντων στον τομέα τεχνολογίας διαφήμισης της Google·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β.</w:t>
            </w:r>
            <w:r>
              <w:tab/>
            </w:r>
            <w:r>
              <w:rPr>
                <w:b/>
                <w:i/>
              </w:rPr>
              <w:t>τονίζει ότι οι πράξεις για τις ψηφιακές αγορές και η πράξη για τις ψηφιακές υπηρεσίες είναι απαραίτητα βήματα προς μια εναρμονισμένη, δίκαιη και ανταγωνιστική ψηφιακή ενιαία αγορά·</w:t>
            </w:r>
            <w:r>
              <w:t xml:space="preserve"> </w:t>
            </w:r>
            <w:r>
              <w:rPr>
                <w:b/>
                <w:i/>
              </w:rPr>
              <w:t>ζητά από την Επιτροπή να διασφαλίσει ότι η επιβάλλεται η πλήρης τήρησή τους και ότι έχουν διατεθεί επαρκείς πόροι και προσωπικό της Επιτροπής για αυτό το σκοπό·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10γ.</w:t>
            </w:r>
            <w:r>
              <w:tab/>
            </w:r>
            <w:r>
              <w:rPr>
                <w:b/>
                <w:i/>
              </w:rPr>
              <w:t>αναγνωρίζει ότι, από την εκμετάλλευση της ισχύος της αγοράς και τη έλλειψη ανταγωνισμού στις υποδομές των κεφαλαιαγορών που μειώνουν την συνολική αποτελεσματικότητα και αυξάνουν το κόστος τους, πλήττονται εκδότες, επενδυτές και συνταξιούχοι αποταμιευτές·</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αναγνωρίζει την ύπαρξη νομικής βάσης για μέτρα διαρθρωτικού χαρακτήρα κατά της κατάχρησης δεσπόζουσας θέσης στην αγορά·</w:t>
            </w:r>
            <w:r>
              <w:t xml:space="preserve"> </w:t>
            </w:r>
            <w:r>
              <w:rPr>
                <w:b/>
                <w:i/>
              </w:rPr>
              <w:t>εκφράζει τη λύπη του για την απροθυμία της Επιτροπής να αντιμετωπίσει τη δεσπόζουσα θέση στην αγορά με μέτρα διαρθρωτικού χαρακτήρα·</w:t>
            </w:r>
            <w:r>
              <w:t xml:space="preserve"> </w:t>
            </w:r>
            <w:r>
              <w:rPr>
                <w:b/>
                <w:i/>
              </w:rPr>
              <w:t>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Pierre Pimpie, Enikő Győri, 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αναγνωρίζει την ύπαρξη νομικής βάσης για μέτρα διαρθρωτικού χαρακτήρα κατά της κατάχρησης δεσπόζουσας θέσης στην αγορά·</w:t>
            </w:r>
            <w:r>
              <w:t xml:space="preserve"> </w:t>
            </w:r>
            <w:r>
              <w:rPr>
                <w:b/>
                <w:i/>
              </w:rPr>
              <w:t>εκφράζει τη λύπη του για την απροθυμία της Επιτροπής να αντιμετωπίσει τη δεσπόζουσα θέση στην αγορά με μέτρα διαρθρωτικού χαρακτήρα·</w:t>
            </w:r>
            <w:r>
              <w:t xml:space="preserve"> </w:t>
            </w:r>
            <w:r>
              <w:rPr>
                <w:b/>
                <w:i/>
              </w:rPr>
              <w:t>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αναγνωρίζει την ύπαρξη νομικής βάσης για μέτρα διαρθρωτικού χαρακτήρα κατά της κατάχρησης δεσπόζουσας θέσης στην αγορά· εκφράζει τη λύπη του για την απροθυμία της Επιτροπής να αντιμετωπίσει τη δεσπόζουσα θέση στην αγορά με μέτρα διαρθρωτικού χαρακτήρα· 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w:t>
            </w:r>
          </w:p>
        </w:tc>
        <w:tc>
          <w:tcPr>
            <w:tcW w:w="4876" w:type="dxa"/>
            <w:tcBorders>
              <w:top w:val="nil"/>
              <w:left w:val="nil"/>
              <w:bottom w:val="nil"/>
              <w:right w:val="nil"/>
            </w:tcBorders>
          </w:tcPr>
          <w:p>
            <w:pPr>
              <w:pStyle w:val="Normal6a"/>
            </w:pPr>
            <w:r>
              <w:t>11.</w:t>
            </w:r>
            <w:r>
              <w:tab/>
            </w:r>
            <w:r>
              <w:t xml:space="preserve">αναγνωρίζει την ύπαρξη νομικής βάσης για μέτρα διαρθρωτικού χαρακτήρα κατά της κατάχρησης δεσπόζουσας θέσης στην αγορά· εκφράζει τη λύπη του για την απροθυμία της Επιτροπής </w:t>
            </w:r>
            <w:r>
              <w:rPr>
                <w:b/>
                <w:i/>
              </w:rPr>
              <w:t>και ζητά μεγαλύτερη αποφασιστικότητα από την Επιτροπή όταν πρόκειται</w:t>
            </w:r>
            <w:r>
              <w:t xml:space="preserve"> να αντιμετωπίσει τη δεσπόζουσα θέση στην αγορά με μέτρα διαρθρωτικού χαρακτήρα· 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 </w:t>
            </w:r>
            <w:r>
              <w:rPr>
                <w:b/>
                <w:i/>
              </w:rPr>
              <w:t>καλεί την Επιτροπή, αντί βραχυπρόθεσμων μέτρων συμπεριφοράς, να εφαρμόσει διαρθρωτικά μέτρα σε τέτοιες περιπτώσεις διασφαλίζοντας ότι οι κανόνες ανταγωνισμού είναι αποτελεσματικότεροι·</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αναγνωρίζει την ύπαρξη νομικής βάσης για μέτρα διαρθρωτικού χαρακτήρα κατά της κατάχρησης δεσπόζουσας θέσης στην αγορά· </w:t>
            </w:r>
            <w:r>
              <w:rPr>
                <w:b/>
                <w:i/>
              </w:rPr>
              <w:t>εκφράζει τη λύπη του για την απροθυμία της Επιτροπής να αντιμετωπίσει τη δεσπόζουσα θέση στην αγορά με μέτρα διαρθρωτικού χαρακτήρα·</w:t>
            </w:r>
            <w:r>
              <w:t xml:space="preserve"> </w:t>
            </w:r>
            <w:r>
              <w:rPr>
                <w:b/>
                <w:i/>
              </w:rPr>
              <w:t>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w:t>
            </w:r>
          </w:p>
        </w:tc>
        <w:tc>
          <w:tcPr>
            <w:tcW w:w="4876" w:type="dxa"/>
            <w:tcBorders>
              <w:top w:val="nil"/>
              <w:left w:val="nil"/>
              <w:bottom w:val="nil"/>
              <w:right w:val="nil"/>
            </w:tcBorders>
          </w:tcPr>
          <w:p>
            <w:pPr>
              <w:pStyle w:val="Normal6a"/>
            </w:pPr>
            <w:r>
              <w:t>11.</w:t>
            </w:r>
            <w:r>
              <w:tab/>
            </w:r>
            <w:r>
              <w:t>αναγνωρίζει την ύπαρξη νομικής βάσης για μέτρα διαρθρωτικού χαρακτήρα κατά της κατάχρησης δεσπόζουσας θέσης στην αγορά·</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αναγνωρίζει την ύπαρξη νομικής βάσης για μέτρα διαρθρωτικού χαρακτήρα κατά της κατάχρησης δεσπόζουσας θέσης στην αγορά· </w:t>
            </w:r>
            <w:r>
              <w:rPr>
                <w:b/>
                <w:i/>
              </w:rPr>
              <w:t>εκφράζει τη λύπη του για την απροθυμία της Επιτροπής να αντιμετωπίσει τη δεσπόζουσα θέση στην αγορά με μέτρα</w:t>
            </w:r>
            <w:r>
              <w:t xml:space="preserve"> διαρθρωτικού χαρακτήρα</w:t>
            </w:r>
            <w:r>
              <w:rPr>
                <w:b/>
                <w:i/>
              </w:rPr>
              <w:t>·</w:t>
            </w:r>
            <w:r>
              <w:t xml:space="preserve"> </w:t>
            </w:r>
            <w:r>
              <w:rPr>
                <w:b/>
                <w:i/>
              </w:rPr>
              <w:t>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w:t>
            </w:r>
          </w:p>
        </w:tc>
        <w:tc>
          <w:tcPr>
            <w:tcW w:w="4876" w:type="dxa"/>
            <w:tcBorders>
              <w:top w:val="nil"/>
              <w:left w:val="nil"/>
              <w:bottom w:val="nil"/>
              <w:right w:val="nil"/>
            </w:tcBorders>
          </w:tcPr>
          <w:p>
            <w:pPr>
              <w:pStyle w:val="Normal6a"/>
            </w:pPr>
            <w:r>
              <w:t>11.</w:t>
            </w:r>
            <w:r>
              <w:tab/>
            </w:r>
            <w:r>
              <w:t xml:space="preserve">αναγνωρίζει την ύπαρξη νομικής βάσης για μέτρα διαρθρωτικού χαρακτήρα κατά της κατάχρησης δεσπόζουσας θέσης στην αγορά· </w:t>
            </w:r>
            <w:r>
              <w:rPr>
                <w:b/>
                <w:i/>
              </w:rPr>
              <w:t>χαιρετίζει την πρόσφατη εξέλιξη να εξετάσει η Επιτροπή, υπό ορισμένους όρους, το ενδεχόμενο μέτρων</w:t>
            </w:r>
            <w:r>
              <w:t xml:space="preserve"> διαρθρωτικού χαρακτήρα </w:t>
            </w:r>
            <w:r>
              <w:rPr>
                <w:b/>
                <w:i/>
              </w:rPr>
              <w:t>για την αντιμετώπιση επανειλημμένων αντιανταγωνιστικών πρακτικών και ενθαρρύνει περαιτέρω τις προσπάθειες ενίσχυσης της εφαρμογής τους όποτε απαιτείται·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αναγνωρίζει την ύπαρξη νομικής βάσης για μέτρα διαρθρωτικού χαρακτήρα κατά της κατάχρησης δεσπόζουσας θέσης στην αγορά· </w:t>
            </w:r>
            <w:r>
              <w:rPr>
                <w:b/>
                <w:i/>
              </w:rPr>
              <w:t>εκφράζει τη λύπη του για την απροθυμία της Επιτροπής να αντιμετωπίσει τη δεσπόζουσα θέση στην αγορά με</w:t>
            </w:r>
            <w:r>
              <w:t xml:space="preserve"> μέτρα διαρθρωτικού χαρακτήρα</w:t>
            </w:r>
            <w:r>
              <w:rPr>
                <w:b/>
                <w:i/>
              </w:rPr>
              <w:t>·</w:t>
            </w:r>
            <w:r>
              <w:t xml:space="preserve"> </w:t>
            </w:r>
            <w:r>
              <w:rPr>
                <w:b/>
                <w:i/>
              </w:rPr>
              <w:t>επαναλαμβάνει την έκκλησή του για καλύτερη χρήση των μέτρων διαρθρωτικού χαρακτήρα και για τον τερματισμό της προτίμησης που αποδίδεται στα</w:t>
            </w:r>
            <w:r>
              <w:t xml:space="preserve"> διορθωτικά μέτρα συμπεριφοράς</w:t>
            </w:r>
            <w:r>
              <w:rPr>
                <w:b/>
                <w:i/>
              </w:rPr>
              <w:t>·</w:t>
            </w:r>
          </w:p>
        </w:tc>
        <w:tc>
          <w:tcPr>
            <w:tcW w:w="4876" w:type="dxa"/>
            <w:tcBorders>
              <w:top w:val="nil"/>
              <w:left w:val="nil"/>
              <w:bottom w:val="nil"/>
              <w:right w:val="nil"/>
            </w:tcBorders>
          </w:tcPr>
          <w:p>
            <w:pPr>
              <w:pStyle w:val="Normal6a"/>
            </w:pPr>
            <w:r>
              <w:t>11.</w:t>
            </w:r>
            <w:r>
              <w:tab/>
            </w:r>
            <w:r>
              <w:t xml:space="preserve">αναγνωρίζει την ύπαρξη νομικής βάσης για μέτρα διαρθρωτικού χαρακτήρα κατά της κατάχρησης δεσπόζουσας θέσης στην αγορά· </w:t>
            </w:r>
            <w:r>
              <w:rPr>
                <w:b/>
                <w:i/>
              </w:rPr>
              <w:t>τονίζει ότι τα</w:t>
            </w:r>
            <w:r>
              <w:t xml:space="preserve"> μέτρα διαρθρωτικού χαρακτήρα </w:t>
            </w:r>
            <w:r>
              <w:rPr>
                <w:b/>
                <w:i/>
              </w:rPr>
              <w:t>θα πρέπει να χρησιμοποιούνται μόνο ως έσχατη λύση και μόνο αν έχουν αποδειχθεί αναποτελεσματικά τα</w:t>
            </w:r>
            <w:r>
              <w:t xml:space="preserve"> διορθωτικά μέτρα συμπεριφοράς</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αναγνωρίζει την ύπαρξη νομικής βάσης για μέτρα </w:t>
            </w:r>
            <w:r>
              <w:rPr>
                <w:b/>
                <w:i/>
              </w:rPr>
              <w:t>διαρθρωτικού χαρακτήρα</w:t>
            </w:r>
            <w:r>
              <w:t xml:space="preserve"> κατά της κατάχρησης δεσπόζουσας θέσης στην αγορά· εκφράζει τη λύπη του για την απροθυμία της Επιτροπής να αντιμετωπίσει τη δεσπόζουσα θέση στην αγορά με μέτρα </w:t>
            </w:r>
            <w:r>
              <w:rPr>
                <w:b/>
                <w:i/>
              </w:rPr>
              <w:t>διαρθρωτικού χαρακτήρα</w:t>
            </w:r>
            <w:r>
              <w:t>· 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w:t>
            </w:r>
          </w:p>
        </w:tc>
        <w:tc>
          <w:tcPr>
            <w:tcW w:w="4876" w:type="dxa"/>
            <w:tcBorders>
              <w:top w:val="nil"/>
              <w:left w:val="nil"/>
              <w:bottom w:val="nil"/>
              <w:right w:val="nil"/>
            </w:tcBorders>
          </w:tcPr>
          <w:p>
            <w:pPr>
              <w:pStyle w:val="Normal6a"/>
            </w:pPr>
            <w:r>
              <w:t>11.</w:t>
            </w:r>
            <w:r>
              <w:tab/>
            </w:r>
            <w:r>
              <w:t xml:space="preserve">αναγνωρίζει την ύπαρξη νομικής βάσης για μέτρα </w:t>
            </w:r>
            <w:r>
              <w:rPr>
                <w:b/>
                <w:i/>
              </w:rPr>
              <w:t>συμπεριφοράς</w:t>
            </w:r>
            <w:r>
              <w:t xml:space="preserve"> κατά της κατάχρησης δεσπόζουσας θέσης στην αγορά· εκφράζει τη λύπη του για την απροθυμία της Επιτροπής να αντιμετωπίσει τη δεσπόζουσα θέση στην αγορά με μέτρα </w:t>
            </w:r>
            <w:r>
              <w:rPr>
                <w:b/>
                <w:i/>
              </w:rPr>
              <w:t>συμπεριφοράς που διαφέρουν από ένα κράτος μέλος σε άλλο</w:t>
            </w:r>
            <w:r>
              <w:t>· 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α.</w:t>
            </w:r>
            <w:r>
              <w:tab/>
            </w:r>
            <w:r>
              <w:rPr>
                <w:b/>
                <w:i/>
              </w:rPr>
              <w:t>υπογραμμίζει τον καίριο ρόλο του Ευρωπαϊκού Δικτύου Ανταγωνισμού (ΕΔΑ)·</w:t>
            </w:r>
            <w:r>
              <w:t xml:space="preserve"> </w:t>
            </w:r>
            <w:r>
              <w:rPr>
                <w:b/>
                <w:i/>
              </w:rPr>
              <w:t>καλεί την Επιτροπή να καταβάλει προσπάθειες για συνεχή εποικοδομητικό διάλογο και συνεργασία σε διεθνές επίπεδο·</w:t>
            </w:r>
            <w:r>
              <w:t xml:space="preserve"> </w:t>
            </w:r>
            <w:r>
              <w:rPr>
                <w:b/>
                <w:i/>
              </w:rPr>
              <w:t>υπογραμμίζει την ανάγκη να αυξηθεί η συνεργασία μεταξύ των αντιμονοπωλιακών και άλλων τομεακών ρυθμιστικών αρχών, όπως εκείνες που ασχολούνται με την προστασία των δεδομένων, τόσο για την εποπτεία της κατάχρησης εταιρικών δεδομένων όσο και για την πρόληψη της χρήσης δεδομένων από εταιρείες που χρησιμοποιούν τα δεδομένα των καταναλωτών για να αποκτήσουν αθέμιτο ανταγωνιστικό πλεονέκτημα·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α.</w:t>
            </w:r>
            <w:r>
              <w:tab/>
            </w:r>
            <w:r>
              <w:rPr>
                <w:b/>
                <w:i/>
              </w:rPr>
              <w:t>καλεί την Επιτροπή να αξιοποιήσει καλύτερα το μέσο των προσωρινών μέτρων για να σταματήσει κάθε πρακτική που θα έβλαπτε σοβαρά τον ανταγωνισμό, ιδίως όσον αφορά τις δυναμικές και ταχέως αναπτυσσόμενες αγορές όπως οι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β.</w:t>
            </w:r>
            <w:r>
              <w:tab/>
            </w:r>
            <w:r>
              <w:rPr>
                <w:b/>
                <w:i/>
              </w:rPr>
              <w:t>καλεί την Επιτροπή να κάνει μεγαλύτερη χρήση πρόσθετων αποδεικτικών εργαλείων, όπως πληροφορίες συμπεριφοράς και χρηματοοικονομική ανάλυση, καθώς και μεγαλύτερη χρήση επιστημόνων δεδομένων, υπολογιστών και ΤΝ, καθώς και οικονομολόγων συμπεριφοράς κατά την επιβολή της νομοθεσίας περί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επικροτεί την προτεραιότητα που δίνει η νέα Επιτροπή στη στέγαση·</w:t>
            </w:r>
            <w:r>
              <w:t xml:space="preserve"> </w:t>
            </w:r>
            <w:r>
              <w:rPr>
                <w:b/>
                <w:i/>
              </w:rPr>
              <w:t>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w:t>
            </w:r>
            <w:r>
              <w:t xml:space="preserve"> </w:t>
            </w:r>
            <w:r>
              <w:rPr>
                <w:b/>
                <w:i/>
              </w:rPr>
              <w:t>ζητεί την αναθεώρηση των ΥΓΟΣ, επεκτείνοντας την εξαίρεση για οικονομικά προσιτή στέγαση στα νοικοκυριά μεσαίου εισοδήματος·</w:t>
            </w:r>
            <w:r>
              <w:t xml:space="preserve"> </w:t>
            </w:r>
            <w:r>
              <w:rPr>
                <w:b/>
                <w:i/>
              </w:rPr>
              <w:t>καλεί την Επιτροπή να αξιολογήσει τη κατάσταση των κοινωνικών υπηρεσιών κοινής ωφελείας·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επικροτεί την προτεραιότητα που δίνει η νέα Επιτροπή στη στέγαση</w:t>
            </w:r>
            <w:r>
              <w:rPr>
                <w:b/>
                <w:i/>
              </w:rPr>
              <w:t>·</w:t>
            </w:r>
            <w:r>
              <w:t xml:space="preserve"> </w:t>
            </w:r>
            <w:r>
              <w:rPr>
                <w:b/>
                <w:i/>
              </w:rPr>
              <w:t>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w:t>
            </w:r>
            <w:r>
              <w:t xml:space="preserve"> </w:t>
            </w:r>
            <w:r>
              <w:rPr>
                <w:b/>
                <w:i/>
              </w:rPr>
              <w:t>ζητεί την αναθεώρηση των ΥΓΟΣ, επεκτείνοντας την εξαίρεση για οικονομικά προσιτή στέγαση στα νοικοκυριά μεσαίου εισοδήματος·</w:t>
            </w:r>
            <w:r>
              <w:t xml:space="preserve"> </w:t>
            </w:r>
            <w:r>
              <w:rPr>
                <w:b/>
                <w:i/>
              </w:rPr>
              <w:t>καλεί την Επιτροπή να αξιολογήσει τη κατάσταση των κοινωνικών υπηρεσιών κοινής ωφελείας</w:t>
            </w:r>
            <w:r>
              <w:t>·</w:t>
            </w:r>
          </w:p>
        </w:tc>
        <w:tc>
          <w:tcPr>
            <w:tcW w:w="4876" w:type="dxa"/>
            <w:tcBorders>
              <w:top w:val="nil"/>
              <w:left w:val="nil"/>
              <w:bottom w:val="nil"/>
              <w:right w:val="nil"/>
            </w:tcBorders>
          </w:tcPr>
          <w:p>
            <w:pPr>
              <w:pStyle w:val="Normal6a"/>
            </w:pPr>
            <w:r>
              <w:t>12.</w:t>
            </w:r>
            <w:r>
              <w:tab/>
            </w:r>
            <w:r>
              <w:t>επικροτεί την προτεραιότητα που δίνει η νέα Επιτροπή στη στέγαση</w:t>
            </w:r>
            <w:r>
              <w:rPr>
                <w:b/>
                <w:i/>
              </w:rPr>
              <w:t>, όμως, επ'αυτού, εφιστά την προσοχή στην αρχή της επικουρικότητας και τονίζει ότι πρέπει να γίνεται σεβαστή η αρμοδιότητα των κρατών μελών, των περιφερειών, των πόλεων και των δήμων</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επικροτεί την προτεραιότητα που δίνει η νέα Επιτροπή στη στέγαση· καλεί την Επιτροπή να αξιολογήσει τον τρόπο με τον οποίο οι αρχές ανταγωνισμού της ΕΕ επηρεάζουν την παροχή </w:t>
            </w:r>
            <w:r>
              <w:rPr>
                <w:b/>
                <w:i/>
              </w:rPr>
              <w:t>υπηρεσιών γενικού οικονομικού συμφέροντος (ΥΓΟΣ)·</w:t>
            </w:r>
            <w:r>
              <w:t xml:space="preserve"> </w:t>
            </w:r>
            <w:r>
              <w:rPr>
                <w:b/>
                <w:i/>
              </w:rPr>
              <w:t>ζητεί την αναθεώρηση των ΥΓΟΣ, επεκτείνοντας την εξαίρεση για οικονομικά προσιτή στέγαση στα νοικοκυριά μεσαίου εισοδήματος·</w:t>
            </w:r>
            <w:r>
              <w:t xml:space="preserve"> </w:t>
            </w:r>
            <w:r>
              <w:rPr>
                <w:b/>
                <w:i/>
              </w:rPr>
              <w:t>καλεί την Επιτροπή να αξιολογήσει τη κατάσταση των κοινωνικών υπηρεσιών κοινής ωφελείας</w:t>
            </w:r>
            <w:r>
              <w:t>·</w:t>
            </w:r>
          </w:p>
        </w:tc>
        <w:tc>
          <w:tcPr>
            <w:tcW w:w="4876" w:type="dxa"/>
            <w:tcBorders>
              <w:top w:val="nil"/>
              <w:left w:val="nil"/>
              <w:bottom w:val="nil"/>
              <w:right w:val="nil"/>
            </w:tcBorders>
          </w:tcPr>
          <w:p>
            <w:pPr>
              <w:pStyle w:val="Normal6a"/>
            </w:pPr>
            <w:r>
              <w:t>12.</w:t>
            </w:r>
            <w:r>
              <w:tab/>
            </w:r>
            <w:r>
              <w:t xml:space="preserve">επικροτεί την προτεραιότητα που δίνει η νέα Επιτροπή στη στέγαση· καλεί την Επιτροπή να αξιολογήσει τον τρόπο με τον οποίο οι αρχές ανταγωνισμού της ΕΕ επηρεάζουν την παροχή </w:t>
            </w:r>
            <w:r>
              <w:rPr>
                <w:b/>
                <w:i/>
              </w:rPr>
              <w:t>στέγασης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επικροτεί την προτεραιότητα που δίνει η νέα Επιτροπή στη στέγαση· 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 </w:t>
            </w:r>
            <w:r>
              <w:rPr>
                <w:b/>
                <w:i/>
              </w:rPr>
              <w:t>ζητεί την αναθεώρηση των ΥΓΟΣ, επεκτείνοντας την εξαίρεση για οικονομικά προσιτή στέγαση στα νοικοκυριά μεσαίου εισοδήματος·</w:t>
            </w:r>
            <w:r>
              <w:t xml:space="preserve"> </w:t>
            </w:r>
            <w:r>
              <w:rPr>
                <w:b/>
                <w:i/>
              </w:rPr>
              <w:t>καλεί την Επιτροπή να αξιολογήσει τη κατάσταση των κοινωνικών υπηρεσιών κοινής ωφελείας·</w:t>
            </w:r>
          </w:p>
        </w:tc>
        <w:tc>
          <w:tcPr>
            <w:tcW w:w="4876" w:type="dxa"/>
            <w:tcBorders>
              <w:top w:val="nil"/>
              <w:left w:val="nil"/>
              <w:bottom w:val="nil"/>
              <w:right w:val="nil"/>
            </w:tcBorders>
          </w:tcPr>
          <w:p>
            <w:pPr>
              <w:pStyle w:val="Normal6a"/>
            </w:pPr>
            <w:r>
              <w:t>12.</w:t>
            </w:r>
            <w:r>
              <w:tab/>
            </w:r>
            <w:r>
              <w:t>επικροτεί την προτεραιότητα που δίνει η νέα Επιτροπή στη στέγαση· 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επικροτεί την προτεραιότητα που δίνει η νέα Επιτροπή στη στέγαση· 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 </w:t>
            </w:r>
            <w:r>
              <w:rPr>
                <w:b/>
                <w:i/>
              </w:rPr>
              <w:t>ζητεί την αναθεώρηση των ΥΓΟΣ, επεκτείνοντας την εξαίρεση για οικονομικά προσιτή στέγαση στα νοικοκυριά μεσαίου εισοδήματος·</w:t>
            </w:r>
            <w:r>
              <w:t xml:space="preserve"> καλεί την Επιτροπή να αξιολογήσει τη κατάσταση των κοινωνικών υπηρεσιών κοινής ωφελείας·</w:t>
            </w:r>
          </w:p>
        </w:tc>
        <w:tc>
          <w:tcPr>
            <w:tcW w:w="4876" w:type="dxa"/>
            <w:tcBorders>
              <w:top w:val="nil"/>
              <w:left w:val="nil"/>
              <w:bottom w:val="nil"/>
              <w:right w:val="nil"/>
            </w:tcBorders>
          </w:tcPr>
          <w:p>
            <w:pPr>
              <w:pStyle w:val="Normal6a"/>
            </w:pPr>
            <w:r>
              <w:t>12.</w:t>
            </w:r>
            <w:r>
              <w:tab/>
            </w:r>
            <w:r>
              <w:t>επικροτεί την προτεραιότητα που δίνει η νέα Επιτροπή στη στέγαση· 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 καλεί την Επιτροπή να αξιολογήσει τη κατάσταση των κοινωνικών υπηρεσιών κοινής ωφελείας·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επικροτεί την προτεραιότητα που δίνει η νέα Επιτροπή στη στέγαση· 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 </w:t>
            </w:r>
            <w:r>
              <w:rPr>
                <w:b/>
                <w:i/>
              </w:rPr>
              <w:t>ζητεί την αναθεώρηση των ΥΓΟΣ, επεκτείνοντας την εξαίρεση για οικονομικά προσιτή στέγαση στα νοικοκυριά μεσαίου εισοδήματος·</w:t>
            </w:r>
            <w:r>
              <w:t xml:space="preserve"> </w:t>
            </w:r>
            <w:r>
              <w:rPr>
                <w:b/>
                <w:i/>
              </w:rPr>
              <w:t>καλεί την Επιτροπή να αξιολογήσει τη κατάσταση των κοινωνικών υπηρεσιών κοινής ωφελείας</w:t>
            </w:r>
            <w:r>
              <w:t>·</w:t>
            </w:r>
          </w:p>
        </w:tc>
        <w:tc>
          <w:tcPr>
            <w:tcW w:w="4876" w:type="dxa"/>
            <w:tcBorders>
              <w:top w:val="nil"/>
              <w:left w:val="nil"/>
              <w:bottom w:val="nil"/>
              <w:right w:val="nil"/>
            </w:tcBorders>
          </w:tcPr>
          <w:p>
            <w:pPr>
              <w:pStyle w:val="Normal6a"/>
            </w:pPr>
            <w:r>
              <w:t>12.</w:t>
            </w:r>
            <w:r>
              <w:tab/>
            </w:r>
            <w:r>
              <w:t xml:space="preserve">επικροτεί την προτεραιότητα που δίνει η νέα Επιτροπή στη στέγαση· 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 </w:t>
            </w:r>
            <w:r>
              <w:rPr>
                <w:b/>
                <w:i/>
              </w:rPr>
              <w:t>καλεί την Επιτροπή να αξιολογήσει τη θέση των κοινωνικών υπηρεσιών γενικού συμφέροντος και μία πιθανή επανεξέταση των ΥΓΟΣ για οικονομικά προσιτή στέγαση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Regina Doherty, Lídia Pereira, Dirk Gotink, Μιχάλης Χατζηπαντέλα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εκφράζει την ικανοποίησή του για την προτεραιότητα που δίνει η Ευρωπαϊκή Επιτροπή στη μείωση της επιβάρυνσης που συνεπάγονται για τις επιχειρήσεις οι προβλεπόμενες από τη νομοθεσία απαιτήσεις υποβολής εκθέσεων κατά 25% και κατά 35% για τις ΜΜΕ·</w:t>
            </w:r>
            <w:r>
              <w:t xml:space="preserve"> </w:t>
            </w:r>
            <w:r>
              <w:rPr>
                <w:b/>
                <w:i/>
              </w:rPr>
              <w:t>ζητά αυτή η προτεραιότητα να εφαρμοστεί σε όλους τους τομείς·</w:t>
            </w:r>
            <w:r>
              <w:t xml:space="preserve"> </w:t>
            </w:r>
            <w:r>
              <w:rPr>
                <w:b/>
                <w:i/>
              </w:rPr>
              <w:t>ζητά να αξιολογούνται όλες οι νέες προτάσεις της Επιτροπής με κριτήριο αν βελτιώνουν την ανταγωνιστικότητα της ΕΕ, συμπεριλαμβανομένων και αξιόπιστων εκτιμήσεων επιπτώσεων·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υπενθυμίζει ότι παραμένει ουσιώδους σημασίας να επιτρέπονται οι κρατικές ενισχύσεις στο πλαίσιο υπηρεσιών γενικού οικονομικού συμφέροντος (ΥΓΟΣ), για την επιβίωση αρκετών κοινοτήτων ανά την Ευρώπη, ειδικότερα στο πλαίσιο κρατικής στήριξης για τη συνδεσιμότητα και άλλες βασικές παροχές υπηρεσιών για κοινότητες που βρίσκονται σε απομονωμένες, απομακρυσμένες ή περιφερειακές περιοχές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Χαιρετίζει την επικείμενη επανεξέταση της οδηγίας για τις δημόσιες συμβάσεις·</w:t>
            </w:r>
            <w:r>
              <w:t xml:space="preserve"> </w:t>
            </w:r>
            <w:r>
              <w:rPr>
                <w:b/>
                <w:i/>
              </w:rPr>
              <w:t>καλεί την Επιτροπή να εκσυγχρονίσει τους κανόνες για τις δημόσιες συμβάσεις, ώστε να συμβάλει στην προώθηση της πράσινης και της ψηφιακής βιομηχανίας·</w:t>
            </w:r>
            <w:r>
              <w:t xml:space="preserve"> </w:t>
            </w:r>
            <w:r>
              <w:rPr>
                <w:b/>
                <w:i/>
              </w:rPr>
              <w:t>καλεί την Επιτροπή να λάβει υπόψη τα κριτήρια βιωσιμότητας και κυριαρχίας για τους κανόνες για τις δημόσιες συμβάσεις, προκειμένου να προωθήσει την παραγωγή αγαθών «που παράγονται στην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12α.</w:t>
            </w:r>
            <w:r>
              <w:tab/>
            </w:r>
            <w:r>
              <w:rPr>
                <w:b/>
                <w:i/>
              </w:rPr>
              <w:t>ζητά τον σεβασμό της υπεροχής των οικονομικών συμφερόντων των κρατών μελών και της Ένωσης επί των κανόνων όταν αυτοί προκαλούν διένεξη κατά τρόπο που διακινδυνεύει σοβαρά τα συμφέροντα, όπως μπορεί να διαπιστωθεί κατά την κρίση που αντιμετωπίζει η αυτοκινητοβιομηχανία μας·</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καλεί την Επιτροπή να εκδώσει σαφείς δημόσιες κατευθυντήριες γραμμές για τον δυνατό τρόπο συνεργασίας των εταιρειών και συμμετοχής τους σε προμήθειες από κοινού χωρίς να έρχονται σε σύγκρουση με τους κανόνες ανταγωνισμού, ειδικά όσον αφορά τη συνεργασία για στόχους που αφορούν το περιβάλλον και τη βιωσιμότητα·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τονίζει ότι οι κρατικές ενισχύσεις δεν θα πρέπει να ισοδυναμούν με μεταφορά του δημόσιου πλούτου σε ιδιώτες μετόχους·</w:t>
            </w:r>
            <w:r>
              <w:t xml:space="preserve"> </w:t>
            </w:r>
            <w:r>
              <w:rPr>
                <w:b/>
                <w:i/>
              </w:rPr>
              <w:t>ζητεί την απαγόρευση της διανομής μερισμάτων στους μετόχους και πριμ στα ανώτερα διοικητικά στελέχη εταιρειών που λαμβάνουν κρατικές ενισχύσεις·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τονίζει ότι σκοπός των κρατικών ενισχύσεων δεν είναι η εξυπηρέτηση των ιδιωτικών συμφερόντων των εταιρειών, αλλά η υποστήριξη και η καθοδήγηση της βιώσιμης βιομηχανικής ανάπτυξης προς το δημόσιο συμφέρον·</w:t>
            </w:r>
            <w:r>
              <w:t xml:space="preserve"> </w:t>
            </w:r>
            <w:r>
              <w:rPr>
                <w:b/>
                <w:i/>
              </w:rPr>
              <w:t>καλεί τα κράτη μέλη να επιβάλουν κοινωνικές αιρεσιμότητες στην παροχή κρατικής ενίσχυσης με στόχο την προώθηση καλών συνθηκών εργασίας και αμοιβών, των δικαιωμάτων συμμετοχής στην εργασία και συλλογικών διαπραγματεύσεων και της διατήρησης και δημιουργίας νέων θέσεων εργασίας και μαθητείας·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λαμβάνει υπόψη την πρόσφατη απόφαση του Δικαστηρίου της Ευρωπαϊκής Ένωσης σύμφωνα με την οποία η Εσθονία δεν κατάφερε να μεταφέρει στην εθνική νομοθεσία την οδηγία ΕΔΑ+·</w:t>
            </w:r>
            <w:r>
              <w:t xml:space="preserve"> </w:t>
            </w:r>
            <w:r>
              <w:rPr>
                <w:b/>
                <w:i/>
              </w:rPr>
              <w:t>προτρέπει την Εσθονία να μεταφέρει πλήρως την οδηγία ΕΔΑ+·</w:t>
            </w:r>
            <w:r>
              <w:t xml:space="preserve"> </w:t>
            </w:r>
            <w:r>
              <w:rPr>
                <w:b/>
                <w:i/>
              </w:rPr>
              <w:t>καλεί όλα τα κράτη μέλη να διασφαλίσουν τη σωστή εφαρμογή της εν λόγω οδηγίας·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καλεί τα κράτη μέλη να επιβάλλουν περιβαλλοντικές αιρεσιμότητες στην παροχή κρατικών ενισχύσεων με στόχο την προώθηση μιας οικονομίας μηδενικών εκπομπών και μηδενικών αποβλήτων, καθώς και τη διατήρηση της βιοποικιλότητας·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εκφράζει τη λύπη του για τις διεξοδικές έρευνες της Επιτροπής σχετικά με τους κανόνες κρατικών ενισχύσεων στις περιπτώσεις των δημόσιων φορέων εκμετάλλευσης σιδηροδρομικών εμπορευματικών μεταφορών Fret SNCF και DB Cargo·</w:t>
            </w:r>
            <w:r>
              <w:t xml:space="preserve"> </w:t>
            </w:r>
            <w:r>
              <w:rPr>
                <w:b/>
                <w:i/>
              </w:rPr>
              <w:t>εκφράζει τη λύπη του για το γεγονός ότι οι έρευνες ασκούν πίεση στους φορείς για να υλοποιήσουν σχέδια αναδιάρθρωσης το οποίο συνεπάγεται μείωση των δραστηριοτήτων και των δαπανών προκειμένου να συμμορφωθούν με τη λογική της αγοράς ενώ οι εμπορευματικές μεταφορές θα πρέπει να είναι δημόσια υπηρεσία·</w:t>
            </w:r>
            <w:r>
              <w:t xml:space="preserve"> </w:t>
            </w:r>
            <w:r>
              <w:rPr>
                <w:b/>
                <w:i/>
              </w:rPr>
              <w:t>εκφράζει τη λύπη του για το γεγονός ότι η αναδιάρθρωση οδήγησε στην απώλεια εκατοντάδων θέσεων εργασίας στη Γερμανία και τη Γαλλία·</w:t>
            </w:r>
            <w:r>
              <w:t xml:space="preserve"> </w:t>
            </w:r>
            <w:r>
              <w:rPr>
                <w:b/>
                <w:i/>
              </w:rPr>
              <w:t>καλεί την Επιτροπή να διαβουλεύεται με τις συνδικαλιστικές οργανώσεις και να εγγυάται τα εργασιακά δικαιώματα σε τέτοιες περιπτώσεις·</w:t>
            </w:r>
            <w:r>
              <w:t xml:space="preserve"> </w:t>
            </w:r>
            <w:r>
              <w:rPr>
                <w:b/>
                <w:i/>
              </w:rPr>
              <w:t>υπενθυμίζει στην Επιτροπή τους στόχους που τέθηκαν από την στρατηγική για τη βιώσιμη και έξυπνη κινητικότητα στο πλαίσιο της Ευρωπαϊκής Πράσινης Συμφωνίας η οποία αποσκοπεί στον διπλασιασμό των σιδηροδρομικών εμπορευματικών μεταφορών και τη μείωση των συνολικών εκπομπών από τις μεταφορές κατά 90% έως το 2050·</w:t>
            </w:r>
            <w:r>
              <w:t xml:space="preserve"> </w:t>
            </w:r>
            <w:r>
              <w:rPr>
                <w:b/>
                <w:i/>
              </w:rPr>
              <w:t>τονίζει ότι η πολιτική ανταγωνισμού δεν θα πρέπει να εμποδίζει την πρόοδο προς την πράσινη μετάβαση για την οποία οι σιδηροδρομικές εμπορευματικές μεταφορές είναι καίριας σημασίας·</w:t>
            </w:r>
            <w:r>
              <w:t xml:space="preserve"> </w:t>
            </w:r>
            <w:r>
              <w:rPr>
                <w:b/>
                <w:i/>
              </w:rPr>
              <w:t>ζητά μεταρρύθμιση των κανόνων ανταγωνισμού για αυτούς τους λόγους·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σημειώνει με ανησυχία την ερμηνεία που έδωσε το Γενικό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w:t>
            </w:r>
            <w:r>
              <w:t xml:space="preserve"> </w:t>
            </w:r>
            <w:r>
              <w:rPr>
                <w:b/>
                <w:i/>
              </w:rPr>
              <w:t>αναγνωρίζει ότι ο κοινοτικός κανονισμός περί συγκεντρώσεων αφήνει την Επιτροπή ανεπαρκώς εξοπλισμένη για την αντιμετώπιση των φονικών εξαγορών·</w:t>
            </w:r>
            <w:r>
              <w:t xml:space="preserve"> </w:t>
            </w:r>
            <w:r>
              <w:rPr>
                <w:b/>
                <w:i/>
              </w:rPr>
              <w:t>πιστεύει ακράδαντα ότι ο αντίκτυπος των αποφάσεων συγκέντρωσης στην ενιαία αγορά δικαιολογεί την προσθήκη μιας νομικής βάσης για την ενιαία αγορά στον κοινοτικό κανονισμό περί συγκεντρώσεων, προκειμένου να συμμετέχουν πλήρως οι συννομοθέτες, κατά τρόπο παρόμοιο με αυτόν της πράξης για τις ψηφιακές αγορές·</w:t>
            </w:r>
            <w:r>
              <w:t xml:space="preserve"> </w:t>
            </w:r>
            <w:r>
              <w:rPr>
                <w:b/>
                <w:i/>
              </w:rPr>
              <w:t>καλεί την Επιτροπή να παροτρύνει τα κράτη μέλη που διαθέτουν ή μπορούν να διεκδικήσουν τη σχετική δικαιοδοσία να επανεξετάσουν πιθανές φονικές εξαγορές υπό το πρίσμα της εθνικής νομοθεσίας ελέγχου των συγκεντρώσεων και να συνεχίσουν να παραπέμπουν τις εν λόγω συμφωνίες σύμφωνα με το άρθρο 22 του κοινοτικού κανονισμού συγκεντρώσεων·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σημειώνει με ανησυχία την ερμηνεία που έδωσε το Γενικό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 αναγνωρίζει ότι ο κοινοτικός κανονισμός περί συγκεντρώσεων αφήνει την Επιτροπή ανεπαρκώς εξοπλισμένη για την αντιμετώπιση των φονικών εξαγορών· πιστεύει ακράδαντα ότι ο αντίκτυπος των αποφάσεων συγκέντρωσης στην ενιαία αγορά δικαιολογεί την προσθήκη μιας νομικής βάσης για την ενιαία αγορά στον κοινοτικό κανονισμό περί συγκεντρώσεων, προκειμένου να συμμετέχουν πλήρως οι συννομοθέτες, κατά τρόπο παρόμοιο με αυτόν της πράξης για τις ψηφιακές αγορές· καλεί την Επιτροπή να παροτρύνει τα κράτη μέλη που διαθέτουν ή μπορούν να διεκδικήσουν τη σχετική δικαιοδοσία να επανεξετάσουν πιθανές φονικές εξαγορές υπό το πρίσμα της εθνικής νομοθεσίας ελέγχου των συγκεντρώσεων και να συνεχίσουν να παραπέμπουν τις εν λόγω συμφωνίες σύμφωνα με το άρθρο 22 του κοινοτικού κανονισμού συγκεντρώσεων·</w:t>
            </w:r>
          </w:p>
        </w:tc>
        <w:tc>
          <w:tcPr>
            <w:tcW w:w="4876" w:type="dxa"/>
            <w:tcBorders>
              <w:top w:val="nil"/>
              <w:left w:val="nil"/>
              <w:bottom w:val="nil"/>
              <w:right w:val="nil"/>
            </w:tcBorders>
          </w:tcPr>
          <w:p>
            <w:pPr>
              <w:pStyle w:val="Normal6a"/>
            </w:pPr>
            <w:r>
              <w:t>13.</w:t>
            </w:r>
            <w:r>
              <w:tab/>
            </w:r>
            <w:r>
              <w:t xml:space="preserve">σημειώνει με ανησυχία την ερμηνεία που έδωσε το Γενικό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 αναγνωρίζει ότι ο κοινοτικός κανονισμός περί συγκεντρώσεων αφήνει την Επιτροπή ανεπαρκώς εξοπλισμένη για την αντιμετώπιση των φονικών εξαγορών· πιστεύει ακράδαντα ότι ο αντίκτυπος των αποφάσεων συγκέντρωσης στην ενιαία αγορά δικαιολογεί την προσθήκη μιας νομικής βάσης για την ενιαία αγορά στον κοινοτικό κανονισμό περί συγκεντρώσεων, προκειμένου να συμμετέχουν πλήρως οι συννομοθέτες, κατά τρόπο παρόμοιο με αυτόν της πράξης για τις ψηφιακές αγορές· καλεί την Επιτροπή να παροτρύνει τα κράτη μέλη που διαθέτουν ή μπορούν να διεκδικήσουν τη σχετική δικαιοδοσία να επανεξετάσουν πιθανές φονικές εξαγορές υπό το πρίσμα της εθνικής νομοθεσίας ελέγχου των συγκεντρώσεων και να συνεχίσουν να παραπέμπουν τις εν λόγω συμφωνίες σύμφωνα με το άρθρο 22 του κοινοτικού κανονισμού συγκεντρώσεων· </w:t>
            </w:r>
            <w:r>
              <w:rPr>
                <w:b/>
                <w:i/>
              </w:rPr>
              <w:t>καλεί την Επιτροπή να διερευνήσει τη δυνατότητα επανεξέτασης του κανονισμού 139/2004 ώστε να είναι δυνατή η εξέταση συγκεντρώσεων που δεν υπερβαίνουν τα κατώτατα όρια, εθνικά ή της ΕΕ, ανεξαρτήτως των εμπλεκομένων τομέων·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σημειώνει </w:t>
            </w:r>
            <w:r>
              <w:rPr>
                <w:b/>
                <w:i/>
              </w:rPr>
              <w:t>με ανησυχία</w:t>
            </w:r>
            <w:r>
              <w:t xml:space="preserve"> την ερμηνεία που έδωσε το Γενικό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 </w:t>
            </w:r>
            <w:r>
              <w:rPr>
                <w:b/>
                <w:i/>
              </w:rPr>
              <w:t>αναγνωρίζει ότι ο κοινοτικός κανονισμός περί συγκεντρώσεων αφήνει την</w:t>
            </w:r>
            <w:r>
              <w:t xml:space="preserve"> Επιτροπή </w:t>
            </w:r>
            <w:r>
              <w:rPr>
                <w:b/>
                <w:i/>
              </w:rPr>
              <w:t>ανεπαρκώς εξοπλισμένη για την αντιμετώπιση των φονικών εξαγορών·</w:t>
            </w:r>
            <w:r>
              <w:t xml:space="preserve"> </w:t>
            </w:r>
            <w:r>
              <w:rPr>
                <w:b/>
                <w:i/>
              </w:rPr>
              <w:t>πιστεύει ακράδαντα ότι ο αντίκτυπος των αποφάσεων συγκέντρωσης στην ενιαία αγορά δικαιολογεί την προσθήκη μιας νομικής βάσης για την ενιαία αγορά στον κοινοτικό κανονισμό περί συγκεντρώσεων, προκειμένου να συμμετέχουν πλήρως οι συννομοθέτες, κατά τρόπο παρόμοιο με αυτόν της πράξης για τις ψηφιακές αγορές·</w:t>
            </w:r>
            <w:r>
              <w:t xml:space="preserve"> καλεί την Επιτροπή να παροτρύνει τα κράτη μέλη που διαθέτουν ή μπορούν να διεκδικήσουν τη σχετική δικαιοδοσία να επανεξετάσουν πιθανές φονικές εξαγορές υπό το πρίσμα της εθνικής νομοθεσίας ελέγχου των </w:t>
            </w:r>
            <w:r>
              <w:rPr>
                <w:b/>
                <w:i/>
              </w:rPr>
              <w:t>συγκεντρώσεων και να συνεχίσουν να παραπέμπουν τις εν λόγω συμφωνίες σύμφωνα με το άρθρο 22 του κοινοτικού κανονισμού</w:t>
            </w:r>
            <w:r>
              <w:t xml:space="preserve"> συγκεντρώσεων·</w:t>
            </w:r>
          </w:p>
        </w:tc>
        <w:tc>
          <w:tcPr>
            <w:tcW w:w="4876" w:type="dxa"/>
            <w:tcBorders>
              <w:top w:val="nil"/>
              <w:left w:val="nil"/>
              <w:bottom w:val="nil"/>
              <w:right w:val="nil"/>
            </w:tcBorders>
          </w:tcPr>
          <w:p>
            <w:pPr>
              <w:pStyle w:val="Normal6a"/>
            </w:pPr>
            <w:r>
              <w:t>13.</w:t>
            </w:r>
            <w:r>
              <w:tab/>
            </w:r>
            <w:r>
              <w:t xml:space="preserve">σημειώνει την ερμηνεία που έδωσε το Γενικό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 </w:t>
            </w:r>
            <w:r>
              <w:rPr>
                <w:b/>
                <w:i/>
              </w:rPr>
              <w:t>επισημαίνει ότι η</w:t>
            </w:r>
            <w:r>
              <w:t xml:space="preserve"> Επιτροπή </w:t>
            </w:r>
            <w:r>
              <w:rPr>
                <w:b/>
                <w:i/>
              </w:rPr>
              <w:t>θα πρέπει πάντα να ακολουθεί τις δικαστικές ερμηνείες στις αποφάσεις υποθέσεων ανταγωνισμού για να αποφεύγεται η περαιτέρω υπονόμευση της αποτελεσματικότητας, της προβλεψιμότητας και της ασφάλειας δικαίου η οποία πρέπει να είναι εξασφαλισμένη στα μέρη της συγκέντρωσης για την καλή λειτουργία της εσωτερικής αγοράς της ΕΕ</w:t>
            </w:r>
            <w:r>
              <w:rPr>
                <w:b/>
                <w:i/>
                <w:vertAlign w:val="superscript"/>
              </w:rPr>
              <w:t>8a</w:t>
            </w:r>
            <w:r>
              <w:rPr>
                <w:b/>
                <w:i/>
              </w:rPr>
              <w:t>·</w:t>
            </w:r>
            <w:r>
              <w:t xml:space="preserve"> καλεί την Επιτροπή να παροτρύνει τα κράτη μέλη που διαθέτουν ή μπορούν να διεκδικήσουν τη σχετική δικαιοδοσία να επανεξετάσουν πιθανές φονικές εξαγορές υπό το πρίσμα της εθνικής νομοθεσίας ελέγχου των συγκεντρώσεων·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Υπόθεση C-611/22, σκέψη 206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σημειώνει με ανησυχία την ερμηνεία που έδωσε το Γενικό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 αναγνωρίζει ότι ο κοινοτικός κανονισμός περί συγκεντρώσεων </w:t>
            </w:r>
            <w:r>
              <w:rPr>
                <w:b/>
                <w:i/>
              </w:rPr>
              <w:t>αφήνει την</w:t>
            </w:r>
            <w:r>
              <w:t xml:space="preserve"> Επιτροπή </w:t>
            </w:r>
            <w:r>
              <w:rPr>
                <w:b/>
                <w:i/>
              </w:rPr>
              <w:t>ανεπαρκώς εξοπλισμένη για την αντιμετώπιση των φονικών εξαγορών</w:t>
            </w:r>
            <w:r>
              <w:t xml:space="preserve">· πιστεύει ακράδαντα ότι ο αντίκτυπος των αποφάσεων συγκέντρωσης στην </w:t>
            </w:r>
            <w:r>
              <w:rPr>
                <w:b/>
                <w:i/>
              </w:rPr>
              <w:t>ενιαία</w:t>
            </w:r>
            <w:r>
              <w:t xml:space="preserve"> αγορά δικαιολογεί την προσθήκη μιας νομικής βάσης για την </w:t>
            </w:r>
            <w:r>
              <w:rPr>
                <w:b/>
                <w:i/>
              </w:rPr>
              <w:t>ενιαία</w:t>
            </w:r>
            <w:r>
              <w:t xml:space="preserve"> αγορά στον κοινοτικό κανονισμό περί συγκεντρώσεων</w:t>
            </w:r>
            <w:r>
              <w:rPr>
                <w:b/>
                <w:i/>
              </w:rPr>
              <w:t>, προκειμένου να συμμετέχουν πλήρως οι συννομοθέτες, κατά τρόπο παρόμοιο με αυτόν της πράξης για τις ψηφιακές αγορές</w:t>
            </w:r>
            <w:r>
              <w:t xml:space="preserve">· καλεί την Επιτροπή να </w:t>
            </w:r>
            <w:r>
              <w:rPr>
                <w:b/>
                <w:i/>
              </w:rPr>
              <w:t>παροτρύνει</w:t>
            </w:r>
            <w:r>
              <w:t xml:space="preserve"> τα κράτη μέλη που διαθέτουν ή μπορούν να διεκδικήσουν τη σχετική </w:t>
            </w:r>
            <w:r>
              <w:rPr>
                <w:b/>
                <w:i/>
              </w:rPr>
              <w:t>δικαιοδοσία να επανεξετάσουν</w:t>
            </w:r>
            <w:r>
              <w:t xml:space="preserve"> πιθανές φονικές εξαγορές υπό το πρίσμα της εθνικής νομοθεσίας ελέγχου των συγκεντρώσεων και να συνεχίσουν να παραπέμπουν </w:t>
            </w:r>
            <w:r>
              <w:rPr>
                <w:b/>
                <w:i/>
              </w:rPr>
              <w:t>τις εν λόγω</w:t>
            </w:r>
            <w:r>
              <w:t xml:space="preserve"> συμφωνίες σύμφωνα με το άρθρο 22 του κοινοτικού κανονισμού συγκεντρώσεων·</w:t>
            </w:r>
          </w:p>
        </w:tc>
        <w:tc>
          <w:tcPr>
            <w:tcW w:w="4876" w:type="dxa"/>
            <w:tcBorders>
              <w:top w:val="nil"/>
              <w:left w:val="nil"/>
              <w:bottom w:val="nil"/>
              <w:right w:val="nil"/>
            </w:tcBorders>
          </w:tcPr>
          <w:p>
            <w:pPr>
              <w:pStyle w:val="Normal6a"/>
            </w:pPr>
            <w:r>
              <w:t>13.</w:t>
            </w:r>
            <w:r>
              <w:tab/>
            </w:r>
            <w:r>
              <w:t xml:space="preserve">σημειώνει με ανησυχία την ερμηνεία που έδωσε το Γενικό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 αναγνωρίζει ότι ο κοινοτικός κανονισμός περί συγκεντρώσεων </w:t>
            </w:r>
            <w:r>
              <w:rPr>
                <w:b/>
                <w:i/>
              </w:rPr>
              <w:t>δεν παρέχει στην</w:t>
            </w:r>
            <w:r>
              <w:t xml:space="preserve"> Επιτροπή </w:t>
            </w:r>
            <w:r>
              <w:rPr>
                <w:b/>
                <w:i/>
              </w:rPr>
              <w:t>επαρκή εργαλεία για να αντιμετωπίσει τις φονικές εξαγορές</w:t>
            </w:r>
            <w:r>
              <w:t xml:space="preserve">· πιστεύει ακράδαντα ότι ο αντίκτυπος των αποφάσεων συγκέντρωσης στην </w:t>
            </w:r>
            <w:r>
              <w:rPr>
                <w:b/>
                <w:i/>
              </w:rPr>
              <w:t>εσωτερική</w:t>
            </w:r>
            <w:r>
              <w:t xml:space="preserve"> αγορά δικαιολογεί την προσθήκη μιας νομικής βάσης για την </w:t>
            </w:r>
            <w:r>
              <w:rPr>
                <w:b/>
                <w:i/>
              </w:rPr>
              <w:t>εσωτερική</w:t>
            </w:r>
            <w:r>
              <w:t xml:space="preserve"> αγορά στον κοινοτικό κανονισμό περί συγκεντρώσεων· καλεί την Επιτροπή να </w:t>
            </w:r>
            <w:r>
              <w:rPr>
                <w:b/>
                <w:i/>
              </w:rPr>
              <w:t>απαιτήσει από</w:t>
            </w:r>
            <w:r>
              <w:t xml:space="preserve"> τα κράτη μέλη που διαθέτουν ή μπορούν να διεκδικήσουν τη σχετική </w:t>
            </w:r>
            <w:r>
              <w:rPr>
                <w:b/>
                <w:i/>
              </w:rPr>
              <w:t>αρμοδιότητα να εξετάσουν</w:t>
            </w:r>
            <w:r>
              <w:t xml:space="preserve"> πιθανές φονικές εξαγορές υπό το πρίσμα της εθνικής νομοθεσίας ελέγχου των συγκεντρώσεων και να συνεχίσουν να παραπέμπουν </w:t>
            </w:r>
            <w:r>
              <w:rPr>
                <w:b/>
                <w:i/>
              </w:rPr>
              <w:t>τέτοιες</w:t>
            </w:r>
            <w:r>
              <w:t xml:space="preserve"> συμφωνίες σύμφωνα με το άρθρο 22 του κοινοτικού κανονισμού συγκεντρώσεων·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σημειώνει με ανησυχία την ερμηνεία που έδωσε το </w:t>
            </w:r>
            <w:r>
              <w:rPr>
                <w:b/>
                <w:i/>
              </w:rPr>
              <w:t>Γενικό</w:t>
            </w:r>
            <w:r>
              <w:t xml:space="preserve">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 αναγνωρίζει ότι ο κοινοτικός κανονισμός περί συγκεντρώσεων αφήνει την Επιτροπή ανεπαρκώς εξοπλισμένη για την αντιμετώπιση των φονικών εξαγορών· πιστεύει ακράδαντα ότι ο αντίκτυπος των αποφάσεων συγκέντρωσης στην ενιαία αγορά δικαιολογεί την προσθήκη μιας νομικής βάσης για την ενιαία αγορά στον κοινοτικό κανονισμό περί συγκεντρώσεων, προκειμένου να συμμετέχουν πλήρως οι συννομοθέτες, κατά τρόπο παρόμοιο με αυτόν της πράξης για τις ψηφιακές αγορές· καλεί την Επιτροπή να παροτρύνει τα κράτη μέλη που διαθέτουν ή μπορούν να διεκδικήσουν τη σχετική δικαιοδοσία να επανεξετάσουν πιθανές φονικές εξαγορές υπό το πρίσμα της εθνικής νομοθεσίας ελέγχου των συγκεντρώσεων και να συνεχίσουν να παραπέμπουν τις εν λόγω συμφωνίες σύμφωνα με το άρθρο 22 του κοινοτικού κανονισμού συγκεντρώσεων·</w:t>
            </w:r>
          </w:p>
        </w:tc>
        <w:tc>
          <w:tcPr>
            <w:tcW w:w="4876" w:type="dxa"/>
            <w:tcBorders>
              <w:top w:val="nil"/>
              <w:left w:val="nil"/>
              <w:bottom w:val="nil"/>
              <w:right w:val="nil"/>
            </w:tcBorders>
          </w:tcPr>
          <w:p>
            <w:pPr>
              <w:pStyle w:val="Normal6a"/>
            </w:pPr>
            <w:r>
              <w:t>13.</w:t>
            </w:r>
            <w:r>
              <w:tab/>
            </w:r>
            <w:r>
              <w:t>σημειώνει με ανησυχία την ερμηνεία που έδωσε το Δικαστήριο στο άρθρο 22 του κοινοτικού κανονισμού περί συγκεντρώσεων στην υπόθεση C-611/22 P (Illumina κατά Επιτροπής), η οποία ανατρέπει την τακτική της Επιτροπής να δέχεται παραπομπές για μη κοινοποιήτεες συμφωνίες· αναγνωρίζει ότι ο κοινοτικός κανονισμός περί συγκεντρώσεων αφήνει την Επιτροπή ανεπαρκώς εξοπλισμένη για την αντιμετώπιση των φονικών εξαγορών· πιστεύει ακράδαντα ότι ο αντίκτυπος των αποφάσεων συγκέντρωσης στην ενιαία αγορά δικαιολογεί την προσθήκη μιας νομικής βάσης για την ενιαία αγορά στον κοινοτικό κανονισμό περί συγκεντρώσεων, προκειμένου να συμμετέχουν πλήρως οι συννομοθέτες, κατά τρόπο παρόμοιο με αυτόν της πράξης για τις ψηφιακές αγορές· καλεί την Επιτροπή να παροτρύνει τα κράτη μέλη που διαθέτουν ή μπορούν να διεκδικήσουν τη σχετική δικαιοδοσία να επανεξετάσουν πιθανές φονικές εξαγορές υπό το πρίσμα της εθνικής νομοθεσίας ελέγχου των συγκεντρώσεων και να συνεχίσουν να παραπέμπουν τις εν λόγω συμφωνίες σύμφωνα με το άρθρο 22 του κοινοτικού κανονισμού συγκεντρώσεων·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13α.</w:t>
            </w:r>
            <w:r>
              <w:tab/>
            </w:r>
            <w:r>
              <w:rPr>
                <w:b/>
                <w:i/>
              </w:rPr>
              <w:t>σημειώνει ότι, παρά τις ιδιαίτερα προβεβλημένες έρευνες, η επιβολή της πολιτικής ανταγωνισμού και, ιδίως, οι έλεγχοι των συγκεντρώσεων έχουν μικρότερο αντίκτυπο·</w:t>
            </w:r>
            <w:r>
              <w:t xml:space="preserve"> </w:t>
            </w:r>
            <w:r>
              <w:rPr>
                <w:b/>
                <w:i/>
              </w:rPr>
              <w:t>σημειώνει με ανησυχία ότι, από τη θέσπιση του κανονισμού του 2004 για τις συγκεντρώσεις, μόνο το 0,7 % των κοινοποιηθεισών συγκεντρώσεων είτε εμποδίστηκαν από την Επιτροπή είτε αποσύρθηκαν μετά από έρευνα, ενώ οι εξαγορές από μεγάλες επιχειρήσεις ενδέχεται να συνέβαλαν στην αύξηση της συγκέντρωσης της αγοράς και των προσαυξήσεων·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χαιρετίζει την πρόταση του Mario Draghi για μια «άμυνα της καινοτομίας»</w:t>
            </w:r>
            <w:r>
              <w:rPr>
                <w:b/>
                <w:i/>
              </w:rPr>
              <w:t>·</w:t>
            </w:r>
            <w:r>
              <w:t xml:space="preserve"> </w:t>
            </w:r>
            <w:r>
              <w:rPr>
                <w:b/>
                <w:i/>
              </w:rPr>
              <w:t>ζητεί, επιπλέον, να λαμβάνονται υπόψη ζητήματα δημόσιου συμφέροντος, όπως η προστασία του κλίματος, η βιωσιμότητα και ο αντίκτυπος στους εργαζομένους,</w:t>
            </w:r>
            <w:r>
              <w:t xml:space="preserve"> κατά την εξέταση των επιπτώσεων μιας συγκέντρωσης στην εσωτερική αγορά·</w:t>
            </w:r>
          </w:p>
        </w:tc>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w:t>
            </w:r>
            <w:r>
              <w:rPr>
                <w:b/>
                <w:i/>
              </w:rPr>
              <w:t>όπου η καινοτομία αποτελεί βασικό μοχλό για την οικονομική ανάπτυξη και λαμβάνοντας υπόψη ότι η συγκέντρωση των επιχειρήσεων, υπό τον κατάλληλο έλεγχο, μπορεί να συμβάλει θετικά στην καινοτομία και την ανταγωνιστικότητα, συνδυάζοντας πόρους και δεξιότητες για την παροχή καλύτερων προϊόντων και υπηρεσιών·</w:t>
            </w:r>
            <w:r>
              <w:t xml:space="preserve"> </w:t>
            </w:r>
            <w:r>
              <w:rPr>
                <w:b/>
                <w:i/>
              </w:rPr>
              <w:t>ζητεί, επιπλέον, να λαμβάνεται υπόψη η αποτελεσματικότητα της αγοράς</w:t>
            </w:r>
            <w:r>
              <w:t xml:space="preserve"> κατά την εξέταση των επιπτώσεων μιας συγκέντρωσης στην εσωτερική αγορά· </w:t>
            </w:r>
            <w:r>
              <w:rPr>
                <w:b/>
                <w:i/>
              </w:rPr>
              <w:t>επιμένει ότι η ανάλυση των συγκεντρώσεων στην εσωτερική αγορά δεν θα πρέπει να βασίζεται σε εκτιμήσεις που δεν σχετίζονται με τις οικονομικές επιδόσεις και τον αποτελεσματικό ανταγωνισμό, και επιβεβαιώνει ότι οι κρατικές παρεμβάσεις θα πρέπει να είναι ελάχιστες και να περιορίζονται σε περιπτώσεις όπου υπάρχει σαφής κίνδυνος η συγκέντρωση να εμποδίσει τον αποτελεσματικό ανταγωνισμό ή να οδηγήσει σε κατάχρηση της ισχύος στην αγορά η οποία πλήττει τους καταναλωτές·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w:t>
            </w:r>
            <w:r>
              <w:rPr>
                <w:b/>
                <w:i/>
              </w:rPr>
              <w:t>ζητεί, επιπλέον, να λαμβάνονται υπόψη ζητήματα δημόσιου συμφέροντος, όπως η προστασία του κλίματος, η βιωσιμότητα και ο αντίκτυπος στους εργαζομένους, κατά την εξέταση των επιπτώσεων μιας συγκέντρωσης στην εσωτερική αγορά·</w:t>
            </w:r>
          </w:p>
        </w:tc>
        <w:tc>
          <w:tcPr>
            <w:tcW w:w="4876" w:type="dxa"/>
            <w:tcBorders>
              <w:top w:val="nil"/>
              <w:left w:val="nil"/>
              <w:bottom w:val="nil"/>
              <w:right w:val="nil"/>
            </w:tcBorders>
          </w:tcPr>
          <w:p>
            <w:pPr>
              <w:pStyle w:val="Normal6a"/>
            </w:pPr>
            <w:r>
              <w:t>14.</w:t>
            </w:r>
            <w:r>
              <w:tab/>
            </w:r>
            <w:r>
              <w:t>χαιρετίζει την πρόταση του Mario Draghi για μια «άμυνα της καινοτομίας»·</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χαιρετίζει</w:t>
            </w:r>
            <w:r>
              <w:t xml:space="preserve"> την πρόταση του Mario Draghi για μια «άμυνα της καινοτομίας»· ζητεί, επιπλέον, να λαμβάνονται υπόψη ζητήματα δημόσιου συμφέροντος, όπως η προστασία του κλίματος, η βιωσιμότητα και ο αντίκτυπος στους εργαζομένους, κατά την εξέταση των επιπτώσεων μιας συγκέντρωσης στην εσωτερική αγορά·</w:t>
            </w:r>
          </w:p>
        </w:tc>
        <w:tc>
          <w:tcPr>
            <w:tcW w:w="4876" w:type="dxa"/>
            <w:tcBorders>
              <w:top w:val="nil"/>
              <w:left w:val="nil"/>
              <w:bottom w:val="nil"/>
              <w:right w:val="nil"/>
            </w:tcBorders>
          </w:tcPr>
          <w:p>
            <w:pPr>
              <w:pStyle w:val="Normal6a"/>
            </w:pPr>
            <w:r>
              <w:t>14.</w:t>
            </w:r>
            <w:r>
              <w:tab/>
            </w:r>
            <w:r>
              <w:rPr>
                <w:b/>
                <w:i/>
              </w:rPr>
              <w:t>σημειώνει</w:t>
            </w:r>
            <w:r>
              <w:t xml:space="preserve"> την πρόταση του Mario Draghi για μια «άμυνα της καινοτομίας»· ζητεί, επιπλέον, να λαμβάνονται υπόψη ζητήματα δημόσιου συμφέροντος, όπως η προστασία του κλίματος, η βιωσιμότητα και ο αντίκτυπος στους εργαζομένους, </w:t>
            </w:r>
            <w:r>
              <w:rPr>
                <w:b/>
                <w:i/>
              </w:rPr>
              <w:t>η πολυφωνία των μέσων ενημέρωσης και η ιδιωτική ζωή,</w:t>
            </w:r>
            <w:r>
              <w:t xml:space="preserve"> κατά την εξέταση των επιπτώσεων μιας συγκέντρωσης στην εσωτερική αγορά </w:t>
            </w:r>
            <w:r>
              <w:rPr>
                <w:b/>
                <w:i/>
              </w:rPr>
              <w:t>και της ύπαρξης αντιανταγωνιστικών πρακτικών σύμφωνα με τα άρθρα 101 και 102 ΣΛΕΕ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ζητεί, επιπλέον, να λαμβάνονται υπόψη ζητήματα δημόσιου συμφέροντος, όπως η προστασία του κλίματος, η βιωσιμότητα </w:t>
            </w:r>
            <w:r>
              <w:rPr>
                <w:b/>
                <w:i/>
              </w:rPr>
              <w:t>και</w:t>
            </w:r>
            <w:r>
              <w:t xml:space="preserve"> ο αντίκτυπος στους εργαζομένους, κατά την εξέταση των επιπτώσεων μιας συγκέντρωσης στην εσωτερική αγορά·</w:t>
            </w:r>
          </w:p>
        </w:tc>
        <w:tc>
          <w:tcPr>
            <w:tcW w:w="4876" w:type="dxa"/>
            <w:tcBorders>
              <w:top w:val="nil"/>
              <w:left w:val="nil"/>
              <w:bottom w:val="nil"/>
              <w:right w:val="nil"/>
            </w:tcBorders>
          </w:tcPr>
          <w:p>
            <w:pPr>
              <w:pStyle w:val="Normal6a"/>
            </w:pPr>
            <w:r>
              <w:t>14.</w:t>
            </w:r>
            <w:r>
              <w:tab/>
            </w:r>
            <w:r>
              <w:t>χαιρετίζει την πρόταση του Mario Draghi για μια «άμυνα της καινοτομίας»· ζητεί, επιπλέον, να λαμβάνονται υπόψη ζητήματα δημόσιου συμφέροντος, όπως η προστασία του κλίματος, η βιωσιμότητα</w:t>
            </w:r>
            <w:r>
              <w:rPr>
                <w:b/>
                <w:i/>
              </w:rPr>
              <w:t>,</w:t>
            </w:r>
            <w:r>
              <w:t xml:space="preserve"> ο αντίκτυπος στους εργαζομένους</w:t>
            </w:r>
            <w:r>
              <w:rPr>
                <w:b/>
                <w:i/>
              </w:rPr>
              <w:t>, η ανταγωνιστικότητα των αγορών μας και η αυτονομία των βιομηχανιών μας ιδίως στον τομέα της ενέργειας</w:t>
            </w:r>
            <w:r>
              <w:t>, κατά την εξέταση των επιπτώσεων μιας συγκέντρωσης στην εσωτερική αγορά·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χαιρετίζει την πρόταση του Mario Draghi για μια «άμυνα της καινοτομίας»· ζητεί, επιπλέον, να λαμβάνονται υπόψη ζητήματα δημόσιου συμφέροντος</w:t>
            </w:r>
            <w:r>
              <w:rPr>
                <w:b/>
                <w:i/>
              </w:rPr>
              <w:t>, όπως η προστασία του κλίματος, η βιωσιμότητα και ο αντίκτυπος στους εργαζομένους,</w:t>
            </w:r>
            <w:r>
              <w:t xml:space="preserve"> κατά την εξέταση των επιπτώσεων μιας συγκέντρωσης στην εσωτερική αγορά·</w:t>
            </w:r>
          </w:p>
        </w:tc>
        <w:tc>
          <w:tcPr>
            <w:tcW w:w="4876" w:type="dxa"/>
            <w:tcBorders>
              <w:top w:val="nil"/>
              <w:left w:val="nil"/>
              <w:bottom w:val="nil"/>
              <w:right w:val="nil"/>
            </w:tcBorders>
          </w:tcPr>
          <w:p>
            <w:pPr>
              <w:pStyle w:val="Normal6a"/>
            </w:pPr>
            <w:r>
              <w:t>14.</w:t>
            </w:r>
            <w:r>
              <w:tab/>
            </w:r>
            <w:r>
              <w:t>χαιρετίζει την πρόταση του Mario Draghi για μια «άμυνα της καινοτομίας»· ζητεί, επιπλέον, να λαμβάνονται υπόψη ζητήματα δημόσιου συμφέροντος κατά την εξέταση των επιπτώσεων μιας συγκέντρωσης στην εσωτερική αγορά·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χαιρετίζει την πρόταση του Mario Draghi για μια «άμυνα της καινοτομίας»</w:t>
            </w:r>
            <w:r>
              <w:rPr>
                <w:b/>
                <w:i/>
              </w:rPr>
              <w:t>·</w:t>
            </w:r>
            <w:r>
              <w:t xml:space="preserve"> </w:t>
            </w:r>
            <w:r>
              <w:rPr>
                <w:b/>
                <w:i/>
              </w:rPr>
              <w:t>ζητεί, επιπλέον, να λαμβάνονται υπόψη ζητήματα δημόσιου συμφέροντος, όπως η προστασία του κλίματος, η βιωσιμότητα και ο αντίκτυπος στους εργαζομένους, κατά την εξέταση των επιπτώσεων μιας συγκέντρωσης στην εσωτερική αγορά</w:t>
            </w:r>
            <w:r>
              <w:t>·</w:t>
            </w:r>
          </w:p>
        </w:tc>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w:t>
            </w:r>
            <w:r>
              <w:rPr>
                <w:b/>
                <w:i/>
              </w:rPr>
              <w:t>σε περιπτώσεις που η συγκέντρωση αυξάνει την ικανότητα και τα κίνητρα για καινοτομία·</w:t>
            </w:r>
            <w:r>
              <w:t xml:space="preserve"> </w:t>
            </w:r>
            <w:r>
              <w:rPr>
                <w:b/>
                <w:i/>
              </w:rPr>
              <w:t>καλεί την Ευρωπαϊκή Επιτροπή να αναλύσει και να αναπτύξει περαιτέρω την έννοια αυτή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χαιρετίζει την πρόταση του Mario Draghi για μια «άμυνα της καινοτομίας»· ζητεί, επιπλέον, να λαμβάνονται υπόψη ζητήματα δημόσιου συμφέροντος, όπως η προστασία του κλίματος, η βιωσιμότητα και ο αντίκτυπος στους εργαζομένους, κατά την εξέταση των επιπτώσεων μιας συγκέντρωσης στην εσωτερική αγορά·</w:t>
            </w:r>
          </w:p>
        </w:tc>
        <w:tc>
          <w:tcPr>
            <w:tcW w:w="4876" w:type="dxa"/>
            <w:tcBorders>
              <w:top w:val="nil"/>
              <w:left w:val="nil"/>
              <w:bottom w:val="nil"/>
              <w:right w:val="nil"/>
            </w:tcBorders>
          </w:tcPr>
          <w:p>
            <w:pPr>
              <w:pStyle w:val="Normal6a"/>
            </w:pPr>
            <w:r>
              <w:t>14.</w:t>
            </w:r>
            <w:r>
              <w:tab/>
            </w:r>
            <w:r>
              <w:t>χαιρετίζει την πρόταση του Mario Draghi για μια «άμυνα της καινοτομίας»· ζητεί, επιπλέον, να λαμβάνονται υπόψη ζητήματα δημόσιου συμφέροντος, όπως η προστασία του κλίματος, η βιωσιμότητα</w:t>
            </w:r>
            <w:r>
              <w:rPr>
                <w:b/>
                <w:i/>
              </w:rPr>
              <w:t>, η εγγύηση παροχής υπηρεσιών</w:t>
            </w:r>
            <w:r>
              <w:t xml:space="preserve"> και ο αντίκτυπος στους εργαζομένους, κατά την εξέταση των επιπτώσεων μιας συγκέντρωσης στην εσωτερική αγορά·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ζητεί, επιπλέον, να λαμβάνονται υπόψη </w:t>
            </w:r>
            <w:r>
              <w:rPr>
                <w:b/>
                <w:i/>
              </w:rPr>
              <w:t>ζητήματα δημόσιου συμφέροντος, όπως η προστασία του κλίματος, η βιωσιμότητα και ο αντίκτυπος στους εργαζομένους, κατά την εξέταση των επιπτώσεων μιας συγκέντρωσης στην εσωτερική αγορά</w:t>
            </w:r>
            <w:r>
              <w:t>·</w:t>
            </w:r>
          </w:p>
        </w:tc>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ζητεί, επιπλέον, να λαμβάνονται υπόψη </w:t>
            </w:r>
            <w:r>
              <w:rPr>
                <w:b/>
                <w:i/>
              </w:rPr>
              <w:t>οι κίνδυνοι διατάραξης της οικονομίας της ΕΕ στις αξιολογήσεις της ΓΔ Ανταγωνισμού</w:t>
            </w:r>
            <w:r>
              <w:rPr>
                <w:b/>
                <w:i/>
                <w:vertAlign w:val="superscript"/>
              </w:rPr>
              <w:t>9a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Το μέλλον της ευρωπαϊκής ανταγωνιστικότητας Μέρος Β</w:t>
            </w:r>
            <w:r>
              <w:t xml:space="preserve"> </w:t>
            </w:r>
            <w:r>
              <w:rPr>
                <w:b/>
                <w:i/>
              </w:rPr>
              <w:t>| Λεπτομερής ανάλυση και συστάσεις, Κεφάλαιο 4 - Αναμόρφωση του Ανταγωνισμού, σελ. 300.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ζητεί, </w:t>
            </w:r>
            <w:r>
              <w:rPr>
                <w:b/>
                <w:i/>
              </w:rPr>
              <w:t>επιπλέον, να λαμβάνονται</w:t>
            </w:r>
            <w:r>
              <w:t xml:space="preserve"> υπόψη </w:t>
            </w:r>
            <w:r>
              <w:rPr>
                <w:b/>
                <w:i/>
              </w:rPr>
              <w:t>ζητήματα δημόσιου συμφέροντος, όπως η προστασία του κλίματος, η βιωσιμότητα και ο αντίκτυπος στους εργαζομένους,</w:t>
            </w:r>
            <w:r>
              <w:t xml:space="preserve"> κατά την εξέταση των επιπτώσεων μιας συγκέντρωσης στην εσωτερική αγορά·</w:t>
            </w:r>
          </w:p>
        </w:tc>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ζητεί, </w:t>
            </w:r>
            <w:r>
              <w:rPr>
                <w:b/>
                <w:i/>
              </w:rPr>
              <w:t>ως εκ τούτου, να λαμβάνεται</w:t>
            </w:r>
            <w:r>
              <w:t xml:space="preserve"> υπόψη </w:t>
            </w:r>
            <w:r>
              <w:rPr>
                <w:b/>
                <w:i/>
              </w:rPr>
              <w:t>η ικανότητα να αποτελεί πηγή καινοτομίας</w:t>
            </w:r>
            <w:r>
              <w:t xml:space="preserve"> κατά την εξέταση των επιπτώσεων μιας συγκέντρωσης στην εσωτερική αγορά·</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ζητεί, επιπλέον, να λαμβάνονται υπόψη ζητήματα δημόσιου συμφέροντος, όπως </w:t>
            </w:r>
            <w:r>
              <w:rPr>
                <w:b/>
                <w:i/>
              </w:rPr>
              <w:t>η προστασία του κλίματος, η βιωσιμότητα και ο αντίκτυπος στους εργαζομένους</w:t>
            </w:r>
            <w:r>
              <w:t>, κατά την εξέταση των επιπτώσεων μιας συγκέντρωσης στην εσωτερική αγορά·</w:t>
            </w:r>
          </w:p>
        </w:tc>
        <w:tc>
          <w:tcPr>
            <w:tcW w:w="4876" w:type="dxa"/>
            <w:tcBorders>
              <w:top w:val="nil"/>
              <w:left w:val="nil"/>
              <w:bottom w:val="nil"/>
              <w:right w:val="nil"/>
            </w:tcBorders>
          </w:tcPr>
          <w:p>
            <w:pPr>
              <w:pStyle w:val="Normal6a"/>
            </w:pPr>
            <w:r>
              <w:t>14.</w:t>
            </w:r>
            <w:r>
              <w:tab/>
            </w:r>
            <w:r>
              <w:t xml:space="preserve">χαιρετίζει την πρόταση του Mario Draghi για μια «άμυνα της καινοτομίας»· ζητεί, επιπλέον, να λαμβάνονται υπόψη ζητήματα δημόσιου συμφέροντος, όπως </w:t>
            </w:r>
            <w:r>
              <w:rPr>
                <w:b/>
                <w:i/>
              </w:rPr>
              <w:t>ο αντίκτυπος στους εργαζομένους ή η ευρωπαϊκή στρατηγική ανεξαρτησία</w:t>
            </w:r>
            <w:r>
              <w:t>, κατά την εξέταση των επιπτώσεων μιας συγκέντρωσης στην εσωτερική αγορά·</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καλεί την Επιτροπή να υιοθετήσει μια μακρόπνοη προσέγγιση για την ενοποίηση στην ΕΕ, όπως προτείνεται επίσης στις εκθέσεις Draghi και Letta, λαμβάνοντας υπόψη τη στρατηγική σημασία και τον θετικό για τον ανταγωνισμό αντίκτυπο των ευνοϊκών επενδυτικών συνθηκών κλίμακας σε ορισμένους τομείς για την προώθηση της καινοτομίας και του μακροπρόθεσμου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λαμβάνει υπόψη την πρόταση για «εκ των υστέρων» διορθωτικά μέτρα σε υποθέσεις συγκεντρώσεων που παρουσιάστηκε στην έκθεση Draghi·</w:t>
            </w:r>
            <w:r>
              <w:t xml:space="preserve"> </w:t>
            </w:r>
            <w:r>
              <w:rPr>
                <w:b/>
                <w:i/>
              </w:rPr>
              <w:t>εκφράζει την ικανοποίησή του για την εξέταση διαρθρωτικών διορθωτικών μέτρων, επισημαίνοντας παράλληλα ότι ο εκ των υστέρων έλεγχος των συγκεντρώσεων δεν αποτελεί τέλειο υποκατάστατο του εκ των προτέρων ελέγχου των συγκεντρώσεων, καθώς η (μερική) αναίρεση της ενσωμάτωσης των επιχειρήσεων μπορεί να παρουσιάζει πρακτικές δυσκολίες·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14α.</w:t>
            </w:r>
            <w:r>
              <w:tab/>
            </w:r>
            <w:r>
              <w:rPr>
                <w:b/>
                <w:i/>
              </w:rPr>
              <w:t>ζητεί από την Επιτροπή να προσδιορίσει τους εθνικούς φραγμούς που ενδέχεται να την εμποδίσουν να θεωρήσει την ευρωπαϊκή αγορά ως σχετική κατά την ανάλυση των συγκεντρώσεων·</w:t>
            </w:r>
            <w:r>
              <w:t xml:space="preserve"> </w:t>
            </w:r>
            <w:r>
              <w:rPr>
                <w:b/>
                <w:i/>
              </w:rPr>
              <w:t>καλεί την Επιτροπή να υποβάλει νομοθετική πρόταση για την εξάλειψη αυτών των φραγμών·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w:t>
            </w:r>
            <w:r>
              <w:rPr>
                <w:b/>
                <w:i/>
              </w:rPr>
              <w:t>νέων</w:t>
            </w:r>
            <w:r>
              <w:t xml:space="preserve"> μεθοδολογιών για την ανάλυση της δεσπόζουσας θέσης βάσει δεδομένων και των αποτελεσμάτων δικτύου·</w:t>
            </w:r>
          </w:p>
        </w:tc>
        <w:tc>
          <w:tcPr>
            <w:tcW w:w="4876" w:type="dxa"/>
            <w:tcBorders>
              <w:top w:val="nil"/>
              <w:left w:val="nil"/>
              <w:bottom w:val="nil"/>
              <w:right w:val="nil"/>
            </w:tcBorders>
          </w:tcPr>
          <w:p>
            <w:pPr>
              <w:pStyle w:val="Normal6a"/>
            </w:pPr>
            <w:r>
              <w:t>15.</w:t>
            </w:r>
            <w:r>
              <w:tab/>
            </w:r>
            <w:r>
              <w:t xml:space="preserve">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w:t>
            </w:r>
            <w:r>
              <w:rPr>
                <w:b/>
                <w:i/>
              </w:rPr>
              <w:t>προηγμένων</w:t>
            </w:r>
            <w:r>
              <w:t xml:space="preserve"> μεθοδολογιών για την ανάλυση της δεσπόζουσας θέσης βάσει δεδομένων και των αποτελεσμάτων δικτύου</w:t>
            </w:r>
            <w:r>
              <w:rPr>
                <w:b/>
                <w:i/>
              </w:rPr>
              <w:t>, τονίζοντας τον κρίσιμο ρόλο της επιλογής των καταναλωτών στην επιλογή ψηφιακών υπηρεσιών και συσκευών·</w:t>
            </w:r>
            <w:r>
              <w:t xml:space="preserve"> </w:t>
            </w:r>
            <w:r>
              <w:rPr>
                <w:b/>
                <w:i/>
              </w:rPr>
              <w:t>ενθαρρύνει την Επιτροπή να ενισχύσει τους μηχανισμούς που επιτρέπουν τη διαλειτουργικότητα μεταξύ υπηρεσιών και συσκευών, προωθώντας την καινοτομία και τον ανταγωνισμό στο ψηφιακό οικοσύστημα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νέων μεθοδολογιών για την ανάλυση της δεσπόζουσας θέσης βάσει δεδομένων και των αποτελεσμάτων δικτύου·</w:t>
            </w:r>
          </w:p>
        </w:tc>
        <w:tc>
          <w:tcPr>
            <w:tcW w:w="4876" w:type="dxa"/>
            <w:tcBorders>
              <w:top w:val="nil"/>
              <w:left w:val="nil"/>
              <w:bottom w:val="nil"/>
              <w:right w:val="nil"/>
            </w:tcBorders>
          </w:tcPr>
          <w:p>
            <w:pPr>
              <w:pStyle w:val="Normal6a"/>
            </w:pPr>
            <w:r>
              <w:t>15.</w:t>
            </w:r>
            <w:r>
              <w:tab/>
            </w:r>
            <w:r>
              <w:t xml:space="preserve">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νέων μεθοδολογιών για την ανάλυση της δεσπόζουσας θέσης βάσει δεδομένων και των αποτελεσμάτων δικτύου· </w:t>
            </w:r>
            <w:r>
              <w:rPr>
                <w:b/>
                <w:i/>
              </w:rPr>
              <w:t>υποστηρίζει την Επιτροπή στο να λαμβάνει περισσότερο υπόψη τη δυνητική ζημία στον ανταγωνισμό κατά την αξιολόγηση των συγκεντρώσεων όπου η επέκταση σε όμορες αγορές θα είχε ως αποτέλεσμα την περαιτέρω ενίσχυση της δεσπόζουσας θέσης στην κύρια αγορά της απορροφώσας εταιρείας·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νέων μεθοδολογιών για την ανάλυση της δεσπόζουσας θέσης βάσει δεδομένων και των αποτελεσμάτων δικτύου·</w:t>
            </w:r>
          </w:p>
        </w:tc>
        <w:tc>
          <w:tcPr>
            <w:tcW w:w="4876" w:type="dxa"/>
            <w:tcBorders>
              <w:top w:val="nil"/>
              <w:left w:val="nil"/>
              <w:bottom w:val="nil"/>
              <w:right w:val="nil"/>
            </w:tcBorders>
          </w:tcPr>
          <w:p>
            <w:pPr>
              <w:pStyle w:val="Normal6a"/>
            </w:pPr>
            <w:r>
              <w:t>15.</w:t>
            </w:r>
            <w:r>
              <w:tab/>
            </w:r>
            <w:r>
              <w:t>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νέων μεθοδολογιών για την ανάλυση της δεσπόζουσας θέσης βάσει δεδομένων και των αποτελεσμάτων δικτύου</w:t>
            </w:r>
            <w:r>
              <w:rPr>
                <w:b/>
                <w:i/>
              </w:rPr>
              <w:t>, συμπεριλαμβανομένης της συστηματικότερης χρήσης της τυποποιημένης λογιστικής και χρηματοοικονομικής ανάλυσης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νέων μεθοδολογιών για την ανάλυση της δεσπόζουσας θέσης βάσει δεδομένων και των αποτελεσμάτων δικτύου·</w:t>
            </w:r>
          </w:p>
        </w:tc>
        <w:tc>
          <w:tcPr>
            <w:tcW w:w="4876" w:type="dxa"/>
            <w:tcBorders>
              <w:top w:val="nil"/>
              <w:left w:val="nil"/>
              <w:bottom w:val="nil"/>
              <w:right w:val="nil"/>
            </w:tcBorders>
          </w:tcPr>
          <w:p>
            <w:pPr>
              <w:pStyle w:val="Normal6a"/>
            </w:pPr>
            <w:r>
              <w:t>15.</w:t>
            </w:r>
            <w:r>
              <w:tab/>
            </w:r>
            <w:r>
              <w:t>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w:t>
            </w:r>
            <w:r>
              <w:rPr>
                <w:b/>
                <w:i/>
              </w:rPr>
              <w:t> σε σαφώς οριοθετημένες αγορές</w:t>
            </w:r>
            <w:r>
              <w:t xml:space="preserve">· υποστηρίζει την ανάπτυξη νέων μεθοδολογιών για την ανάλυση της δεσπόζουσας θέσης βάσει δεδομένων </w:t>
            </w:r>
            <w:r>
              <w:rPr>
                <w:b/>
                <w:i/>
              </w:rPr>
              <w:t>και υποδομών</w:t>
            </w:r>
            <w:r>
              <w:t xml:space="preserve"> και των αποτελεσμάτων δικτύου·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ζητεί</w:t>
            </w:r>
            <w:r>
              <w:t xml:space="preserve">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νέων μεθοδολογιών για την ανάλυση της δεσπόζουσας θέσης βάσει δεδομένων και των αποτελεσμάτων δικτύου·</w:t>
            </w:r>
          </w:p>
        </w:tc>
        <w:tc>
          <w:tcPr>
            <w:tcW w:w="4876" w:type="dxa"/>
            <w:tcBorders>
              <w:top w:val="nil"/>
              <w:left w:val="nil"/>
              <w:bottom w:val="nil"/>
              <w:right w:val="nil"/>
            </w:tcBorders>
          </w:tcPr>
          <w:p>
            <w:pPr>
              <w:pStyle w:val="Normal6a"/>
            </w:pPr>
            <w:r>
              <w:t>15.</w:t>
            </w:r>
            <w:r>
              <w:tab/>
            </w:r>
            <w:r>
              <w:rPr>
                <w:b/>
                <w:i/>
              </w:rPr>
              <w:t>προτείνει</w:t>
            </w:r>
            <w:r>
              <w:t xml:space="preserve">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υποστηρίζει την ανάπτυξη νέων μεθοδολογιών για την ανάλυση της δεσπόζουσας θέσης βάσει δεδομένων και των αποτελεσμάτων δικτύου·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15α.</w:t>
            </w:r>
            <w:r>
              <w:tab/>
            </w:r>
            <w:r>
              <w:rPr>
                <w:b/>
                <w:i/>
              </w:rPr>
              <w:t>επισημαίνει τις μελλοντικές ανάγκες συνδεσιμότητας της ΕΕ όσον αφορά τις υποδομές και τις επενδύσεις·</w:t>
            </w:r>
            <w:r>
              <w:t xml:space="preserve"> </w:t>
            </w:r>
            <w:r>
              <w:rPr>
                <w:b/>
                <w:i/>
              </w:rPr>
              <w:t>ζητεί από την Επιτροπή να αναθεωρήσει τις κατευθυντήριες γραμμές για τις συγκεντρώσεις για να εγκρίνει μια πιο ολοκληρωμένη αξιολόγηση της αποτελεσματικότητας στον έλεγχο των συγκεντρώσεων και στη συνεργασία για την υλοποίησή τους·</w:t>
            </w:r>
            <w:r>
              <w:t xml:space="preserve"> </w:t>
            </w:r>
            <w:r>
              <w:rPr>
                <w:b/>
                <w:i/>
              </w:rPr>
              <w:t>σημειώνει ότι η αξιολόγηση της οριζόντιας συνεργασίας θα πρέπει επίσης να αναγνωρίζει τη σημασία της συνεργασίας σε αγορές όπου κυριαρχούν οι πυλωροί·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15α.</w:t>
            </w:r>
            <w:r>
              <w:tab/>
            </w:r>
            <w:r>
              <w:rPr>
                <w:b/>
                <w:i/>
              </w:rPr>
              <w:t>ζητεί να αναθεωρούνται περιοδικά τα ποσοτικά όρια δικαιοδοσίας που προβλέπονται στον κανονισμό συγκεντρώσεων της ΕΕ, ώστε να αντικατοπτρίζουν τις νέες εξελίξεις της αγοράς·</w:t>
            </w:r>
            <w:r>
              <w:t xml:space="preserve"> </w:t>
            </w:r>
            <w:r>
              <w:rPr>
                <w:b/>
                <w:i/>
              </w:rPr>
              <w:t>σημειώνει ειδικότερα ότι τα όρια κύκλου εργασιών που προβλέπονται στον κανονισμό συγκεντρώσεων ενδέχεται να μην είναι από μόνα τους κατάλληλα για τον εντοπισμό όλων των περιπτώσεων που θα πρέπει να επανεξεταστούν από τις αρχές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15α.</w:t>
            </w:r>
            <w:r>
              <w:tab/>
            </w:r>
            <w:r>
              <w:rPr>
                <w:b/>
                <w:i/>
              </w:rPr>
              <w:t>ζητεί ο έλεγχος των συγκεντρώσεων στην ΕΕ να αποτυπώνει πρακτικές που χρησιμοποιούνται από δεσπόζουσες επιχειρήσεις για την αποφυγή επίσημων ερευνών, όπως η αυξανόμενη χρήση «εταιρικών σχέσεων» στον τομέα της ΤΝ·</w:t>
            </w:r>
            <w:r>
              <w:t xml:space="preserve"> </w:t>
            </w:r>
            <w:r>
              <w:rPr>
                <w:b/>
                <w:i/>
              </w:rPr>
              <w:t>όπου απαιτείται, αυτό θα πρέπει να περιλαμβάνει την επικαιροποίηση του κοινοτικού κανονισμού συγκεντρώσεων και των σχετικών ανακοινώσεων και κατευθυντήριων γραμμών·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καλεί την Επιτροπή να αντιμετωπίσει τις υπερβολικά μακροχρόνιες αντιμονοπωλιακές έρευνες κατά τη διάρκεια των οποίων οι εταιρείες εξακολουθούν να επωφελούνται από τις αντιανταγωνιστικές πρακτικές τους·</w:t>
            </w:r>
          </w:p>
        </w:tc>
        <w:tc>
          <w:tcPr>
            <w:tcW w:w="4876" w:type="dxa"/>
            <w:tcBorders>
              <w:top w:val="nil"/>
              <w:left w:val="nil"/>
              <w:bottom w:val="nil"/>
              <w:right w:val="nil"/>
            </w:tcBorders>
          </w:tcPr>
          <w:p>
            <w:pPr>
              <w:pStyle w:val="Normal6a"/>
            </w:pPr>
            <w:r>
              <w:t>16.</w:t>
            </w:r>
            <w:r>
              <w:tab/>
            </w:r>
            <w:r>
              <w:t xml:space="preserve">καλεί την Επιτροπή να αντιμετωπίσει τις υπερβολικά μακροχρόνιες αντιμονοπωλιακές έρευνες κατά τη διάρκεια των οποίων οι εταιρείες εξακολουθούν να επωφελούνται από τις αντιανταγωνιστικές πρακτικές τους· </w:t>
            </w:r>
            <w:r>
              <w:rPr>
                <w:b/>
                <w:i/>
              </w:rPr>
              <w:t>καλεί την Επιτροπή να θεσπίσει προθεσμία για τις αντιμονοπωλιακές υποθέσεις προκειμένου να διασφαλιστεί η αποτελεσματικότητα των κανόνων της ΕΕ·</w:t>
            </w:r>
            <w:r>
              <w:t xml:space="preserve"> </w:t>
            </w:r>
            <w:r>
              <w:rPr>
                <w:b/>
                <w:i/>
              </w:rPr>
              <w:t>καλεί την Επιτροπή να λάβει περαιτέρω προσωρινά μέτρα για να σταματήσει κάθε πρακτική που θα έβλαπτε σοβαρά τον ανταγωνισμό, ιδίως όσον αφορά τις δυναμικές και ταχέως αναπτυσσόμενες αγορές όπως οι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καλεί την Επιτροπή να αντιμετωπίσει τις υπερβολικά μακροχρόνιες αντιμονοπωλιακές έρευνες κατά τη διάρκεια των οποίων οι εταιρείες </w:t>
            </w:r>
            <w:r>
              <w:rPr>
                <w:b/>
                <w:i/>
              </w:rPr>
              <w:t>εξακολουθούν να επωφελούνται από τις αντιανταγωνιστικές πρακτικές τους</w:t>
            </w:r>
            <w:r>
              <w:t>·</w:t>
            </w:r>
          </w:p>
        </w:tc>
        <w:tc>
          <w:tcPr>
            <w:tcW w:w="4876" w:type="dxa"/>
            <w:tcBorders>
              <w:top w:val="nil"/>
              <w:left w:val="nil"/>
              <w:bottom w:val="nil"/>
              <w:right w:val="nil"/>
            </w:tcBorders>
          </w:tcPr>
          <w:p>
            <w:pPr>
              <w:pStyle w:val="Normal6a"/>
            </w:pPr>
            <w:r>
              <w:t>16.</w:t>
            </w:r>
            <w:r>
              <w:tab/>
            </w:r>
            <w:r>
              <w:t xml:space="preserve">καλεί την Επιτροπή να αντιμετωπίσει τις υπερβολικά μακροχρόνιες αντιμονοπωλιακές έρευνες κατά τη διάρκεια των οποίων οι εταιρείες </w:t>
            </w:r>
            <w:r>
              <w:rPr>
                <w:b/>
                <w:i/>
              </w:rPr>
              <w:t>ενδέχεται να αντιμετωπίζουν παρατεταμένες αβεβαιότητες οι οποίες περιορίζουν την ικανότητά τους να ανταγωνίζονται και να καινοτομούν·</w:t>
            </w:r>
            <w:r>
              <w:t xml:space="preserve"> </w:t>
            </w:r>
            <w:r>
              <w:rPr>
                <w:b/>
                <w:i/>
              </w:rPr>
              <w:t>υπενθυμίζει ότι οι υπερβολικά μακροχρόνιες έρευνες μπορούν να δημιουργήσουν περιττό κόστος και να αποθαρρύνουν τις επενδύσεις και τον δυναμισμό</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καλεί την Επιτροπή να αντιμετωπίσει τις υπερβολικά μακροχρόνιες αντιμονοπωλιακές έρευνες κατά τη διάρκεια των οποίων οι εταιρείες εξακολουθούν να επωφελούνται από τις αντιανταγωνιστικές πρακτικές τους·</w:t>
            </w:r>
          </w:p>
        </w:tc>
        <w:tc>
          <w:tcPr>
            <w:tcW w:w="4876" w:type="dxa"/>
            <w:tcBorders>
              <w:top w:val="nil"/>
              <w:left w:val="nil"/>
              <w:bottom w:val="nil"/>
              <w:right w:val="nil"/>
            </w:tcBorders>
          </w:tcPr>
          <w:p>
            <w:pPr>
              <w:pStyle w:val="Normal6a"/>
            </w:pPr>
            <w:r>
              <w:t>16.</w:t>
            </w:r>
            <w:r>
              <w:tab/>
            </w:r>
            <w:r>
              <w:t xml:space="preserve">καλεί την Επιτροπή να αντιμετωπίσει τις υπερβολικά μακροχρόνιες αντιμονοπωλιακές έρευνες κατά τη διάρκεια των οποίων οι εταιρείες εξακολουθούν να επωφελούνται από τις αντιανταγωνιστικές πρακτικές τους </w:t>
            </w:r>
            <w:r>
              <w:rPr>
                <w:b/>
                <w:i/>
              </w:rPr>
              <w:t>και να ασκεί πλήρως τις εξουσίες της, για παράδειγμα με το να προσφεύγει συχνότερα σε προσωρινά μέτρα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καλεί την Επιτροπή να </w:t>
            </w:r>
            <w:r>
              <w:rPr>
                <w:b/>
                <w:i/>
              </w:rPr>
              <w:t>αντιμετωπίσει τις υπερβολικά μακροχρόνιες αντιμονοπωλιακές έρευνες κατά τη διάρκεια των οποίων οι εταιρείες εξακολουθούν να επωφελούνται από τις αντιανταγωνιστικές πρακτικές τους</w:t>
            </w:r>
            <w:r>
              <w:t>·</w:t>
            </w:r>
          </w:p>
        </w:tc>
        <w:tc>
          <w:tcPr>
            <w:tcW w:w="4876" w:type="dxa"/>
            <w:tcBorders>
              <w:top w:val="nil"/>
              <w:left w:val="nil"/>
              <w:bottom w:val="nil"/>
              <w:right w:val="nil"/>
            </w:tcBorders>
          </w:tcPr>
          <w:p>
            <w:pPr>
              <w:pStyle w:val="Normal6a"/>
            </w:pPr>
            <w:r>
              <w:t>16.</w:t>
            </w:r>
            <w:r>
              <w:tab/>
            </w:r>
            <w:r>
              <w:t xml:space="preserve">καλεί την Επιτροπή να </w:t>
            </w:r>
            <w:r>
              <w:rPr>
                <w:b/>
                <w:i/>
              </w:rPr>
              <w:t>επισπεύσει τις αντιμονοπωλιακές διαδικασίες, να ορίσει κατάλληλες προθεσμίες για τις διαδικασίες και να διασφαλίσει την αποτελεσματική παρακολούθηση των αποφάσεων που λαμβάνονται</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καλεί την Επιτροπή να χρησιμοποιήσει άμεσα τα διαθέσιμα εμπορικά μέσα για την πρόληψη του αθέμιτου ανταγωνισμού στην εσωτερική αγορά, δηλαδή μέσω εργαλείων όπως το «μέσο για τις διεθνείς δημόσιες συμβάσεις» και ο «κανονισμός για τις ξένες επιδοτήσεις», και να διατηρήσει ισότιμους όρους ανταγωνισμού με ξένες εταιρείες που υποστηρίζονται από σημαντικές κρατικές επιδοτήσεις·</w:t>
            </w:r>
            <w:r>
              <w:t xml:space="preserve"> </w:t>
            </w:r>
            <w:r>
              <w:rPr>
                <w:b/>
                <w:i/>
              </w:rPr>
              <w:t>προσθέτει ότι το κοινωνικό και περιβαλλοντικό ντάμπινγκ θα πρέπει επίσης να αντιμετωπιστεί από τους κανόνες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16α.</w:t>
            </w:r>
            <w:r>
              <w:tab/>
            </w:r>
            <w:r>
              <w:rPr>
                <w:b/>
                <w:i/>
              </w:rPr>
              <w:t>ζητεί υποχρεωτική διαβούλευση των εργαζομένων και δικαίωμα συμμετοχής τους στις αποφάσεις που αφορούν συγκεντρώσεις και εξαγορές·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Υπότιτλος 5 α (νέος)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ζητεί να δοθεί περισσότερη προσοχή στον ψηφιακό τομέα, διασφαλίζοντας ότι οι μεγάλες επιγραμμικές πλατφόρμες και οι τεχνολογικοί κολοσσοί δεν καταχρώνται τη δεσπόζουσα θέση τους·</w:t>
            </w:r>
            <w:r>
              <w:t xml:space="preserve"> </w:t>
            </w:r>
            <w:r>
              <w:rPr>
                <w:b/>
                <w:i/>
              </w:rPr>
              <w:t>τονίζει τη σημασία της εφαρμογής ειδικών κανόνων για την πρόληψη της στρέβλωσης του ανταγωνισμού σε αυτόν τον τομέα, ευνοώντας, μεταξύ άλλων, τη χρήση ειδικών μορφών φορολογίας από την ΕΕ και τα επιμέρους κράτη μέλη·</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εκφράζει ικανοποίηση για τις δύο πρόσφατες υποθέσεις-ορόσημο που επιβεβαιώνουν</w:t>
            </w:r>
            <w:r>
              <w:t xml:space="preserve"> τον ισχυρισμό της Επιτροπής ότι η ιρλανδική φορολογική συμφωνία με την Apple </w:t>
            </w:r>
            <w:r>
              <w:rPr>
                <w:b/>
                <w:i/>
              </w:rPr>
              <w:t>και την</w:t>
            </w:r>
            <w:r>
              <w:t xml:space="preserve"> Google </w:t>
            </w:r>
            <w:r>
              <w:rPr>
                <w:b/>
                <w:i/>
              </w:rPr>
              <w:t>συνιστά αντιανταγωνιστική πρακτική</w:t>
            </w:r>
            <w:r>
              <w:t>·</w:t>
            </w:r>
          </w:p>
        </w:tc>
        <w:tc>
          <w:tcPr>
            <w:tcW w:w="4876" w:type="dxa"/>
            <w:tcBorders>
              <w:top w:val="nil"/>
              <w:left w:val="nil"/>
              <w:bottom w:val="nil"/>
              <w:right w:val="nil"/>
            </w:tcBorders>
          </w:tcPr>
          <w:p>
            <w:pPr>
              <w:pStyle w:val="Normal6a"/>
            </w:pPr>
            <w:r>
              <w:t>17.</w:t>
            </w:r>
            <w:r>
              <w:tab/>
            </w:r>
            <w:r>
              <w:rPr>
                <w:b/>
                <w:i/>
              </w:rPr>
              <w:t>σημειώνει την πρόσφατη υπόθεση που επιβεβαιώνει</w:t>
            </w:r>
            <w:r>
              <w:t xml:space="preserve"> τον ισχυρισμό της Επιτροπής ότι η </w:t>
            </w:r>
            <w:r>
              <w:rPr>
                <w:b/>
                <w:i/>
              </w:rPr>
              <w:t>ιστορική</w:t>
            </w:r>
            <w:r>
              <w:t xml:space="preserve"> ιρλανδική φορολογική συμφωνία με την Apple</w:t>
            </w:r>
            <w:r>
              <w:rPr>
                <w:b/>
                <w:i/>
              </w:rPr>
              <w:t>, η οποία ίσχυε από το 2003 έως το 2014, δεν ήταν σύμφωνη με τη νομοθεσία της ΕΕ για τις κρατικές ενισχύσεις·</w:t>
            </w:r>
            <w:r>
              <w:t xml:space="preserve"> </w:t>
            </w:r>
            <w:r>
              <w:rPr>
                <w:b/>
                <w:i/>
              </w:rPr>
              <w:t>αναγνωρίζει ότι το νομικό πλαίσιο στην Ιρλανδία έχει έκτοτε αλλάξει και ότι η φορολογική ρύθμιση δεν ισχύει πλέον·</w:t>
            </w:r>
            <w:r>
              <w:t xml:space="preserve"> </w:t>
            </w:r>
            <w:r>
              <w:rPr>
                <w:b/>
                <w:i/>
              </w:rPr>
              <w:t>σημειώνει επίσης την πρόσφατη απόφαση του ΔΕΕ, σύμφωνα με την οποία οι πρακτικές της</w:t>
            </w:r>
            <w:r>
              <w:t xml:space="preserve"> Google </w:t>
            </w:r>
            <w:r>
              <w:rPr>
                <w:b/>
                <w:i/>
              </w:rPr>
              <w:t>όσον αφορά την υπηρεσία σύγκρισης τιμών δεν ήταν σύμφωνες με το δίκαιο ανταγωνισμού της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εκφράζει ικανοποίηση για</w:t>
            </w:r>
            <w:r>
              <w:t xml:space="preserve"> τις δύο πρόσφατες υποθέσεις-ορόσημο που επιβεβαιώνουν τον ισχυρισμό της Επιτροπής ότι η ιρλανδική φορολογική συμφωνία με την Apple και την Google συνιστά αντιανταγωνιστική πρακτική·</w:t>
            </w:r>
          </w:p>
        </w:tc>
        <w:tc>
          <w:tcPr>
            <w:tcW w:w="4876" w:type="dxa"/>
            <w:tcBorders>
              <w:top w:val="nil"/>
              <w:left w:val="nil"/>
              <w:bottom w:val="nil"/>
              <w:right w:val="nil"/>
            </w:tcBorders>
          </w:tcPr>
          <w:p>
            <w:pPr>
              <w:pStyle w:val="Normal6a"/>
            </w:pPr>
            <w:r>
              <w:t>17.</w:t>
            </w:r>
            <w:r>
              <w:tab/>
            </w:r>
            <w:r>
              <w:rPr>
                <w:b/>
                <w:i/>
              </w:rPr>
              <w:t>επισημαίνει</w:t>
            </w:r>
            <w:r>
              <w:t xml:space="preserve"> τις δύο πρόσφατες υποθέσεις-ορόσημο που επιβεβαιώνουν τον ισχυρισμό της Επιτροπής ότι η ιρλανδική φορολογική συμφωνία με την Apple και την Google συνιστά αντιανταγωνιστική πρακτική· </w:t>
            </w:r>
            <w:r>
              <w:rPr>
                <w:b/>
                <w:i/>
              </w:rPr>
              <w:t>υπενθυμίζει ότι, ενώ είναι αναγκαίο να διορθωθούν πρακτικές που βλάπτουν την ελεύθερη αγορά, η Επιτροπή θα πρέπει να εστιάσει στο να διασφαλίσει ότι οι αγορές παραμένουν ανοικτές, με παράλληλο σεβασμό της αρχής της επικουρικότητας στη φορολογική πολιτική·</w:t>
            </w:r>
            <w:r>
              <w:t xml:space="preserve"> </w:t>
            </w:r>
            <w:r>
              <w:rPr>
                <w:b/>
                <w:i/>
              </w:rPr>
              <w:t>υπενθυμίζει ότι τα κράτη θα πρέπει να διατηρήσουν την αυτονομία τους όσον αφορά την επιβολή φορολογικών πολιτικών που προωθούν την οικονομική ανάπτυξη, τις επενδύσεις και την ανταγωνιστικότητα εντός των αντίστοιχων οικονομιών τους·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εκφράζει ικανοποίηση για τις δύο πρόσφατες </w:t>
            </w:r>
            <w:r>
              <w:rPr>
                <w:b/>
                <w:i/>
              </w:rPr>
              <w:t>υποθέσεις-ορόσημο</w:t>
            </w:r>
            <w:r>
              <w:t xml:space="preserve"> που επιβεβαιώνουν τον ισχυρισμό της Επιτροπής ότι η ιρλανδική φορολογική συμφωνία με την Apple </w:t>
            </w:r>
            <w:r>
              <w:rPr>
                <w:b/>
                <w:i/>
              </w:rPr>
              <w:t>και την Google συνιστά αντιανταγωνιστική πρακτική</w:t>
            </w:r>
            <w:r>
              <w:t>·</w:t>
            </w:r>
          </w:p>
        </w:tc>
        <w:tc>
          <w:tcPr>
            <w:tcW w:w="4876" w:type="dxa"/>
            <w:tcBorders>
              <w:top w:val="nil"/>
              <w:left w:val="nil"/>
              <w:bottom w:val="nil"/>
              <w:right w:val="nil"/>
            </w:tcBorders>
          </w:tcPr>
          <w:p>
            <w:pPr>
              <w:pStyle w:val="Normal6a"/>
            </w:pPr>
            <w:r>
              <w:t>17.</w:t>
            </w:r>
            <w:r>
              <w:tab/>
            </w:r>
            <w:r>
              <w:t xml:space="preserve">εκφράζει ικανοποίηση για τις δύο πρόσφατες </w:t>
            </w:r>
            <w:r>
              <w:rPr>
                <w:b/>
                <w:i/>
              </w:rPr>
              <w:t>δικαστικές αποφάσεις ορόσημο</w:t>
            </w:r>
            <w:r>
              <w:t xml:space="preserve"> που επιβεβαιώνουν τον ισχυρισμό της Επιτροπής ότι η ιρλανδική φορολογική συμφωνία με την Apple </w:t>
            </w:r>
            <w:r>
              <w:rPr>
                <w:b/>
                <w:i/>
              </w:rPr>
              <w:t>συνιστά παράνομη κρατική ενίσχυση και ότι η Google καταχράστηκε τη δεσπόζουσα θέση της κατά παράβαση των Συνθηκών·</w:t>
            </w:r>
            <w:r>
              <w:t xml:space="preserve"> </w:t>
            </w:r>
            <w:r>
              <w:rPr>
                <w:b/>
                <w:i/>
              </w:rPr>
              <w:t>ενθαρρύνει την Επιτροπή να συνεχίσει να καταπολεμά τις καταχρήσεις των κρατικών ενισχύσεων που συνεπάγονται επιλεκτικές φορολογικές ελαφρύνσεις για τις επιχειρήσεις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ικανοποίηση για τις δύο πρόσφατες υποθέσεις-ορόσημο που επιβεβαιώνουν τον ισχυρισμό της Επιτροπής ότι η ιρλανδική φορολογική συμφωνία με την Apple και την Google συνιστά αντιανταγωνιστική πρακτική·</w:t>
            </w:r>
          </w:p>
        </w:tc>
        <w:tc>
          <w:tcPr>
            <w:tcW w:w="4876" w:type="dxa"/>
            <w:tcBorders>
              <w:top w:val="nil"/>
              <w:left w:val="nil"/>
              <w:bottom w:val="nil"/>
              <w:right w:val="nil"/>
            </w:tcBorders>
          </w:tcPr>
          <w:p>
            <w:pPr>
              <w:pStyle w:val="Normal6a"/>
            </w:pPr>
            <w:r>
              <w:t>17.</w:t>
            </w:r>
            <w:r>
              <w:tab/>
            </w:r>
            <w:r>
              <w:t xml:space="preserve">εκφράζει ικανοποίηση για τις δύο πρόσφατες υποθέσεις-ορόσημο που επιβεβαιώνουν τον ισχυρισμό της Επιτροπής ότι η ιρλανδική φορολογική συμφωνία με την Apple και την Google συνιστά αντιανταγωνιστική πρακτική· </w:t>
            </w:r>
            <w:r>
              <w:rPr>
                <w:b/>
                <w:i/>
              </w:rPr>
              <w:t>ζητεί από την Επιτροπή να αποσαφηνίσει την υφιστάμενη νομοθεσία ώστε τα φορολογικά πλεονεκτήματα που στρεβλώνουν τον ανταγωνισμό να θεωρούνται παράνομα·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εκφράζει ικανοποίηση για τις δύο πρόσφατες υποθέσεις-ορόσημο που επιβεβαιώνουν τον ισχυρισμό της Επιτροπής ότι η ιρλανδική φορολογική συμφωνία με την Apple και την Google συνιστά αντιανταγωνιστική πρακτική·</w:t>
            </w:r>
          </w:p>
        </w:tc>
        <w:tc>
          <w:tcPr>
            <w:tcW w:w="4876" w:type="dxa"/>
            <w:tcBorders>
              <w:top w:val="nil"/>
              <w:left w:val="nil"/>
              <w:bottom w:val="nil"/>
              <w:right w:val="nil"/>
            </w:tcBorders>
          </w:tcPr>
          <w:p>
            <w:pPr>
              <w:pStyle w:val="Normal6a"/>
            </w:pPr>
            <w:r>
              <w:t>17.</w:t>
            </w:r>
            <w:r>
              <w:tab/>
            </w:r>
            <w:r>
              <w:t xml:space="preserve">εκφράζει ικανοποίηση για τις δύο πρόσφατες υποθέσεις-ορόσημο που επιβεβαιώνουν τον ισχυρισμό της Επιτροπής ότι η ιρλανδική φορολογική συμφωνία με την Apple και την Google συνιστά αντιανταγωνιστική πρακτική </w:t>
            </w:r>
            <w:r>
              <w:rPr>
                <w:b/>
                <w:i/>
              </w:rPr>
              <w:t>λόγω της χορήγησης παράνομων κρατικών ενισχύσεων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Regina Doherty, Lídia Pereira, 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εκφράζει ικανοποίηση για</w:t>
            </w:r>
            <w:r>
              <w:t xml:space="preserve"> τις δύο πρόσφατες </w:t>
            </w:r>
            <w:r>
              <w:rPr>
                <w:b/>
                <w:i/>
              </w:rPr>
              <w:t>υποθέσεις-ορόσημο που επιβεβαιώνουν τον ισχυρισμό της Επιτροπής ότι η ιρλανδική φορολογική συμφωνία με την Apple και την</w:t>
            </w:r>
            <w:r>
              <w:t xml:space="preserve"> Google </w:t>
            </w:r>
            <w:r>
              <w:rPr>
                <w:b/>
                <w:i/>
              </w:rPr>
              <w:t>συνιστά αντιανταγωνιστική πρακτική</w:t>
            </w:r>
            <w:r>
              <w:t>·</w:t>
            </w:r>
          </w:p>
        </w:tc>
        <w:tc>
          <w:tcPr>
            <w:tcW w:w="4876" w:type="dxa"/>
            <w:tcBorders>
              <w:top w:val="nil"/>
              <w:left w:val="nil"/>
              <w:bottom w:val="nil"/>
              <w:right w:val="nil"/>
            </w:tcBorders>
          </w:tcPr>
          <w:p>
            <w:pPr>
              <w:pStyle w:val="Normal6a"/>
            </w:pPr>
            <w:r>
              <w:t>17.</w:t>
            </w:r>
            <w:r>
              <w:tab/>
            </w:r>
            <w:r>
              <w:rPr>
                <w:b/>
                <w:i/>
              </w:rPr>
              <w:t>σημειώνει</w:t>
            </w:r>
            <w:r>
              <w:t xml:space="preserve"> τις δύο πρόσφατες </w:t>
            </w:r>
            <w:r>
              <w:rPr>
                <w:b/>
                <w:i/>
              </w:rPr>
              <w:t>υποθέσεις του ΔΕΕ που αφορούν, αντίστοιχα, φόρους που κατέβαλε η Apple βάσει προηγούμενων φορολογικών κανόνων που χρονολογούνται πριν από το 2007, οι οποίοι είναι πλέον παράνομοι, και δραστηριότητες της</w:t>
            </w:r>
            <w:r>
              <w:t xml:space="preserve"> Google </w:t>
            </w:r>
            <w:r>
              <w:rPr>
                <w:b/>
                <w:i/>
              </w:rPr>
              <w:t>που θεωρούνται αντιανταγωνιστικές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εκφράζει ικανοποίηση για τις δύο πρόσφατες υποθέσεις-ορόσημο που επιβεβαιώνουν τον ισχυρισμό της Επιτροπής ότι η ιρλανδική </w:t>
            </w:r>
            <w:r>
              <w:rPr>
                <w:b/>
                <w:i/>
              </w:rPr>
              <w:t>φορολογική</w:t>
            </w:r>
            <w:r>
              <w:t xml:space="preserve"> συμφωνία </w:t>
            </w:r>
            <w:r>
              <w:rPr>
                <w:b/>
                <w:i/>
              </w:rPr>
              <w:t>με την</w:t>
            </w:r>
            <w:r>
              <w:t xml:space="preserve"> Apple και την Google συνιστά αντιανταγωνιστική πρακτική·</w:t>
            </w:r>
          </w:p>
        </w:tc>
        <w:tc>
          <w:tcPr>
            <w:tcW w:w="4876" w:type="dxa"/>
            <w:tcBorders>
              <w:top w:val="nil"/>
              <w:left w:val="nil"/>
              <w:bottom w:val="nil"/>
              <w:right w:val="nil"/>
            </w:tcBorders>
          </w:tcPr>
          <w:p>
            <w:pPr>
              <w:pStyle w:val="Normal6a"/>
            </w:pPr>
            <w:r>
              <w:t>17.</w:t>
            </w:r>
            <w:r>
              <w:tab/>
            </w:r>
            <w:r>
              <w:t xml:space="preserve">εκφράζει ικανοποίηση για τις δύο πρόσφατες υποθέσεις-ορόσημο που επιβεβαιώνουν τον ισχυρισμό της Επιτροπής ότι η ιρλανδική συμφωνία </w:t>
            </w:r>
            <w:r>
              <w:rPr>
                <w:b/>
                <w:i/>
              </w:rPr>
              <w:t>αναφορικά με τις κρατικές ενισχύσεις που χορηγήθηκαν στην</w:t>
            </w:r>
            <w:r>
              <w:t xml:space="preserve"> Apple και την Google συνιστά αντιανταγωνιστική πρακτική·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17α.</w:t>
            </w:r>
            <w:r>
              <w:tab/>
            </w:r>
            <w:r>
              <w:rPr>
                <w:b/>
                <w:i/>
              </w:rPr>
              <w:t>εκφράζει τη βαθιά λύπη του για το προεδρικό εκτελεστικό διάταγμα των ΗΠΑ το οποίο προβλέπει ότι η παγκόσμια φορολογική συμφωνία του ΟΟΣΑ «δεν έχει καμία ισχύ ή αποτέλεσμα εντός των Ηνωμένων Πολιτειών», αποσύροντας ουσιαστικά τις ΗΠΑ από τις διαπραγματεύσεις·</w:t>
            </w:r>
            <w:r>
              <w:t xml:space="preserve"> </w:t>
            </w:r>
            <w:r>
              <w:rPr>
                <w:b/>
                <w:i/>
              </w:rPr>
              <w:t>τονίζει τη σημασία της πολυμερούς προσέγγισης προκειμένου να διασφαλιστεί ότι οι πολυεθνικές καταβάλλουν το μερίδιο φορολογίας που τους αναλογεί όταν δημιουργείται αξία·</w:t>
            </w:r>
            <w:r>
              <w:t xml:space="preserve"> </w:t>
            </w:r>
            <w:r>
              <w:rPr>
                <w:b/>
                <w:i/>
              </w:rPr>
              <w:t>επισημαίνει ότι ο πυλώνας ΙΙ της παγκόσμιας φορολογικής συμφωνίας του ΟΟΣΑ θέτει ένα κατώτατο όριο στον επιζήμιο φορολογικό ανταγωνισμό, αναστέλλοντας έτσι τον ανταγωνισμό προς τα κάτω στον τομέα της φορολογίας των εταιρειών, ο οποίος έχει διαβρώσει τα φορολογικά έσοδα, έχει υπονομεύσει τη δικαιοσύνη και έχει αυξήσει την παγκόσμια ανισότητα·</w:t>
            </w:r>
            <w:r>
              <w:t xml:space="preserve"> </w:t>
            </w:r>
            <w:r>
              <w:rPr>
                <w:b/>
                <w:i/>
              </w:rPr>
              <w:t>είναι της άποψης ότι η ΕΕ θα πρέπει να υποστηρίξει πλήρως την οδηγία για τον πυλώνα ΙΙ, ώστε να αποφευχθεί η επιστροφή στον άκρατο φορολογικό ανταγωνισμό εις βάρος των δημόσιων εσόδων·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τονίζει τις ανησυχητικές</w:t>
            </w:r>
            <w:r>
              <w:t xml:space="preserve">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rPr>
                <w:b/>
                <w:i/>
              </w:rPr>
              <w:t>επισημαίνει τις</w:t>
            </w:r>
            <w:r>
              <w:t xml:space="preserve">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w:t>
            </w:r>
            <w:r>
              <w:rPr>
                <w:b/>
                <w:i/>
              </w:rPr>
              <w:t>αναγνωρίζει ότι οι συγκεντρώσεις αυτές δεν θα πρέπει αυτομάτως να ερμηνεύονται ως αντιανταγωνιστικές πρακτικές και ότι μπορεί να αντικατοπτρίζουν την αποδοτικότητα και την ικανότητα καινοτομίας των εταιρειών που κυριαρχούν στους τομείς</w:t>
            </w:r>
            <w:r>
              <w:t xml:space="preserve">· υπογραμμίζει τον πραγματικό και δυνητικά αρνητικό αντίκτυπο </w:t>
            </w:r>
            <w:r>
              <w:rPr>
                <w:b/>
                <w:i/>
              </w:rPr>
              <w:t>που μπορούν να έχουν</w:t>
            </w:r>
            <w:r>
              <w:t xml:space="preserve">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w:t>
            </w:r>
            <w:r>
              <w:rPr>
                <w:b/>
                <w:i/>
              </w:rPr>
              <w:t>προτρέπει</w:t>
            </w:r>
            <w:r>
              <w:t xml:space="preserve"> την Επιτροπή να </w:t>
            </w:r>
            <w:r>
              <w:rPr>
                <w:b/>
                <w:i/>
              </w:rPr>
              <w:t>αντιμετωπίσει τα ζητήματα</w:t>
            </w:r>
            <w:r>
              <w:t xml:space="preserve">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w:t>
            </w:r>
            <w:r>
              <w:rPr>
                <w:b/>
                <w:i/>
              </w:rPr>
              <w:t>ενθαρρύνει</w:t>
            </w:r>
            <w:r>
              <w:t xml:space="preserve"> την Επιτροπή να </w:t>
            </w:r>
            <w:r>
              <w:rPr>
                <w:b/>
                <w:i/>
              </w:rPr>
              <w:t>αξιοποιήσει τις προσπάθειές της για την αντιμετώπιση ζητημάτων</w:t>
            </w:r>
            <w:r>
              <w:t xml:space="preserve">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r>
              <w:rPr>
                <w:b/>
                <w:i/>
              </w:rPr>
              <w:t>, όπως καταδεικνύεται από την πρόοδο που έχει σημειωθεί στο πλαίσιο της πράξης για τις ψηφιακές αγορές.</w:t>
            </w:r>
            <w:r>
              <w:t xml:space="preserve"> </w:t>
            </w:r>
            <w:r>
              <w:rPr>
                <w:b/>
                <w:i/>
              </w:rPr>
              <w:t>Επιπλέον, ζητεί την έναρξη νέων ερευνών στον τομέα του υπολογιστικού νέφους για την περαιτέρω διασφάλιση του θεμιτού ανταγωνισμού και της καινοτομίας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 </w:t>
            </w:r>
            <w:r>
              <w:rPr>
                <w:b/>
                <w:i/>
              </w:rPr>
              <w:t>παροτρύνει την Επιτροπή να αντιμετωπίσει την αυξανόμενη κάθετη συγκέντρωση κυρίαρχων παραγόντων σε ολόκληρη την αξιακή αλυσίδα της διαφήμισης, η οποία θέτει σε κίνδυνο τον ευρωπαϊκό τομέα της επιγραμμικής διαφήμισης·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w:t>
            </w:r>
            <w:r>
              <w:rPr>
                <w:b/>
                <w:i/>
              </w:rPr>
              <w:t>της αγοράς</w:t>
            </w:r>
            <w:r>
              <w:t xml:space="preserve"> στις ψηφιακές αγορές·</w:t>
            </w:r>
          </w:p>
        </w:tc>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w:t>
            </w:r>
            <w:r>
              <w:rPr>
                <w:b/>
                <w:i/>
              </w:rPr>
              <w:t>σε επίπεδα υπολογισμού υλισμικού και υπολογιστικού νέφους</w:t>
            </w:r>
            <w:r>
              <w:t>, της κάθετης συγκέντρωσης</w:t>
            </w:r>
            <w:r>
              <w:rPr>
                <w:b/>
                <w:i/>
              </w:rPr>
              <w:t>, της διαρθρωτικής επιρροής στο οικοσύστημα αλληλοεξαρτώμενων συμπληρωμάτων από μεγάλους εδραιωμένους φορείς</w:t>
            </w:r>
            <w:r>
              <w:t xml:space="preserve"> και της </w:t>
            </w:r>
            <w:r>
              <w:rPr>
                <w:b/>
                <w:i/>
              </w:rPr>
              <w:t>κυρίαρχης</w:t>
            </w:r>
            <w:r>
              <w:t xml:space="preserve"> μόχλευσης </w:t>
            </w:r>
            <w:r>
              <w:rPr>
                <w:b/>
                <w:i/>
              </w:rPr>
              <w:t>μεταξύ των αγορών</w:t>
            </w:r>
            <w:r>
              <w:t xml:space="preserve"> στις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w:t>
            </w:r>
            <w:r>
              <w:rPr>
                <w:b/>
                <w:i/>
              </w:rPr>
              <w:t>, τα μικροκυκλώματα</w:t>
            </w:r>
            <w:r>
              <w:t xml:space="preserve"> και η διαδικτυακή διαφήμιση· υπογραμμίζει τον πραγματικό και δυνητικά αρνητικό αντίκτυπο στην ευρωπαϊκή ανταγωνιστικότητα</w:t>
            </w:r>
            <w:r>
              <w:rPr>
                <w:b/>
                <w:i/>
              </w:rPr>
              <w:t>, την ανθεκτικότητα των εφοδιαστικών αλυσίδων</w:t>
            </w:r>
            <w:r>
              <w:t>,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w:t>
            </w:r>
            <w:r>
              <w:rPr>
                <w:b/>
                <w:i/>
              </w:rPr>
              <w:t>, της αλγοριθμικής χειραγώγησης της ψηφιακής δημόσιας σφαίρας</w:t>
            </w:r>
            <w:r>
              <w:t xml:space="preserve"> και της μόχλευσης της αγοράς στις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w:t>
            </w:r>
            <w:r>
              <w:rPr>
                <w:b/>
                <w:i/>
              </w:rPr>
              <w:t>που προκύπτει από την κατάχρηση της δεσπόζουσας θέσης που κατέχουν ορισμένοι παράγοντες της αγοράς</w:t>
            </w:r>
            <w:r>
              <w:t>·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 </w:t>
            </w:r>
            <w:r>
              <w:rPr>
                <w:b/>
                <w:i/>
              </w:rPr>
              <w:t>μέσω της αναγκαστικής εφαρμογής της πράξης για τις ψηφιακές αγορές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w:t>
            </w:r>
            <w:r>
              <w:rPr>
                <w:b/>
                <w:i/>
              </w:rPr>
              <w:t>, της ανάγκης για φορολόγηση</w:t>
            </w:r>
            <w:r>
              <w:t xml:space="preserve"> και της μόχλευσης της αγοράς στις ψηφιακές αγορές·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τονίζει τις </w:t>
            </w:r>
            <w:r>
              <w:rPr>
                <w:b/>
                <w:i/>
              </w:rPr>
              <w:t>ανησυχητικές</w:t>
            </w:r>
            <w:r>
              <w:t xml:space="preserve">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w:t>
            </w:r>
            <w:r>
              <w:rPr>
                <w:b/>
                <w:i/>
              </w:rPr>
              <w:t>, την προστασία των δεδομένων, την κοινωνία και τη δημοκρατία</w:t>
            </w:r>
            <w:r>
              <w:t xml:space="preserve">· προτρέπει την Επιτροπή να αντιμετωπίσει τα ζητήματα που αφορούν ειδικά την αγορά τεχνολογίας, </w:t>
            </w:r>
            <w:r>
              <w:rPr>
                <w:b/>
                <w:i/>
              </w:rPr>
              <w:t>συμπεριλαμβανομένης της ισχύος υποδομών, της κάθετης συγκέντρωσης και της μόχλευσης της αγοράς στις ψηφιακές αγορές</w:t>
            </w:r>
            <w:r>
              <w:t>·</w:t>
            </w:r>
          </w:p>
        </w:tc>
        <w:tc>
          <w:tcPr>
            <w:tcW w:w="4876" w:type="dxa"/>
            <w:tcBorders>
              <w:top w:val="nil"/>
              <w:left w:val="nil"/>
              <w:bottom w:val="nil"/>
              <w:right w:val="nil"/>
            </w:tcBorders>
          </w:tcPr>
          <w:p>
            <w:pPr>
              <w:pStyle w:val="Normal6a"/>
            </w:pPr>
            <w:r>
              <w:t>18.</w:t>
            </w:r>
            <w:r>
              <w:tab/>
            </w:r>
            <w:r>
              <w:t xml:space="preserve">τονίζει τις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προτρέπει την Επιτροπή να αντιμετωπίσει τα ζητήματα που αφορούν ειδικά την αγορά τεχνολογίας, </w:t>
            </w:r>
            <w:r>
              <w:rPr>
                <w:b/>
                <w:i/>
              </w:rPr>
              <w:t>λαμβάνοντας υπόψη το μελλοντικό δυναμικό καινοτομίας στις αξιολογήσεις της, παρά την αβεβαιότητα που τη χαρακτηρίζει</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w:t>
            </w:r>
            <w:r>
              <w:rPr>
                <w:b/>
                <w:i/>
              </w:rPr>
              <w:t>, το ηλεκτρονικό εμπόριο</w:t>
            </w:r>
            <w:r>
              <w:t xml:space="preserve"> και η διαδικτυακή διαφήμιση· υπογραμμίζει τον πραγματικό και δυνητικά αρνητικό αντίκτυπο στην ευρωπαϊκή ανταγωνιστικότητα,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w:t>
            </w:r>
            <w:r>
              <w:rPr>
                <w:b/>
                <w:i/>
              </w:rPr>
              <w:t>ευρωπαϊκή</w:t>
            </w:r>
            <w:r>
              <w:t xml:space="preserve"> ανταγωνιστικότητα</w:t>
            </w:r>
            <w:r>
              <w:rPr>
                <w:b/>
                <w:i/>
              </w:rPr>
              <w:t>,</w:t>
            </w:r>
            <w:r>
              <w:t xml:space="preserve"> την προστασία των δεδομένων</w:t>
            </w:r>
            <w:r>
              <w:rPr>
                <w:b/>
                <w:i/>
              </w:rPr>
              <w:t>, την κοινωνία και τη δημοκρατία</w:t>
            </w:r>
            <w:r>
              <w:t>·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c>
          <w:tcPr>
            <w:tcW w:w="4876" w:type="dxa"/>
            <w:tcBorders>
              <w:top w:val="nil"/>
              <w:left w:val="nil"/>
              <w:bottom w:val="nil"/>
              <w:right w:val="nil"/>
            </w:tcBorders>
          </w:tcPr>
          <w:p>
            <w:pPr>
              <w:pStyle w:val="Normal6a"/>
            </w:pPr>
            <w:r>
              <w:t>18.</w:t>
            </w:r>
            <w:r>
              <w:tab/>
            </w:r>
            <w:r>
              <w:t xml:space="preserve">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και η διαδικτυακή διαφήμιση· υπογραμμίζει τον πραγματικό και δυνητικά αρνητικό αντίκτυπο στην ανταγωνιστικότητα </w:t>
            </w:r>
            <w:r>
              <w:rPr>
                <w:b/>
                <w:i/>
              </w:rPr>
              <w:t>και</w:t>
            </w:r>
            <w:r>
              <w:t xml:space="preserve"> την προστασία των δεδομένων· προτρέπει την Επιτροπή να αντιμετωπίσει τα ζητήματα που αφορούν ειδικά την αγορά τεχνολογίας, συμπεριλαμβανομένης της ισχύος υποδομών, της κάθετης συγκέντρωσης και της μόχλευσης της αγοράς στις ψηφιακές αγορές·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σημειώνει ότι οι μεγάλοι ψηφιακοί παράγοντες χρησιμοποιούν την ισχύ τους στην αγορά, την ισχύ τους έναντι των καταναλωτών, τους οικονομικούς πόρους και τη συγκέντρωση δεδομένων σε μια αγορά για να ασκήσουν μόχλευση σε μια άλλη·</w:t>
            </w:r>
            <w:r>
              <w:t xml:space="preserve"> </w:t>
            </w:r>
            <w:r>
              <w:rPr>
                <w:b/>
                <w:i/>
              </w:rPr>
              <w:t>τονίζει ότι οι μικροί παράγοντες δεν μπορούν να ανταγωνιστούν τους προαναφερθέντες παράγοντες, γεγονός που καθιστά τους Ευρωπαίους πολίτες ακόμη περισσότερο εξαρτώμενους από τον ίδιο μικρό αριθμό εταιρειών τρίτων χωρών και θέτει σε κίνδυνο τη στρατηγική αυτονομία·</w:t>
            </w:r>
            <w:r>
              <w:t xml:space="preserve"> </w:t>
            </w:r>
            <w:r>
              <w:rPr>
                <w:b/>
                <w:i/>
              </w:rPr>
              <w:t>ζητεί αυξημένο έλεγχο της μόχλευσης δεσποζουσών θέσεων των ψηφιακών τομέων σε άλλους τομείς και στη στρατηγική αυτονομία της ΕΕ, μέσω της αναθεώρησης των κατευθυντήριων γραμμών για τις συγκεντρώσεις ώστε να διασφαλιστεί ότι η μόχλευση της αγοράς μπορεί να ελεγχθεί αποτελεσματικότερα·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18α.</w:t>
            </w:r>
            <w:r>
              <w:tab/>
            </w:r>
            <w:r>
              <w:rPr>
                <w:b/>
                <w:i/>
              </w:rPr>
              <w:t>εκφράζει την ανησυχία του σχετικά με τον βαθμό συγκέντρωσης της αγοράς στον τομέα του υπολογιστικού νέφους καθώς και σχετικά με τις αντιανταγωνιστικές πρακτικές που σχετίζονται με πολύπλοκους και αδιαφανείς όρους αδειοδότησης ή την υποχρεωτική ομαδοποίηση, οι οποίες καθιστούν όλο και πιο δύσκολη για τους πελάτες την αλλαγή παρόχων υπολογιστικού νέφους, τονίζοντας την ανάγκη να ενισχυθεί ο ανταγωνισμός από ένα ευρύ φάσμα παρόχων·</w:t>
            </w:r>
            <w:r>
              <w:t xml:space="preserve"> </w:t>
            </w:r>
            <w:r>
              <w:rPr>
                <w:b/>
                <w:i/>
              </w:rPr>
              <w:t>καλεί τις αρχές ανταγωνισμού να δώσουν ιδιαίτερη προσοχή σε αυτές τις πρακτικές που ενδέχεται να βλάψουν τον ανταγωνισμό και να περιορίσουν τις επιλογές των πελατών·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18β.</w:t>
            </w:r>
            <w:r>
              <w:tab/>
            </w:r>
            <w:r>
              <w:rPr>
                <w:b/>
                <w:i/>
              </w:rPr>
              <w:t>υπογραμμίζει τον κρίσιμο ρόλο της διαλειτουργικότητας στη δυνατότητα διεκδίκησης αγορών μέσω της μείωσης του κόστους αλλαγής παρόχου στις ψηφιακές αγορές και της αύξησης της ευημερίας των καταναλωτών προσφέροντάς τους επιλογές, συμπεριλαμβανομένης της επιλογής πιο φιλικών προς την ιδιωτική ζωή, βιώσιμων ή κοινωνικών εναλλακτικών λύσεων·</w:t>
            </w:r>
            <w:r>
              <w:t xml:space="preserve"> </w:t>
            </w:r>
            <w:r>
              <w:rPr>
                <w:b/>
                <w:i/>
              </w:rPr>
              <w:t>παροτρύνει την Επιτροπή να σημειώσει ταχεία πρόοδο όσον αφορά την εφαρμογή των υφιστάμενων υποχρεώσεων διαλειτουργικότητας για τις υπηρεσίες ανταλλαγής μηνυμάτων στο πλαίσιο της πράξης για τις ψηφιακές αγορές και των υφιστάμενων υποχρεώσεων διαλειτουργικότητας για τους παρόχους υπολογιστικού νέφους βάσει της πράξης για τα δεδομένα, και να ξεκινήσει να εργάζεται για την αναθεώρηση που προβλέπεται για τον Μάιο του 2026·</w:t>
            </w:r>
            <w:r>
              <w:t xml:space="preserve"> </w:t>
            </w:r>
            <w:r>
              <w:rPr>
                <w:b/>
                <w:i/>
              </w:rPr>
              <w:t>παροτρύνει την Επιτροπή να επεκτείνει τις υποχρεώσεις διαλειτουργικότητας βάσει της πράξης για τις ψηφιακές αγορές στις επιγραμμικές υπηρεσίες κοινωνικής δικτύωσης·</w:t>
            </w:r>
            <w:r>
              <w:t xml:space="preserve"> </w:t>
            </w:r>
            <w:r>
              <w:rPr>
                <w:b/>
                <w:i/>
              </w:rPr>
              <w:t>παροτρύνει την Επιτροπή να επανεξετάσει κατά πόσον οι υποχρεώσεις διαλειτουργικότητας και φορητότητας των δεδομένων για τους παρόχους υπηρεσιών υπολογιστικού νέφους είναι στην πράξη αρκετά αποτελεσματικές και προσβάσιμες ώστε να καθιστούν δυνατή την εύκολη αλλαγή παρόχου για την προώθηση του θεμιτού ανταγωνισμού στις αγορές υπολογιστικού νέφους και των ευκαιριών για τις ευρωπαϊκές ΜΜΕ·</w:t>
            </w:r>
            <w:r>
              <w:t xml:space="preserve"> </w:t>
            </w:r>
            <w:r>
              <w:rPr>
                <w:b/>
                <w:i/>
              </w:rPr>
              <w:t>τονίζει την ανάγκη να συμπεριλάβει η Επιτροπή τους πυλωρούς στην αξιακή αλυσίδα της ΤΝ στο πεδίο εφαρμογής της πράξης για 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18β.</w:t>
            </w:r>
            <w:r>
              <w:tab/>
            </w:r>
            <w:r>
              <w:rPr>
                <w:b/>
                <w:i/>
              </w:rPr>
              <w:t>εκφράζει επίσης την ανησυχία του για την ταχεία ανάπτυξη των υπηρεσιών ΤΝ, η οποία έχει το δυναμικό να οδηγήσει σε συγκέντρωση της αγοράς·</w:t>
            </w:r>
            <w:r>
              <w:t xml:space="preserve"> </w:t>
            </w:r>
            <w:r>
              <w:rPr>
                <w:b/>
                <w:i/>
              </w:rPr>
              <w:t>επισημαίνει ότι η πράξη για τις ψηφιακές αγορές περιλαμβάνει διάφορες διατάξεις που πρέπει να χρησιμοποιούνται για να αποτρέπονται οι πυλωροί από το να περιορίζουν τους αναδυόμενους προγραμματιστές ΤΝ, όπως η δίκαιη κατάταξη, η διαφάνεια στη διαφήμιση ή η πρόσβαση σε δεδομένα·</w:t>
            </w:r>
            <w:r>
              <w:t xml:space="preserve"> </w:t>
            </w:r>
            <w:r>
              <w:rPr>
                <w:b/>
                <w:i/>
              </w:rPr>
              <w:t>καλεί την Επιτροπή να παρακολουθεί στενά τις υπηρεσίες ΤΝ στο πλαίσιο της πράξης για τις ψηφιακές αγορές·</w:t>
            </w:r>
            <w:r>
              <w:t xml:space="preserve"> </w:t>
            </w:r>
            <w:r>
              <w:rPr>
                <w:b/>
                <w:i/>
              </w:rPr>
              <w:t>καλεί την Επιτροπή να εξετάσει πρόσθετους ορισμούς για βασικές υπηρεσίες πλατφόρμας και να δράσει άμεσα για την αντιμετώπιση του κινδύνου εξαναγκασμού των καταναλωτών να χρησιμοποιούν προκαθορισμένες υπηρεσίες ΤΝ στις κινητές συσκευές τους, διασφαλίζοντας ότι τα συστήματα ΤΝ παραμένουν επιλέξιμα από τον χρήστη και διαφανή, γεγονός που θα διασφαλίσει επίσης τον ανταγωνισμό και τις επιλογές των καταναλωτών·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18γ.</w:t>
            </w:r>
            <w:r>
              <w:tab/>
            </w:r>
            <w:r>
              <w:rPr>
                <w:b/>
                <w:i/>
              </w:rPr>
              <w:t>ενθαρρύνει την Επιτροπή να χρησιμοποιήσει όλα τα εργαλεία που έχει στη διάθεσή της για να αντιμετωπίσει τις λεγόμενες «επιθετικές εξαγορές» από κυρίαρχους παράγοντες, οι οποίες ενδέχεται να επηρεάσουν τη δυνατότητα διεκδίκησης και τον δίκαιο χαρακτήρα της ψηφιακής ενιαίας αγοράς και να έχουν αρνητικές επιπτώσεις στις επιλογές των καταναλωτών·</w:t>
            </w:r>
            <w:r>
              <w:t xml:space="preserve"> </w:t>
            </w:r>
            <w:r>
              <w:rPr>
                <w:b/>
                <w:i/>
              </w:rPr>
              <w:t>επισημαίνει τη σημασία των δεδομένων και των εργαλείων ανάλυσης δεδομένων ως ενός από τους αποτρεπτικούς παράγοντες για τις συγκεντρώσεις στην ψηφιακή αγορά και τις εξαγορές στον ψηφιακό τομέα·</w:t>
            </w:r>
            <w:r>
              <w:t xml:space="preserve"> </w:t>
            </w:r>
            <w:r>
              <w:rPr>
                <w:b/>
                <w:i/>
              </w:rPr>
              <w:t>ζητεί την υποχρεωτική γνωμοδότηση του Ευρωπαϊκού Συμβουλίου Προστασίας Δεδομένων σε περίπτωση συγκεντρώσεων στις οποίες εμπλέκονται ένας ή περισσότεροι φορείς εκμετάλλευσης σε ψηφιακούς τομείς σχετικά με τη σημασία των συνόλων δεδομένων για τη σκοπούμενη συγκέντρωση, τα δεδομένα προσωπικού χαρακτήρα των οποίων γίνεται επεξεργασία στο πλαίσιο της σκοπούμενης εξαγοράς και τον δυνητικό αντίκτυπο στα δικαιώματα στην ιδιωτική ζωή και στην προστασία των δεδομένων που έχει η σκοπούμενη συγκέντρωση· καλεί την Επιτροπή να αντιμετωπίσει τη μη συναινετική διαϋπηρεσιακή κοινοχρησία δεδομένων που υπονομεύει τα δικαιώματα των καταναλωτών στην προστασία των δεδομένων, ενισχύει τις συγκεντρώσεις ισχύος δεδομένων και μειώνει τον έλεγχο των καταναλωτών επί των δεδομένων τους·</w:t>
            </w:r>
            <w:r>
              <w:t xml:space="preserve"> </w:t>
            </w:r>
            <w:r>
              <w:rPr>
                <w:b/>
                <w:i/>
              </w:rPr>
              <w:t>επισημαίνει ότι η ανεπαρκής επιβολή του ΓΚΠΔ στην Ιρλανδία ωφελεί την ανταγωνιστικότητα ενός μικρού αριθμού μεγάλων ψηφιακών πλατφορμών, επιδεικνύοντας ανοχή στις παραβιάσεις της ιδιωτικής ζωής κατά τη συλλογή δεδομένων, με αποτέλεσμα να αυξάνεται η συγκέντρωση δεδομένων·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18γ.</w:t>
            </w:r>
            <w:r>
              <w:tab/>
            </w:r>
            <w:r>
              <w:rPr>
                <w:b/>
                <w:i/>
              </w:rPr>
              <w:t>υπογραμμίζει τον καίριο ρόλο του Ευρωπαϊκού Δικτύου Ανταγωνισμού (ΕΔΑ)·</w:t>
            </w:r>
            <w:r>
              <w:t xml:space="preserve"> </w:t>
            </w:r>
            <w:r>
              <w:rPr>
                <w:b/>
                <w:i/>
              </w:rPr>
              <w:t>καλεί την Επιτροπή να δώσει προτεραιότητα στον συνεχή εποικοδομητικό διάλογο και τη συνεργασία σε διεθνές επίπεδο·</w:t>
            </w:r>
            <w:r>
              <w:t xml:space="preserve"> </w:t>
            </w:r>
            <w:r>
              <w:rPr>
                <w:b/>
                <w:i/>
              </w:rPr>
              <w:t>υπογραμμίζει την ανάγκη να αυξηθεί η συνεργασία μεταξύ των αντιμονοπωλιακών και άλλων τομεακών ρυθμιστικών αρχών, όπως αυτές που επιβλέπουν την προστασία των δεδομένων, ώστε να εποπτεύεται αποτελεσματικά η κατάχρηση εταιρικών δεδομένων και να αποτρέπονται οι εταιρείες από το να χρησιμοποιούν δεδομένα των καταναλωτών για την απόκτηση αθέμιτου ανταγωνιστικού πλεονεκτήματος·</w:t>
            </w:r>
            <w:r>
              <w:t xml:space="preserve"> </w:t>
            </w:r>
            <w:r>
              <w:rPr>
                <w:b/>
                <w:i/>
              </w:rPr>
              <w:t>εκφράζει την ικανοποίησή του για τον σημαντικό ρόλο των εθνικών αρχών ανταγωνισμού (ΕΑΑ) στην επιβολή των κανόνων της πράξης για τις ψηφιακές αγορές και των εθνικών νομοθετικών πρωτοβουλιών που εφαρμόζονται για την αντιμετώπιση της αντιανταγωνιστικής συμπεριφοράς των μεγάλων επιγραμμικών πλατφορμών σε ψηφιακούς τομείς·</w:t>
            </w:r>
            <w:r>
              <w:t xml:space="preserve"> </w:t>
            </w:r>
            <w:r>
              <w:rPr>
                <w:b/>
                <w:i/>
              </w:rPr>
              <w:t>στο πλαίσιο αυτό, τονίζει τη σημασία της συντονισμένης και ομοιογενούς δράσης που δεν υπονομεύει την εφαρμογή της πράξης για τις ψηφιακές αγορές, αφενός, και των εθνικών κανόνων ανταγωνισμού στους ψηφιακούς τομείς, αφετέρου, όπως προβλέπεται στο άρθρο 1 παράγραφος 6 της πράξης για 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18δ.</w:t>
            </w:r>
            <w:r>
              <w:tab/>
            </w:r>
            <w:r>
              <w:rPr>
                <w:b/>
                <w:i/>
              </w:rPr>
              <w:t>επισημαίνει τα χαρακτηριστικά των ψηφιακών αγορών, όπως η συγκέντρωση και η χρήση των δεδομένων, οι πολύπλευρες αγορές, τα άμεσα και έμμεσα αποτελέσματα δικτύου, η χρήση πολλαπλών πλατφορμών, το μη χρηματικό κόστος αλλαγής παρόχου πέραν της τιμολόγησης, όπως το δίκτυο που έχουν δημιουργήσει οι χρήστες, το κόστος εκμάθησης και η φήμη ή οι αξιολογήσεις της συγκεκριμένης πλατφόρμας των χρηστών·</w:t>
            </w:r>
            <w:r>
              <w:t xml:space="preserve"> </w:t>
            </w:r>
            <w:r>
              <w:rPr>
                <w:b/>
                <w:i/>
              </w:rPr>
              <w:t>υπογραμμίζει ότι η ισχύς των ψηφιακών παραγόντων επί των καταναλωτών οφείλεται στον ρόλο των δεδομένων και στον ρόλο των άμεσων και έμμεσων αποτελεσμάτων δικτύου·</w:t>
            </w:r>
            <w:r>
              <w:t xml:space="preserve"> </w:t>
            </w:r>
            <w:r>
              <w:rPr>
                <w:b/>
                <w:i/>
              </w:rPr>
              <w:t>εκφράζει την ικανοποίησή του για την αναθεώρηση της ανακοίνωσης για τον ορισμό της αγοράς με σκοπό την καλύτερη αξιολόγηση των ψηφιακών αγορών και παροτρύνει την Επιτροπή να λάβει υπόψη μη νομισματικούς παράγοντες, όπως οι προαναφερθέντες παράγοντες, κατά τον καθορισμό των ψηφιακών αγορών και των θέσεων ισχύος σε αυτές τις αγορές, όπως το κόστος αλλαγής παρόχου πέραν της τιμολόγησης κατά την αξιολόγηση της ισχύος στην αγορά·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18ε.</w:t>
            </w:r>
            <w:r>
              <w:tab/>
            </w:r>
            <w:r>
              <w:rPr>
                <w:b/>
                <w:i/>
              </w:rPr>
              <w:t>τονίζει ότι οι επιπτώσεις της συγκέντρωσης ισχύος στις ψηφιακές αγορές υπερβαίνουν την παρεμπόδιση του ανταγωνισμού με άλλες επιχειρήσεις, αλλά περιλαμβάνουν επιπτώσεις όπως η εξουσία επί των καταναλωτών, ο δυνητικός αντίκτυπος στα θεμελιώδη δικαιώματα, την ιδιωτική ζωή και την προστασία των δεδομένων και ο δυνητικός αντίκτυπος στην ελευθερία των μέσων ενημέρωσης, την κοινωνία και τη δημοκρατία·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18στ.</w:t>
            </w:r>
            <w:r>
              <w:tab/>
            </w:r>
            <w:r>
              <w:rPr>
                <w:b/>
                <w:i/>
              </w:rPr>
              <w:t>σημειώνει τα κάθετα ολοκληρωμένα οικοσυστήματα του τομέα της ΤΝ, τα οποία έχουν αποκτηθεί με τον έλεγχο του υλισμικού, των δεδομένων, των μοντέλων ΤΝ και της διανομής·</w:t>
            </w:r>
            <w:r>
              <w:t xml:space="preserve"> </w:t>
            </w:r>
            <w:r>
              <w:rPr>
                <w:b/>
                <w:i/>
              </w:rPr>
              <w:t>υπενθυμίζει την έκκληση της Επιτροπής του 2024 για εισηγήσεις και μελέτη της δυναμικής της αγοράς στον τομέα της ΤΝ, καθώς και την αναγνώριση από την Επιτροπή ότι η Ένωση «δεν μπορεί να επαναλάβει τα ίδια σφάλματα με εκείνα στα μέσα κοινωνικής δικτύωσης και την ψηφιακή οικονομία»·</w:t>
            </w:r>
            <w:r>
              <w:t xml:space="preserve"> </w:t>
            </w:r>
            <w:r>
              <w:rPr>
                <w:b/>
                <w:i/>
              </w:rPr>
              <w:t>καλεί την Επιτροπή να υιοθετήσει μια οικοσυστημική προσέγγιση σε αυτόν τον τομέα, μεταξύ άλλων αναπτύσσοντας και εφαρμόζοντας νέες θεωρίες βλάβης για την αντιμετώπιση της περαιτέρω παγίωσης των εδραιωμένων φορέων στον τομέα·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18ζ.</w:t>
            </w:r>
            <w:r>
              <w:tab/>
            </w:r>
            <w:r>
              <w:rPr>
                <w:b/>
                <w:i/>
              </w:rPr>
              <w:t>εκφράζει την ανησυχία του σχετικά με την αυξανόμενη χρήση δυναμικών μηχανισμών τιμολόγησης σε ολόκληρη την Ένωση, ιδίως για εταιρείες με δεσπόζουσα θέση·</w:t>
            </w:r>
            <w:r>
              <w:t xml:space="preserve"> </w:t>
            </w:r>
            <w:r>
              <w:rPr>
                <w:b/>
                <w:i/>
              </w:rPr>
              <w:t>υποστηρίζει ότι η δυναμική τιμολόγηση σε αγορές με ανελαστική ζήτηση ενέχει κινδύνους για τον δίκαιο και ακέραιο χαρακτήρα της αγοράς και την προστασία των καταναλωτών·</w:t>
            </w:r>
            <w:r>
              <w:t xml:space="preserve"> </w:t>
            </w:r>
            <w:r>
              <w:rPr>
                <w:b/>
                <w:i/>
              </w:rPr>
              <w:t>καλεί την Επιτροπή να διερευνήσει κανονιστικά μέτρα κατά των εξαιρετικά προσαρμοστικών και αδιαφανών μεθόδων τιμολόγησης για προϊόντα με ανελαστική ζήτηση που μπορούν να οδηγήσουν σε υπερβολική και μεροληπτική τιμολόγηση·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w:t>
            </w:r>
          </w:p>
        </w:tc>
        <w:tc>
          <w:tcPr>
            <w:tcW w:w="4876" w:type="dxa"/>
            <w:tcBorders>
              <w:top w:val="nil"/>
              <w:left w:val="nil"/>
              <w:bottom w:val="nil"/>
              <w:right w:val="nil"/>
            </w:tcBorders>
          </w:tcPr>
          <w:p>
            <w:pPr>
              <w:pStyle w:val="Normal6a"/>
            </w:pPr>
            <w:r>
              <w:t>19.</w:t>
            </w:r>
            <w:r>
              <w:tab/>
            </w:r>
            <w:r>
              <w:t xml:space="preserve">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 </w:t>
            </w:r>
            <w:r>
              <w:rPr>
                <w:b/>
                <w:i/>
              </w:rPr>
              <w:t>καλεί την Επιτροπή να διασφαλίσει την περαιτέρω εφαρμογή και επιβολή των υφιστάμενων νόμων, καθώς και την αυστηρή αξιολόγηση της αποτελεσματικότητάς τους πριν από τη θέσπιση νέας νομοθεσίας·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w:t>
            </w:r>
          </w:p>
        </w:tc>
        <w:tc>
          <w:tcPr>
            <w:tcW w:w="4876" w:type="dxa"/>
            <w:tcBorders>
              <w:top w:val="nil"/>
              <w:left w:val="nil"/>
              <w:bottom w:val="nil"/>
              <w:right w:val="nil"/>
            </w:tcBorders>
          </w:tcPr>
          <w:p>
            <w:pPr>
              <w:pStyle w:val="Normal6a"/>
            </w:pPr>
            <w:r>
              <w:t>19.</w:t>
            </w:r>
            <w:r>
              <w:tab/>
            </w:r>
            <w:r>
              <w:t xml:space="preserve">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 </w:t>
            </w:r>
            <w:r>
              <w:rPr>
                <w:b/>
                <w:i/>
              </w:rPr>
              <w:t>καλεί την Επιτροπή να απαγορεύσει κάθε συγκέντρωση ή εξαγορά για εταιρείες που επί του παρόντος ορίζονται ως πυλωροί σύμφωνα με το άρθρο 3 της πράξης για 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Francesco Ventola, Denis Nesci,Giovanni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w:t>
            </w:r>
          </w:p>
        </w:tc>
        <w:tc>
          <w:tcPr>
            <w:tcW w:w="4876" w:type="dxa"/>
            <w:tcBorders>
              <w:top w:val="nil"/>
              <w:left w:val="nil"/>
              <w:bottom w:val="nil"/>
              <w:right w:val="nil"/>
            </w:tcBorders>
          </w:tcPr>
          <w:p>
            <w:pPr>
              <w:pStyle w:val="Normal6a"/>
            </w:pPr>
            <w:r>
              <w:t>19.</w:t>
            </w:r>
            <w:r>
              <w:tab/>
            </w:r>
            <w:r>
              <w:t xml:space="preserve">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 </w:t>
            </w:r>
            <w:r>
              <w:rPr>
                <w:b/>
                <w:i/>
              </w:rPr>
              <w:t>εναντιώνεται στη στρέβλωση των μηχανισμών ανταγωνισμού από μεγάλες επιγραμμικές πλατφόρμες·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w:t>
            </w:r>
          </w:p>
        </w:tc>
        <w:tc>
          <w:tcPr>
            <w:tcW w:w="4876" w:type="dxa"/>
            <w:tcBorders>
              <w:top w:val="nil"/>
              <w:left w:val="nil"/>
              <w:bottom w:val="nil"/>
              <w:right w:val="nil"/>
            </w:tcBorders>
          </w:tcPr>
          <w:p>
            <w:pPr>
              <w:pStyle w:val="Normal6a"/>
            </w:pPr>
            <w:r>
              <w:t>19.</w:t>
            </w:r>
            <w:r>
              <w:tab/>
            </w:r>
            <w:r>
              <w:t xml:space="preserve">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 </w:t>
            </w:r>
            <w:r>
              <w:rPr>
                <w:b/>
                <w:i/>
              </w:rPr>
              <w:t>και τονίζει ότι η Επιτροπή θα πρέπει να διαθέτει επαρκές προσωπικό για την επιβολή της νομοθεσίας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ζητεί την αυστηρή επιβολή όλων των κανόνων ανταγωνισμού</w:t>
            </w:r>
            <w:r>
              <w:rPr>
                <w:b/>
                <w:i/>
              </w:rPr>
              <w:t>, συμπεριλαμβανομένων του κανονισμού για τις ξένες επιδοτήσεις και της πράξης για τις ψηφιακές αγορές,</w:t>
            </w:r>
            <w:r>
              <w:t xml:space="preserve"> ώστε να αντιμετωπιστούν οι πρακτικές των πυλωρών και να προωθηθούν διεκδικήσιμες αγορές και θεμιτός ανταγωνισμός·</w:t>
            </w:r>
          </w:p>
        </w:tc>
        <w:tc>
          <w:tcPr>
            <w:tcW w:w="4876" w:type="dxa"/>
            <w:tcBorders>
              <w:top w:val="nil"/>
              <w:left w:val="nil"/>
              <w:bottom w:val="nil"/>
              <w:right w:val="nil"/>
            </w:tcBorders>
          </w:tcPr>
          <w:p>
            <w:pPr>
              <w:pStyle w:val="Normal6a"/>
            </w:pPr>
            <w:r>
              <w:t>19.</w:t>
            </w:r>
            <w:r>
              <w:tab/>
            </w:r>
            <w:r>
              <w:t>ζητεί την αυστηρή επιβολή όλων των κανόνων ανταγωνισμού ώστε να αντιμετωπιστούν οι πρακτικές των πυλωρών και να προωθηθούν διεκδικήσιμες αγορές και θεμιτός ανταγωνισμός·</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ζητεί την </w:t>
            </w:r>
            <w:r>
              <w:rPr>
                <w:b/>
                <w:i/>
              </w:rPr>
              <w:t>αυστηρή</w:t>
            </w:r>
            <w:r>
              <w:t xml:space="preserve"> επιβολή όλων των κανόνων ανταγωνισμού</w:t>
            </w:r>
            <w:r>
              <w:rPr>
                <w:b/>
                <w:i/>
              </w:rPr>
              <w:t>, συμπεριλαμβανομένων του κανονισμού για τις ξένες επιδοτήσεις και της πράξης για τις ψηφιακές αγορές,</w:t>
            </w:r>
            <w:r>
              <w:t xml:space="preserve"> ώστε να αντιμετωπιστούν οι πρακτικές των πυλωρών και να προωθηθούν διεκδικήσιμες αγορές και θεμιτός ανταγωνισμός·</w:t>
            </w:r>
          </w:p>
        </w:tc>
        <w:tc>
          <w:tcPr>
            <w:tcW w:w="4876" w:type="dxa"/>
            <w:tcBorders>
              <w:top w:val="nil"/>
              <w:left w:val="nil"/>
              <w:bottom w:val="nil"/>
              <w:right w:val="nil"/>
            </w:tcBorders>
          </w:tcPr>
          <w:p>
            <w:pPr>
              <w:pStyle w:val="Normal6a"/>
            </w:pPr>
            <w:r>
              <w:t>19.</w:t>
            </w:r>
            <w:r>
              <w:tab/>
            </w:r>
            <w:r>
              <w:t>ζητεί την επιβολή όλων των κανόνων ανταγωνισμού ώστε να αντιμετωπιστούν οι πρακτικές των πυλωρών και να προωθηθούν διεκδικήσιμες αγορές και θεμιτός ανταγωνισμός·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ζητεί την αυστηρή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w:t>
            </w:r>
          </w:p>
        </w:tc>
        <w:tc>
          <w:tcPr>
            <w:tcW w:w="4876" w:type="dxa"/>
            <w:tcBorders>
              <w:top w:val="nil"/>
              <w:left w:val="nil"/>
              <w:bottom w:val="nil"/>
              <w:right w:val="nil"/>
            </w:tcBorders>
          </w:tcPr>
          <w:p>
            <w:pPr>
              <w:pStyle w:val="Normal6a"/>
            </w:pPr>
            <w:r>
              <w:t>19.</w:t>
            </w:r>
            <w:r>
              <w:tab/>
            </w:r>
            <w:r>
              <w:t xml:space="preserve">ζητεί </w:t>
            </w:r>
            <w:r>
              <w:rPr>
                <w:b/>
                <w:i/>
              </w:rPr>
              <w:t>από την Επιτροπή</w:t>
            </w:r>
            <w:r>
              <w:t xml:space="preserve"> την αυστηρή </w:t>
            </w:r>
            <w:r>
              <w:rPr>
                <w:b/>
                <w:i/>
              </w:rPr>
              <w:t>και αποτελεσματική</w:t>
            </w:r>
            <w:r>
              <w:t xml:space="preserve"> επιβολή όλων των κανόνων ανταγωνισμού, συμπεριλαμβανομένων του κανονισμού για τις ξένες επιδοτήσεις και της πράξης για τις ψηφιακές αγορές, ώστε να αντιμετωπιστούν οι πρακτικές των πυλωρών και να προωθηθούν διεκδικήσιμες αγορές και θεμιτός ανταγωνισμός·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τονίζει τον κίνδυνο οι πυλωροί να αξιοποιήσουν την προνομιακή πρόσβασή τους σε βασικές εισροές της ΤΝ, όπως τα δεδομένα, οι υπολογιστικές υποδομές και το υπολογιστικό νέφος, και να επιβάλουν αθέμιτους όρους ή να εφαρμόσουν αντιανταγωνιστικές πρακτικές στους ανταγωνιστές τους προκειμένου να ελέγξουν την αγορά ΤΝ·</w:t>
            </w:r>
            <w:r>
              <w:t xml:space="preserve"> </w:t>
            </w:r>
            <w:r>
              <w:rPr>
                <w:b/>
                <w:i/>
              </w:rPr>
              <w:t>τονίζει την ανάγκη προσεκτικής αξιολόγησης των συμφωνιών συνεργασίας και των συγκεντρώσεων μεταξύ πυλωρών, που είναι επίσης πάροχοι ΤΝ, και νεοφυών επιχειρήσεων, ώστε να αποφευχθεί κάθε κίνδυνος μονοπωλίου στον ταχέως εξελισσόμενο τομέα των τεχνολογιών ΤΝ·</w:t>
            </w:r>
            <w:r>
              <w:t xml:space="preserve"> </w:t>
            </w:r>
            <w:r>
              <w:rPr>
                <w:b/>
                <w:i/>
              </w:rPr>
              <w:t>καλεί την Επιτροπή να διερευνήσει τη δυνατότητα προσθήκης της παραγωγικής ΤΝ ως νέας βασικής υπηρεσίας πλατφόρμας στο πλαίσιο της πράξης για 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τονίζει ότι είναι σημαντικό τα σημαντικά έργα κοινού ευρωπαϊκού ενδιαφέροντος (ΣΕΚΕΕ) να εγκρίνονται με βάση την πιθανή συμβολή τους στις δευτερογενείς οικονομικές επιπτώσεις εντός της ΕΕ, τη δημιουργία θέσεων εργασίας υψηλής ποιότητας, καθώς και τον θετικό αντίκτυπο στην πράσινη και την ψηφιακή μετάβαση στην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ζητεί να αναληφθεί δράση όσον αφορά τη διεθνή φορολογία, την εφαρμογή του παγκόσμιου ελάχιστου φόρου και την έγκριση του πρώτου πυλώνα του σχεδίου που αφορά τη διάβρωση της φορολογικής βάσης και τη μετατόπιση των κερδών (BEPS) ή μέτρων που εμπνέονται από αυτό·</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ζητεί την επείγουσα επέκταση της πράξης για τις ψηφιακές αγορές σε αντιανταγωνιστικές πρακτικές στους τομείς της ΤΝ και του υπολογιστικού νέφους, μεταξύ άλλων μέσω της επικαιροποίησης της νομοθεσίας, όπου απαιτείται·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19β.</w:t>
            </w:r>
            <w:r>
              <w:tab/>
            </w:r>
            <w:r>
              <w:rPr>
                <w:b/>
                <w:i/>
              </w:rPr>
              <w:t>εκφράζει την ικανοποίησή του για τη δέσμευση της Επιτροπής για τη σωστή επιβολή της πράξης για τις ψηφιακές αγορές και σημειώνει τις έξι διαδικασίες μη συμμόρφωσης που κινήθηκαν κατά ορισμένων ορισθέντων πυλωρών·</w:t>
            </w:r>
            <w:r>
              <w:t xml:space="preserve"> </w:t>
            </w:r>
            <w:r>
              <w:rPr>
                <w:b/>
                <w:i/>
              </w:rPr>
              <w:t>εκφράζει τη βαθιά ανησυχία του για πιθανές καθυστερήσεις σε κρίσιμες έρευνες και για την ικανότητα της Επιτροπής να τηρεί τις υποχρεώσεις της περί «βέλτιστης προσπάθειας» και να λαμβάνει απόφαση σχετικά με τις διαδικασίες μη συμμόρφωσης εντός 12 μηνών·</w:t>
            </w:r>
            <w:r>
              <w:t xml:space="preserve"> </w:t>
            </w:r>
            <w:r>
              <w:rPr>
                <w:b/>
                <w:i/>
              </w:rPr>
              <w:t>καλεί την Επιτροπή να ολοκληρώσει τις έρευνες αυτές το συντομότερο δυνατόν και να επιβάλει πρόστιμα, κατά περίπτωση·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19γ.</w:t>
            </w:r>
            <w:r>
              <w:tab/>
            </w:r>
            <w:r>
              <w:rPr>
                <w:b/>
                <w:i/>
              </w:rPr>
              <w:t>εκφράζει την ικανοποίησή του για την πρώτη τελική απόφαση στο πλαίσιο του κανονισμού για τις ξένες επιδοτήσεις που ελήφθη τον Σεπτέμβριο του 2024·</w:t>
            </w:r>
            <w:r>
              <w:t xml:space="preserve"> </w:t>
            </w:r>
            <w:r>
              <w:rPr>
                <w:b/>
                <w:i/>
              </w:rPr>
              <w:t>τονίζει τη σημασία αυτού του νέου εργαλείου και την ανάγκη να ξεκινήσουν εγκαίρως έρευνες, καθώς δύο διεξοδικές έρευνες που δρομολογήθηκαν στο πλαίσιο του κανονισμού για τις ξένες επιδοτήσεις οδήγησαν τους οικονομικούς φορείς που είναι ύποπτοι για αθέμιτες ξένες επιδοτήσεις να εγκαταλείψουν από μόνοι τους τους δημόσιους διαγωνισμούς και τις δημόσιες συμβάσεις·</w:t>
            </w:r>
            <w:r>
              <w:t xml:space="preserve"> </w:t>
            </w:r>
            <w:r>
              <w:rPr>
                <w:b/>
                <w:i/>
              </w:rPr>
              <w:t>καλεί την Επιτροπή να διασφαλίσει κατάλληλους και επαρκείς πόρους για την επιβολή του εν λόγω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19δ.</w:t>
            </w:r>
            <w:r>
              <w:tab/>
            </w:r>
            <w:r>
              <w:rPr>
                <w:b/>
                <w:i/>
              </w:rPr>
              <w:t>εκφράζει την ικανοποίησή του για τις δύο πρώτες διαδικασίες διευκρίνισης σύμφωνα με το άρθρο 8 παράγραφος 2 της πράξης για τις ψηφιακές αγορές, με σκοπό να βοηθηθεί μια επιχείριση που έχει οριστεί ως πυλωρός</w:t>
            </w:r>
            <w:r>
              <w:rPr>
                <w:b/>
                <w:i/>
                <w:vertAlign w:val="superscript"/>
              </w:rPr>
              <w:t>1a</w:t>
            </w:r>
            <w:r>
              <w:t xml:space="preserve"> </w:t>
            </w:r>
            <w:r>
              <w:rPr>
                <w:b/>
                <w:i/>
              </w:rPr>
              <w:t>να συμμορφωθεί με τις υποχρεώσεις διαλειτουργικότητας που υπέχει βάσει της πράξης για τις ψηφιακές αγορές και οι οποίες επισημοποιούν τον κανονιστικό διάλογο για τη διασφάλιση της αποτελεσματικής συμμόρφωσης με τις υποχρεώσεις που απορρέουν από την πράξη για τις ψηφιακές αγορές·</w:t>
            </w:r>
            <w:r>
              <w:t xml:space="preserve"> </w:t>
            </w:r>
            <w:r>
              <w:rPr>
                <w:b/>
                <w:i/>
              </w:rPr>
              <w:t>τονίζει ότι η προώθηση μεγαλύτερης διαλειτουργικότητας, μεταξύ άλλων μεταξύ των υπηρεσιών των πυλωρών, θα παρείχε σημαντικά πλεονεκτήματα στις ευρωπαϊκές επιχειρήσεις και τους καταναλωτές·</w:t>
            </w:r>
            <w:r>
              <w:t xml:space="preserve"> </w:t>
            </w:r>
            <w:r>
              <w:rPr>
                <w:b/>
                <w:i/>
              </w:rPr>
              <w:t>καλεί την Επιτροπή να αναλάβει άμεση και αποφασιστική δράση για την εφαρμογή και την επιβολή των αναγκαίων διορθωτικών μέτρων·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https://digital-markets-act.ec.europa.eu/commission-starts-first-proceedings-specify-apples-interoperability-obligations-under-digital-2024-09-19_en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19ε.</w:t>
            </w:r>
            <w:r>
              <w:tab/>
            </w:r>
            <w:r>
              <w:rPr>
                <w:b/>
                <w:i/>
              </w:rPr>
              <w:t>εκφράζει την ικανοποίησή του για την έγκριση της πράξης για τα δεδομένα, η οποία επιτρέπει στους πελάτες να αλλάζουν παρόχους υπηρεσιών επεξεργασίας δεδομένων υπολογιστικού νέφους, αλλά επισημαίνει ότι απαιτούνται επίσης πρόσθετοι κανόνες και διορθωτικά μέτρα για την αποκατάσταση του θεμιτού και ισότιμου ανταγωνισμού στην ευρωπαϊκή αγορά υπολογιστικού νέφους·</w:t>
            </w:r>
            <w:r>
              <w:t xml:space="preserve"> </w:t>
            </w:r>
            <w:r>
              <w:rPr>
                <w:b/>
                <w:i/>
              </w:rPr>
              <w:t>εκφράζει τη λύπη του για το γεγονός ότι κανένας πάροχος υπηρεσιών υπολογιστικού νέφους δεν έχει οριστεί ως πυλωρός στο πλαίσιο της πράξης για τις ψηφιακές αγορές·</w:t>
            </w:r>
            <w:r>
              <w:t xml:space="preserve"> </w:t>
            </w:r>
            <w:r>
              <w:rPr>
                <w:b/>
                <w:i/>
              </w:rPr>
              <w:t>ενθαρρύνει τις εθνικές αρχές ανταγωνισμού να διερευνήσουν αντιανταγωνιστικές πρακτικές στην αγορά υπολογιστικού νέφους, συμπεριλαμβανομένων των πολύπλοκων όρων αδειοδότησης, της αναγκαστικής ομαδοποίησης και των εμπορικών κινήτρων που δημιουργούν μακροπρόθεσμες εξαρτήσεις από μεμονωμένους προμηθευτές υπολογιστικού νέφους·</w:t>
            </w:r>
            <w:r>
              <w:t xml:space="preserve"> </w:t>
            </w:r>
            <w:r>
              <w:rPr>
                <w:b/>
                <w:i/>
              </w:rPr>
              <w:t>καλεί την Επιτροπή να προτείνει μέτρα για τον περιορισμό των πρακτικών αυτών όταν βλάπτουν τον ανταγωνισμό και περιορίζουν τις επιλογές των πελατών·</w:t>
            </w:r>
            <w:r>
              <w:t xml:space="preserve"> </w:t>
            </w:r>
            <w:r>
              <w:rPr>
                <w:b/>
                <w:i/>
              </w:rPr>
              <w:t>τονίζει την ανάγκη να αντιμετωπιστούν οι πρακτικές αδειοδότησης λογισμικού που εισάγουν διακρίσεις και δημιουργούν τεχνητά μειονεκτήματα στις τιμές για τους ανταγωνιστές παρόχους υπηρεσιών υπολογιστικού νέφους·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σημειώνει με ανησυχία τον κατακερματισμό πολυάριθμων καταναλωτικών αγορών</w:t>
            </w:r>
            <w:r>
              <w:rPr>
                <w:b/>
                <w:i/>
              </w:rPr>
              <w:t>, συμπεριλαμβανομένων των χρηματοπιστωτικών υπηρεσιών, των τηλεπικοινωνιών και της οικιακής ενέργειας, και ζητεί ταχύτερη και μεγαλύτερη</w:t>
            </w:r>
            <w:r>
              <w:t xml:space="preserve"> ενοποίηση της αγοράς </w:t>
            </w:r>
            <w:r>
              <w:rPr>
                <w:b/>
                <w:i/>
              </w:rPr>
              <w:t>όπου αυτό ωφελεί τους καταναλωτές</w:t>
            </w:r>
            <w:r>
              <w:t>·</w:t>
            </w:r>
          </w:p>
        </w:tc>
        <w:tc>
          <w:tcPr>
            <w:tcW w:w="4876" w:type="dxa"/>
            <w:tcBorders>
              <w:top w:val="nil"/>
              <w:left w:val="nil"/>
              <w:bottom w:val="nil"/>
              <w:right w:val="nil"/>
            </w:tcBorders>
          </w:tcPr>
          <w:p>
            <w:pPr>
              <w:pStyle w:val="Normal6a"/>
            </w:pPr>
            <w:r>
              <w:t>20.</w:t>
            </w:r>
            <w:r>
              <w:tab/>
            </w:r>
            <w:r>
              <w:t xml:space="preserve">σημειώνει με ανησυχία τον κατακερματισμό πολυάριθμων καταναλωτικών αγορών </w:t>
            </w:r>
            <w:r>
              <w:rPr>
                <w:b/>
                <w:i/>
              </w:rPr>
              <w:t>και υπογραμμίζει τη σημασία της ταχύτερης και μεγαλύτερης ενοποίησης της αγοράς υπό την προϋπόθεση ότι η εν λόγω ενοποίηση αποφέρει καθαρά οφέλη για τους καταναλωτές·</w:t>
            </w:r>
            <w:r>
              <w:t xml:space="preserve"> </w:t>
            </w:r>
            <w:r>
              <w:rPr>
                <w:b/>
                <w:i/>
              </w:rPr>
              <w:t>υπενθυμίζει ότι η</w:t>
            </w:r>
            <w:r>
              <w:t xml:space="preserve"> ενοποίηση της αγοράς </w:t>
            </w:r>
            <w:r>
              <w:rPr>
                <w:b/>
                <w:i/>
              </w:rPr>
              <w:t>δεν θα πρέπει να καθοδηγείται από κρατικές παρεμβάσεις που στρεβλώνουν την αρχή του ελεύθερου ανταγωνισμού, αλλά θα πρέπει να ενθαρρύνεται εντός ενός πλαισίου που προωθεί τον αποτελεσματικό ανταγωνισμό, την καινοτομία και την ισότιμη πρόσβαση σε υπηρεσίες</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σημειώνει με ανησυχία τον κατακερματισμό πολυάριθμων καταναλωτικών αγορών, συμπεριλαμβανομένων των χρηματοπιστωτικών υπηρεσιών, των τηλεπικοινωνιών και της οικιακής ενέργειας, και ζητεί ταχύτερη και μεγαλύτερη ενοποίηση της αγοράς όπου αυτό ωφελεί τους καταναλωτές·</w:t>
            </w:r>
          </w:p>
        </w:tc>
        <w:tc>
          <w:tcPr>
            <w:tcW w:w="4876" w:type="dxa"/>
            <w:tcBorders>
              <w:top w:val="nil"/>
              <w:left w:val="nil"/>
              <w:bottom w:val="nil"/>
              <w:right w:val="nil"/>
            </w:tcBorders>
          </w:tcPr>
          <w:p>
            <w:pPr>
              <w:pStyle w:val="Normal6a"/>
            </w:pPr>
            <w:r>
              <w:t>20.</w:t>
            </w:r>
            <w:r>
              <w:tab/>
            </w:r>
            <w:r>
              <w:t xml:space="preserve">σημειώνει με ανησυχία τον κατακερματισμό πολυάριθμων καταναλωτικών αγορών, συμπεριλαμβανομένων των χρηματοπιστωτικών υπηρεσιών, των τηλεπικοινωνιών και της οικιακής ενέργειας, και ζητεί </w:t>
            </w:r>
            <w:r>
              <w:rPr>
                <w:b/>
                <w:i/>
              </w:rPr>
              <w:t>τόσο</w:t>
            </w:r>
            <w:r>
              <w:t xml:space="preserve"> ταχύτερη </w:t>
            </w:r>
            <w:r>
              <w:rPr>
                <w:b/>
                <w:i/>
              </w:rPr>
              <w:t>όσο</w:t>
            </w:r>
            <w:r>
              <w:t xml:space="preserve"> και μεγαλύτερη ενοποίηση της αγοράς όπου αυτό ωφελεί τους καταναλωτές </w:t>
            </w:r>
            <w:r>
              <w:rPr>
                <w:b/>
                <w:i/>
              </w:rPr>
              <w:t>και μεγαλύτερη αναγνώριση των οφελών για τους καταναλωτές που μπορούν να προκύψουν από την ενοποίηση εντός της αγοράς η οποία προωθεί τις επενδύσεις και την καινοτομία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σημειώνει με ανησυχία τον κατακερματισμό πολυάριθμων </w:t>
            </w:r>
            <w:r>
              <w:rPr>
                <w:b/>
                <w:i/>
              </w:rPr>
              <w:t>καταναλωτικών αγορών, συμπεριλαμβανομένων των χρηματοπιστωτικών υπηρεσιών, των τηλεπικοινωνιών και της οικιακής ενέργειας,</w:t>
            </w:r>
            <w:r>
              <w:t xml:space="preserve"> και ζητεί ταχύτερη και μεγαλύτερη ενοποίηση της αγοράς όπου αυτό ωφελεί τους καταναλωτές·</w:t>
            </w:r>
          </w:p>
        </w:tc>
        <w:tc>
          <w:tcPr>
            <w:tcW w:w="4876" w:type="dxa"/>
            <w:tcBorders>
              <w:top w:val="nil"/>
              <w:left w:val="nil"/>
              <w:bottom w:val="nil"/>
              <w:right w:val="nil"/>
            </w:tcBorders>
          </w:tcPr>
          <w:p>
            <w:pPr>
              <w:pStyle w:val="Normal6a"/>
            </w:pPr>
            <w:r>
              <w:t>20.</w:t>
            </w:r>
            <w:r>
              <w:tab/>
            </w:r>
            <w:r>
              <w:t xml:space="preserve">σημειώνει με ανησυχία τον κατακερματισμό πολυάριθμων </w:t>
            </w:r>
            <w:r>
              <w:rPr>
                <w:b/>
                <w:i/>
              </w:rPr>
              <w:t>μη κρατικών καταναλωτικών αγορών</w:t>
            </w:r>
            <w:r>
              <w:t xml:space="preserve"> και ζητεί ταχύτερη και μεγαλύτερη ενοποίηση της αγοράς όπου αυτό ωφελεί </w:t>
            </w:r>
            <w:r>
              <w:rPr>
                <w:b/>
                <w:i/>
              </w:rPr>
              <w:t>τα κράτη μέλη και</w:t>
            </w:r>
            <w:r>
              <w:t xml:space="preserve"> τους καταναλωτές·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εκφράζει την ανησυχία του για την υψηλή συγκέντρωση στους τομείς του λιανικού εμπορίου, της γεωργίας και της αυτοκινητοβιομηχανίας στα υπερπόντια εδάφη, όπου οι υπερβολικές τιμές που καθορίζουν οι δεσπόζουσες επιχειρήσεις σε βασικά προϊόντα και υπηρεσίες επιτείνουν τις ανισότητες, την επισφάλεια και τις εδαφικές ανισότητες·</w:t>
            </w:r>
            <w:r>
              <w:t xml:space="preserve"> </w:t>
            </w:r>
            <w:r>
              <w:rPr>
                <w:b/>
                <w:i/>
              </w:rPr>
              <w:t>καλεί επειγόντως την Ευρωπαϊκή Επιτροπή να κινήσει έρευνα σχετικά με πιθανές καταχρήσεις δεσπόζουσας θέσης δυνάμει του άρθρου 102 ΣΛΕΕ·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w:t>
            </w:r>
          </w:p>
        </w:tc>
        <w:tc>
          <w:tcPr>
            <w:tcW w:w="4876" w:type="dxa"/>
            <w:tcBorders>
              <w:top w:val="nil"/>
              <w:left w:val="nil"/>
              <w:bottom w:val="nil"/>
              <w:right w:val="nil"/>
            </w:tcBorders>
          </w:tcPr>
          <w:p>
            <w:pPr>
              <w:pStyle w:val="Normal6a"/>
            </w:pPr>
            <w:r>
              <w:t>21.</w:t>
            </w:r>
            <w:r>
              <w:tab/>
            </w:r>
            <w:r>
              <w:t xml:space="preserve">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 </w:t>
            </w:r>
            <w:r>
              <w:rPr>
                <w:b/>
                <w:i/>
              </w:rPr>
              <w:t>εκφράζει τη βαθιά του ανησυχία για τη συνεχιζόμενη υψηλή συγκέντρωση στην αγορά ελεγκτικών υπηρεσιών οντοτήτων δημοσίου συμφέροντος (ΟΔΣ) από τη μεταρρύθμιση του 2014 και μετά, με τέσσερις εταιρείες να κατέχουν πάνω από το 86 % των εσόδων της ΕΕ για ελέγχους ΟΔΣ, περιορίζοντας τις επιλογές και θέτοντας σε κίνδυνο την αποτελεσματική εποπτεία·</w:t>
            </w:r>
            <w:r>
              <w:t xml:space="preserve"> </w:t>
            </w:r>
            <w:r>
              <w:rPr>
                <w:b/>
                <w:i/>
              </w:rPr>
              <w:t>επισημαίνει ότι οι αυξανόμενες απαιτήσεις ελέγχου, όπως στο πλαίσιο της οδηγίας για την υποβολή εκθέσεων βιωσιμότητας από τις εταιρείες και της πράξης για τις ψηφιακές υπηρεσίες/πράξης για τις ψηφιακές αγορές, αυξάνουν αυτούς τους κινδύνους πέραν των χρηματοπιστωτικών αγορών για τους καταναλωτές και τους πολίτες·</w:t>
            </w:r>
            <w:r>
              <w:t xml:space="preserve"> </w:t>
            </w:r>
            <w:r>
              <w:rPr>
                <w:b/>
                <w:i/>
              </w:rPr>
              <w:t>τονίζει την ανάγκη για ένα αξιόπιστο πλαίσιο υποβολής εκθέσεων από τις εταιρείες και ένα ανταγωνιστικό οικοσύστημα ελέγχου για τη στήριξη τεκμηριωμένων επενδυτικών αποφάσεων και την πρόληψη αθέμιτων πρακτικών·</w:t>
            </w:r>
            <w:r>
              <w:t xml:space="preserve"> </w:t>
            </w:r>
            <w:r>
              <w:rPr>
                <w:b/>
                <w:i/>
              </w:rPr>
              <w:t>καλεί την Επιτροπή να προτείνει νομοθεσία, βάσει ενδελεχούς εκτίμησης επιπτώσεων, για τη διαφοροποίηση της αγοράς ελεγκτικών υπηρεσιών για τις ΟΔΣ και τη βελτίωση της ποιότητας των ελέγχων για μια ανθεκτική ενιαία αγορά·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σημειώνει με ανησυχία τον υψηλό βαθμό συγκέντρωσης της αγοράς στον ευρωπαϊκό χρηματοπιστωτικό τομέα, </w:t>
            </w:r>
            <w:r>
              <w:rPr>
                <w:b/>
                <w:i/>
              </w:rPr>
              <w:t>καθώς</w:t>
            </w:r>
            <w:r>
              <w:t xml:space="preserve"> και τη συνεχιζόμενη υπερβολική </w:t>
            </w:r>
            <w:r>
              <w:rPr>
                <w:b/>
                <w:i/>
              </w:rPr>
              <w:t>εξάρτησή της</w:t>
            </w:r>
            <w:r>
              <w:t xml:space="preserve"> από παρόχους υπηρεσιών εκτός ΕΕ·</w:t>
            </w:r>
          </w:p>
        </w:tc>
        <w:tc>
          <w:tcPr>
            <w:tcW w:w="4876" w:type="dxa"/>
            <w:tcBorders>
              <w:top w:val="nil"/>
              <w:left w:val="nil"/>
              <w:bottom w:val="nil"/>
              <w:right w:val="nil"/>
            </w:tcBorders>
          </w:tcPr>
          <w:p>
            <w:pPr>
              <w:pStyle w:val="Normal6a"/>
            </w:pPr>
            <w:r>
              <w:t>21.</w:t>
            </w:r>
            <w:r>
              <w:tab/>
            </w:r>
            <w:r>
              <w:t xml:space="preserve">σημειώνει με ανησυχία τον υψηλό βαθμό συγκέντρωσης της αγοράς στον ευρωπαϊκό χρηματοπιστωτικό τομέα, </w:t>
            </w:r>
            <w:r>
              <w:rPr>
                <w:b/>
                <w:i/>
              </w:rPr>
              <w:t>ο οποίος επηρεάζει τη σχέση κόστους-ωφέλειας για τους πελάτες,</w:t>
            </w:r>
            <w:r>
              <w:t xml:space="preserve"> και τη συνεχιζόμενη υπερβολική </w:t>
            </w:r>
            <w:r>
              <w:rPr>
                <w:b/>
                <w:i/>
              </w:rPr>
              <w:t>εξάρτηση του τομέα</w:t>
            </w:r>
            <w:r>
              <w:t xml:space="preserve"> από παρόχους υπηρεσιών εκτός ΕΕ· </w:t>
            </w:r>
            <w:r>
              <w:rPr>
                <w:b/>
                <w:i/>
              </w:rPr>
              <w:t>ζητεί να καταβληθούν νέες προσπάθειες για την ολοκλήρωση της τραπεζικής ένωσης και η Επιτροπή να εξετάσει μέτρα για τη βελτίωση της ενιαίας αγοράς στον τομέα των ασφαλίσεων, η οποία, με τη σειρά της, θα βελτιώσει την ανταγωνιστικότητα των εγχώριων αγορών σε κάθε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w:t>
            </w:r>
          </w:p>
        </w:tc>
        <w:tc>
          <w:tcPr>
            <w:tcW w:w="4876" w:type="dxa"/>
            <w:tcBorders>
              <w:top w:val="nil"/>
              <w:left w:val="nil"/>
              <w:bottom w:val="nil"/>
              <w:right w:val="nil"/>
            </w:tcBorders>
          </w:tcPr>
          <w:p>
            <w:pPr>
              <w:pStyle w:val="Normal6a"/>
            </w:pPr>
            <w:r>
              <w:t>21.</w:t>
            </w:r>
            <w:r>
              <w:tab/>
            </w:r>
            <w:r>
              <w:t xml:space="preserve">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 </w:t>
            </w:r>
            <w:r>
              <w:rPr>
                <w:b/>
                <w:i/>
              </w:rPr>
              <w:t>σε πολλούς τομείς, συμπεριλαμβανομένων των δραστηριοτήτων ΠΚΔ και αξιολόγησης πιστοληπτικής ικανότητας, του χειρισμού των πληρωμών, του χειρισμού συμβάσεων παραγώγων, των παρόχων υπηρεσιών για την ασφάλεια στον κυβερνοχώρο και τον λογιστικό έλεγχο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w:t>
            </w:r>
          </w:p>
        </w:tc>
        <w:tc>
          <w:tcPr>
            <w:tcW w:w="4876" w:type="dxa"/>
            <w:tcBorders>
              <w:top w:val="nil"/>
              <w:left w:val="nil"/>
              <w:bottom w:val="nil"/>
              <w:right w:val="nil"/>
            </w:tcBorders>
          </w:tcPr>
          <w:p>
            <w:pPr>
              <w:pStyle w:val="Normal6a"/>
            </w:pPr>
            <w:r>
              <w:t>21.</w:t>
            </w:r>
            <w:r>
              <w:tab/>
            </w:r>
            <w:r>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παρόχους υπηρεσιών εκτός ΕΕ</w:t>
            </w:r>
            <w:r>
              <w:rPr>
                <w:b/>
                <w:i/>
              </w:rPr>
              <w:t>, προκαλώντας τη μείωση της ανταγωνιστικότητας των επιχειρήσεων προς όφελος τρίτων χωρών</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σημειώνει με ανησυχία </w:t>
            </w:r>
            <w:r>
              <w:rPr>
                <w:b/>
                <w:i/>
              </w:rPr>
              <w:t>τον υψηλό βαθμό συγκέντρωσης της αγοράς στον ευρωπαϊκό χρηματοπιστωτικό</w:t>
            </w:r>
            <w:r>
              <w:t xml:space="preserve"> τομέα</w:t>
            </w:r>
            <w:r>
              <w:rPr>
                <w:b/>
                <w:i/>
              </w:rPr>
              <w:t>, καθώς και τη συνεχιζόμενη υπερβολική εξάρτησή της από παρόχους</w:t>
            </w:r>
            <w:r>
              <w:t xml:space="preserve"> υπηρεσιών εκτός ΕΕ·</w:t>
            </w:r>
          </w:p>
        </w:tc>
        <w:tc>
          <w:tcPr>
            <w:tcW w:w="4876" w:type="dxa"/>
            <w:tcBorders>
              <w:top w:val="nil"/>
              <w:left w:val="nil"/>
              <w:bottom w:val="nil"/>
              <w:right w:val="nil"/>
            </w:tcBorders>
          </w:tcPr>
          <w:p>
            <w:pPr>
              <w:pStyle w:val="Normal6a"/>
            </w:pPr>
            <w:r>
              <w:t>21.</w:t>
            </w:r>
            <w:r>
              <w:tab/>
            </w:r>
            <w:r>
              <w:t xml:space="preserve">σημειώνει με ανησυχία </w:t>
            </w:r>
            <w:r>
              <w:rPr>
                <w:b/>
                <w:i/>
              </w:rPr>
              <w:t>την υπερβολική εξάρτηση του ευρωπαϊκού χρηματοπιστωτικού</w:t>
            </w:r>
            <w:r>
              <w:t xml:space="preserve"> τομέα </w:t>
            </w:r>
            <w:r>
              <w:rPr>
                <w:b/>
                <w:i/>
              </w:rPr>
              <w:t>από έναν περιορισμένο αριθμό παρόχων</w:t>
            </w:r>
            <w:r>
              <w:t xml:space="preserve"> υπηρεσιών εκτός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επισημαίνει τις μελλοντικές ανάγκες συνδεσιμότητας της ΕΕ όσον αφορά τις υποδομές και τις επενδύσεις·</w:t>
            </w:r>
            <w:r>
              <w:t xml:space="preserve"> </w:t>
            </w:r>
            <w:r>
              <w:rPr>
                <w:b/>
                <w:i/>
              </w:rPr>
              <w:t>καλεί την Επιτροπή να εξετάσει το ενδεχόμενο αναθεώρησης της τρέχουσας πρακτικής ανταγωνισμού για την αγορά τηλεπικοινωνιών, η οποία εμπόδισε τις συγχωνεύσεις των φορέων εκμετάλλευσης κινητής τηλεφωνίας από τέσσερις σε τρεις, προκειμένου να διευκολυνθεί η δημιουργία μιας πλήρως ολοκληρωμένης ενιαίας αγοράς για τις τηλεπικοινωνιακές υπηρεσίες·</w:t>
            </w:r>
            <w:r>
              <w:t xml:space="preserve"> </w:t>
            </w:r>
            <w:r>
              <w:rPr>
                <w:b/>
                <w:i/>
              </w:rPr>
              <w:t>σημειώνει ότι η ενοποίηση της αγοράς μπορεί να είναι ο μόνος τρόπος για να αποφευχθεί η τμηματική πώληση υποδομών σε ξένες εταιρείες εκτός ΕΕ·</w:t>
            </w:r>
            <w:r>
              <w:t xml:space="preserve"> </w:t>
            </w:r>
            <w:r>
              <w:rPr>
                <w:b/>
                <w:i/>
              </w:rPr>
              <w:t>επισημαίνει ότι η ανάπτυξη αυτού του τομέα στην Ευρώπη ήταν πολύ χαμηλή κατά την τελευταία δεκαετία και ότι ο κατακερματισμός είναι η κύρια αιτία γι’ αυτό·</w:t>
            </w:r>
            <w:r>
              <w:t xml:space="preserve"> </w:t>
            </w:r>
            <w:r>
              <w:rPr>
                <w:b/>
                <w:i/>
              </w:rPr>
              <w:t>χαιρετίζει, στο πλαίσιο αυτό, τη νέα νομοθετική πρόταση για τα ψηφιακά δίκτυα, η οποία στοχεύει στην αντιμετώπιση του κατακερματισμού της αγοράς, στην προσέλκυση επενδύσεων, στην ασφάλεια των τηλεπικοινωνιακών υποδομών και στην προώθηση της καινοτομίας χωρίς πρόσθετο κόστος για τους καταναλωτές και χωρίς να τίθεται σε κίνδυνο ο θεμιτός ανταγωνισμός στην αγορά μεταξύ όλων των παραγόντων·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σημειώνει με ανησυχία την εμφάνιση άνισων όρων ανταγωνισμού ως συνέπεια του κανονισμού (ΕΕ) αριθ. 575/2013 και της οδηγίας 2013/36/ΕΕ, όπως επικαιροποιήθηκαν με τον κανονισμό (ΕΕ) 2024/1623, ιδίως όσον αφορά την προληπτική αντιμετώπιση των διατομεακών ιδιοκτησιακών συμμετοχών βάσει τομεακών κανόνων (ο λεγόμενος «συμβιβασμός της Δανίας»)·</w:t>
            </w:r>
            <w:r>
              <w:t xml:space="preserve"> </w:t>
            </w:r>
            <w:r>
              <w:rPr>
                <w:b/>
                <w:i/>
              </w:rPr>
              <w:t>εκφράζει την ικανοποίησή του για το μέτρο που εγκρίθηκε μέσω του άρθρου 3 της οδηγίας (ΕΕ) 2025/2, το οποίο προβλέπει ότι η Επιτροπή υποχρεούται να υποβάλει, έως την 31η Δεκεμβρίου 2027, έκθεση σχετικά με τη λειτουργία του προαναφερθέντος μηχανισμού από την άποψη του ανταγωνισμού·</w:t>
            </w:r>
            <w:r>
              <w:t xml:space="preserve"> </w:t>
            </w:r>
            <w:r>
              <w:rPr>
                <w:b/>
                <w:i/>
              </w:rPr>
              <w:t>ζητεί να επεκταθεί το πεδίο εφαρμογής του σε χρηματοπιστωτικούς ομίλους μη ετερογενών δραστηριοτήτων·</w:t>
            </w:r>
            <w:r>
              <w:t xml:space="preserve"> </w:t>
            </w:r>
            <w:r>
              <w:rPr>
                <w:b/>
                <w:i/>
              </w:rPr>
              <w:t>τονίζει τη σημασία και τον επείγοντα χαρακτήρα της προαναφερθείσας έκθεσης και συνιστά στην Επιτροπή να επισπεύσει την προθεσμία για την παρουσίασή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εξακολουθεί να διακατέχεται από έντονη ανησυχία για τη εκτεταμένη συγκέντρωση στην εφοδιαστική αλυσίδα του γεωργικού τομέα και του τομέα των τροφίμων·</w:t>
            </w:r>
            <w:r>
              <w:t xml:space="preserve"> </w:t>
            </w:r>
            <w:r>
              <w:rPr>
                <w:b/>
                <w:i/>
              </w:rPr>
              <w:t>επαναλαμβάνει την έκκλησή του προς την Επιτροπή να διενεργήσει επειγόντως ενδελεχή ανάλυση της έκτασης και των αποτελεσμάτων των αγοραστικών συμμαχιών, δίνοντας έτσι ιδιαίτερη προσοχή στη διασφάλιση θεμιτού ανταγωνισμού και μεγαλύτερης διαφάνειας στις εμπορικές πρακτικές των αλυσίδων σούπερ μάρκετ και υπεραγορών, ιδίως όταν οι πρακτικές αυτές επηρεάζουν την αξία της επωνυμίας και την επιλογή προϊόντων ή περιορίζουν την καινοτομία ή τη συγκρισιμότητα των τιμών·</w:t>
            </w:r>
            <w:r>
              <w:t xml:space="preserve"> </w:t>
            </w:r>
            <w:r>
              <w:rPr>
                <w:b/>
                <w:i/>
              </w:rPr>
              <w:t>καλεί την Επιτροπή να συνεχίσει να εμβαθύνει τις γνώσεις της σχετικά με αυτές τις συμμαχίες και τις επιπτώσεις τους, όχι μόνο στις τιμές αλλά και στην ικανότητα των γεωργών και των παρασκευαστών γεωργικών τροφίμων να προμηθεύουν υγιεινά, ασφαλή και βιώσιμα προϊόντα στους Ευρωπαίους καταναλωτές·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εκφράζει τη βαθιά του ανησυχία για την κρίση των τιμών των τροφίμων και τα υψηλά επίπεδα συγκέντρωσης της αγοράς και οικονομικής ιδιοκτησίας στις εφοδιαστικές αλυσίδες τροφίμων, που ενδέχεται να αποθαρρύνουν τον ανταγωνισμό και να διευκολύνουν τις αθέμιτες αυξήσεις των τιμών·</w:t>
            </w:r>
            <w:r>
              <w:t xml:space="preserve"> </w:t>
            </w:r>
            <w:r>
              <w:rPr>
                <w:b/>
                <w:i/>
              </w:rPr>
              <w:t>ζητεί ενδελεχή τομεακή έρευνα σχετικά με την ισχύ στην αγορά και την οικονομική ιδιοκτησία στις αλυσίδες τροφίμων της ΕΕ και την εφαρμογή διαρθρωτικών διορθωτικών μέτρων, συμπεριλαμβανομένης της αποτροπής περαιτέρω συγχωνεύσεων και εξαγορών·</w:t>
            </w:r>
            <w:r>
              <w:t xml:space="preserve"> </w:t>
            </w:r>
            <w:r>
              <w:rPr>
                <w:b/>
                <w:i/>
              </w:rPr>
              <w:t>ζητεί την αναθεώρηση της νομοθεσίας ανταγωνισμού της ΕΕ προκειμένου να ευθυγραμμιστεί η επιβολή της με τον στόχο ότι η εταιρική συμπεριφορά πρέπει να σέβεται το θεμελιώδες δικαίωμα των καταναλωτών σε οικονομικά προσιτά τρόφιμα·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ζητεί, λόγω του στρατηγικού χαρακτήρα τους, να διαφυλαχθούν οι εθνικές αμυντικές βιομηχανίες και να νοείται ως κοινή αγορά για την αμυντική βιομηχανία, όπως ορίζεται στην έκθεση του Enrico Letta, μόνο η αγορά που προωθεί τη διάθεση παραγγελιών μεταξύ των κρατών μελών και των Ευρωπαίων κατασκευαστών, τη συνεργασία μεταξύ κατασκευαστών όταν αυτό είναι προς το συμφέρον της εθνικής άμυνας και γενικότερα την ευρωπαϊκή στρατηγική ανεξαρτησία σε θέματα άμυνας·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Niels Fuglsang, Lara Wolters, Adnan Dibrani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καλεί την Επιτροπή να προτείνει νομοθεσία που θα επιβάλλει τον διαρθρωτικό διαχωρισμό των λογιστικών εταιρειών από τις χρηματοπιστωτικές, φορολογικές και άλλες συμβουλευτικές υπηρεσίες για την πρόληψη των συγκρούσεων συμφερόντων.</w:t>
            </w:r>
            <w:r>
              <w:t xml:space="preserve"> </w:t>
            </w:r>
            <w:r>
              <w:rPr>
                <w:b/>
                <w:i/>
              </w:rPr>
              <w:t>εκφράζει τη λύπη του για το γεγονός ότι μία από τις τέσσερις μεγάλες λογιστικές εταιρείες δεν κατάφερε να ακολουθήσει το ανακοινωθέν σχέδιό της για διαχωρισμό των δραστηριοτήτων ελέγχου από τις δραστηριότητες παροχής συμβουλών</w:t>
            </w:r>
            <w:r>
              <w:rPr>
                <w:b/>
                <w:i/>
                <w:vertAlign w:val="superscript"/>
              </w:rPr>
              <w:t>1a</w:t>
            </w:r>
            <w:r>
              <w:rPr>
                <w:b/>
                <w:i/>
              </w:rPr>
              <w:t>, αναδεικνύοντας την ανάγκη για ρυθμιστική παρέμβαση στον τομέα αυτό·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https://www.theaccountant-online.com/news/ey-calls-off-audit-advisory-split/?cf-view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Adnan Dibrani, Eero Heinäluoma,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σημειώνει με ανησυχία τα υψηλά καθαρά κέρδη των τραπεζών της ΕΕ κατά τη διάρκεια της πληθωριστικής περιόδου, ενδεχομένως εις βάρος των καταναλωτών και των μικρών επιχειρήσεων·</w:t>
            </w:r>
            <w:r>
              <w:t xml:space="preserve"> </w:t>
            </w:r>
            <w:r>
              <w:rPr>
                <w:b/>
                <w:i/>
              </w:rPr>
              <w:t>και παροτρύνει την Επιτροπή να διερευνήσει διεξοδικά το θέμα αυτό και, σε περίπτωση που εντοπιστούν παρατυπίες ή δυσλειτουργίες, να χρησιμοποιήσει όλα τα διαθέσιμα μέσα για τη διασφάλιση θεμιτού ανταγωνισμού στον ευρωπαϊκό τραπεζικό τομέα·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Evelyn Regner, Irene Tinagli, Lara Wolters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σημειώνει με ανησυχία την αύξηση της κερδοσκοπίας στον τομέα της στέγασης, γεγονός που αυξάνει τις τιμές και περιορίζει την οικονομική προσιτότητα·</w:t>
            </w:r>
            <w:r>
              <w:t xml:space="preserve"> </w:t>
            </w:r>
            <w:r>
              <w:rPr>
                <w:b/>
                <w:i/>
              </w:rPr>
              <w:t>τονίζει ότι αυτό βλάπτει την ανταγωνιστικότητα της ΕΕ μέσω της μείωσης της κινητικότητας, της αύξησης των ανισοτήτων και της υπονόμευσης της κοινωνικής σταθερότητας·</w:t>
            </w:r>
            <w:r>
              <w:t xml:space="preserve"> </w:t>
            </w:r>
            <w:r>
              <w:rPr>
                <w:b/>
                <w:i/>
              </w:rPr>
              <w:t>ζητεί αυστηρότερους κανονισμούς για τον περιορισμό της κερδοσκοπίας, διασφαλίζοντας μια δίκαιη στεγαστική αγορά που στηρίζει την οικονομική ανάπτυξη και την κοινωνική ένταξη·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εκφράζει τη λύπη του για το γεγονός ότι οι τρεις μεγαλύτεροι οργανισμοί αξιολόγησης της πιστοληπτικής ικανότητας κατέχουν ακόμη μερίδιο αγοράς άνω του 90 %·</w:t>
            </w:r>
            <w:r>
              <w:t xml:space="preserve"> </w:t>
            </w:r>
            <w:r>
              <w:rPr>
                <w:b/>
                <w:i/>
              </w:rPr>
              <w:t>ζητεί τη σύσταση ενός ευρωπαϊκού δημόσιου οργανισμού αξιολόγησης πιστοληπτικής ικανότητας ως αμερόληπτης και αξιόπιστης εναλλακτικής στους υπάρχοντες οργανισμούς·</w:t>
            </w:r>
            <w:r>
              <w:t xml:space="preserve"> </w:t>
            </w:r>
            <w:r>
              <w:rPr>
                <w:b/>
                <w:i/>
              </w:rPr>
              <w:t>εκφράζει επίσης τη λύπη του για τα προβλήματα συγκέντρωσης και σύγκρουσης συμφερόντων στην αγορά ελεγκτικών υπηρεσιών·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τονίζει την ανάγκη να διασφαλιστεί η ανταγωνιστικότητα της εσωτερικής αγοράς των κρατών μελών, μεταξύ άλλων μέσω μέτρων προστασίας και άμεσων κρατικών ενισχύσεων προς μικρές και μεσαίες επιχειρήσεις οι οποίες, στο πλαίσιο των δραστηριοτήτων τους, χαρακτηρίζονται από τον τυπικό χαρακτήρα του προϊόντος που συνδέεται με τα ιδιαίτερα χαρακτηριστικά του περιβάλλοντος, του κλίματος και της περιοχής·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καλεί την Επιτροπή να μην παρατείνει τη μεταβατική περίοδο για τις ενισχύσεις λειτουργίας σε όλους τους περιφερειακούς αερολιμένες στο πλαίσιο της αναθεώρησης των κατευθυντήριων γραμμών για τις κρατικές ενισχύσεις σε αερολιμένες και αεροπορικές εταιρείες·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τονίζει την ανησυχία του σχετικά με την υψηλή συγκέντρωση της αγοράς στην ευρωπαϊκή εφοδιαστική αλυσίδα γεωργικών προϊόντων και τροφίμων εις βάρος των καταναλωτών, των γεωργών μικρής κλίμακας και της βιοποικιλότητας·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21β.</w:t>
            </w:r>
            <w:r>
              <w:tab/>
            </w:r>
            <w:r>
              <w:rPr>
                <w:b/>
                <w:i/>
              </w:rPr>
              <w:t>σημειώνει την κοινοποίηση αιτιάσεων που εξέδωσε η Ευρωπαϊκή Επιτροπή στις 25 Ιουνίου 2024 στο πλαίσιο της αντιμονοπωλιακής έρευνας σχετικά με πιθανές αντιανταγωνιστικές πρακτικές της Microsoft όσον αφορά το Teams, στην οποία η Επιτροπή εξέφρασε την προκαταρκτική της άποψη για το γεγονός ότι η Microsoft συνδέει το προϊόν της επικοινωνίας και συνεργασίας Teams με τις παραγωγικές εφαρμογές της που περιλαμβάνονται στις σειρές για επιχειρήσεις Office 365 και Microsoft 365·</w:t>
            </w:r>
            <w:r>
              <w:t xml:space="preserve"> </w:t>
            </w:r>
            <w:r>
              <w:rPr>
                <w:b/>
                <w:i/>
              </w:rPr>
              <w:t>καλεί την Επιτροπή να συνεχίσει τις προσπάθειές της για την προσεκτική ολοκλήρωση αυτής της αντιμονοπωλιακής έρευνας, προκειμένου να εξασφαλιστούν ισότιμοι όροι ανταγωνισμού για όλους τους παράγοντες της αγοράς, αντιμετωπίζοντας τις ανησυχίες των καταναλωτών, καθώς και ζητήματα διαλειτουργικότητας και τιμολόγησης·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21β.</w:t>
            </w:r>
            <w:r>
              <w:tab/>
            </w:r>
            <w:r>
              <w:rPr>
                <w:b/>
                <w:i/>
              </w:rPr>
              <w:t>σημειώνει με ιδιαίτερη ανησυχία τη δεσπόζουσα θέση δύο διεθνών συστημάτων καρτών στην αγορά πληρωμών της ΕΕ και τις πρακτικές τους που στοχεύουν να ενισχύσουν και να επεκτείνουν τη δεσπόζουσα θέση τους στην αγορά ψηφιακών πληρωμών της ΕΕ, αυξάνοντας δυνητικά περαιτέρω τους φραγμούς εισόδου και εμποδίζοντας τη μακροπρόθεσμη καινοτομία</w:t>
            </w:r>
            <w:r>
              <w:rPr>
                <w:b/>
                <w:i/>
                <w:vertAlign w:val="superscript"/>
              </w:rPr>
              <w:t>1b</w:t>
            </w:r>
            <w:r>
              <w:rPr>
                <w:b/>
                <w:i/>
              </w:rPr>
              <w:t>, καθώς και οδηγώντας σε υψηλότερο κόστος για τις επιχειρήσεις και, τελικά, τους καταναλωτές της ΕΕ·</w:t>
            </w:r>
            <w:r>
              <w:t xml:space="preserve"> </w:t>
            </w:r>
            <w:r>
              <w:rPr>
                <w:b/>
                <w:i/>
              </w:rPr>
              <w:t>καλεί την Επιτροπή να λάβει αποφασιστικά μέτρα, τονίζοντας την ανάγκη αναθεώρησης του κανονισμού για τις διατραπεζικές προμήθειες, προκειμένου να αντιμετωπιστεί η σημαντική αύξηση των τελών των συστημάτων καρτών που χρεώνονται από τα διεθνή συστήματα καρτών και να διασφαλιστεί ένα δίκαιο, ανταγωνιστικό και διαφανές περιβάλλον της αγοράς·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Βλέπε ειδική έκθεση του Ευρωπαϊκού Ελεγκτικού Συνεδρίου σχετικά με τις ψηφιακές πληρωμές στην ΕΕ:</w:t>
            </w:r>
            <w:r>
              <w:t xml:space="preserve"> </w:t>
            </w:r>
            <w:r>
              <w:rPr>
                <w:b/>
                <w:i/>
              </w:rPr>
              <w:t>https://www.eca.europa.eu/ECAPublications/SR-2025-01/SR-2025-01_EL.pdf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21β.</w:t>
            </w:r>
            <w:r>
              <w:tab/>
            </w:r>
            <w:r>
              <w:rPr>
                <w:b/>
                <w:i/>
              </w:rPr>
              <w:t>επισημαίνει ότι η αγορά ελεγκτικών υπηρεσιών είναι μία από τις αγορές στην Ένωση που παρουσιάζει τη μεγαλύτερη συγκέντρωση, όπου οι τέσσερις μεγάλες εταιρείες έχουν μερίδιο αγοράς άνω του 90 %·</w:t>
            </w:r>
            <w:r>
              <w:t xml:space="preserve"> </w:t>
            </w:r>
            <w:r>
              <w:rPr>
                <w:b/>
                <w:i/>
              </w:rPr>
              <w:t>υπενθυμίζει ότι ο υψηλός βαθμός συγκέντρωσης της αγοράς στην αγορά ελεγκτικών υπηρεσιών αποτελεί από καιρό αναγνωρισμένη απειλή για τη σταθερότητα των χρηματοπιστωτικών αγορών·</w:t>
            </w:r>
            <w:r>
              <w:t xml:space="preserve"> </w:t>
            </w:r>
            <w:r>
              <w:rPr>
                <w:b/>
                <w:i/>
              </w:rPr>
              <w:t>καλεί την Επιτροπή να υποβάλει νομοθετική πρόταση για τη μεταρρύθμιση της αγοράς ελεγκτικών υπηρεσιών, η οποία θα ενισχύσει το καθεστώς εποπτείας, θα αντιμετωπίσει τα κενά και τις εξαιρέσεις στα κράτη μέλη και θα θεσπίσει κανόνες για την αποφυγή συγκρούσεων συμφερόντων·</w:t>
            </w:r>
            <w:r>
              <w:t xml:space="preserve"> </w:t>
            </w:r>
            <w:r>
              <w:rPr>
                <w:b/>
                <w:i/>
              </w:rPr>
              <w:t>καλεί την Επιτροπή να λάβει μέτρα για την αποφυγή της εγγύτητας μεταξύ των δημόσιων ιδρυμάτων και των ελεγκτικών εταιρειών, μεταξύ άλλων και στις δικές της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Adnan Dibrani, Eero Heinäluoma,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21β.</w:t>
            </w:r>
            <w:r>
              <w:tab/>
            </w:r>
            <w:r>
              <w:rPr>
                <w:b/>
                <w:i/>
              </w:rPr>
              <w:t>σημειώνει με ανησυχία τις ενδείξεις κινδύνου πληθωριστικής δυναμικής και μη ανταγωνιστικών συμπεριφορών στους τομείς των τροφίμων που συμβάλλουν στην απότομη αύξηση των τιμών των τροφίμων τα τελευταία χρόνια εις βάρος των Ευρωπαίων καταναλωτών·</w:t>
            </w:r>
            <w:r>
              <w:t xml:space="preserve"> </w:t>
            </w:r>
            <w:r>
              <w:rPr>
                <w:b/>
                <w:i/>
              </w:rPr>
              <w:t>και ζητεί την επείγουσα ενεργοποίηση των διαθέσιμων εργαλείων ανταγωνισμού για τη διερεύνηση αυτών των αγορών χωρίς καθυστέρηση·</w:t>
            </w:r>
            <w:r>
              <w:t xml:space="preserve"> </w:t>
            </w:r>
            <w:r>
              <w:rPr>
                <w:b/>
                <w:i/>
              </w:rPr>
              <w:t>αξιολογώντας παράλληλα την ανάγκη εφαρμογής ενός «νέου εργαλείου ανταγωνισμού» για την αντιμετώπιση διαρθρωτικών ζητημάτων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21γ.</w:t>
            </w:r>
            <w:r>
              <w:tab/>
            </w:r>
            <w:r>
              <w:rPr>
                <w:b/>
                <w:i/>
              </w:rPr>
              <w:t>σημειώνει με ανησυχία τη συγκέντρωση της αγοράς στο εμπόριο γεωργικών προϊόντων, όπου τέσσερις εταιρείες αντιπροσωπεύουν έως και το 90 % του παγκόσμιου εμπορίου δημητριακών και το 60 % του παγκόσμιου εμπορίου σιτηρών, ελαιούχων σπόρων και πρωτεϊνούχων καλλιεργειών·</w:t>
            </w:r>
            <w:r>
              <w:t xml:space="preserve"> </w:t>
            </w:r>
            <w:r>
              <w:rPr>
                <w:b/>
                <w:i/>
              </w:rPr>
              <w:t>υπενθυμίζει το ενημερωτικό σημείωμα της Επιτροπής σχετικά με τις συγκεντρώσεις και τον ανταγωνισμό του Νοεμβρίου 2024, το οποίο μιλά για μια «αγορά σε σχήμα κλεψύδρας», στην οποία λίγες εταιρείες «παράγουν κέρδη αγοράζοντας γεωργικά προϊόντα και μεταπωλώντας τα, ως τέτοια ή σε επεξεργασμένη μορφή, σε υψηλότερη τιμή»·</w:t>
            </w:r>
            <w:r>
              <w:t xml:space="preserve"> </w:t>
            </w:r>
            <w:r>
              <w:rPr>
                <w:b/>
                <w:i/>
              </w:rPr>
              <w:t>εκφράζει τη λύπη του για το γεγονός ότι η Επιτροπή ενέκρινε, ωστόσο, υπό όρους τη συγκέντρωση Bunge-Vittera (M.11204) παρά τα ζητήματα ανταγωνισμού·</w:t>
            </w:r>
            <w:r>
              <w:t xml:space="preserve"> </w:t>
            </w:r>
            <w:r>
              <w:rPr>
                <w:b/>
                <w:i/>
              </w:rPr>
              <w:t>ζητεί από την Επιτροπή να αντιμετωπίσει την υπερβολική συσσώρευση ισχύος στα χέρια λίγων μεγάλων παραγόντων στην εν λόγω αγορά, προκειμένου να ενισχυθεί η διαπραγματευτική θέση τόσο των γεωργών όσο και των καταναλωτών·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τονίζει ότι το Κοινοβούλιο θα πρέπει να συμμετέχει επαρκώς στη διαμόρφωση της πολιτικής ανταγωνισμού·</w:t>
            </w:r>
            <w:r>
              <w:t xml:space="preserve"> </w:t>
            </w:r>
            <w:r>
              <w:rPr>
                <w:b/>
                <w:i/>
              </w:rPr>
              <w:t>καλεί την Επιτροπή να ξεκινήσει διαπραγματεύσεις για τη σύναψη διοργανικής συμφωνίας σχετικά με την πολιτική ανταγωνισμού·</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τονίζει ότι το Κοινοβούλιο θα πρέπει να συμμετέχει επαρκώς στη διαμόρφωση της πολιτικής ανταγωνισμού· καλεί την Επιτροπή να ξεκινήσει διαπραγματεύσεις για τη σύναψη διοργανικής συμφωνίας σχετικά με την πολιτική ανταγωνισμού·</w:t>
            </w:r>
          </w:p>
        </w:tc>
        <w:tc>
          <w:tcPr>
            <w:tcW w:w="4876" w:type="dxa"/>
            <w:tcBorders>
              <w:top w:val="nil"/>
              <w:left w:val="nil"/>
              <w:bottom w:val="nil"/>
              <w:right w:val="nil"/>
            </w:tcBorders>
          </w:tcPr>
          <w:p>
            <w:pPr>
              <w:pStyle w:val="Normal6a"/>
            </w:pPr>
            <w:r>
              <w:t>22.</w:t>
            </w:r>
            <w:r>
              <w:tab/>
            </w:r>
            <w:r>
              <w:t xml:space="preserve">τονίζει ότι το Κοινοβούλιο θα πρέπει να συμμετέχει επαρκώς στη διαμόρφωση της πολιτικής ανταγωνισμού </w:t>
            </w:r>
            <w:r>
              <w:rPr>
                <w:b/>
                <w:i/>
              </w:rPr>
              <w:t>και προειδοποιεί για την υπερβολική εξάρτηση από μη δεσμευτικά μέσα, όπως οι κατευθυντήριες γραμμές και τα προσωρινά πλαίσια στα οποία η συμμετοχή του Κοινοβουλίου είναι περιορισμένη</w:t>
            </w:r>
            <w:r>
              <w:t xml:space="preserve">· καλεί την Επιτροπή να ξεκινήσει διαπραγματεύσεις για τη σύναψη διοργανικής συμφωνίας σχετικά με την πολιτική ανταγωνισμού </w:t>
            </w:r>
            <w:r>
              <w:rPr>
                <w:b/>
                <w:i/>
              </w:rPr>
              <w:t>για την επισημοποίηση των προτεραιοτήτων της όσον αφορά την επιβολή στο Κοινοβούλιο</w:t>
            </w:r>
            <w:r>
              <w:t xml:space="preserve">· </w:t>
            </w:r>
            <w:r>
              <w:rPr>
                <w:b/>
                <w:i/>
              </w:rPr>
              <w:t>καλεί το Ευρωπαϊκό Συμβούλιο να εκδώσει απόφαση βάσει του άρθρου 48 παράγραφος 7 δεύτερο εδάφιο της ΣΕΕ, που επιτρέπει την έκδοση νομοθετικών πράξεων στον τομέα της πολιτικής ανταγωνισμού σύμφωνα με τη συνήθη νομοθετική διαδικασία·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τονίζει ότι το Κοινοβούλιο θα πρέπει να συμμετέχει επαρκώς στη διαμόρφωση της πολιτικής ανταγωνισμού· καλεί την Επιτροπή να ξεκινήσει διαπραγματεύσεις για τη σύναψη διοργανικής συμφωνίας σχετικά με την πολιτική ανταγωνισμού·</w:t>
            </w:r>
          </w:p>
        </w:tc>
        <w:tc>
          <w:tcPr>
            <w:tcW w:w="4876" w:type="dxa"/>
            <w:tcBorders>
              <w:top w:val="nil"/>
              <w:left w:val="nil"/>
              <w:bottom w:val="nil"/>
              <w:right w:val="nil"/>
            </w:tcBorders>
          </w:tcPr>
          <w:p>
            <w:pPr>
              <w:pStyle w:val="Normal6a"/>
            </w:pPr>
            <w:r>
              <w:t>22.</w:t>
            </w:r>
            <w:r>
              <w:tab/>
            </w:r>
            <w:r>
              <w:t xml:space="preserve">τονίζει ότι το Κοινοβούλιο θα πρέπει να συμμετέχει επαρκώς στη διαμόρφωση της πολιτικής ανταγωνισμού· καλεί την Επιτροπή να ξεκινήσει διαπραγματεύσεις για τη σύναψη διοργανικής συμφωνίας σχετικά με την πολιτική ανταγωνισμού· </w:t>
            </w:r>
            <w:r>
              <w:rPr>
                <w:b/>
                <w:i/>
              </w:rPr>
              <w:t>τονίζει ότι το Κοινοβούλιο θα πρέπει να συμμετέχει περισσότερο στις δραστηριότητες των ομάδων εργασίας και των ομάδων εμπειρογνωμόνων του ΔΔΑ και του ΟΟΣΑ ως παρατηρητής, αλλά και στην ομάδα εμπειρογνωμόνων υψηλού επιπέδου σχετικά με την πράξη για τις ψηφιακές αγορές·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τονίζει ότι το Κοινοβούλιο θα πρέπει να </w:t>
            </w:r>
            <w:r>
              <w:rPr>
                <w:b/>
                <w:i/>
              </w:rPr>
              <w:t>συμμετέχει επαρκώς στη διαμόρφωση της πολιτικής</w:t>
            </w:r>
            <w:r>
              <w:t xml:space="preserve"> ανταγωνισμού· καλεί την Επιτροπή να ξεκινήσει διαπραγματεύσεις για τη σύναψη διοργανικής συμφωνίας σχετικά με την πολιτική ανταγωνισμού·</w:t>
            </w:r>
          </w:p>
        </w:tc>
        <w:tc>
          <w:tcPr>
            <w:tcW w:w="4876" w:type="dxa"/>
            <w:tcBorders>
              <w:top w:val="nil"/>
              <w:left w:val="nil"/>
              <w:bottom w:val="nil"/>
              <w:right w:val="nil"/>
            </w:tcBorders>
          </w:tcPr>
          <w:p>
            <w:pPr>
              <w:pStyle w:val="Normal6a"/>
            </w:pPr>
            <w:r>
              <w:t>22.</w:t>
            </w:r>
            <w:r>
              <w:tab/>
            </w:r>
            <w:r>
              <w:t xml:space="preserve">τονίζει ότι το Κοινοβούλιο θα πρέπει να </w:t>
            </w:r>
            <w:r>
              <w:rPr>
                <w:b/>
                <w:i/>
              </w:rPr>
              <w:t>διαμορφώνει την πολιτική</w:t>
            </w:r>
            <w:r>
              <w:t xml:space="preserve"> ανταγωνισμού· καλεί την Επιτροπή να ξεκινήσει διαπραγματεύσεις για τη σύναψη διοργανικής συμφωνίας σχετικά με την πολιτική ανταγωνισμού· </w:t>
            </w:r>
            <w:r>
              <w:rPr>
                <w:b/>
                <w:i/>
              </w:rPr>
              <w:t>ζητεί να επεκταθεί πλήρως η συνήθης νομοθετική διαδικασία ώστε να καλύπτει τη νομοθεσία για την πολιτική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Pierre Pimpie, Aleksandar Nikolic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τονίζει ότι το Κοινοβούλιο θα πρέπει να συμμετέχει </w:t>
            </w:r>
            <w:r>
              <w:rPr>
                <w:b/>
                <w:i/>
              </w:rPr>
              <w:t>επαρκώς</w:t>
            </w:r>
            <w:r>
              <w:t xml:space="preserve"> στη διαμόρφωση της πολιτικής ανταγωνισμού· καλεί την Επιτροπή να ξεκινήσει διαπραγματεύσεις για τη σύναψη διοργανικής συμφωνίας σχετικά με την πολιτική ανταγωνισμού·</w:t>
            </w:r>
          </w:p>
        </w:tc>
        <w:tc>
          <w:tcPr>
            <w:tcW w:w="4876" w:type="dxa"/>
            <w:tcBorders>
              <w:top w:val="nil"/>
              <w:left w:val="nil"/>
              <w:bottom w:val="nil"/>
              <w:right w:val="nil"/>
            </w:tcBorders>
          </w:tcPr>
          <w:p>
            <w:pPr>
              <w:pStyle w:val="Normal6a"/>
            </w:pPr>
            <w:r>
              <w:t>22.</w:t>
            </w:r>
            <w:r>
              <w:tab/>
            </w:r>
            <w:r>
              <w:t xml:space="preserve">τονίζει ότι το Κοινοβούλιο θα πρέπει να συμμετέχει </w:t>
            </w:r>
            <w:r>
              <w:rPr>
                <w:b/>
                <w:i/>
              </w:rPr>
              <w:t>περισσότερο</w:t>
            </w:r>
            <w:r>
              <w:t xml:space="preserve"> στη διαμόρφωση της πολιτικής ανταγωνισμού· καλεί την Επιτροπή να ξεκινήσει διαπραγματεύσεις για τη σύναψη διοργανικής συμφωνίας σχετικά με την πολιτική ανταγωνισμού·</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καλεί την Εκτελεστική Αντιπρόεδρο που είναι επίσης Επίτροπος αρμόδια για την πολιτική ανταγωνισμού να παραμείνει σε στενή επαφή με την αρμόδια επιτροπή του Κοινοβουλίου και την ομάδα εργασίας του για θέματα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καλεί το μέλος της Ευρωπαϊκής Επιτροπής που είναι αρμόδιο για την πολιτική ανταγωνισμού να παραμείνει σε στενή επαφή με την αρμόδια επιτροπή του Ευρωπαϊκού Κοινοβουλίου και την ομάδα εργασίας του για θέματα ανταγωνισμού·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τονίζει την ανάγκη για αποτελεσματική διοργανική συνεργασία στον τομέα της πολιτικής ανταγωνισμού, με σαφή καθορισμό των ρόλων και των αρμοδιοτήτων του Κοινοβουλίου, της Επιτροπής και του Συμβουλίου·</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182</w:t>
    </w:r>
    <w:r>
      <w:fldChar w:fldCharType="end"/>
    </w:r>
    <w:r>
      <w:t>/</w:t>
    </w:r>
    <w:r>
      <w:fldChar w:fldCharType="begin"/>
    </w:r>
    <w:r>
      <w:instrText xml:space="preserve"> NUMPAGES </w:instrText>
    </w:r>
    <w:r>
      <w:fldChar w:fldCharType="separate"/>
    </w:r>
    <w:r>
      <w:t>182</w:t>
    </w:r>
    <w:r>
      <w:fldChar w:fldCharType="end"/>
    </w:r>
    <w:r>
      <w:tab/>
    </w:r>
    <w:r>
      <w:rPr>
        <w:rStyle w:val="HideTWBExt"/>
      </w:rPr>
      <w:t>&lt;PathFdR&gt;</w:t>
    </w:r>
    <w:r>
      <w:t>AM\1314304EL.docx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AM\1314304EL.docx</w:t>
    </w:r>
    <w:r>
      <w:rPr>
        <w:rStyle w:val="HideTWBExt"/>
      </w:rPr>
      <w:t>&lt;/PathFdR&gt;</w:t>
    </w:r>
    <w:r>
      <w:tab/>
    </w:r>
    <w:r>
      <w:fldChar w:fldCharType="begin"/>
    </w:r>
    <w:r>
      <w:instrText xml:space="preserve"> PAGE </w:instrText>
    </w:r>
    <w:r>
      <w:fldChar w:fldCharType="separate"/>
    </w:r>
    <w:r>
      <w:t>181</w:t>
    </w:r>
    <w:r>
      <w:fldChar w:fldCharType="end"/>
    </w:r>
    <w:r>
      <w:t>/</w:t>
    </w:r>
    <w:r>
      <w:fldChar w:fldCharType="begin"/>
    </w:r>
    <w:r>
      <w:instrText xml:space="preserve"> NUMPAGES </w:instrText>
    </w:r>
    <w:r>
      <w:fldChar w:fldCharType="separate"/>
    </w:r>
    <w:r>
      <w:t>182</w:t>
    </w:r>
    <w:r>
      <w:fldChar w:fldCharType="end"/>
    </w:r>
    <w:r>
      <w:tab/>
    </w:r>
    <w:r>
      <w:t>PE</w:t>
    </w:r>
    <w:r>
      <w:rPr>
        <w:rStyle w:val="HideTWBExt"/>
      </w:rPr>
      <w:t>&lt;NoPE&gt;</w:t>
    </w:r>
    <w:r>
      <w:t>768.085</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AM\1314304EL.docx</w:t>
    </w:r>
    <w:r>
      <w:rPr>
        <w:rStyle w:val="HideTWBExt"/>
      </w:rPr>
      <w:t>&lt;/PathFdR&gt;</w:t>
    </w:r>
    <w:r>
      <w:tab/>
    </w:r>
    <w:r>
      <w:tab/>
    </w:r>
    <w:r>
      <w:t>PE</w:t>
    </w:r>
    <w:r>
      <w:rPr>
        <w:rStyle w:val="HideTWBExt"/>
      </w:rPr>
      <w:t>&lt;NoPE&gt;</w:t>
    </w:r>
    <w:r>
      <w:t>768.085</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182</Pages>
  <Words>35760</Words>
  <Characters>223273</Characters>
  <Application>Microsoft Office Word</Application>
  <DocSecurity>0</DocSecurity>
  <Lines>1</Lines>
  <Paragraphs>2889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1314304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128670</vt:lpwstr>
  </property>
  <property fmtid="{D5CDD505-2E9C-101B-9397-08002B2CF9AE}" pid="7" name="dmxml.render.traceId">
    <vt:lpwstr>67b314e3d07f44832f817c0138668dae</vt:lpwstr>
  </property>
  <property fmtid="{D5CDD505-2E9C-101B-9397-08002B2CF9AE}" pid="8" name="FooterPath">
    <vt:lpwstr>AM\1314304EL.docx</vt:lpwstr>
  </property>
  <property fmtid="{D5CDD505-2E9C-101B-9397-08002B2CF9AE}" pid="9" name="PE Number">
    <vt:lpwstr>768.085</vt:lpwstr>
  </property>
  <property fmtid="{D5CDD505-2E9C-101B-9397-08002B2CF9AE}" pid="10" name="UID">
    <vt:lpwstr>eu.europa.europarl-DIN1-2025-0000013585_02.00-el-01.00_text-xml</vt:lpwstr>
  </property>
</Properties>
</file>