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Odbor za ekonomsku i monetarnu politiku</w:t>
      </w:r>
      <w:r>
        <w:rPr>
          <w:rStyle w:val="HideTWBExt"/>
        </w:rPr>
        <w:t>&lt;/Commission&gt;</w:t>
      </w:r>
    </w:p>
    <w:p>
      <w:pPr>
        <w:pStyle w:val="LineBottom"/>
      </w:pPr>
      <w:r>
        <w:t xml:space="preserve"> </w:t>
      </w:r>
    </w:p>
    <w:p>
      <w:pPr>
        <w:pStyle w:val="CoverReference"/>
      </w:pPr>
      <w:r>
        <w:rPr>
          <w:rStyle w:val="HideTWBExt"/>
        </w:rPr>
        <w:t>&lt;RefProc&gt;</w:t>
      </w:r>
      <w:r>
        <w:t>2024/2079</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{03/02/2025}</w:t>
      </w:r>
      <w:r>
        <w:t>3.2.2025</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1</w:t>
      </w:r>
      <w:r>
        <w:t xml:space="preserve"> - </w:t>
      </w:r>
      <w:r>
        <w:t>326</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Lara Wolters</w:t>
      </w:r>
      <w:r>
        <w:rPr>
          <w:rStyle w:val="HideTWBExt"/>
        </w:rPr>
        <w:t>&lt;/Rapporteur&gt;</w:t>
      </w:r>
    </w:p>
    <w:p>
      <w:pPr>
        <w:pStyle w:val="CoverNormal24a"/>
      </w:pPr>
      <w:r>
        <w:rPr>
          <w:rStyle w:val="HideTWBExt"/>
        </w:rPr>
        <w:t>&lt;DocRefPE&gt;</w:t>
      </w:r>
      <w:r>
        <w:t>(PE765.240v01-00)</w:t>
      </w:r>
      <w:r>
        <w:rPr>
          <w:rStyle w:val="HideTWBExt"/>
        </w:rPr>
        <w:t>&lt;/DocRefPE&gt;</w:t>
      </w:r>
    </w:p>
    <w:p>
      <w:pPr>
        <w:pStyle w:val="CoverNormal"/>
      </w:pPr>
      <w:r>
        <w:rPr>
          <w:rStyle w:val="HideTWBExt"/>
        </w:rPr>
        <w:t>&lt;Titre&gt;</w:t>
      </w:r>
      <w:r>
        <w:t>Politika tržišnog natjecanja – godišnje izvješće za 2024.</w:t>
      </w:r>
      <w:r>
        <w:rPr>
          <w:rStyle w:val="HideTWBExt"/>
        </w:rPr>
        <w:t>&lt;/Titre&gt;</w:t>
      </w:r>
    </w:p>
    <w:p>
      <w:pPr>
        <w:pStyle w:val="CoverNormal24a"/>
      </w:pPr>
      <w:r>
        <w:rPr>
          <w:rStyle w:val="HideTWBExt"/>
        </w:rPr>
        <w:t>&lt;DocRef&gt;</w:t>
      </w:r>
      <w:r>
        <w:t>(2024/2079(INI))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članak 11. UFEU-a kojim se propisuje uključivanje zaštite okoliša u sve politike EU-a u cilju promicanja održivog razvoja,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komunikaciju Komisije br. 62/2023 iz veljače 2023. naslovljenu „Industrijski plan u okviru zelenog plana za doba nulte neto stope emisija”,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cilj klimatske neutralnosti do 2050. iz Uredbe (EU) 2021/1119 Europskog parlamenta i Vijeća od 30. lipnja 2021. o uspostavi okvira za postizanje klimatske neutralnosti i o izmjeni uredaba (EZ) br. 401/2009 i (EU) 2018/1999,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komunikaciju Komisije br. 98/2020 iz ožujka 2020. naslovljenu „Novi akcijski plan za kružno gospodarstvo – Za čišću i konkurentniju Europu”,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članak 3. Odluke (EU) 2022/591 Europskog parlamenta i Vijeća od 6. travnja 2022. o Općem programu djelovanja Unije za okoliš do 2030., kojim se predviđa da se subvencije štetne za okoliš, posebno subvencije za fosilna goriva, bez odgode postupno ukidaju,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komunikaciju Komisije br. 21/2020 iz siječnja 2020. naslovljenu „Plan ulaganja za održivu Europu – Plan ulaganja za europski zeleni plan”,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ključne preporuke 4. i 5. iz izvješća o procjeni Europskog znanstvenog savjetodavnog odbora za klimatske promjene za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uzimajući u obzir presude Suda Europske unije od 22. rujna 2022. u predmetu C-611/22 P (Illumina/Komisija)</w:t>
            </w:r>
            <w:r>
              <w:rPr>
                <w:vertAlign w:val="superscript"/>
              </w:rPr>
              <w:t>2</w:t>
            </w:r>
            <w:r>
              <w:t>, od 10. rujna u predmetu C-465/20 P (Europska komisija /</w:t>
            </w:r>
            <w:r>
              <w:rPr>
                <w:b/>
                <w:i/>
              </w:rPr>
              <w:t>Irskai</w:t>
            </w:r>
            <w:r>
              <w:t xml:space="preserve"> Apple Sales International)</w:t>
            </w:r>
            <w:r>
              <w:rPr>
                <w:vertAlign w:val="superscript"/>
              </w:rPr>
              <w:t>3</w:t>
            </w:r>
            <w:r>
              <w:t>i od 10. rujna 2024. u predmetu C-48/22 P (Google i Alphabet / Komisija)</w:t>
            </w:r>
            <w:r>
              <w:rPr>
                <w:vertAlign w:val="superscript"/>
              </w:rPr>
              <w:t>4</w:t>
            </w:r>
            <w:r>
              <w:t>,</w:t>
            </w:r>
          </w:p>
        </w:tc>
        <w:tc>
          <w:tcPr>
            <w:tcW w:w="4876" w:type="dxa"/>
            <w:tcBorders>
              <w:top w:val="nil"/>
              <w:left w:val="nil"/>
              <w:bottom w:val="nil"/>
              <w:right w:val="nil"/>
            </w:tcBorders>
          </w:tcPr>
          <w:p>
            <w:pPr>
              <w:pStyle w:val="Normal6a"/>
            </w:pPr>
            <w:r>
              <w:t>–</w:t>
            </w:r>
            <w:r>
              <w:tab/>
            </w:r>
            <w:r>
              <w:t>uzimajući u obzir presude Suda Europske unije od 22. rujna 2022. u predmetu C-611/22 P (Illumina/Komisija)</w:t>
            </w:r>
            <w:r>
              <w:rPr>
                <w:vertAlign w:val="superscript"/>
              </w:rPr>
              <w:t>2</w:t>
            </w:r>
            <w:r>
              <w:t xml:space="preserve">, od 10. rujna u predmetu C-465/20 P (Europska komisija / </w:t>
            </w:r>
            <w:r>
              <w:rPr>
                <w:b/>
                <w:i/>
              </w:rPr>
              <w:t>Irska i</w:t>
            </w:r>
            <w:r>
              <w:t xml:space="preserve"> Apple Sales International)</w:t>
            </w:r>
            <w:r>
              <w:rPr>
                <w:vertAlign w:val="superscript"/>
              </w:rPr>
              <w:t>3</w:t>
            </w:r>
            <w:r>
              <w:t xml:space="preserve"> i od 10. rujna 2024. u predmetu C-48/22 P (Google i Alphabet / Komisija)</w:t>
            </w:r>
            <w:r>
              <w:rPr>
                <w:vertAlign w:val="superscript"/>
              </w:rPr>
              <w:t>4</w:t>
            </w:r>
            <w:r>
              <w:rPr>
                <w:b/>
                <w:i/>
              </w:rPr>
              <w:t> i u predmetu COMP/M.6166 (Deutsche Börse/ NYSE Euronext)</w:t>
            </w:r>
            <w:r>
              <w:rPr>
                <w:b/>
                <w:i/>
                <w:vertAlign w:val="superscript"/>
              </w:rPr>
              <w:t>4a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Žalba koju je 22. rujna 2022. podnijelo društvo Illumina, Inc. na presudu Općeg suda od 13. srpnja 2022. u predmetu 62021TJ0227, Illumina/Komisija, SL C 432, 14.11.2022., str. 13.</w:t>
            </w:r>
          </w:p>
        </w:tc>
        <w:tc>
          <w:tcPr>
            <w:tcW w:w="4876" w:type="dxa"/>
            <w:tcBorders>
              <w:top w:val="nil"/>
              <w:left w:val="nil"/>
              <w:bottom w:val="nil"/>
              <w:right w:val="nil"/>
            </w:tcBorders>
          </w:tcPr>
          <w:p>
            <w:pPr>
              <w:pStyle w:val="Normal6a"/>
            </w:pPr>
            <w:r>
              <w:rPr>
                <w:vertAlign w:val="superscript"/>
              </w:rPr>
              <w:t>2</w:t>
            </w:r>
            <w:r>
              <w:t xml:space="preserve"> </w:t>
            </w:r>
            <w:r>
              <w:t>Žalba koju je 22. rujna 2022. podnijelo društvo Illumina, Inc. na presudu Općeg suda od 13. srpnja 2022. u predmetu 62021TJ0227, Illumina/Komisija, SL C 432, 14.11.2022., str. 13.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Presuda Općeg suda od 10. rujna 2024., Europska komisija / Irska i Apple Sales International, 62020CJ0465, ECLI:EU:C:2024:724.</w:t>
            </w:r>
          </w:p>
        </w:tc>
        <w:tc>
          <w:tcPr>
            <w:tcW w:w="4876" w:type="dxa"/>
            <w:tcBorders>
              <w:top w:val="nil"/>
              <w:left w:val="nil"/>
              <w:bottom w:val="nil"/>
              <w:right w:val="nil"/>
            </w:tcBorders>
          </w:tcPr>
          <w:p>
            <w:pPr>
              <w:pStyle w:val="Normal6a"/>
            </w:pPr>
            <w:r>
              <w:rPr>
                <w:vertAlign w:val="superscript"/>
              </w:rPr>
              <w:t>3</w:t>
            </w:r>
            <w:r>
              <w:t xml:space="preserve"> </w:t>
            </w:r>
            <w:r>
              <w:t>Presuda Općeg suda od 10. rujna 2024., Europska komisija / Irska i Apple Sales International, 62020CJ0465, ECLI:EU:C:2024:724.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Presuda Suda od 10. rujna 2024., Google LLC i Alphabet Inc. / Europska komisija, 62022CJ0048, ECLI:EU:C:2024:726.</w:t>
            </w:r>
          </w:p>
        </w:tc>
        <w:tc>
          <w:tcPr>
            <w:tcW w:w="4876" w:type="dxa"/>
            <w:tcBorders>
              <w:top w:val="nil"/>
              <w:left w:val="nil"/>
              <w:bottom w:val="nil"/>
              <w:right w:val="nil"/>
            </w:tcBorders>
          </w:tcPr>
          <w:p>
            <w:pPr>
              <w:pStyle w:val="Normal6a"/>
            </w:pPr>
            <w:r>
              <w:rPr>
                <w:vertAlign w:val="superscript"/>
              </w:rPr>
              <w:t>4</w:t>
            </w:r>
            <w:r>
              <w:t xml:space="preserve"> </w:t>
            </w:r>
            <w:r>
              <w:t>Presuda Suda od 10. rujna 2024., Google LLC i Alphabet Inc. / Europska komisija, 62022CJ0048, ECLI:EU:C:2024:726.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Odluka Komisije od 1. veljače 2012. upućena društvima Deutsche Börse i NYSE Euronext, M.6166.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studiju Resornog odjela Europskog parlamenta za strukturnu i kohezijsku politiku naslovljenu „Uloga trgovaca robom u oblikovanju poljoprivrednih tržišta”, objavljenu u studenome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9.b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„Sažetak Europske komisije o koncentracijama u području tržišnog natjecanja”, 4. izdanje, studeni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budući da je zbog zahtjevnog geopolitičkog konteksta potreban svjež pristup europskoj konkurentnosti;</w:t>
            </w:r>
          </w:p>
        </w:tc>
        <w:tc>
          <w:tcPr>
            <w:tcW w:w="4876" w:type="dxa"/>
            <w:tcBorders>
              <w:top w:val="nil"/>
              <w:left w:val="nil"/>
              <w:bottom w:val="nil"/>
              <w:right w:val="nil"/>
            </w:tcBorders>
          </w:tcPr>
          <w:p>
            <w:pPr>
              <w:pStyle w:val="Normal6a"/>
            </w:pPr>
            <w:r>
              <w:t>A.</w:t>
            </w:r>
            <w:r>
              <w:tab/>
            </w:r>
            <w:r>
              <w:t xml:space="preserve">budući da je zbog zahtjevnog geopolitičkog konteksta </w:t>
            </w:r>
            <w:r>
              <w:rPr>
                <w:b/>
                <w:i/>
              </w:rPr>
              <w:t>obilježenog izostankom poduzeća dovoljne veličine u EU-u</w:t>
            </w:r>
            <w:r>
              <w:rPr>
                <w:b/>
                <w:i/>
                <w:vertAlign w:val="superscript"/>
              </w:rPr>
              <w:t>1a</w:t>
            </w:r>
            <w:r>
              <w:t xml:space="preserve"> potreban svjež pristup europskoj konkurentnosti;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Budućnost europske konkurentnosti Dio B</w:t>
            </w:r>
            <w:r>
              <w:t xml:space="preserve"> </w:t>
            </w:r>
            <w:r>
              <w:rPr>
                <w:b/>
                <w:i/>
              </w:rPr>
              <w:t>| Detaljna analiza i preporuke, Poglavlje 4. - Modernizacija tržišnog natjecanja. str. 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budući</w:t>
            </w:r>
            <w:r>
              <w:t xml:space="preserve"> da je zbog </w:t>
            </w:r>
            <w:r>
              <w:rPr>
                <w:b/>
                <w:i/>
              </w:rPr>
              <w:t>zahtjevnog</w:t>
            </w:r>
            <w:r>
              <w:t xml:space="preserve"> geopolitičkog konteksta potreban svjež pristup europskoj konkurentnosti;</w:t>
            </w:r>
          </w:p>
        </w:tc>
        <w:tc>
          <w:tcPr>
            <w:tcW w:w="4876" w:type="dxa"/>
            <w:tcBorders>
              <w:top w:val="nil"/>
              <w:left w:val="nil"/>
              <w:bottom w:val="nil"/>
              <w:right w:val="nil"/>
            </w:tcBorders>
          </w:tcPr>
          <w:p>
            <w:pPr>
              <w:pStyle w:val="Normal6a"/>
            </w:pPr>
            <w:r>
              <w:t>A.</w:t>
            </w:r>
            <w:r>
              <w:tab/>
            </w:r>
            <w:r>
              <w:rPr>
                <w:b/>
                <w:i/>
              </w:rPr>
              <w:t>smatra</w:t>
            </w:r>
            <w:r>
              <w:t xml:space="preserve"> da je zbog </w:t>
            </w:r>
            <w:r>
              <w:rPr>
                <w:b/>
                <w:i/>
              </w:rPr>
              <w:t>trenutačnog</w:t>
            </w:r>
            <w:r>
              <w:t xml:space="preserve"> geopolitičkog konteksta</w:t>
            </w:r>
            <w:r>
              <w:rPr>
                <w:b/>
                <w:i/>
              </w:rPr>
              <w:t>, zajedno s određenim odlukama donesenima na europskoj razini koje su negativno utjecale na gospodarstvo europodručja,</w:t>
            </w:r>
            <w:r>
              <w:t xml:space="preserve"> potreban svjež pristup europskoj konkurentnosti;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Lídia Pereira,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budući da je zbog zahtjevnog geopolitičkog konteksta potreban svjež pristup europskoj konkurentnosti;</w:t>
            </w:r>
          </w:p>
        </w:tc>
        <w:tc>
          <w:tcPr>
            <w:tcW w:w="4876" w:type="dxa"/>
            <w:tcBorders>
              <w:top w:val="nil"/>
              <w:left w:val="nil"/>
              <w:bottom w:val="nil"/>
              <w:right w:val="nil"/>
            </w:tcBorders>
          </w:tcPr>
          <w:p>
            <w:pPr>
              <w:pStyle w:val="Normal6a"/>
            </w:pPr>
            <w:r>
              <w:t>A.</w:t>
            </w:r>
            <w:r>
              <w:tab/>
            </w:r>
            <w:r>
              <w:t xml:space="preserve">budući da je zbog zahtjevnog geopolitičkog konteksta </w:t>
            </w:r>
            <w:r>
              <w:rPr>
                <w:b/>
                <w:i/>
              </w:rPr>
              <w:t>obilježenog nesigurnošću i nepredvidljivošću</w:t>
            </w:r>
            <w:r>
              <w:t xml:space="preserve"> potreban svjež pristup europskoj konkurentnosti </w:t>
            </w:r>
            <w:r>
              <w:rPr>
                <w:b/>
                <w:i/>
              </w:rPr>
              <w:t>i konkretna strategija za poticanje gospodarskog rasta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budući da je zbog zahtjevnog geopolitičkog konteksta potreban svjež pristup europskoj konkurentnosti;</w:t>
            </w:r>
          </w:p>
        </w:tc>
        <w:tc>
          <w:tcPr>
            <w:tcW w:w="4876" w:type="dxa"/>
            <w:tcBorders>
              <w:top w:val="nil"/>
              <w:left w:val="nil"/>
              <w:bottom w:val="nil"/>
              <w:right w:val="nil"/>
            </w:tcBorders>
          </w:tcPr>
          <w:p>
            <w:pPr>
              <w:pStyle w:val="Normal6a"/>
            </w:pPr>
            <w:r>
              <w:t>A.</w:t>
            </w:r>
            <w:r>
              <w:tab/>
            </w:r>
            <w:r>
              <w:t>budući da je zbog zahtjevnog geopolitičkog konteksta</w:t>
            </w:r>
            <w:r>
              <w:rPr>
                <w:b/>
                <w:i/>
              </w:rPr>
              <w:t>, izostanka gospodarskog rasta i niske produktivnosti</w:t>
            </w:r>
            <w:r>
              <w:t xml:space="preserve"> potreban svjež pristup europskoj konkurentnosti;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budući da je zbog zahtjevnog geopolitičkog konteksta potreban svjež pristup europskoj konkurentnosti;</w:t>
            </w:r>
          </w:p>
        </w:tc>
        <w:tc>
          <w:tcPr>
            <w:tcW w:w="4876" w:type="dxa"/>
            <w:tcBorders>
              <w:top w:val="nil"/>
              <w:left w:val="nil"/>
              <w:bottom w:val="nil"/>
              <w:right w:val="nil"/>
            </w:tcBorders>
          </w:tcPr>
          <w:p>
            <w:pPr>
              <w:pStyle w:val="Normal6a"/>
            </w:pPr>
            <w:r>
              <w:t>A.</w:t>
            </w:r>
            <w:r>
              <w:tab/>
            </w:r>
            <w:r>
              <w:t xml:space="preserve">budući da je zbog zahtjevnog </w:t>
            </w:r>
            <w:r>
              <w:rPr>
                <w:b/>
                <w:i/>
              </w:rPr>
              <w:t>gospodarskog i</w:t>
            </w:r>
            <w:r>
              <w:t xml:space="preserve"> geopolitičkog konteksta </w:t>
            </w:r>
            <w:r>
              <w:rPr>
                <w:b/>
                <w:i/>
              </w:rPr>
              <w:t>te klimatske krize</w:t>
            </w:r>
            <w:r>
              <w:t xml:space="preserve"> potreban svjež pristup europskoj konkurentnosti;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budući da je pošteno i otvoreno tržišno natjecanje ključan element za pravilno funkcioniranje unutarnjeg tržišta, gospodarski rast, inovacije, otvaranje radnih mjesta i zaštitu potrošača;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budući da sve gori izazovi klimatskih promjena i sve veći rizici za biološku raznolikost zahtijevaju korjenit zaokret u industrijskim politikama i načinu stvaranja konkurentnosti;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budući da ispravna provedba okvira politike tržišnog natjecanja EU-a rezultira nižim cijenama, većom kvalitetom, bržim inovacijama i otpornijim gospodarstvom;</w:t>
            </w:r>
          </w:p>
        </w:tc>
        <w:tc>
          <w:tcPr>
            <w:tcW w:w="4876" w:type="dxa"/>
            <w:tcBorders>
              <w:top w:val="nil"/>
              <w:left w:val="nil"/>
              <w:bottom w:val="nil"/>
              <w:right w:val="nil"/>
            </w:tcBorders>
          </w:tcPr>
          <w:p>
            <w:pPr>
              <w:pStyle w:val="Normal6a"/>
            </w:pPr>
            <w:r>
              <w:t>B.</w:t>
            </w:r>
            <w:r>
              <w:tab/>
            </w:r>
            <w:r>
              <w:t>budući da ispravna provedba okvira politike tržišnog natjecanja EU-a rezultira nižim cijenama, većom kvalitetom, bržim inovacijama i otpornijim gospodarstvom</w:t>
            </w:r>
            <w:r>
              <w:rPr>
                <w:b/>
                <w:i/>
              </w:rPr>
              <w:t>, budući da se ti ciljevi postižu jačanjem slobodnog tržišta, koje osigurava učinkovito tržišno natjecanje uklanjanjem prepreka ulasku na tržište, poticanjem inovacija i omogućivanjem učinkovite raspodjele resursa na temelju signala ponude i potražnje te budući da se okvirom politike tržišnog natjecanja moraju zaštititi jednaki uvjeti za gospodarske subjekte na tržištu, borba protiv zlouporabe dominantnog položaja, monopola i praksi protivnih tržišnom natjecanju koje mogu narušiti funkcioniranje unutarnjeg tržišta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Pierre Pimpie,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budući da ispravna provedba okvira politike tržišnog natjecanja EU-a rezultira nižim cijenama, većom kvalitetom, bržim inovacijama i otpornijim gospodarstvom;</w:t>
            </w:r>
          </w:p>
        </w:tc>
        <w:tc>
          <w:tcPr>
            <w:tcW w:w="4876" w:type="dxa"/>
            <w:tcBorders>
              <w:top w:val="nil"/>
              <w:left w:val="nil"/>
              <w:bottom w:val="nil"/>
              <w:right w:val="nil"/>
            </w:tcBorders>
          </w:tcPr>
          <w:p>
            <w:pPr>
              <w:pStyle w:val="Normal6a"/>
            </w:pPr>
            <w:r>
              <w:t>B.</w:t>
            </w:r>
            <w:r>
              <w:tab/>
            </w:r>
            <w:r>
              <w:t>budući da ispravna provedba okvira politike tržišnog natjecanja EU-a</w:t>
            </w:r>
            <w:r>
              <w:rPr>
                <w:b/>
                <w:i/>
              </w:rPr>
              <w:t>, u nedržavnim područjima,</w:t>
            </w:r>
            <w:r>
              <w:t xml:space="preserve"> rezultira nižim cijenama, većom kvalitetom, bržim inovacijama i otpornijim gospodarstvom</w:t>
            </w:r>
            <w:r>
              <w:rPr>
                <w:b/>
                <w:i/>
              </w:rPr>
              <w:t>, što industrijskim sektorima omogućuje dugoročni uspjeh</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budući da </w:t>
            </w:r>
            <w:r>
              <w:rPr>
                <w:b/>
                <w:i/>
              </w:rPr>
              <w:t>ispravna provedba okvira politike tržišnog natjecanja EU-a rezultira nižim cijenama, većom kvalitetom, bržim inovacijama i otpornijim gospodarstvom</w:t>
            </w:r>
            <w:r>
              <w:t>;</w:t>
            </w:r>
          </w:p>
        </w:tc>
        <w:tc>
          <w:tcPr>
            <w:tcW w:w="4876" w:type="dxa"/>
            <w:tcBorders>
              <w:top w:val="nil"/>
              <w:left w:val="nil"/>
              <w:bottom w:val="nil"/>
              <w:right w:val="nil"/>
            </w:tcBorders>
          </w:tcPr>
          <w:p>
            <w:pPr>
              <w:pStyle w:val="Normal6a"/>
            </w:pPr>
            <w:r>
              <w:t>B.</w:t>
            </w:r>
            <w:r>
              <w:tab/>
            </w:r>
            <w:r>
              <w:t xml:space="preserve">budući da </w:t>
            </w:r>
            <w:r>
              <w:rPr>
                <w:b/>
                <w:i/>
              </w:rPr>
              <w:t>postoji hitna potreba za industrijskim šokom u Europi kako bi se uhvatilo korak s konkurentima izvan EU-a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budući da ispravna provedba okvira politike tržišnog natjecanja EU-a rezultira nižim cijenama, većom kvalitetom</w:t>
            </w:r>
            <w:r>
              <w:rPr>
                <w:b/>
                <w:i/>
              </w:rPr>
              <w:t>, bržim</w:t>
            </w:r>
            <w:r>
              <w:t xml:space="preserve"> inovacijama i otpornijim gospodarstvom;</w:t>
            </w:r>
          </w:p>
        </w:tc>
        <w:tc>
          <w:tcPr>
            <w:tcW w:w="4876" w:type="dxa"/>
            <w:tcBorders>
              <w:top w:val="nil"/>
              <w:left w:val="nil"/>
              <w:bottom w:val="nil"/>
              <w:right w:val="nil"/>
            </w:tcBorders>
          </w:tcPr>
          <w:p>
            <w:pPr>
              <w:pStyle w:val="Normal6a"/>
            </w:pPr>
            <w:r>
              <w:t>B.</w:t>
            </w:r>
            <w:r>
              <w:tab/>
            </w:r>
            <w:r>
              <w:t xml:space="preserve">budući da ispravna provedba okvira politike tržišnog natjecanja EU-a rezultira nižim cijenama, </w:t>
            </w:r>
            <w:r>
              <w:rPr>
                <w:b/>
                <w:i/>
              </w:rPr>
              <w:t>većim plaćama,</w:t>
            </w:r>
            <w:r>
              <w:t xml:space="preserve"> većom kvalitetom </w:t>
            </w:r>
            <w:r>
              <w:rPr>
                <w:b/>
                <w:i/>
              </w:rPr>
              <w:t>roba i usluga, poboljšanim</w:t>
            </w:r>
            <w:r>
              <w:t xml:space="preserve"> inovacijama </w:t>
            </w:r>
            <w:r>
              <w:rPr>
                <w:b/>
                <w:i/>
              </w:rPr>
              <w:t>te poštenijim</w:t>
            </w:r>
            <w:r>
              <w:t xml:space="preserve"> i otpornijim gospodarstvom;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budući da ispravna provedba okvira politike tržišnog natjecanja EU-a rezultira nižim cijenama, većom kvalitetom, bržim inovacijama i otpornijim gospodarstvom;</w:t>
            </w:r>
          </w:p>
        </w:tc>
        <w:tc>
          <w:tcPr>
            <w:tcW w:w="4876" w:type="dxa"/>
            <w:tcBorders>
              <w:top w:val="nil"/>
              <w:left w:val="nil"/>
              <w:bottom w:val="nil"/>
              <w:right w:val="nil"/>
            </w:tcBorders>
          </w:tcPr>
          <w:p>
            <w:pPr>
              <w:pStyle w:val="Normal6a"/>
            </w:pPr>
            <w:r>
              <w:t>B.</w:t>
            </w:r>
            <w:r>
              <w:tab/>
            </w:r>
            <w:r>
              <w:t xml:space="preserve">budući da ispravna provedba okvira politike tržišnog natjecanja EU-a rezultira nižim cijenama, većom kvalitetom, </w:t>
            </w:r>
            <w:r>
              <w:rPr>
                <w:b/>
                <w:i/>
              </w:rPr>
              <w:t>većim izborom za potrošače,</w:t>
            </w:r>
            <w:r>
              <w:t xml:space="preserve"> bržim inovacijama i otpornijim gospodarstvom;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budući da je nedostatak integracije EU-a u financijskom, energetskom i elektroničkom komunikacijskom sektoru glavni razlog smanjenja konkurentnosti Europe</w:t>
            </w:r>
            <w:r>
              <w:rPr>
                <w:b/>
                <w:i/>
                <w:vertAlign w:val="superscript"/>
              </w:rPr>
              <w:t>2a</w:t>
            </w:r>
            <w:r>
              <w:rPr>
                <w:b/>
                <w:i/>
              </w:rPr>
              <w:t xml:space="preserve">; </w:t>
            </w:r>
            <w:r>
              <w:t xml:space="preserve"> </w:t>
            </w:r>
            <w:r>
              <w:rPr>
                <w:b/>
                <w:i/>
              </w:rPr>
              <w:t>budući da bi pravilna integracija jedinstvenog tržišta EU-a u tim područjima znatno povećala relevantno tržište tržišnog natjecanja;</w:t>
            </w:r>
            <w:r>
              <w:t xml:space="preserve"> </w:t>
            </w:r>
            <w:r>
              <w:rPr>
                <w:b/>
                <w:i/>
              </w:rPr>
              <w:t>budući da veće relevantno tržište daje više prostora poduzećima da se natječu na globalnoj razini, a istodobno jača tržišno natjecanje unutar jedinstvenog tržišta u korist potrošača;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„Much more than a market” (Više od tržišta).</w:t>
            </w:r>
            <w:r>
              <w:t xml:space="preserve"> </w:t>
            </w:r>
            <w:r>
              <w:rPr>
                <w:b/>
                <w:i/>
              </w:rPr>
              <w:t>Vizija za budućnost Europe.</w:t>
            </w:r>
            <w:r>
              <w:t xml:space="preserve"> </w:t>
            </w:r>
            <w:r>
              <w:rPr>
                <w:b/>
                <w:i/>
              </w:rPr>
              <w:t>Enrico Letta. str. 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budući da predanost nove vlade SAD-a ponovnom poticanju ekstrakcije fosilne energije i „izobilja energije” naglašava hitnost i žurbu prelaska EU-a na zelenu energiju, kako je naglasio Mario Draghi, kako bi se europska poduzeća mogla natjecati s američkim kolegama;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budući da se u izvješću Marija Draghija ističe da EU ima široku i raznoliku bazu industrijskih inovacija sa snažnom komparativnom prednošću u zelenim tehnologijama, ali da su potrebni trajni napori kako bi se ta prednost zadržala;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Stéphanie Yon-Courtin, Gilles Boyer,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budući da bi politika tržišnog natjecanja mogla doprinijeti jačanju otpornosti unutarnjeg tržišta, kao i postizanju ciljeva europskog zelenog plana, Digitalnog kompasa i Kompasa konkurentnosti;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budući da Komisija i nacionalna tijela nadležna za tržišno natjecanje moraju djelovati nepristrano i objektivno kako bi se očuvala vjerodostojnost politike tržišnog natjecanja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budući da je ekologizacija politike tržišnog natjecanja glavni pokretač europskog blagostanja i dugoročne konkurentnosti;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budući da su međunarodna razmjena i suradnja ključne za postizanje globalnih i konkurentnih jednakih uvjeta te za koordinirano suočavanje s izazovima usporedne digitalne i zelene tranzicije;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budući da je politička neovisnost tijela nadležnih za tržišno natjecanje iznimno važna kako bi se zajamčile nepristranost i vjerodostojnost politike tržišnog natjecanja;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budući da dugoročna konkurentnost i otpornost EU-a iziskuje uključivanje klimatskih i okolišnih pitanja u okvir politike tržišnog natjecanja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smatra da politika tržišnog natjecanja ima važnu ulogu u razvoju poslovanja i rastu poduzeća, posebno malih i srednjih poduzeća, na jedinstvenom tržištu;</w:t>
            </w:r>
            <w:r>
              <w:t xml:space="preserve"> </w:t>
            </w:r>
            <w:r>
              <w:rPr>
                <w:b/>
                <w:i/>
              </w:rPr>
              <w:t>nadalje podsjeća da potpuni razvoj poduzeća ovisi o uklanjanju prepreka ulasku na tržište, borbi protiv praksi kojima se narušava tržišno natjecanje kao što su monopoli ili karteli te osiguravanju jednakih uvjeta za sve gospodarske subjekte;</w:t>
            </w:r>
            <w:r>
              <w:t xml:space="preserve"> </w:t>
            </w:r>
            <w:r>
              <w:rPr>
                <w:b/>
                <w:i/>
              </w:rPr>
              <w:t>naglašava da se učinkovitom politikom tržišnog natjecanja moraju izbjeći prekomjerna regulacija i nerazmjerno administrativno opterećenje, potičući pritom inovacije i omogućavajući poduzećima da u najvećoj mogućoj mjeri iskoriste prednosti i mogućnosti koje nudi slobodno tržište;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smatra da tržišno natjecanje u Uniji štiti od koncentracija i gomilanja tržišne snage te ponovno ističe ulogu politike tržišnog natjecanja u zaštiti potrošača;</w:t>
            </w:r>
          </w:p>
        </w:tc>
        <w:tc>
          <w:tcPr>
            <w:tcW w:w="4876" w:type="dxa"/>
            <w:tcBorders>
              <w:top w:val="nil"/>
              <w:left w:val="nil"/>
              <w:bottom w:val="nil"/>
              <w:right w:val="nil"/>
            </w:tcBorders>
          </w:tcPr>
          <w:p>
            <w:pPr>
              <w:pStyle w:val="Normal6a"/>
            </w:pPr>
            <w:r>
              <w:t>1.</w:t>
            </w:r>
            <w:r>
              <w:tab/>
            </w:r>
            <w:r>
              <w:t xml:space="preserve">smatra da tržišno natjecanje u Uniji štiti od koncentracija i gomilanja tržišne snage te ponovno ističe ulogu politike tržišnog natjecanja u zaštiti potrošača; </w:t>
            </w:r>
            <w:r>
              <w:rPr>
                <w:b/>
                <w:i/>
              </w:rPr>
              <w:t>naglašava da se zaštita potrošača mora postići stvaranjem tržišta koje potiče ulazak novih konkurenata, inovacije i gospodarsku učinkovitost, izbjegavajući zlouporabe kojima se ograničava ponuda, umjetno povećavaju cijene ili narušava kvaliteta proizvoda;</w:t>
            </w:r>
            <w:r>
              <w:t xml:space="preserve"> </w:t>
            </w:r>
            <w:r>
              <w:rPr>
                <w:b/>
                <w:i/>
              </w:rPr>
              <w:t>naglašava da bi politika tržišnog natjecanja trebala intervenirati protiv praksi kojima se narušava tržišno natjecanje i izbjegavati nerazmjerne propise ili intervencije koje bi mogle narušiti slobodno funkcioniranje tržišta ili obeshrabriti poslovni rast i inovacije;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smatra da tržišno natjecanje u Uniji štiti od koncentracija i gomilanja tržišne snage te ponovno ističe ulogu politike tržišnog natjecanja u zaštiti potrošača;</w:t>
            </w:r>
          </w:p>
        </w:tc>
        <w:tc>
          <w:tcPr>
            <w:tcW w:w="4876" w:type="dxa"/>
            <w:tcBorders>
              <w:top w:val="nil"/>
              <w:left w:val="nil"/>
              <w:bottom w:val="nil"/>
              <w:right w:val="nil"/>
            </w:tcBorders>
          </w:tcPr>
          <w:p>
            <w:pPr>
              <w:pStyle w:val="Normal6a"/>
            </w:pPr>
            <w:r>
              <w:t>1.</w:t>
            </w:r>
            <w:r>
              <w:tab/>
            </w:r>
            <w:r>
              <w:t xml:space="preserve">smatra da tržišno natjecanje u Uniji štiti od koncentracija i gomilanja tržišne snage te ponovno ističe ulogu politike tržišnog natjecanja u zaštiti potrošača; </w:t>
            </w:r>
            <w:r>
              <w:rPr>
                <w:b/>
                <w:i/>
              </w:rPr>
              <w:t>osiguravanjem da tržišta ostanu konkurentna i učinkovita, dinamična i inovativna, pružajući visokokvalitetne proizvode i usluge po poštenim cijenama i razumnim profitnim maržama;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smatra da tržišno natjecanje u Uniji štiti od koncentracija i gomilanja tržišne snage te ponovno ističe ulogu politike tržišnog natjecanja u zaštiti potrošača;</w:t>
            </w:r>
          </w:p>
        </w:tc>
        <w:tc>
          <w:tcPr>
            <w:tcW w:w="4876" w:type="dxa"/>
            <w:tcBorders>
              <w:top w:val="nil"/>
              <w:left w:val="nil"/>
              <w:bottom w:val="nil"/>
              <w:right w:val="nil"/>
            </w:tcBorders>
          </w:tcPr>
          <w:p>
            <w:pPr>
              <w:pStyle w:val="Normal6a"/>
            </w:pPr>
            <w:r>
              <w:t>1.</w:t>
            </w:r>
            <w:r>
              <w:tab/>
            </w:r>
            <w:r>
              <w:t>smatra da tržišno natjecanje u Uniji štiti od koncentracija i gomilanja tržišne snage te ponovno ističe ulogu politike tržišnog natjecanja u zaštiti potrošača</w:t>
            </w:r>
            <w:r>
              <w:rPr>
                <w:b/>
                <w:i/>
              </w:rPr>
              <w:t>, poticanja učinkovitosti i inovacija i smanjenja cijena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Pierre Pimpie, Aleksandar Nikolic,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smatra da tržišno natjecanje u Uniji štiti od koncentracija i gomilanja tržišne snage </w:t>
            </w:r>
            <w:r>
              <w:rPr>
                <w:b/>
                <w:i/>
              </w:rPr>
              <w:t>te ponovno ističe ulogu politike tržišnog natjecanja u zaštiti potrošača</w:t>
            </w:r>
            <w:r>
              <w:t>;</w:t>
            </w:r>
          </w:p>
        </w:tc>
        <w:tc>
          <w:tcPr>
            <w:tcW w:w="4876" w:type="dxa"/>
            <w:tcBorders>
              <w:top w:val="nil"/>
              <w:left w:val="nil"/>
              <w:bottom w:val="nil"/>
              <w:right w:val="nil"/>
            </w:tcBorders>
          </w:tcPr>
          <w:p>
            <w:pPr>
              <w:pStyle w:val="Normal6a"/>
            </w:pPr>
            <w:r>
              <w:t>1.</w:t>
            </w:r>
            <w:r>
              <w:tab/>
            </w:r>
            <w:r>
              <w:t>smatra da tržišno natjecanje u Uniji štiti od koncentracija i gomilanja tržišne snage</w:t>
            </w:r>
            <w:r>
              <w:rPr>
                <w:b/>
                <w:i/>
              </w:rPr>
              <w:t>, istodobno naglašavajući potrebu da se ne ometa aktivnost velikih aktera koji se mogu natjecati sa silama izvan EU-a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smatra da tržišno natjecanje u Uniji štiti od koncentracija i gomilanja tržišne snage te ponovno ističe ulogu politike tržišnog natjecanja u zaštiti potrošača;</w:t>
            </w:r>
          </w:p>
        </w:tc>
        <w:tc>
          <w:tcPr>
            <w:tcW w:w="4876" w:type="dxa"/>
            <w:tcBorders>
              <w:top w:val="nil"/>
              <w:left w:val="nil"/>
              <w:bottom w:val="nil"/>
              <w:right w:val="nil"/>
            </w:tcBorders>
          </w:tcPr>
          <w:p>
            <w:pPr>
              <w:pStyle w:val="Normal6a"/>
            </w:pPr>
            <w:r>
              <w:t>1.</w:t>
            </w:r>
            <w:r>
              <w:tab/>
            </w:r>
            <w:r>
              <w:t xml:space="preserve">smatra da tržišno natjecanje u Uniji štiti od koncentracija i gomilanja tržišne snage te ponovno ističe ulogu politike tržišnog natjecanja u zaštiti potrošača </w:t>
            </w:r>
            <w:r>
              <w:rPr>
                <w:b/>
                <w:i/>
              </w:rPr>
              <w:t>i stvaranja ravnopravnih tržišnih uvjeta na unutarnjem tržištu</w:t>
            </w:r>
            <w:r>
              <w:rPr>
                <w:b/>
                <w:i/>
                <w:vertAlign w:val="superscript"/>
              </w:rPr>
              <w:t>3a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„Much more than a market” (Više od tržišta).</w:t>
            </w:r>
            <w:r>
              <w:t xml:space="preserve"> </w:t>
            </w:r>
            <w:r>
              <w:rPr>
                <w:b/>
                <w:i/>
              </w:rPr>
              <w:t>Vizija za budućnost Europe.</w:t>
            </w:r>
            <w:r>
              <w:t xml:space="preserve"> </w:t>
            </w:r>
            <w:r>
              <w:rPr>
                <w:b/>
                <w:i/>
              </w:rPr>
              <w:t>Enrico Letta. str. 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smatra da </w:t>
            </w:r>
            <w:r>
              <w:rPr>
                <w:b/>
                <w:i/>
              </w:rPr>
              <w:t>tržišno natjecanje</w:t>
            </w:r>
            <w:r>
              <w:t xml:space="preserve"> u Uniji štiti od koncentracija i gomilanja tržišne snage te ponovno ističe ulogu politike tržišnog natjecanja u </w:t>
            </w:r>
            <w:r>
              <w:rPr>
                <w:b/>
                <w:i/>
              </w:rPr>
              <w:t>zaštiti potrošača</w:t>
            </w:r>
            <w:r>
              <w:t>;</w:t>
            </w:r>
          </w:p>
        </w:tc>
        <w:tc>
          <w:tcPr>
            <w:tcW w:w="4876" w:type="dxa"/>
            <w:tcBorders>
              <w:top w:val="nil"/>
              <w:left w:val="nil"/>
              <w:bottom w:val="nil"/>
              <w:right w:val="nil"/>
            </w:tcBorders>
          </w:tcPr>
          <w:p>
            <w:pPr>
              <w:pStyle w:val="Normal6a"/>
            </w:pPr>
            <w:r>
              <w:t>1.</w:t>
            </w:r>
            <w:r>
              <w:tab/>
            </w:r>
            <w:r>
              <w:t xml:space="preserve">smatra da </w:t>
            </w:r>
            <w:r>
              <w:rPr>
                <w:b/>
                <w:i/>
              </w:rPr>
              <w:t>politika tržišnog natjecanja</w:t>
            </w:r>
            <w:r>
              <w:t xml:space="preserve"> u Uniji štiti od </w:t>
            </w:r>
            <w:r>
              <w:rPr>
                <w:b/>
                <w:i/>
              </w:rPr>
              <w:t>prekomjernih</w:t>
            </w:r>
            <w:r>
              <w:t xml:space="preserve"> koncentracija i gomilanja tržišne snage te ponovno ističe ulogu politike tržišnog natjecanja u </w:t>
            </w:r>
            <w:r>
              <w:rPr>
                <w:b/>
                <w:i/>
              </w:rPr>
              <w:t>stvaranju koristi za potrošače u obliku nižih cijena i većeg izbora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Regina Doherty, Lídia Pereira, Dirk Gotink,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smatra da </w:t>
            </w:r>
            <w:r>
              <w:rPr>
                <w:b/>
                <w:i/>
              </w:rPr>
              <w:t>tržišno natjecanje</w:t>
            </w:r>
            <w:r>
              <w:t xml:space="preserve"> u Uniji </w:t>
            </w:r>
            <w:r>
              <w:rPr>
                <w:b/>
                <w:i/>
              </w:rPr>
              <w:t>štiti od koncentracija</w:t>
            </w:r>
            <w:r>
              <w:t xml:space="preserve"> i gomilanja tržišne snage te ponovno ističe ulogu politike tržišnog natjecanja u zaštiti potrošača;</w:t>
            </w:r>
          </w:p>
        </w:tc>
        <w:tc>
          <w:tcPr>
            <w:tcW w:w="4876" w:type="dxa"/>
            <w:tcBorders>
              <w:top w:val="nil"/>
              <w:left w:val="nil"/>
              <w:bottom w:val="nil"/>
              <w:right w:val="nil"/>
            </w:tcBorders>
          </w:tcPr>
          <w:p>
            <w:pPr>
              <w:pStyle w:val="Normal6a"/>
            </w:pPr>
            <w:r>
              <w:t>1.</w:t>
            </w:r>
            <w:r>
              <w:tab/>
            </w:r>
            <w:r>
              <w:t xml:space="preserve">smatra da </w:t>
            </w:r>
            <w:r>
              <w:rPr>
                <w:b/>
                <w:i/>
              </w:rPr>
              <w:t>bi se politikom tržišnog natjecanja</w:t>
            </w:r>
            <w:r>
              <w:t xml:space="preserve"> u Uniji </w:t>
            </w:r>
            <w:r>
              <w:rPr>
                <w:b/>
                <w:i/>
              </w:rPr>
              <w:t>trebalo promicati inovacije, dinamičnosti i rast te spriječiti koncentracije</w:t>
            </w:r>
            <w:r>
              <w:t xml:space="preserve"> i gomilanja tržišne snage te ponovno ističe ulogu politike tržišnog natjecanja u zaštiti potrošača;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smatra da tržišno natjecanje u Uniji štiti od koncentracija i gomilanja tržišne snage te ponovno ističe ulogu politike tržišnog natjecanja u zaštiti potrošača;</w:t>
            </w:r>
          </w:p>
        </w:tc>
        <w:tc>
          <w:tcPr>
            <w:tcW w:w="4876" w:type="dxa"/>
            <w:tcBorders>
              <w:top w:val="nil"/>
              <w:left w:val="nil"/>
              <w:bottom w:val="nil"/>
              <w:right w:val="nil"/>
            </w:tcBorders>
          </w:tcPr>
          <w:p>
            <w:pPr>
              <w:pStyle w:val="Normal6a"/>
            </w:pPr>
            <w:r>
              <w:t>1.</w:t>
            </w:r>
            <w:r>
              <w:tab/>
            </w:r>
            <w:r>
              <w:t xml:space="preserve">smatra da </w:t>
            </w:r>
            <w:r>
              <w:rPr>
                <w:b/>
                <w:i/>
              </w:rPr>
              <w:t>je</w:t>
            </w:r>
            <w:r>
              <w:t xml:space="preserve"> tržišno natjecanje u Uniji </w:t>
            </w:r>
            <w:r>
              <w:rPr>
                <w:b/>
                <w:i/>
              </w:rPr>
              <w:t>zamišljeno tako da</w:t>
            </w:r>
            <w:r>
              <w:t xml:space="preserve"> štiti od koncentracija i gomilanja tržišne snage te ponovno ističe ulogu politike tržišnog natjecanja u zaštiti potrošača;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upozorava da politički utjecaj koji na vlade i izbore imaju američka velika tehnološka poduzeća i njihovi glavni izvršni direktori pokazuje opasnosti koje prekomjerna korporativna moć predstavlja za demokracije;</w:t>
            </w:r>
            <w:r>
              <w:t xml:space="preserve"> </w:t>
            </w:r>
            <w:r>
              <w:rPr>
                <w:b/>
                <w:i/>
              </w:rPr>
              <w:t>poziva na antimonopolsku politiku kako bi se preokrenuo trenutačni trend sve veće koncentracije tržišta, monopolizacije i oligopolizacije te kako bi se demokracija i građani obranili od posljedica prekomjerne korporativne moći;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podupire važnost snažne i dosljedne politike tržišnog natjecanja kojom se promiče pošteno tržišno natjecanje, sprečavaju prakse kojima se narušava tržišno natjecanje i jamči učinkovito funkcioniranje europskog unutarnjeg tržišta u korist poduzeća i potrošača;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smatra da nerazmjerna upotreba državnih potpora može ugroziti pravilno funkcioniranje jedinstvenog tržišta i razvoj gospodarstva EU-a;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ponavlja da bi politika tržišnog natjecanja trebala doprinositi svim politikama EU-a, posebno u području okoliša i digitalizacije;</w:t>
            </w:r>
            <w:r>
              <w:t xml:space="preserve"> </w:t>
            </w:r>
            <w:r>
              <w:rPr>
                <w:b/>
                <w:i/>
              </w:rPr>
              <w:t>pozdravlja predanost Komisije novom okviru za državne potpore, kao dopuni planu za čistu industriju;</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ponavlja da bi </w:t>
            </w:r>
            <w:r>
              <w:rPr>
                <w:b/>
                <w:i/>
              </w:rPr>
              <w:t>politika</w:t>
            </w:r>
            <w:r>
              <w:t xml:space="preserve"> tržišnog natjecanja trebala </w:t>
            </w:r>
            <w:r>
              <w:rPr>
                <w:b/>
                <w:i/>
              </w:rPr>
              <w:t>doprinositi svim politikama EU-a, posebno u području okoliša i digitalizacije;</w:t>
            </w:r>
            <w:r>
              <w:t xml:space="preserve"> </w:t>
            </w:r>
            <w:r>
              <w:rPr>
                <w:b/>
                <w:i/>
              </w:rPr>
              <w:t>pozdravlja predanost Komisije novom okviru za državne potpore, kao dopuni planu za čistu industriju</w:t>
            </w:r>
            <w:r>
              <w:t>;</w:t>
            </w:r>
          </w:p>
        </w:tc>
        <w:tc>
          <w:tcPr>
            <w:tcW w:w="4876" w:type="dxa"/>
            <w:tcBorders>
              <w:top w:val="nil"/>
              <w:left w:val="nil"/>
              <w:bottom w:val="nil"/>
              <w:right w:val="nil"/>
            </w:tcBorders>
          </w:tcPr>
          <w:p>
            <w:pPr>
              <w:pStyle w:val="Normal6a"/>
            </w:pPr>
            <w:r>
              <w:t>2.</w:t>
            </w:r>
            <w:r>
              <w:tab/>
            </w:r>
            <w:r>
              <w:t xml:space="preserve">ponavlja da bi </w:t>
            </w:r>
            <w:r>
              <w:rPr>
                <w:b/>
                <w:i/>
              </w:rPr>
              <w:t>politiku</w:t>
            </w:r>
            <w:r>
              <w:t xml:space="preserve"> tržišnog natjecanja trebala </w:t>
            </w:r>
            <w:r>
              <w:rPr>
                <w:b/>
                <w:i/>
              </w:rPr>
              <w:t>usredotočiti na njezin glavni cilj utvrđen u Ugovorima;</w:t>
            </w:r>
            <w:r>
              <w:t xml:space="preserve"> </w:t>
            </w:r>
            <w:r>
              <w:rPr>
                <w:b/>
                <w:i/>
              </w:rPr>
              <w:t>s dubokom zabrinutošću prima na znanje nalaze Europskog revizorskog suda</w:t>
            </w:r>
            <w:r>
              <w:rPr>
                <w:b/>
                <w:i/>
                <w:vertAlign w:val="superscript"/>
              </w:rPr>
              <w:t>4a</w:t>
            </w:r>
            <w:r>
              <w:t xml:space="preserve"> </w:t>
            </w:r>
            <w:r>
              <w:rPr>
                <w:b/>
                <w:i/>
              </w:rPr>
              <w:t>da postoji rizik da čak i privremena izuzeća od okvira za državne potpore mogu imati dugoročniji učinak na tržišno natjecanje na unutarnjem tržištu te da „postoji i rizik da države članice mogu koristiti okvir za krizu i tranziciju ili druge buduće okvire kako bi privukle ulaganja iz država članica koje ne pružaju potporu;</w:t>
            </w:r>
            <w:r>
              <w:t xml:space="preserve"> </w:t>
            </w:r>
            <w:r>
              <w:rPr>
                <w:b/>
                <w:i/>
              </w:rPr>
              <w:t>poziva Komisiju da u potpunosti postupno ukine okvir za krizu i tranziciju s obzirom na to da nije na odgovarajući način procijenila njegovu nužnost niti je procijenila rizik od narušavanja unutarnjeg tržišta koji proizlazi iz sve raznolikijih pristupa država članica dodjeli državnih potpora, čime se ugrožavaju jednaki uvjeti i učinkovitost politike tržišnog natjecanja, što je ključno za osiguravanje najboljih proizvoda po najkonkurentnijim cijenama za sve Europljane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Tematsko izvješće 21/2024:</w:t>
            </w:r>
            <w:r>
              <w:t xml:space="preserve"> </w:t>
            </w:r>
            <w:r>
              <w:rPr>
                <w:b/>
                <w:i/>
              </w:rPr>
              <w:t>Državne potpore u kriznim vremenima – Brz odgovor, no postoje nedostatci u Komisijinom praćenju i nedosljednosti u okviru za potporu postizanju ciljeva industrijske politike EU-a, str. 46.-50.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ponavlja da bi politika tržišnog natjecanja trebala doprinositi svim politikama EU-a, posebno u području okoliša </w:t>
            </w:r>
            <w:r>
              <w:rPr>
                <w:b/>
                <w:i/>
              </w:rPr>
              <w:t>i digitalizacije</w:t>
            </w:r>
            <w:r>
              <w:t>; pozdravlja predanost Komisije novom okviru za državne potpore, kao dopuni planu za čistu industriju;</w:t>
            </w:r>
          </w:p>
        </w:tc>
        <w:tc>
          <w:tcPr>
            <w:tcW w:w="4876" w:type="dxa"/>
            <w:tcBorders>
              <w:top w:val="nil"/>
              <w:left w:val="nil"/>
              <w:bottom w:val="nil"/>
              <w:right w:val="nil"/>
            </w:tcBorders>
          </w:tcPr>
          <w:p>
            <w:pPr>
              <w:pStyle w:val="Normal6a"/>
            </w:pPr>
            <w:r>
              <w:t>2.</w:t>
            </w:r>
            <w:r>
              <w:tab/>
            </w:r>
            <w:r>
              <w:t>ponavlja da bi politika tržišnog natjecanja trebala doprinositi svim politikama EU-a, posebno u području okoliša</w:t>
            </w:r>
            <w:r>
              <w:rPr>
                <w:b/>
                <w:i/>
              </w:rPr>
              <w:t>, digitalizacije, obrane i poljoprivrede</w:t>
            </w:r>
            <w:r>
              <w:t xml:space="preserve">; pozdravlja predanost Komisije novom okviru za državne potpore, kao dopuni planu za čistu industriju </w:t>
            </w:r>
            <w:r>
              <w:rPr>
                <w:b/>
                <w:i/>
              </w:rPr>
              <w:t>omogućivanjem državama članicama EU-a da dodijele državne potpore za ubrzavanje uvođenja energije iz obnovljivih izvora, uvođenje industrijske dekarbonizacije i osiguravanje dostatnih proizvodnih kapaciteta za čistu tehnologiju „proizvedenu u Europi”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ponavlja da bi politika tržišnog natjecanja trebala doprinositi svim politikama EU-a, posebno u području okoliša i digitalizacije; </w:t>
            </w:r>
            <w:r>
              <w:rPr>
                <w:b/>
                <w:i/>
              </w:rPr>
              <w:t>pozdravlja predanost Komisije novom okviru</w:t>
            </w:r>
            <w:r>
              <w:t xml:space="preserve"> za državne potpore</w:t>
            </w:r>
            <w:r>
              <w:rPr>
                <w:b/>
                <w:i/>
              </w:rPr>
              <w:t>, kao dopuni planu</w:t>
            </w:r>
            <w:r>
              <w:t xml:space="preserve"> za čistu industriju;</w:t>
            </w:r>
          </w:p>
        </w:tc>
        <w:tc>
          <w:tcPr>
            <w:tcW w:w="4876" w:type="dxa"/>
            <w:tcBorders>
              <w:top w:val="nil"/>
              <w:left w:val="nil"/>
              <w:bottom w:val="nil"/>
              <w:right w:val="nil"/>
            </w:tcBorders>
          </w:tcPr>
          <w:p>
            <w:pPr>
              <w:pStyle w:val="Normal6a"/>
            </w:pPr>
            <w:r>
              <w:t>2.</w:t>
            </w:r>
            <w:r>
              <w:tab/>
            </w:r>
            <w:r>
              <w:t xml:space="preserve">ponavlja da bi politika tržišnog natjecanja trebala doprinositi svim politikama EU-a, posebno u području okoliša i digitalizacije; </w:t>
            </w:r>
            <w:r>
              <w:rPr>
                <w:b/>
                <w:i/>
              </w:rPr>
              <w:t>naglašava da se razvojem novog okvira</w:t>
            </w:r>
            <w:r>
              <w:t xml:space="preserve"> za državne potpore </w:t>
            </w:r>
            <w:r>
              <w:rPr>
                <w:b/>
                <w:i/>
              </w:rPr>
              <w:t>koji će pratiti plan</w:t>
            </w:r>
            <w:r>
              <w:t xml:space="preserve"> za čistu industriju </w:t>
            </w:r>
            <w:r>
              <w:rPr>
                <w:b/>
                <w:i/>
              </w:rPr>
              <w:t>mora osigurati da se njime ne ometaju inovacije, ne dovode do viših cijena niti smanjuje tržišno natjecanje na europskom tržištu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ponavlja da bi politika tržišnog natjecanja trebala doprinositi svim politikama EU-a, </w:t>
            </w:r>
            <w:r>
              <w:rPr>
                <w:b/>
                <w:i/>
              </w:rPr>
              <w:t>posebno</w:t>
            </w:r>
            <w:r>
              <w:t xml:space="preserve"> u području </w:t>
            </w:r>
            <w:r>
              <w:rPr>
                <w:b/>
                <w:i/>
              </w:rPr>
              <w:t>okoliša</w:t>
            </w:r>
            <w:r>
              <w:t xml:space="preserve"> i digitalizacije; pozdravlja predanost Komisije novom okviru za državne potpore, kao dopuni planu za čistu industriju;</w:t>
            </w:r>
          </w:p>
        </w:tc>
        <w:tc>
          <w:tcPr>
            <w:tcW w:w="4876" w:type="dxa"/>
            <w:tcBorders>
              <w:top w:val="nil"/>
              <w:left w:val="nil"/>
              <w:bottom w:val="nil"/>
              <w:right w:val="nil"/>
            </w:tcBorders>
          </w:tcPr>
          <w:p>
            <w:pPr>
              <w:pStyle w:val="Normal6a"/>
            </w:pPr>
            <w:r>
              <w:t>2.</w:t>
            </w:r>
            <w:r>
              <w:tab/>
            </w:r>
            <w:r>
              <w:t xml:space="preserve">ponavlja da bi politika tržišnog natjecanja trebala doprinositi svim politikama EU-a, </w:t>
            </w:r>
            <w:r>
              <w:rPr>
                <w:b/>
                <w:i/>
              </w:rPr>
              <w:t>uključujući</w:t>
            </w:r>
            <w:r>
              <w:t xml:space="preserve"> u području </w:t>
            </w:r>
            <w:r>
              <w:rPr>
                <w:b/>
                <w:i/>
              </w:rPr>
              <w:t>održivosti, energetike, obrane</w:t>
            </w:r>
            <w:r>
              <w:t xml:space="preserve"> i digitalizacije; pozdravlja predanost Komisije novom okviru za državne potpore, kao dopuni planu za čistu industriju; </w:t>
            </w:r>
            <w:r>
              <w:rPr>
                <w:b/>
                <w:i/>
              </w:rPr>
              <w:t>ponavlja da bi državne potpore trebale biti usmjerene samo na nužne korekcije u gospodarstvu i da se njima ne bi smjelo narušavati pošteno i učinkovito tržišno natjecanje;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ponavlja da bi politika tržišnog natjecanja trebala doprinositi svim politikama EU-a, posebno u području okoliša i digitalizacije; pozdravlja predanost Komisije novom okviru za državne potpore, kao dopuni planu za čistu industriju;</w:t>
            </w:r>
          </w:p>
        </w:tc>
        <w:tc>
          <w:tcPr>
            <w:tcW w:w="4876" w:type="dxa"/>
            <w:tcBorders>
              <w:top w:val="nil"/>
              <w:left w:val="nil"/>
              <w:bottom w:val="nil"/>
              <w:right w:val="nil"/>
            </w:tcBorders>
          </w:tcPr>
          <w:p>
            <w:pPr>
              <w:pStyle w:val="Normal6a"/>
            </w:pPr>
            <w:r>
              <w:t>2.</w:t>
            </w:r>
            <w:r>
              <w:tab/>
            </w:r>
            <w:r>
              <w:t xml:space="preserve">ponavlja da bi politika tržišnog natjecanja trebala doprinositi svim politikama EU-a, posebno u području okoliša i digitalizacije; pozdravlja predanost Komisije novom okviru za državne potpore, kao dopuni planu za čistu industriju </w:t>
            </w:r>
            <w:r>
              <w:rPr>
                <w:b/>
                <w:i/>
              </w:rPr>
              <w:t>kako bi se mobilizirala potrebna javna potpora energetskoj tranziciji za dekarbonizaciju europske industrije i osigurala njezina konkurentnost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ponavlja da bi politika tržišnog natjecanja trebala </w:t>
            </w:r>
            <w:r>
              <w:rPr>
                <w:b/>
                <w:i/>
              </w:rPr>
              <w:t>doprinositi svim politikama EU-a, posebno u području okoliša i digitalizacije;</w:t>
            </w:r>
            <w:r>
              <w:t xml:space="preserve"> </w:t>
            </w:r>
            <w:r>
              <w:rPr>
                <w:b/>
                <w:i/>
              </w:rPr>
              <w:t>pozdravlja predanost Komisije novom okviru</w:t>
            </w:r>
            <w:r>
              <w:t xml:space="preserve"> za državne potpore</w:t>
            </w:r>
            <w:r>
              <w:rPr>
                <w:b/>
                <w:i/>
              </w:rPr>
              <w:t>, kao dopuni planu za čistu industriju</w:t>
            </w:r>
            <w:r>
              <w:t>;</w:t>
            </w:r>
          </w:p>
        </w:tc>
        <w:tc>
          <w:tcPr>
            <w:tcW w:w="4876" w:type="dxa"/>
            <w:tcBorders>
              <w:top w:val="nil"/>
              <w:left w:val="nil"/>
              <w:bottom w:val="nil"/>
              <w:right w:val="nil"/>
            </w:tcBorders>
          </w:tcPr>
          <w:p>
            <w:pPr>
              <w:pStyle w:val="Normal6a"/>
            </w:pPr>
            <w:r>
              <w:t>2.</w:t>
            </w:r>
            <w:r>
              <w:tab/>
            </w:r>
            <w:r>
              <w:t xml:space="preserve">ponavlja da bi politika tržišnog natjecanja trebala </w:t>
            </w:r>
            <w:r>
              <w:rPr>
                <w:b/>
                <w:i/>
              </w:rPr>
              <w:t>ostati neutralna i neovisna te da bi se trebala usredotočiti isključivo na osiguravanje slobodnih i dinamičnih tržišta kojima se potiču inovacije, učinkovitost i jednaki uvjeti;</w:t>
            </w:r>
            <w:r>
              <w:t xml:space="preserve"> </w:t>
            </w:r>
            <w:r>
              <w:rPr>
                <w:b/>
                <w:i/>
              </w:rPr>
              <w:t>smatra da bi bilo kojim okvirom</w:t>
            </w:r>
            <w:r>
              <w:t xml:space="preserve"> za državne potpore </w:t>
            </w:r>
            <w:r>
              <w:rPr>
                <w:b/>
                <w:i/>
              </w:rPr>
              <w:t>trebalo izbjeći narušavanje tržišnog natjecanja te dati prednost slobodnom tržištu i zajamčiti da se određeni sektori ili poduzeća ne prioritiziraju na uštrb drugih</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ponavlja da bi politika tržišnog natjecanja trebala doprinositi svim politikama EU-a, posebno u području okoliša i digitalizacije; </w:t>
            </w:r>
            <w:r>
              <w:rPr>
                <w:b/>
                <w:i/>
              </w:rPr>
              <w:t>pozdravlja predanost Komisije novom okviru za državne potpore, kao dopuni planu za čistu industriju;</w:t>
            </w:r>
          </w:p>
        </w:tc>
        <w:tc>
          <w:tcPr>
            <w:tcW w:w="4876" w:type="dxa"/>
            <w:tcBorders>
              <w:top w:val="nil"/>
              <w:left w:val="nil"/>
              <w:bottom w:val="nil"/>
              <w:right w:val="nil"/>
            </w:tcBorders>
          </w:tcPr>
          <w:p>
            <w:pPr>
              <w:pStyle w:val="Normal6a"/>
            </w:pPr>
            <w:r>
              <w:t>2.</w:t>
            </w:r>
            <w:r>
              <w:tab/>
            </w:r>
            <w:r>
              <w:t>ponavlja da bi politika tržišnog natjecanja trebala doprinositi svim politikama EU-a, posebno u području okoliša i digitalizacije;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ponavlja da bi politika tržišnog natjecanja trebala doprinositi svim politikama EU-a, posebno u području okoliša i digitalizacije; </w:t>
            </w:r>
            <w:r>
              <w:rPr>
                <w:b/>
                <w:i/>
              </w:rPr>
              <w:t>pozdravlja predanost Komisije novom okviru za državne potpore, kao dopuni planu za čistu industriju;</w:t>
            </w:r>
          </w:p>
        </w:tc>
        <w:tc>
          <w:tcPr>
            <w:tcW w:w="4876" w:type="dxa"/>
            <w:tcBorders>
              <w:top w:val="nil"/>
              <w:left w:val="nil"/>
              <w:bottom w:val="nil"/>
              <w:right w:val="nil"/>
            </w:tcBorders>
          </w:tcPr>
          <w:p>
            <w:pPr>
              <w:pStyle w:val="Normal6a"/>
            </w:pPr>
            <w:r>
              <w:t>2.</w:t>
            </w:r>
            <w:r>
              <w:tab/>
            </w:r>
            <w:r>
              <w:t>ponavlja da bi politika tržišnog natjecanja trebala doprinositi svim politikama EU-a, posebno u području okoliša i digitalizacije;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ponavlja da bi politika tržišnog natjecanja trebala doprinositi svim politikama EU-a, </w:t>
            </w:r>
            <w:r>
              <w:rPr>
                <w:b/>
                <w:i/>
              </w:rPr>
              <w:t>posebno u području okoliša i digitalizacije</w:t>
            </w:r>
            <w:r>
              <w:t>; pozdravlja predanost Komisije novom okviru za državne potpore, kao dopuni planu za čistu industriju;</w:t>
            </w:r>
          </w:p>
        </w:tc>
        <w:tc>
          <w:tcPr>
            <w:tcW w:w="4876" w:type="dxa"/>
            <w:tcBorders>
              <w:top w:val="nil"/>
              <w:left w:val="nil"/>
              <w:bottom w:val="nil"/>
              <w:right w:val="nil"/>
            </w:tcBorders>
          </w:tcPr>
          <w:p>
            <w:pPr>
              <w:pStyle w:val="Normal6a"/>
            </w:pPr>
            <w:r>
              <w:t>2.</w:t>
            </w:r>
            <w:r>
              <w:tab/>
            </w:r>
            <w:r>
              <w:t xml:space="preserve">ponavlja da bi politika tržišnog natjecanja trebala doprinositi </w:t>
            </w:r>
            <w:r>
              <w:rPr>
                <w:b/>
                <w:i/>
              </w:rPr>
              <w:t>i znatno koristiti</w:t>
            </w:r>
            <w:r>
              <w:t xml:space="preserve"> svim politikama EU-a, </w:t>
            </w:r>
            <w:r>
              <w:rPr>
                <w:b/>
                <w:i/>
              </w:rPr>
              <w:t>s učinkovitim i ambicioznim okolišnim i digitalnim politikama u središtu uspješne politike tržišnog natjecanja</w:t>
            </w:r>
            <w:r>
              <w:t>; pozdravlja predanost Komisije novom okviru za državne potpore, kao dopuni planu za čistu industriju;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ponavlja da </w:t>
            </w:r>
            <w:r>
              <w:rPr>
                <w:b/>
                <w:i/>
              </w:rPr>
              <w:t>bi</w:t>
            </w:r>
            <w:r>
              <w:t xml:space="preserve"> politika tržišnog natjecanja </w:t>
            </w:r>
            <w:r>
              <w:rPr>
                <w:b/>
                <w:i/>
              </w:rPr>
              <w:t>trebala doprinositi</w:t>
            </w:r>
            <w:r>
              <w:t xml:space="preserve"> svim politikama EU-a, posebno u području okoliša i digitalizacije; </w:t>
            </w:r>
            <w:r>
              <w:rPr>
                <w:b/>
                <w:i/>
              </w:rPr>
              <w:t>pozdravlja predanost Komisije novom okviru za državne potpore, kao dopuni planu za čistu industriju;</w:t>
            </w:r>
          </w:p>
        </w:tc>
        <w:tc>
          <w:tcPr>
            <w:tcW w:w="4876" w:type="dxa"/>
            <w:tcBorders>
              <w:top w:val="nil"/>
              <w:left w:val="nil"/>
              <w:bottom w:val="nil"/>
              <w:right w:val="nil"/>
            </w:tcBorders>
          </w:tcPr>
          <w:p>
            <w:pPr>
              <w:pStyle w:val="Normal6a"/>
            </w:pPr>
            <w:r>
              <w:t>2.</w:t>
            </w:r>
            <w:r>
              <w:tab/>
            </w:r>
            <w:r>
              <w:t xml:space="preserve">ponavlja da </w:t>
            </w:r>
            <w:r>
              <w:rPr>
                <w:b/>
                <w:i/>
              </w:rPr>
              <w:t>je</w:t>
            </w:r>
            <w:r>
              <w:t xml:space="preserve"> politika tržišnog natjecanja </w:t>
            </w:r>
            <w:r>
              <w:rPr>
                <w:b/>
                <w:i/>
              </w:rPr>
              <w:t>ključni instrument u</w:t>
            </w:r>
            <w:r>
              <w:t xml:space="preserve"> svim politikama EU-a, posebno u području okoliša i digitalizacije;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Lídia Pereira,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ponavlja da bi politika tržišnog natjecanja trebala doprinositi svim politikama EU-a, posebno u području </w:t>
            </w:r>
            <w:r>
              <w:rPr>
                <w:b/>
                <w:i/>
              </w:rPr>
              <w:t>okoliša i digitalizacije</w:t>
            </w:r>
            <w:r>
              <w:t>; pozdravlja predanost Komisije novom okviru za državne potpore, kao dopuni planu za čistu industriju;</w:t>
            </w:r>
          </w:p>
        </w:tc>
        <w:tc>
          <w:tcPr>
            <w:tcW w:w="4876" w:type="dxa"/>
            <w:tcBorders>
              <w:top w:val="nil"/>
              <w:left w:val="nil"/>
              <w:bottom w:val="nil"/>
              <w:right w:val="nil"/>
            </w:tcBorders>
          </w:tcPr>
          <w:p>
            <w:pPr>
              <w:pStyle w:val="Normal6a"/>
            </w:pPr>
            <w:r>
              <w:t>2.</w:t>
            </w:r>
            <w:r>
              <w:tab/>
            </w:r>
            <w:r>
              <w:t xml:space="preserve">ponavlja da bi politika tržišnog natjecanja trebala doprinositi svim politikama EU-a, posebno u području </w:t>
            </w:r>
            <w:r>
              <w:rPr>
                <w:b/>
                <w:i/>
              </w:rPr>
              <w:t>zelene i digitalne tranzicije i obnovljenog pristupa politici konkurentnosti EU-a</w:t>
            </w:r>
            <w:r>
              <w:t>; pozdravlja predanost Komisije novom okviru za državne potpore, kao dopuni planu za čistu industriju;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Pierre Pimpie, Aleksandar Nikolic,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ponavlja da bi politika tržišnog natjecanja trebala doprinositi svim politikama EU-a, posebno u području okoliša i digitalizacije; pozdravlja predanost Komisije novom okviru za državne potpore</w:t>
            </w:r>
            <w:r>
              <w:rPr>
                <w:b/>
                <w:i/>
              </w:rPr>
              <w:t>, kao dopuni planu za čistu industriju</w:t>
            </w:r>
            <w:r>
              <w:t>;</w:t>
            </w:r>
          </w:p>
        </w:tc>
        <w:tc>
          <w:tcPr>
            <w:tcW w:w="4876" w:type="dxa"/>
            <w:tcBorders>
              <w:top w:val="nil"/>
              <w:left w:val="nil"/>
              <w:bottom w:val="nil"/>
              <w:right w:val="nil"/>
            </w:tcBorders>
          </w:tcPr>
          <w:p>
            <w:pPr>
              <w:pStyle w:val="Normal6a"/>
            </w:pPr>
            <w:r>
              <w:t>2.</w:t>
            </w:r>
            <w:r>
              <w:tab/>
            </w:r>
            <w:r>
              <w:t xml:space="preserve">ponavlja da bi politika tržišnog natjecanja trebala doprinositi svim politikama EU-a, posebno u području okoliša i digitalizacije; pozdravlja predanost Komisije novom okviru za državne potpore </w:t>
            </w:r>
            <w:r>
              <w:rPr>
                <w:b/>
                <w:i/>
              </w:rPr>
              <w:t>koji će pratiti europska poduzeća koja se suočavaju s vanjskom konkurencijom</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ponavlja da bi politika tržišnog natjecanja trebala </w:t>
            </w:r>
            <w:r>
              <w:rPr>
                <w:b/>
                <w:i/>
              </w:rPr>
              <w:t>doprinositi svim politikama EU-a, posebno u području okoliša i digitalizacije</w:t>
            </w:r>
            <w:r>
              <w:t>; pozdravlja predanost Komisije novom okviru za državne potpore, kao dopuni planu za čistu industriju;</w:t>
            </w:r>
          </w:p>
        </w:tc>
        <w:tc>
          <w:tcPr>
            <w:tcW w:w="4876" w:type="dxa"/>
            <w:tcBorders>
              <w:top w:val="nil"/>
              <w:left w:val="nil"/>
              <w:bottom w:val="nil"/>
              <w:right w:val="nil"/>
            </w:tcBorders>
          </w:tcPr>
          <w:p>
            <w:pPr>
              <w:pStyle w:val="Normal6a"/>
            </w:pPr>
            <w:r>
              <w:t>2.</w:t>
            </w:r>
            <w:r>
              <w:tab/>
            </w:r>
            <w:r>
              <w:t xml:space="preserve">ponavlja da bi politika tržišnog natjecanja trebala </w:t>
            </w:r>
            <w:r>
              <w:rPr>
                <w:b/>
                <w:i/>
              </w:rPr>
              <w:t>biti usklađena sa širim političkim odlukama EU-a</w:t>
            </w:r>
            <w:r>
              <w:t>; pozdravlja predanost Komisije novom okviru za državne potpore, kao dopuni planu za čistu industriju;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ponavlja da bi politika tržišnog natjecanja trebala doprinositi svim politikama EU-a, posebno u području </w:t>
            </w:r>
            <w:r>
              <w:rPr>
                <w:b/>
                <w:i/>
              </w:rPr>
              <w:t>okoliša</w:t>
            </w:r>
            <w:r>
              <w:t xml:space="preserve"> i digitalizacije; pozdravlja predanost Komisije novom okviru za državne potpore, kao dopuni planu za čistu industriju;</w:t>
            </w:r>
          </w:p>
        </w:tc>
        <w:tc>
          <w:tcPr>
            <w:tcW w:w="4876" w:type="dxa"/>
            <w:tcBorders>
              <w:top w:val="nil"/>
              <w:left w:val="nil"/>
              <w:bottom w:val="nil"/>
              <w:right w:val="nil"/>
            </w:tcBorders>
          </w:tcPr>
          <w:p>
            <w:pPr>
              <w:pStyle w:val="Normal6a"/>
            </w:pPr>
            <w:r>
              <w:t>2.</w:t>
            </w:r>
            <w:r>
              <w:tab/>
            </w:r>
            <w:r>
              <w:t xml:space="preserve">ponavlja da bi politika tržišnog natjecanja trebala doprinositi svim politikama EU-a, posebno u području </w:t>
            </w:r>
            <w:r>
              <w:rPr>
                <w:b/>
                <w:i/>
              </w:rPr>
              <w:t>industrije</w:t>
            </w:r>
            <w:r>
              <w:t xml:space="preserve"> i digitalizacije; pozdravlja predanost Komisije novom okviru za državne potpore, kao dopuni planu za čistu industriju;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pozdravlja predanost Komisije novom okviru za državne potpore, kao dopuni planu za čistu industriju;</w:t>
            </w:r>
            <w:r>
              <w:t xml:space="preserve"> </w:t>
            </w:r>
            <w:r>
              <w:rPr>
                <w:b/>
                <w:i/>
              </w:rPr>
              <w:t>naglašava potrebu da se njime pomogne u ostvarivanju europskog zelenog plana, osiguravajući da dekarbonizacija i konkurentnost idu ruku pod ruku bez potpore fosilnim gorivima;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naglašava da globalna snaga i važnost jedinstvenog tržišta EU-a ne proizlaze samo iz njegove unutarnje i vanjske konkurentnosti, već i iz njegove sposobnosti da postavlja zajedničke socijalne i ekološke standarde;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naglašava da globalna snaga i važnost jedinstvenog tržišta EU-a ne proizlaze samo iz njegove unutarnje i vanjske konkurentnosti, već i iz njegove sposobnosti da postavlja zajedničke socijalne i ekološke standarde;</w:t>
            </w:r>
          </w:p>
        </w:tc>
        <w:tc>
          <w:tcPr>
            <w:tcW w:w="4876" w:type="dxa"/>
            <w:tcBorders>
              <w:top w:val="nil"/>
              <w:left w:val="nil"/>
              <w:bottom w:val="nil"/>
              <w:right w:val="nil"/>
            </w:tcBorders>
          </w:tcPr>
          <w:p>
            <w:pPr>
              <w:pStyle w:val="Normal6a"/>
            </w:pPr>
            <w:r>
              <w:t>3.</w:t>
            </w:r>
            <w:r>
              <w:tab/>
            </w:r>
            <w:r>
              <w:t xml:space="preserve">naglašava da globalna snaga i važnost jedinstvenog tržišta EU-a ne proizlaze samo iz njegove unutarnje i vanjske konkurentnosti, već i iz njegove sposobnosti da postavlja zajedničke socijalne i ekološke standarde; </w:t>
            </w:r>
            <w:r>
              <w:rPr>
                <w:b/>
                <w:i/>
              </w:rPr>
              <w:t>naglašava da bi unutarnja i vanjska konkurentnost trebala biti glavni pokretač snage jedinstvenog tržišta, uz promicanje konkurentnog okruženja koje pogoduje inovacijama, smanjenju prepreka i učinkovitoj raspodjeli resursa;</w:t>
            </w:r>
            <w:r>
              <w:t xml:space="preserve"> </w:t>
            </w:r>
            <w:r>
              <w:rPr>
                <w:b/>
                <w:i/>
              </w:rPr>
              <w:t>ponovno potvrđuje da su zajednički socijalni i ekološki standardi važni za osiguravanje borbe protiv štetnih praksi, ali da bi trebali biti razmjerni, ne pretjerano restriktivni i osmišljeni na način kojim se ne ugrožava konkurentnost jedinstvenog tržišta;</w:t>
            </w:r>
            <w:r>
              <w:t xml:space="preserve"> </w:t>
            </w:r>
            <w:r>
              <w:rPr>
                <w:b/>
                <w:i/>
              </w:rPr>
              <w:t>jednako tako naglašava da je potrebno osigurati da se tim standardima državama omogući dovoljna fleksibilnost da se prilagode kontekstu, bez nametanja nepotrebnih opterećenja poduzećima;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naglašava da globalna snaga i važnost jedinstvenog tržišta EU-a ne proizlaze samo iz njegove unutarnje i vanjske konkurentnosti, već i iz njegove sposobnosti da postavlja zajedničke socijalne i ekološke standarde;</w:t>
            </w:r>
          </w:p>
        </w:tc>
        <w:tc>
          <w:tcPr>
            <w:tcW w:w="4876" w:type="dxa"/>
            <w:tcBorders>
              <w:top w:val="nil"/>
              <w:left w:val="nil"/>
              <w:bottom w:val="nil"/>
              <w:right w:val="nil"/>
            </w:tcBorders>
          </w:tcPr>
          <w:p>
            <w:pPr>
              <w:pStyle w:val="Normal6a"/>
            </w:pPr>
            <w:r>
              <w:t>3.</w:t>
            </w:r>
            <w:r>
              <w:tab/>
            </w:r>
            <w:r>
              <w:t xml:space="preserve">naglašava da globalna snaga i važnost jedinstvenog tržišta EU-a ne proizlaze samo iz njegove unutarnje i vanjske konkurentnosti, već i iz njegove sposobnosti da postavlja zajedničke socijalne i ekološke standarde </w:t>
            </w:r>
            <w:r>
              <w:rPr>
                <w:b/>
                <w:i/>
              </w:rPr>
              <w:t>koji ne utječu negativno na konkurentnost europskih poduzeća, posebno mikropoduzeća te malih i srednjih poduzeća;</w:t>
            </w:r>
            <w:r>
              <w:t xml:space="preserve"> </w:t>
            </w:r>
            <w:r>
              <w:rPr>
                <w:b/>
                <w:i/>
              </w:rPr>
              <w:t>u tom pogledu naglašava sve veće administrativno opterećenje za poduzeća;</w:t>
            </w:r>
            <w:r>
              <w:t xml:space="preserve"> </w:t>
            </w:r>
            <w:r>
              <w:rPr>
                <w:b/>
                <w:i/>
              </w:rPr>
              <w:t>poziva na pojednostavljenje koje nadilazi uklanjanje administrativnog udvostručavanja i kojim bi se isto tako mogli ukloniti regulatorni zahtjevi koji utječu na konkurentnost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naglašava da globalna snaga i važnost jedinstvenog tržišta EU-a ne proizlaze samo iz njegove unutarnje i vanjske konkurentnosti, već i iz njegove sposobnosti da postavlja zajedničke </w:t>
            </w:r>
            <w:r>
              <w:rPr>
                <w:b/>
                <w:i/>
              </w:rPr>
              <w:t>socijalne i ekološke standarde</w:t>
            </w:r>
            <w:r>
              <w:t>;</w:t>
            </w:r>
          </w:p>
        </w:tc>
        <w:tc>
          <w:tcPr>
            <w:tcW w:w="4876" w:type="dxa"/>
            <w:tcBorders>
              <w:top w:val="nil"/>
              <w:left w:val="nil"/>
              <w:bottom w:val="nil"/>
              <w:right w:val="nil"/>
            </w:tcBorders>
          </w:tcPr>
          <w:p>
            <w:pPr>
              <w:pStyle w:val="Normal6a"/>
            </w:pPr>
            <w:r>
              <w:t>3.</w:t>
            </w:r>
            <w:r>
              <w:tab/>
            </w:r>
            <w:r>
              <w:t xml:space="preserve">naglašava da globalna snaga i važnost jedinstvenog tržišta EU-a ne proizlaze samo iz njegove unutarnje i vanjske konkurentnosti, već i iz njegove sposobnosti da postavlja zajedničke </w:t>
            </w:r>
            <w:r>
              <w:rPr>
                <w:b/>
                <w:i/>
              </w:rPr>
              <w:t>standarde;</w:t>
            </w:r>
            <w:r>
              <w:t xml:space="preserve"> </w:t>
            </w:r>
            <w:r>
              <w:rPr>
                <w:b/>
                <w:i/>
              </w:rPr>
              <w:t>ističe potrebu da Komisija uravnoteži prioritete zelenog plana s primjenom temeljnih načela tržišnog natjecanja, osiguravajući učinkovito napredovanje obaju ciljeva bez ugrožavanja cjelovitosti jedinstvenog tržišta EU-a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Pierre Pimpie, Enikő Győri, 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naglašava da globalna snaga i važnost jedinstvenog tržišta EU-a ne proizlaze samo iz njegove unutarnje i vanjske konkurentnosti</w:t>
            </w:r>
            <w:r>
              <w:rPr>
                <w:b/>
                <w:i/>
              </w:rPr>
              <w:t>, već i iz</w:t>
            </w:r>
            <w:r>
              <w:t xml:space="preserve"> njegove sposobnosti da </w:t>
            </w:r>
            <w:r>
              <w:rPr>
                <w:b/>
                <w:i/>
              </w:rPr>
              <w:t>postavlja zajedničke socijalne i ekološke standarde</w:t>
            </w:r>
            <w:r>
              <w:t>;</w:t>
            </w:r>
          </w:p>
        </w:tc>
        <w:tc>
          <w:tcPr>
            <w:tcW w:w="4876" w:type="dxa"/>
            <w:tcBorders>
              <w:top w:val="nil"/>
              <w:left w:val="nil"/>
              <w:bottom w:val="nil"/>
              <w:right w:val="nil"/>
            </w:tcBorders>
          </w:tcPr>
          <w:p>
            <w:pPr>
              <w:pStyle w:val="Normal6a"/>
            </w:pPr>
            <w:r>
              <w:t>3.</w:t>
            </w:r>
            <w:r>
              <w:tab/>
            </w:r>
            <w:r>
              <w:t xml:space="preserve">naglašava da globalna snaga i važnost jedinstvenog tržišta EU-a ne proizlaze samo iz njegove unutarnje i vanjske konkurentnosti </w:t>
            </w:r>
            <w:r>
              <w:rPr>
                <w:b/>
                <w:i/>
              </w:rPr>
              <w:t>te</w:t>
            </w:r>
            <w:r>
              <w:t xml:space="preserve"> njegove sposobnosti da </w:t>
            </w:r>
            <w:r>
              <w:rPr>
                <w:b/>
                <w:i/>
              </w:rPr>
              <w:t>pojednostavljenjem standarda promiče prekogranične poslovne aktivnosti, posebno MSP-ova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naglašava da globalna snaga i važnost jedinstvenog tržišta EU-a ne proizlaze samo iz njegove unutarnje i vanjske konkurentnosti, već i iz njegove sposobnosti </w:t>
            </w:r>
            <w:r>
              <w:rPr>
                <w:b/>
                <w:i/>
              </w:rPr>
              <w:t>da postavlja zajedničke socijalne i ekološke standarde</w:t>
            </w:r>
            <w:r>
              <w:t>;</w:t>
            </w:r>
          </w:p>
        </w:tc>
        <w:tc>
          <w:tcPr>
            <w:tcW w:w="4876" w:type="dxa"/>
            <w:tcBorders>
              <w:top w:val="nil"/>
              <w:left w:val="nil"/>
              <w:bottom w:val="nil"/>
              <w:right w:val="nil"/>
            </w:tcBorders>
          </w:tcPr>
          <w:p>
            <w:pPr>
              <w:pStyle w:val="Normal6a"/>
            </w:pPr>
            <w:r>
              <w:t>3.</w:t>
            </w:r>
            <w:r>
              <w:tab/>
            </w:r>
            <w:r>
              <w:t xml:space="preserve">naglašava da globalna snaga i važnost jedinstvenog tržišta EU-a ne proizlaze samo iz njegove unutarnje i vanjske konkurentnosti, već i iz njegove </w:t>
            </w:r>
            <w:r>
              <w:rPr>
                <w:b/>
                <w:i/>
              </w:rPr>
              <w:t>otvorenosti i</w:t>
            </w:r>
            <w:r>
              <w:t xml:space="preserve"> sposobnosti </w:t>
            </w:r>
            <w:r>
              <w:rPr>
                <w:b/>
                <w:i/>
              </w:rPr>
              <w:t>postavljanja visokih standarda tržišnog natjecanja na novostvorenim tržištima u skladu s globalnim tehnološkim razvojem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naglašava da globalna snaga i važnost jedinstvenog tržišta EU-a </w:t>
            </w:r>
            <w:r>
              <w:rPr>
                <w:b/>
                <w:i/>
              </w:rPr>
              <w:t>ne</w:t>
            </w:r>
            <w:r>
              <w:t xml:space="preserve"> proizlaze </w:t>
            </w:r>
            <w:r>
              <w:rPr>
                <w:b/>
                <w:i/>
              </w:rPr>
              <w:t>samo</w:t>
            </w:r>
            <w:r>
              <w:t xml:space="preserve"> iz njegove unutarnje i vanjske konkurentnosti</w:t>
            </w:r>
            <w:r>
              <w:rPr>
                <w:b/>
                <w:i/>
              </w:rPr>
              <w:t>, već i iz njegove sposobnosti da postavlja zajedničke socijalne i ekološke standarde</w:t>
            </w:r>
            <w:r>
              <w:t>;</w:t>
            </w:r>
          </w:p>
        </w:tc>
        <w:tc>
          <w:tcPr>
            <w:tcW w:w="4876" w:type="dxa"/>
            <w:tcBorders>
              <w:top w:val="nil"/>
              <w:left w:val="nil"/>
              <w:bottom w:val="nil"/>
              <w:right w:val="nil"/>
            </w:tcBorders>
          </w:tcPr>
          <w:p>
            <w:pPr>
              <w:pStyle w:val="Normal6a"/>
            </w:pPr>
            <w:r>
              <w:t>3.</w:t>
            </w:r>
            <w:r>
              <w:tab/>
            </w:r>
            <w:r>
              <w:t>naglašava da globalna snaga i važnost jedinstvenog tržišta EU-a proizlaze iz njegove unutarnje i vanjske konkurentnosti;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naglašava da globalna snaga i važnost jedinstvenog tržišta EU-a ne proizlaze samo iz njegove unutarnje i vanjske konkurentnosti, već i iz njegove sposobnosti da postavlja </w:t>
            </w:r>
            <w:r>
              <w:rPr>
                <w:b/>
                <w:i/>
              </w:rPr>
              <w:t>zajedničke socijalne i ekološke standarde</w:t>
            </w:r>
            <w:r>
              <w:t>;</w:t>
            </w:r>
          </w:p>
        </w:tc>
        <w:tc>
          <w:tcPr>
            <w:tcW w:w="4876" w:type="dxa"/>
            <w:tcBorders>
              <w:top w:val="nil"/>
              <w:left w:val="nil"/>
              <w:bottom w:val="nil"/>
              <w:right w:val="nil"/>
            </w:tcBorders>
          </w:tcPr>
          <w:p>
            <w:pPr>
              <w:pStyle w:val="Normal6a"/>
            </w:pPr>
            <w:r>
              <w:t>3.</w:t>
            </w:r>
            <w:r>
              <w:tab/>
            </w:r>
            <w:r>
              <w:t xml:space="preserve">naglašava da globalna snaga i važnost jedinstvenog tržišta EU-a ne proizlaze samo iz njegove unutarnje i vanjske konkurentnosti, već i iz njegove sposobnosti da postavlja </w:t>
            </w:r>
            <w:r>
              <w:rPr>
                <w:b/>
                <w:i/>
              </w:rPr>
              <w:t>pravila tržišnog natjecanja koje omogućuju visoke razine zajedničkih socijalnih i ekoloških standarda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naglašava da globalna snaga i važnost jedinstvenog tržišta EU-a ne proizlaze samo iz njegove unutarnje i vanjske konkurentnosti, već i iz njegove sposobnosti da postavlja zajedničke socijalne </w:t>
            </w:r>
            <w:r>
              <w:rPr>
                <w:b/>
                <w:i/>
              </w:rPr>
              <w:t>i ekološke standarde</w:t>
            </w:r>
            <w:r>
              <w:t>;</w:t>
            </w:r>
          </w:p>
        </w:tc>
        <w:tc>
          <w:tcPr>
            <w:tcW w:w="4876" w:type="dxa"/>
            <w:tcBorders>
              <w:top w:val="nil"/>
              <w:left w:val="nil"/>
              <w:bottom w:val="nil"/>
              <w:right w:val="nil"/>
            </w:tcBorders>
          </w:tcPr>
          <w:p>
            <w:pPr>
              <w:pStyle w:val="Normal6a"/>
            </w:pPr>
            <w:r>
              <w:t>3.</w:t>
            </w:r>
            <w:r>
              <w:tab/>
            </w:r>
            <w:r>
              <w:t xml:space="preserve">naglašava da globalna snaga i važnost jedinstvenog tržišta EU-a ne proizlaze samo iz njegove unutarnje i vanjske konkurentnosti, već i iz njegove sposobnosti da postavlja zajedničke socijalne </w:t>
            </w:r>
            <w:r>
              <w:rPr>
                <w:b/>
                <w:i/>
              </w:rPr>
              <w:t>standarde i jamči teritorijalnu koheziju</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naglašava da globalna snaga i važnost jedinstvenog tržišta EU-a ne proizlaze samo iz njegove unutarnje i vanjske konkurentnosti, već i iz njegove sposobnosti da postavlja zajedničke socijalne i ekološke standarde;</w:t>
            </w:r>
          </w:p>
        </w:tc>
        <w:tc>
          <w:tcPr>
            <w:tcW w:w="4876" w:type="dxa"/>
            <w:tcBorders>
              <w:top w:val="nil"/>
              <w:left w:val="nil"/>
              <w:bottom w:val="nil"/>
              <w:right w:val="nil"/>
            </w:tcBorders>
          </w:tcPr>
          <w:p>
            <w:pPr>
              <w:pStyle w:val="Normal6a"/>
            </w:pPr>
            <w:r>
              <w:t>3.</w:t>
            </w:r>
            <w:r>
              <w:tab/>
            </w:r>
            <w:r>
              <w:t xml:space="preserve">naglašava da globalna snaga i važnost jedinstvenog tržišta EU-a ne proizlaze samo iz njegove unutarnje i vanjske konkurentnosti, već i iz njegove sposobnosti da postavlja </w:t>
            </w:r>
            <w:r>
              <w:rPr>
                <w:b/>
                <w:i/>
              </w:rPr>
              <w:t>minimalne</w:t>
            </w:r>
            <w:r>
              <w:t xml:space="preserve"> zajedničke socijalne i ekološke standarde;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naglašava da globalna snaga i važnost jedinstvenog tržišta EU-a ne proizlaze samo iz njegove unutarnje i vanjske konkurentnosti, već i iz njegove sposobnosti da postavlja zajedničke </w:t>
            </w:r>
            <w:r>
              <w:rPr>
                <w:b/>
                <w:i/>
              </w:rPr>
              <w:t>socijalne i ekološke</w:t>
            </w:r>
            <w:r>
              <w:t xml:space="preserve"> standarde;</w:t>
            </w:r>
          </w:p>
        </w:tc>
        <w:tc>
          <w:tcPr>
            <w:tcW w:w="4876" w:type="dxa"/>
            <w:tcBorders>
              <w:top w:val="nil"/>
              <w:left w:val="nil"/>
              <w:bottom w:val="nil"/>
              <w:right w:val="nil"/>
            </w:tcBorders>
          </w:tcPr>
          <w:p>
            <w:pPr>
              <w:pStyle w:val="Normal6a"/>
            </w:pPr>
            <w:r>
              <w:t>3.</w:t>
            </w:r>
            <w:r>
              <w:tab/>
            </w:r>
            <w:r>
              <w:t>naglašava da globalna snaga i važnost jedinstvenog tržišta EU-a ne proizlaze samo iz njegove unutarnje i vanjske konkurentnosti, već i iz njegove sposobnosti da postavlja zajedničke standarde;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prima na znanje raširen negativan učinak sve veće koncentracije tržišta;</w:t>
            </w:r>
            <w:r>
              <w:t xml:space="preserve"> </w:t>
            </w:r>
            <w:r>
              <w:rPr>
                <w:b/>
                <w:i/>
              </w:rPr>
              <w:t>podržava učinkovitu i snažnu primjenu pravila o tržišnom natjecanju i uvođenje mandata među Komisijom za rješavanje štetne koncentracije gospodarske moći i kontrole u EU-u, među ostalim na tržištima kapitala;</w:t>
            </w:r>
            <w:r>
              <w:t xml:space="preserve"> </w:t>
            </w:r>
            <w:r>
              <w:rPr>
                <w:b/>
                <w:i/>
              </w:rPr>
              <w:t>napominje da bi to trebalo uključivati bolju koordinaciju i usklađenost politika tržišnog natjecanja, trgovine, industrije, zaštite podataka, digitalizacije, rada, zaštite potrošača i poreznih politika te učinkovitu provedbu povezanih alata;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Martin Schirdewan,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podržava načelo prema kojem bi upotreba javnog novca trebala podrazumijevati javno vlasništvo i kontrolu;</w:t>
            </w:r>
            <w:r>
              <w:t xml:space="preserve"> </w:t>
            </w:r>
            <w:r>
              <w:rPr>
                <w:b/>
                <w:i/>
              </w:rPr>
              <w:t>poziva na davanje prednosti javnim ulaganjima kojima se omogućuje javno vlasništvo i kontrola nad strateškim odlukama poduzeća kao što su zatvaranje, smanjenje proizvodnje i premještanje, a ne upotreba subvencija kao državne potpore;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naglašava da je jedna od najvećih ranjivosti EU-a njegova ovisnost o uvoznim sirovinama i energiji;</w:t>
            </w:r>
            <w:r>
              <w:t xml:space="preserve"> </w:t>
            </w:r>
            <w:r>
              <w:rPr>
                <w:b/>
                <w:i/>
              </w:rPr>
              <w:t>stoga su ambicioznija politika kružnog gospodarstva te ponovna uporaba i prihvaćanje postojećih materijala, posebno kritičnih sirovina, ključni temelji europske konkurentnosti;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naglašava da se konkurentnost i rast unutarnjeg tržišta ne mogu razmatrati u vakuumu jer uvelike ovise o konkurentnosti EU-a u odnosu na njegove globalne konkurente;</w:t>
            </w:r>
            <w:r>
              <w:t xml:space="preserve"> </w:t>
            </w:r>
            <w:r>
              <w:rPr>
                <w:b/>
                <w:i/>
              </w:rPr>
              <w:t>potiče tvorce politika da uzmu u obzir međunarodna regulatorna i tržišna kretanja;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poziva Europsku komisiju da ojača alate za provedbu tržišnog natjecanja kako bi se zajamčilo da poduzeća poštuju pravila o tržišnom natjecanju i da se kršenja propisno sankcioniraju kako bi se jedinstveno tržište zaštitilo od štetnih praksi;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ističe ključnu ulogu Europske mreže za tržišno natjecanje (ECN) kao foruma za poticanje suradnje među europskim tijelima nadležnima za tržišno natjecanje;</w:t>
            </w:r>
            <w:r>
              <w:t xml:space="preserve"> </w:t>
            </w:r>
            <w:r>
              <w:rPr>
                <w:b/>
                <w:i/>
              </w:rPr>
              <w:t>poziva Komisiju da teži kontinuiranom konstruktivnom dijalogu i suradnji na međunarodnoj razini;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naglašava da mora biti zajamčena politička neovisnost nacionalnih tijela nadležnih za tržišno natjecanje kako bi djelovala u skladu s načelom nepristranosti i s jedinim ciljem osiguravanja neometanog funkcioniranja tržišta;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Francesco Ventola, Denis Nesci,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smatra da je, kako bi se izbjeglo nepošteno tržišno natjecanje unutar i izvan EU-a, potrebno riješiti problem nepoštenih praksi izbjegavanja mjera i migracije poduzeća u „europske porezne oaze”;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ističe da je međunarodna suradnja ključna u kontekstu globalizacije kako bi se osigurala učinkovita provedba prava tržišnog natjecanja;</w:t>
            </w:r>
            <w:r>
              <w:t xml:space="preserve"> </w:t>
            </w:r>
            <w:r>
              <w:rPr>
                <w:b/>
                <w:i/>
              </w:rPr>
              <w:t>naglašava da namjenski sporazumi o suradnji s trećim zemljama na području politike tržišnog natjecanja mogu značajno doprinijeti učinkovitosti politike tržišnog natjecanja;</w:t>
            </w:r>
            <w:r>
              <w:t xml:space="preserve"> </w:t>
            </w:r>
            <w:r>
              <w:rPr>
                <w:b/>
                <w:i/>
              </w:rPr>
              <w:t>poziva Komisiju da razvije utjecaj politike tržišnog natjecanja u svijetu, posebno jačanjem suradnje s trećim zemljama putem sporazumâ o suradnji druge generacije kojima se omogućuje učinkovitija razmjena informacija među tijelima nadležnima za tržišno natjecanje;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pozdravlja predanost Komisije pojednostavljenju pravne stečevine EU-a i smanjenju birokracije te pozdravlja osnivanje internih projektnih skupina kako bi se ostvarili politički prioriteti;</w:t>
            </w:r>
            <w:r>
              <w:t xml:space="preserve"> </w:t>
            </w:r>
            <w:r>
              <w:rPr>
                <w:b/>
                <w:i/>
              </w:rPr>
              <w:t>smatra da bi to moglo znatno doprinijeti jačanju konkurentnosti EU-a;</w:t>
            </w:r>
            <w:r>
              <w:t xml:space="preserve"> </w:t>
            </w:r>
            <w:r>
              <w:rPr>
                <w:b/>
                <w:i/>
              </w:rPr>
              <w:t>naglašava, međutim, da moramo nastaviti s pojednostavljenjem na način kojim se ne smanjuju naše ambicije u pogledu klimatskih promjena niti potkopavaju naše međunarodne obveze;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Francesco Ventola, Denis Nesci,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ponavlja da, kako bi se provela politika tržišnog natjecanja kojom se osigurava da se poduzeća natječu pod jednakim uvjetima, Europa mora biti zaštićena od nepoštenih trgovačkih praksi trećih zemalja;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Martin Schirdewan,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podržava Komisijinu predanost ulaganju u održivu konkurentnost; pozdravlja naglasak koji Mario Draghi stavlja na inovacije, ulaganja, integraciju tržišta, dekarbonizaciju i otpornost te usredotočenost Enrica Letta na integraciju, autonomiju i solidarnost; potiče politike kojima se promiču inovacije te održiv i uključiv rast;</w:t>
            </w:r>
          </w:p>
        </w:tc>
        <w:tc>
          <w:tcPr>
            <w:tcW w:w="4876" w:type="dxa"/>
            <w:tcBorders>
              <w:top w:val="nil"/>
              <w:left w:val="nil"/>
              <w:bottom w:val="nil"/>
              <w:right w:val="nil"/>
            </w:tcBorders>
          </w:tcPr>
          <w:p>
            <w:pPr>
              <w:pStyle w:val="Normal6a"/>
            </w:pPr>
            <w:r>
              <w:t>4.</w:t>
            </w:r>
            <w:r>
              <w:tab/>
            </w:r>
            <w:r>
              <w:t xml:space="preserve">podržava Komisijinu predanost ulaganju u održivu konkurentnost; pozdravlja naglasak koji Mario Draghi stavlja na inovacije, ulaganja, integraciju tržišta, dekarbonizaciju i otpornost te usredotočenost Enrica Letta na integraciju, autonomiju i solidarnost; potiče politike kojima se promiču inovacije te održiv i uključiv rast; </w:t>
            </w:r>
            <w:r>
              <w:rPr>
                <w:b/>
                <w:i/>
              </w:rPr>
              <w:t>odbacuje promicanje konkurentnosti u pogledu troškovne konkurentnosti jer je to u prošlosti dovelo do provedbe socijalno štetnih reformi kojima se potkopava pregovaračka moć radnika i potražnja za plaćama;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podržava Komisijinu predanost ulaganju u održivu konkurentnost; pozdravlja naglasak koji Mario Draghi stavlja na inovacije, ulaganja, integraciju tržišta, dekarbonizaciju i otpornost te usredotočenost Enrica Letta na integraciju, autonomiju i solidarnost; potiče politike kojima se promiču inovacije te održiv i uključiv rast;</w:t>
            </w:r>
          </w:p>
        </w:tc>
        <w:tc>
          <w:tcPr>
            <w:tcW w:w="4876" w:type="dxa"/>
            <w:tcBorders>
              <w:top w:val="nil"/>
              <w:left w:val="nil"/>
              <w:bottom w:val="nil"/>
              <w:right w:val="nil"/>
            </w:tcBorders>
          </w:tcPr>
          <w:p>
            <w:pPr>
              <w:pStyle w:val="Normal6a"/>
            </w:pPr>
            <w:r>
              <w:t>4.</w:t>
            </w:r>
            <w:r>
              <w:tab/>
            </w:r>
            <w:r>
              <w:rPr>
                <w:b/>
                <w:i/>
              </w:rPr>
              <w:t>napominje da je Europa sve manji akter na globalnoj razini i da države članice ne mogu same napredovati, stoga su usklađeni napori na razini EU-a važniji nego ikad;</w:t>
            </w:r>
            <w:r>
              <w:t xml:space="preserve"> podržava Komisijinu predanost ulaganju u održivu konkurentnost; pozdravlja naglasak koji Mario Draghi stavlja na inovacije, ulaganja, integraciju tržišta, dekarbonizaciju i otpornost te usredotočenost Enrica Letta na integraciju, autonomiju i solidarnost; potiče politike kojima se promiču inovacije te održiv i uključiv rast;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podržava Komisijinu predanost ulaganju u održivu</w:t>
            </w:r>
            <w:r>
              <w:t xml:space="preserve"> konkurentnost; pozdravlja naglasak koji Mario Draghi stavlja na inovacije, ulaganja</w:t>
            </w:r>
            <w:r>
              <w:rPr>
                <w:b/>
                <w:i/>
              </w:rPr>
              <w:t>, integraciju tržišta</w:t>
            </w:r>
            <w:r>
              <w:t>, dekarbonizaciju i otpornost te usredotočenost Enrica Letta na integraciju, autonomiju i solidarnost; potiče politike kojima se promiču inovacije te održiv i uključiv rast;</w:t>
            </w:r>
          </w:p>
        </w:tc>
        <w:tc>
          <w:tcPr>
            <w:tcW w:w="4876" w:type="dxa"/>
            <w:tcBorders>
              <w:top w:val="nil"/>
              <w:left w:val="nil"/>
              <w:bottom w:val="nil"/>
              <w:right w:val="nil"/>
            </w:tcBorders>
          </w:tcPr>
          <w:p>
            <w:pPr>
              <w:pStyle w:val="Normal6a"/>
            </w:pPr>
            <w:r>
              <w:t>4.</w:t>
            </w:r>
            <w:r>
              <w:tab/>
            </w:r>
            <w:r>
              <w:rPr>
                <w:b/>
                <w:i/>
              </w:rPr>
              <w:t>poziva Komisiju da ulaže u</w:t>
            </w:r>
            <w:r>
              <w:t xml:space="preserve"> konkurentnost; pozdravlja naglasak koji Mario Draghi stavlja na inovacije, ulaganja, dekarbonizaciju i otpornost te usredotočenost Enrica Letta na integraciju, autonomiju i solidarnost; potiče politike kojima se promiču inovacije te održiv i uključiv rast;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podržava Komisijinu predanost ulaganju u održivu konkurentnost; pozdravlja naglasak koji Mario Draghi stavlja na inovacije, ulaganja, integraciju tržišta, dekarbonizaciju i otpornost te usredotočenost Enrica Letta na integraciju, autonomiju i solidarnost; potiče politike kojima se promiču inovacije </w:t>
            </w:r>
            <w:r>
              <w:rPr>
                <w:b/>
                <w:i/>
              </w:rPr>
              <w:t>te</w:t>
            </w:r>
            <w:r>
              <w:t xml:space="preserve"> održiv i uključiv rast;</w:t>
            </w:r>
          </w:p>
        </w:tc>
        <w:tc>
          <w:tcPr>
            <w:tcW w:w="4876" w:type="dxa"/>
            <w:tcBorders>
              <w:top w:val="nil"/>
              <w:left w:val="nil"/>
              <w:bottom w:val="nil"/>
              <w:right w:val="nil"/>
            </w:tcBorders>
          </w:tcPr>
          <w:p>
            <w:pPr>
              <w:pStyle w:val="Normal6a"/>
            </w:pPr>
            <w:r>
              <w:t>4.</w:t>
            </w:r>
            <w:r>
              <w:tab/>
            </w:r>
            <w:r>
              <w:t>podržava Komisijinu predanost ulaganju u održivu konkurentnost; pozdravlja naglasak koji Mario Draghi stavlja na inovacije, ulaganja, integraciju tržišta, dekarbonizaciju i otpornost te usredotočenost Enrica Letta na integraciju, autonomiju i solidarnost; potiče politike kojima se promiču inovacije</w:t>
            </w:r>
            <w:r>
              <w:rPr>
                <w:b/>
                <w:i/>
              </w:rPr>
              <w:t>, kao i</w:t>
            </w:r>
            <w:r>
              <w:t xml:space="preserve"> održiv i uključiv rast;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podržava Komisijinu predanost ulaganju u </w:t>
            </w:r>
            <w:r>
              <w:rPr>
                <w:b/>
                <w:i/>
              </w:rPr>
              <w:t>održivu</w:t>
            </w:r>
            <w:r>
              <w:t xml:space="preserve"> konkurentnost; pozdravlja naglasak koji Mario Draghi stavlja na inovacije, ulaganja, integraciju tržišta</w:t>
            </w:r>
            <w:r>
              <w:rPr>
                <w:b/>
                <w:i/>
              </w:rPr>
              <w:t>, dekarbonizaciju</w:t>
            </w:r>
            <w:r>
              <w:t xml:space="preserve"> i otpornost te usredotočenost Enrica Letta na integraciju, autonomiju i solidarnost; potiče politike kojima se promiču inovacije te održiv i uključiv rast;</w:t>
            </w:r>
          </w:p>
        </w:tc>
        <w:tc>
          <w:tcPr>
            <w:tcW w:w="4876" w:type="dxa"/>
            <w:tcBorders>
              <w:top w:val="nil"/>
              <w:left w:val="nil"/>
              <w:bottom w:val="nil"/>
              <w:right w:val="nil"/>
            </w:tcBorders>
          </w:tcPr>
          <w:p>
            <w:pPr>
              <w:pStyle w:val="Normal6a"/>
            </w:pPr>
            <w:r>
              <w:t>4.</w:t>
            </w:r>
            <w:r>
              <w:tab/>
            </w:r>
            <w:r>
              <w:t>podržava Komisijinu predanost ulaganju u konkurentnost; pozdravlja naglasak koji Mario Draghi stavlja na inovacije, ulaganja, integraciju tržišta i otpornost te usredotočenost Enrica Letta na integraciju, autonomiju i solidarnost; potiče politike kojima se promiču inovacije te održiv i uključiv rast;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podržava Komisijinu predanost </w:t>
            </w:r>
            <w:r>
              <w:rPr>
                <w:b/>
                <w:i/>
              </w:rPr>
              <w:t>ulaganju u održivu konkurentnost</w:t>
            </w:r>
            <w:r>
              <w:t xml:space="preserve">; pozdravlja </w:t>
            </w:r>
            <w:r>
              <w:rPr>
                <w:b/>
                <w:i/>
              </w:rPr>
              <w:t>naglasak koji Mario Draghi stavlja na inovacije</w:t>
            </w:r>
            <w:r>
              <w:t xml:space="preserve">, ulaganja, </w:t>
            </w:r>
            <w:r>
              <w:rPr>
                <w:b/>
                <w:i/>
              </w:rPr>
              <w:t>integraciju</w:t>
            </w:r>
            <w:r>
              <w:t xml:space="preserve"> tržišta, </w:t>
            </w:r>
            <w:r>
              <w:rPr>
                <w:b/>
                <w:i/>
              </w:rPr>
              <w:t>dekarbonizaciju i otpornost te usredotočenost</w:t>
            </w:r>
            <w:r>
              <w:t xml:space="preserve"> Enrica </w:t>
            </w:r>
            <w:r>
              <w:rPr>
                <w:b/>
                <w:i/>
              </w:rPr>
              <w:t>Letta na integraciju, autonomiju i solidarnost</w:t>
            </w:r>
            <w:r>
              <w:t xml:space="preserve">; potiče politike kojima se promiču inovacije te </w:t>
            </w:r>
            <w:r>
              <w:rPr>
                <w:b/>
                <w:i/>
              </w:rPr>
              <w:t>održiv i uključiv rast</w:t>
            </w:r>
            <w:r>
              <w:t>;</w:t>
            </w:r>
          </w:p>
        </w:tc>
        <w:tc>
          <w:tcPr>
            <w:tcW w:w="4876" w:type="dxa"/>
            <w:tcBorders>
              <w:top w:val="nil"/>
              <w:left w:val="nil"/>
              <w:bottom w:val="nil"/>
              <w:right w:val="nil"/>
            </w:tcBorders>
          </w:tcPr>
          <w:p>
            <w:pPr>
              <w:pStyle w:val="Normal6a"/>
            </w:pPr>
            <w:r>
              <w:t>4.</w:t>
            </w:r>
            <w:r>
              <w:tab/>
            </w:r>
            <w:r>
              <w:t xml:space="preserve">podržava Komisijinu predanost </w:t>
            </w:r>
            <w:r>
              <w:rPr>
                <w:b/>
                <w:i/>
              </w:rPr>
              <w:t>poboljšanju konkurentnost Unije</w:t>
            </w:r>
            <w:r>
              <w:t xml:space="preserve">; pozdravlja </w:t>
            </w:r>
            <w:r>
              <w:rPr>
                <w:b/>
                <w:i/>
              </w:rPr>
              <w:t>dijagnozu Marija Draghija u pogledu inovacija</w:t>
            </w:r>
            <w:r>
              <w:t xml:space="preserve">, ulaganja, </w:t>
            </w:r>
            <w:r>
              <w:rPr>
                <w:b/>
                <w:i/>
              </w:rPr>
              <w:t>integracije</w:t>
            </w:r>
            <w:r>
              <w:t xml:space="preserve"> tržišta, </w:t>
            </w:r>
            <w:r>
              <w:rPr>
                <w:b/>
                <w:i/>
              </w:rPr>
              <w:t>dekarbonizacije i otpornosti te dijagnozu</w:t>
            </w:r>
            <w:r>
              <w:t xml:space="preserve"> Enrica </w:t>
            </w:r>
            <w:r>
              <w:rPr>
                <w:b/>
                <w:i/>
              </w:rPr>
              <w:t>Lette u pogledu tržišta</w:t>
            </w:r>
            <w:r>
              <w:t xml:space="preserve">; potiče politike kojima se promiču inovacije te </w:t>
            </w:r>
            <w:r>
              <w:rPr>
                <w:b/>
                <w:i/>
              </w:rPr>
              <w:t>gospodarski rast Unije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podržava Komisijinu predanost ulaganju u održivu konkurentnost; pozdravlja naglasak koji Mario Draghi stavlja na inovacije, ulaganja, integraciju tržišta, dekarbonizaciju i otpornost te usredotočenost Enrica Letta na integraciju, autonomiju i solidarnost; potiče politike kojima se promiču inovacije </w:t>
            </w:r>
            <w:r>
              <w:rPr>
                <w:b/>
                <w:i/>
              </w:rPr>
              <w:t>te održiv i uključiv</w:t>
            </w:r>
            <w:r>
              <w:t xml:space="preserve"> rast;</w:t>
            </w:r>
          </w:p>
        </w:tc>
        <w:tc>
          <w:tcPr>
            <w:tcW w:w="4876" w:type="dxa"/>
            <w:tcBorders>
              <w:top w:val="nil"/>
              <w:left w:val="nil"/>
              <w:bottom w:val="nil"/>
              <w:right w:val="nil"/>
            </w:tcBorders>
          </w:tcPr>
          <w:p>
            <w:pPr>
              <w:pStyle w:val="Normal6a"/>
            </w:pPr>
            <w:r>
              <w:t>4.</w:t>
            </w:r>
            <w:r>
              <w:tab/>
            </w:r>
            <w:r>
              <w:t>podržava Komisijinu predanost ulaganju u održivu konkurentnost; pozdravlja naglasak koji Mario Draghi stavlja na inovacije, ulaganja, integraciju tržišta, dekarbonizaciju i otpornost te usredotočenost Enrica Letta na integraciju, autonomiju i solidarnost; potiče politike kojima se promiču inovacije</w:t>
            </w:r>
            <w:r>
              <w:rPr>
                <w:b/>
                <w:i/>
              </w:rPr>
              <w:t>, konkurentnost i</w:t>
            </w:r>
            <w:r>
              <w:t xml:space="preserve"> rast;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podržava Komisijinu predanost ulaganju u održivu konkurentnost; pozdravlja naglasak koji Mario Draghi stavlja na inovacije, ulaganja, integraciju tržišta, dekarbonizaciju i otpornost te usredotočenost Enrica Letta na integraciju, autonomiju i solidarnost; potiče politike kojima se promiču inovacije </w:t>
            </w:r>
            <w:r>
              <w:rPr>
                <w:b/>
                <w:i/>
              </w:rPr>
              <w:t>te održiv i uključiv</w:t>
            </w:r>
            <w:r>
              <w:t xml:space="preserve"> rast;</w:t>
            </w:r>
          </w:p>
        </w:tc>
        <w:tc>
          <w:tcPr>
            <w:tcW w:w="4876" w:type="dxa"/>
            <w:tcBorders>
              <w:top w:val="nil"/>
              <w:left w:val="nil"/>
              <w:bottom w:val="nil"/>
              <w:right w:val="nil"/>
            </w:tcBorders>
          </w:tcPr>
          <w:p>
            <w:pPr>
              <w:pStyle w:val="Normal6a"/>
            </w:pPr>
            <w:r>
              <w:t>4.</w:t>
            </w:r>
            <w:r>
              <w:tab/>
            </w:r>
            <w:r>
              <w:t xml:space="preserve">podržava Komisijinu predanost ulaganju u održivu konkurentnost; pozdravlja naglasak koji Mario Draghi stavlja na inovacije, ulaganja, integraciju tržišta, dekarbonizaciju i otpornost te usredotočenost Enrica Letta na integraciju, autonomiju i solidarnost; potiče politike kojima se promiču inovacije </w:t>
            </w:r>
            <w:r>
              <w:rPr>
                <w:b/>
                <w:i/>
              </w:rPr>
              <w:t>i</w:t>
            </w:r>
            <w:r>
              <w:t xml:space="preserve"> rast;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podržava Komisijinu predanost ulaganju u </w:t>
            </w:r>
            <w:r>
              <w:rPr>
                <w:b/>
                <w:i/>
              </w:rPr>
              <w:t>održivu</w:t>
            </w:r>
            <w:r>
              <w:t xml:space="preserve"> konkurentnost; pozdravlja naglasak koji Mario Draghi stavlja na inovacije, ulaganja, integraciju tržišta, dekarbonizaciju i otpornost te usredotočenost Enrica Letta na integraciju, autonomiju i solidarnost; potiče politike kojima se promiču inovacije te održiv i uključiv rast;</w:t>
            </w:r>
          </w:p>
        </w:tc>
        <w:tc>
          <w:tcPr>
            <w:tcW w:w="4876" w:type="dxa"/>
            <w:tcBorders>
              <w:top w:val="nil"/>
              <w:left w:val="nil"/>
              <w:bottom w:val="nil"/>
              <w:right w:val="nil"/>
            </w:tcBorders>
          </w:tcPr>
          <w:p>
            <w:pPr>
              <w:pStyle w:val="Normal6a"/>
            </w:pPr>
            <w:r>
              <w:t>4.</w:t>
            </w:r>
            <w:r>
              <w:tab/>
            </w:r>
            <w:r>
              <w:t>podržava Komisijinu predanost ulaganju u konkurentnost; pozdravlja naglasak koji Mario Draghi stavlja na inovacije, ulaganja, integraciju tržišta, dekarbonizaciju i otpornost te usredotočenost Enrica Letta na integraciju, autonomiju i solidarnost; potiče politike kojima se promiču inovacije te održiv i uključiv rast;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podržava Komisijinu predanost ulaganju u održivu konkurentnost; pozdravlja naglasak koji Mario Draghi stavlja na inovacije, ulaganja, integraciju tržišta</w:t>
            </w:r>
            <w:r>
              <w:rPr>
                <w:b/>
                <w:i/>
              </w:rPr>
              <w:t>, dekarbonizaciju</w:t>
            </w:r>
            <w:r>
              <w:t xml:space="preserve"> i otpornost te usredotočenost Enrica Letta na integraciju, autonomiju i solidarnost; potiče politike kojima se promiču inovacije te održiv i uključiv rast;</w:t>
            </w:r>
          </w:p>
        </w:tc>
        <w:tc>
          <w:tcPr>
            <w:tcW w:w="4876" w:type="dxa"/>
            <w:tcBorders>
              <w:top w:val="nil"/>
              <w:left w:val="nil"/>
              <w:bottom w:val="nil"/>
              <w:right w:val="nil"/>
            </w:tcBorders>
          </w:tcPr>
          <w:p>
            <w:pPr>
              <w:pStyle w:val="Normal6a"/>
            </w:pPr>
            <w:r>
              <w:t>4.</w:t>
            </w:r>
            <w:r>
              <w:tab/>
            </w:r>
            <w:r>
              <w:t>podržava Komisijinu predanost ulaganju u održivu konkurentnost; pozdravlja naglasak koji Mario Draghi stavlja na inovacije, ulaganja, integraciju tržišta i otpornost te usredotočenost Enrica Letta na integraciju, autonomiju i solidarnost; potiče politike kojima se promiču inovacije te održiv i uključiv rast;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naglašava da su pojednostavnjenje zakonodavstva i smanjenje administrativnog opterećenja ključni koraci u podupiranju konkurentnosti;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naglašava da je za poticanje europske konkurentnosti potrebna industrijska politika; napominje da to ne smije dovesti do prevlasti na tržištu </w:t>
            </w:r>
            <w:r>
              <w:rPr>
                <w:b/>
                <w:i/>
              </w:rPr>
              <w:t>ili zlouporabe takvog</w:t>
            </w:r>
            <w:r>
              <w:t xml:space="preserve"> položaja te upozorava da se ne bi smjela dopuštati integracija tržišta kroz spajanja;</w:t>
            </w:r>
          </w:p>
        </w:tc>
        <w:tc>
          <w:tcPr>
            <w:tcW w:w="4876" w:type="dxa"/>
            <w:tcBorders>
              <w:top w:val="nil"/>
              <w:left w:val="nil"/>
              <w:bottom w:val="nil"/>
              <w:right w:val="nil"/>
            </w:tcBorders>
          </w:tcPr>
          <w:p>
            <w:pPr>
              <w:pStyle w:val="Normal6a"/>
            </w:pPr>
            <w:r>
              <w:t>5.</w:t>
            </w:r>
            <w:r>
              <w:tab/>
            </w:r>
            <w:r>
              <w:t xml:space="preserve">naglašava da je za poticanje europske konkurentnosti potrebna industrijska politika </w:t>
            </w:r>
            <w:r>
              <w:rPr>
                <w:b/>
                <w:i/>
              </w:rPr>
              <w:t>i dekarbonizacija</w:t>
            </w:r>
            <w:r>
              <w:t xml:space="preserve">; napominje da to ne smije dovesti do prevlasti na tržištu </w:t>
            </w:r>
            <w:r>
              <w:rPr>
                <w:b/>
                <w:i/>
              </w:rPr>
              <w:t>niti koncentracije tržišta koja olakšava zlouporabu vladajućeg</w:t>
            </w:r>
            <w:r>
              <w:t xml:space="preserve"> položaja te upozorava da se ne bi smjela dopuštati integracija tržišta kroz spajanja; </w:t>
            </w:r>
            <w:r>
              <w:rPr>
                <w:b/>
                <w:i/>
              </w:rPr>
              <w:t>nadalje ističe da industrijska politika također mora unaprijediti javni interes povezivanjem javnog financiranja sa socijalnim i ekološkim uvjetima kojima se osiguravaju zaštita radnika, prava radnika, održivost i gospodarska otpornost;</w:t>
            </w:r>
            <w:r>
              <w:t xml:space="preserve"> </w:t>
            </w:r>
            <w:r>
              <w:rPr>
                <w:b/>
                <w:i/>
              </w:rPr>
              <w:t>napominje da bi one trebale uključivati odredbe o povratu sredstava i stroga ograničenja otkupa dionica i isplate dividendi;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naglašava da je za poticanje europske konkurentnosti potrebna industrijska politika; napominje da to ne smije dovesti do prevlasti na tržištu ili zlouporabe takvog položaja </w:t>
            </w:r>
            <w:r>
              <w:rPr>
                <w:b/>
                <w:i/>
              </w:rPr>
              <w:t>te</w:t>
            </w:r>
            <w:r>
              <w:t xml:space="preserve"> upozorava da se ne bi smjela dopuštati integracija tržišta kroz spajanja;</w:t>
            </w:r>
          </w:p>
        </w:tc>
        <w:tc>
          <w:tcPr>
            <w:tcW w:w="4876" w:type="dxa"/>
            <w:tcBorders>
              <w:top w:val="nil"/>
              <w:left w:val="nil"/>
              <w:bottom w:val="nil"/>
              <w:right w:val="nil"/>
            </w:tcBorders>
          </w:tcPr>
          <w:p>
            <w:pPr>
              <w:pStyle w:val="Normal6a"/>
            </w:pPr>
            <w:r>
              <w:t>5.</w:t>
            </w:r>
            <w:r>
              <w:tab/>
            </w:r>
            <w:r>
              <w:t>naglašava da je za poticanje europske konkurentnosti potrebna industrijska politika; napominje da to ne smije dovesti do prevlasti na tržištu ili zlouporabe takvog položaja</w:t>
            </w:r>
            <w:r>
              <w:rPr>
                <w:b/>
                <w:i/>
              </w:rPr>
              <w:t>;</w:t>
            </w:r>
            <w:r>
              <w:t xml:space="preserve"> </w:t>
            </w:r>
            <w:r>
              <w:rPr>
                <w:b/>
                <w:i/>
              </w:rPr>
              <w:t>napominje da taj zamah ne smije dovesti do prevlasti na tržištu ili zlouporabe takvog položaja, naglašavajući da bi intervencija u slučajevima zlouporabe trebala biti ograničena na očite protutržišne prakse kao što su monopoli i karteli;</w:t>
            </w:r>
            <w:r>
              <w:t xml:space="preserve"> upozorava da se ne bi smjela dopuštati integracija tržišta kroz spajanja</w:t>
            </w:r>
            <w:r>
              <w:rPr>
                <w:b/>
                <w:i/>
              </w:rPr>
              <w:t>, naglašavajući da bi se ona trebala ocjenjivati na temelju njihova stvarnog učinka na tržišno natjecanje i dobrobit potrošača te da ih se ne bi trebalo promatrati negativno na općenit način, pod uvjetom da ne štete općoj konkurentnosti tržišta ili interesima potrošača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naglašava da je za poticanje europske konkurentnosti potrebna industrijska politika; napominje da to ne </w:t>
            </w:r>
            <w:r>
              <w:rPr>
                <w:b/>
                <w:i/>
              </w:rPr>
              <w:t>smije dovesti do</w:t>
            </w:r>
            <w:r>
              <w:t xml:space="preserve"> prevlasti na tržištu ili </w:t>
            </w:r>
            <w:r>
              <w:rPr>
                <w:b/>
                <w:i/>
              </w:rPr>
              <w:t>zlouporabe takvog položaja te upozorava</w:t>
            </w:r>
            <w:r>
              <w:t xml:space="preserve"> da se </w:t>
            </w:r>
            <w:r>
              <w:rPr>
                <w:b/>
                <w:i/>
              </w:rPr>
              <w:t>ne bi smjela dopuštati integracija</w:t>
            </w:r>
            <w:r>
              <w:t xml:space="preserve"> tržišta </w:t>
            </w:r>
            <w:r>
              <w:rPr>
                <w:b/>
                <w:i/>
              </w:rPr>
              <w:t>kroz spajanja</w:t>
            </w:r>
            <w:r>
              <w:t>;</w:t>
            </w:r>
          </w:p>
        </w:tc>
        <w:tc>
          <w:tcPr>
            <w:tcW w:w="4876" w:type="dxa"/>
            <w:tcBorders>
              <w:top w:val="nil"/>
              <w:left w:val="nil"/>
              <w:bottom w:val="nil"/>
              <w:right w:val="nil"/>
            </w:tcBorders>
          </w:tcPr>
          <w:p>
            <w:pPr>
              <w:pStyle w:val="Normal6a"/>
            </w:pPr>
            <w:r>
              <w:t>5.</w:t>
            </w:r>
            <w:r>
              <w:tab/>
            </w:r>
            <w:r>
              <w:t xml:space="preserve">naglašava da je za poticanje europske konkurentnosti potrebna industrijska politika; napominje da </w:t>
            </w:r>
            <w:r>
              <w:rPr>
                <w:b/>
                <w:i/>
              </w:rPr>
              <w:t>se</w:t>
            </w:r>
            <w:r>
              <w:t xml:space="preserve"> to ne </w:t>
            </w:r>
            <w:r>
              <w:rPr>
                <w:b/>
                <w:i/>
              </w:rPr>
              <w:t>može učiniti na štetu europskih potrošača ublažavanjem standarda</w:t>
            </w:r>
            <w:r>
              <w:t xml:space="preserve"> prevlasti na tržištu ili </w:t>
            </w:r>
            <w:r>
              <w:rPr>
                <w:b/>
                <w:i/>
              </w:rPr>
              <w:t>zlouporabom standarda u politici tržišnog natjecanja EU-a;</w:t>
            </w:r>
            <w:r>
              <w:t xml:space="preserve"> </w:t>
            </w:r>
            <w:r>
              <w:rPr>
                <w:b/>
                <w:i/>
              </w:rPr>
              <w:t>ponavlja</w:t>
            </w:r>
            <w:r>
              <w:t xml:space="preserve"> da se </w:t>
            </w:r>
            <w:r>
              <w:rPr>
                <w:b/>
                <w:i/>
              </w:rPr>
              <w:t>najviši standardi tržišnog natjecanja i potrebno širenje europskih poduzeća mogu ojačati temeljito i učinkovito produbljivanje jedinstvenog</w:t>
            </w:r>
            <w:r>
              <w:t xml:space="preserve"> tržišta </w:t>
            </w:r>
            <w:r>
              <w:rPr>
                <w:b/>
                <w:i/>
              </w:rPr>
              <w:t>kako bi ono postalo mjerodavno tržište za sve sektore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naglašava da je za poticanje europske konkurentnosti potrebna industrijska politika; napominje da to ne smije dovesti do prevlasti na tržištu ili zlouporabe takvog položaja </w:t>
            </w:r>
            <w:r>
              <w:rPr>
                <w:b/>
                <w:i/>
              </w:rPr>
              <w:t>te</w:t>
            </w:r>
            <w:r>
              <w:t xml:space="preserve"> upozorava da se ne </w:t>
            </w:r>
            <w:r>
              <w:rPr>
                <w:b/>
                <w:i/>
              </w:rPr>
              <w:t>bi smjela dopuštati integracija tržišta kroz spajanja</w:t>
            </w:r>
            <w:r>
              <w:t>;</w:t>
            </w:r>
          </w:p>
        </w:tc>
        <w:tc>
          <w:tcPr>
            <w:tcW w:w="4876" w:type="dxa"/>
            <w:tcBorders>
              <w:top w:val="nil"/>
              <w:left w:val="nil"/>
              <w:bottom w:val="nil"/>
              <w:right w:val="nil"/>
            </w:tcBorders>
          </w:tcPr>
          <w:p>
            <w:pPr>
              <w:pStyle w:val="Normal6a"/>
            </w:pPr>
            <w:r>
              <w:t>5.</w:t>
            </w:r>
            <w:r>
              <w:tab/>
            </w:r>
            <w:r>
              <w:t xml:space="preserve">naglašava da je za poticanje europske konkurentnosti potrebna </w:t>
            </w:r>
            <w:r>
              <w:rPr>
                <w:b/>
                <w:i/>
              </w:rPr>
              <w:t>koordinirana i ciljana</w:t>
            </w:r>
            <w:r>
              <w:t xml:space="preserve"> industrijska politika; napominje da to ne smije dovesti do prevlasti na tržištu ili zlouporabe takvog položaja</w:t>
            </w:r>
            <w:r>
              <w:rPr>
                <w:b/>
                <w:i/>
              </w:rPr>
              <w:t>, narušavanja cijena ili gospodarske neučinkovitosti;</w:t>
            </w:r>
            <w:r>
              <w:t xml:space="preserve"> upozorava da se ne </w:t>
            </w:r>
            <w:r>
              <w:rPr>
                <w:b/>
                <w:i/>
              </w:rPr>
              <w:t>donose neusklađene i isključivo nacionalne industrijske politike;</w:t>
            </w:r>
            <w:r>
              <w:t xml:space="preserve"> </w:t>
            </w:r>
            <w:r>
              <w:rPr>
                <w:b/>
                <w:i/>
              </w:rPr>
              <w:t>naglašava potrebu za djelovanjem protiv nepoštenog i nejednakog tržišnog natjecanja iz trećih zemalja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naglašava da je za poticanje europske konkurentnosti potrebna industrijska politika</w:t>
            </w:r>
            <w:r>
              <w:t xml:space="preserve">; napominje da to ne smije dovesti do prevlasti na tržištu </w:t>
            </w:r>
            <w:r>
              <w:rPr>
                <w:b/>
                <w:i/>
              </w:rPr>
              <w:t>ili zlouporabe takvog položaja</w:t>
            </w:r>
            <w:r>
              <w:t xml:space="preserve"> te upozorava da se ne bi smjela dopuštati integracija tržišta kroz spajanja;</w:t>
            </w:r>
          </w:p>
        </w:tc>
        <w:tc>
          <w:tcPr>
            <w:tcW w:w="4876" w:type="dxa"/>
            <w:tcBorders>
              <w:top w:val="nil"/>
              <w:left w:val="nil"/>
              <w:bottom w:val="nil"/>
              <w:right w:val="nil"/>
            </w:tcBorders>
          </w:tcPr>
          <w:p>
            <w:pPr>
              <w:pStyle w:val="Normal6a"/>
            </w:pPr>
            <w:r>
              <w:t>5.</w:t>
            </w:r>
            <w:r>
              <w:tab/>
            </w:r>
            <w:r>
              <w:rPr>
                <w:b/>
                <w:i/>
              </w:rPr>
              <w:t>ističe potrebu za nacionalnim industrijskim politikama i sinergijama među državama članicama kako bi se potaknula europska konkurentnost</w:t>
            </w:r>
            <w:r>
              <w:t xml:space="preserve">; napominje da to ne smije dovesti do </w:t>
            </w:r>
            <w:r>
              <w:rPr>
                <w:b/>
                <w:i/>
              </w:rPr>
              <w:t>zlouporabe</w:t>
            </w:r>
            <w:r>
              <w:t xml:space="preserve"> prevlasti na tržištu te upozorava da se ne bi smjela dopuštati integracija tržišta kroz spajanja;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naglašava da je za poticanje europske konkurentnosti potrebna industrijska politika; napominje da to ne smije dovesti do prevlasti na tržištu ili zlouporabe takvog položaja te upozorava da se ne bi smjela dopuštati integracija tržišta kroz spajanja;</w:t>
            </w:r>
          </w:p>
        </w:tc>
        <w:tc>
          <w:tcPr>
            <w:tcW w:w="4876" w:type="dxa"/>
            <w:tcBorders>
              <w:top w:val="nil"/>
              <w:left w:val="nil"/>
              <w:bottom w:val="nil"/>
              <w:right w:val="nil"/>
            </w:tcBorders>
          </w:tcPr>
          <w:p>
            <w:pPr>
              <w:pStyle w:val="Normal6a"/>
            </w:pPr>
            <w:r>
              <w:t>5.</w:t>
            </w:r>
            <w:r>
              <w:tab/>
            </w:r>
            <w:r>
              <w:t xml:space="preserve">naglašava da je za poticanje europske konkurentnosti potrebna industrijska politika </w:t>
            </w:r>
            <w:r>
              <w:rPr>
                <w:b/>
                <w:i/>
              </w:rPr>
              <w:t>uz istodobnu zaštitu unutarnjeg tržišnog natjecanja i malih aktera na jedinstvenom tržištu</w:t>
            </w:r>
            <w:r>
              <w:t>; napominje da to ne smije dovesti do prevlasti na tržištu ili zlouporabe takvog položaja te upozorava da se ne bi smjela dopuštati integracija tržišta kroz spajanja;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naglašava da je za poticanje europske konkurentnosti potrebna industrijska politika; napominje da to ne smije dovesti do prevlasti na tržištu ili zlouporabe takvog položaja </w:t>
            </w:r>
            <w:r>
              <w:rPr>
                <w:b/>
                <w:i/>
              </w:rPr>
              <w:t>te upozorava da se ne bi smjela dopuštati integracija tržišta kroz spajanja</w:t>
            </w:r>
            <w:r>
              <w:t>;</w:t>
            </w:r>
          </w:p>
        </w:tc>
        <w:tc>
          <w:tcPr>
            <w:tcW w:w="4876" w:type="dxa"/>
            <w:tcBorders>
              <w:top w:val="nil"/>
              <w:left w:val="nil"/>
              <w:bottom w:val="nil"/>
              <w:right w:val="nil"/>
            </w:tcBorders>
          </w:tcPr>
          <w:p>
            <w:pPr>
              <w:pStyle w:val="Normal6a"/>
            </w:pPr>
            <w:r>
              <w:t>5.</w:t>
            </w:r>
            <w:r>
              <w:tab/>
            </w:r>
            <w:r>
              <w:t>naglašava da je za poticanje europske konkurentnosti potrebna industrijska politika; napominje da to ne smije dovesti do prevlasti na tržištu ili zlouporabe takvog položaja;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naglašava da je za poticanje europske konkurentnosti potrebna industrijska politika; napominje da to ne smije dovesti do prevlasti na tržištu ili zlouporabe takvog položaja </w:t>
            </w:r>
            <w:r>
              <w:rPr>
                <w:b/>
                <w:i/>
              </w:rPr>
              <w:t>te upozorava da se ne bi smjela dopuštati integracija tržišta kroz spajanja</w:t>
            </w:r>
            <w:r>
              <w:t>;</w:t>
            </w:r>
          </w:p>
        </w:tc>
        <w:tc>
          <w:tcPr>
            <w:tcW w:w="4876" w:type="dxa"/>
            <w:tcBorders>
              <w:top w:val="nil"/>
              <w:left w:val="nil"/>
              <w:bottom w:val="nil"/>
              <w:right w:val="nil"/>
            </w:tcBorders>
          </w:tcPr>
          <w:p>
            <w:pPr>
              <w:pStyle w:val="Normal6a"/>
            </w:pPr>
            <w:r>
              <w:t>5.</w:t>
            </w:r>
            <w:r>
              <w:tab/>
            </w:r>
            <w:r>
              <w:t>naglašava da je za poticanje europske konkurentnosti potrebna industrijska politika; napominje da to ne smije dovesti do prevlasti na tržištu ili zlouporabe takvog položaja;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naglašava da je za poticanje europske konkurentnosti potrebna industrijska politika; napominje da to ne smije dovesti do prevlasti na tržištu ili zlouporabe takvog položaja te upozorava da se ne bi smjela dopuštati integracija tržišta kroz spajanja;</w:t>
            </w:r>
          </w:p>
        </w:tc>
        <w:tc>
          <w:tcPr>
            <w:tcW w:w="4876" w:type="dxa"/>
            <w:tcBorders>
              <w:top w:val="nil"/>
              <w:left w:val="nil"/>
              <w:bottom w:val="nil"/>
              <w:right w:val="nil"/>
            </w:tcBorders>
          </w:tcPr>
          <w:p>
            <w:pPr>
              <w:pStyle w:val="Normal6a"/>
            </w:pPr>
            <w:r>
              <w:t>5.</w:t>
            </w:r>
            <w:r>
              <w:tab/>
            </w:r>
            <w:r>
              <w:t xml:space="preserve">naglašava da je za poticanje europske konkurentnosti potrebna </w:t>
            </w:r>
            <w:r>
              <w:rPr>
                <w:b/>
                <w:i/>
              </w:rPr>
              <w:t>nova održiva</w:t>
            </w:r>
            <w:r>
              <w:t xml:space="preserve"> industrijska politika; napominje da to ne smije dovesti do prevlasti na tržištu ili zlouporabe takvog položaja te upozorava da se ne bi smjela dopuštati integracija tržišta kroz spajanja;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naglašava da je za poticanje </w:t>
            </w:r>
            <w:r>
              <w:rPr>
                <w:b/>
                <w:i/>
              </w:rPr>
              <w:t>europske</w:t>
            </w:r>
            <w:r>
              <w:t xml:space="preserve"> konkurentnosti potrebna industrijska politika; napominje da to ne smije dovesti do prevlasti na tržištu ili zlouporabe takvog položaja te upozorava da se ne bi smjela dopuštati integracija tržišta kroz spajanja;</w:t>
            </w:r>
          </w:p>
        </w:tc>
        <w:tc>
          <w:tcPr>
            <w:tcW w:w="4876" w:type="dxa"/>
            <w:tcBorders>
              <w:top w:val="nil"/>
              <w:left w:val="nil"/>
              <w:bottom w:val="nil"/>
              <w:right w:val="nil"/>
            </w:tcBorders>
          </w:tcPr>
          <w:p>
            <w:pPr>
              <w:pStyle w:val="Normal6a"/>
            </w:pPr>
            <w:r>
              <w:t>5.</w:t>
            </w:r>
            <w:r>
              <w:tab/>
            </w:r>
            <w:r>
              <w:t xml:space="preserve">naglašava da je za poticanje konkurentnosti potrebna </w:t>
            </w:r>
            <w:r>
              <w:rPr>
                <w:b/>
                <w:i/>
              </w:rPr>
              <w:t>istinski europska</w:t>
            </w:r>
            <w:r>
              <w:t xml:space="preserve"> industrijska politika; napominje da to ne smije dovesti do prevlasti na tržištu ili zlouporabe takvog položaja te upozorava da se ne bi smjela dopuštati integracija tržišta kroz spajanja;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naglašava da je za poticanje europske konkurentnosti potrebna industrijska politika; napominje da to ne smije dovesti do </w:t>
            </w:r>
            <w:r>
              <w:rPr>
                <w:b/>
                <w:i/>
              </w:rPr>
              <w:t>prevlasti na tržištu ili</w:t>
            </w:r>
            <w:r>
              <w:t xml:space="preserve"> zlouporabe </w:t>
            </w:r>
            <w:r>
              <w:rPr>
                <w:b/>
                <w:i/>
              </w:rPr>
              <w:t>takvog</w:t>
            </w:r>
            <w:r>
              <w:t xml:space="preserve"> položaja </w:t>
            </w:r>
            <w:r>
              <w:rPr>
                <w:b/>
                <w:i/>
              </w:rPr>
              <w:t>te upozorava da se ne bi smjela dopuštati integracija tržišta kroz spajanja</w:t>
            </w:r>
            <w:r>
              <w:t>;</w:t>
            </w:r>
          </w:p>
        </w:tc>
        <w:tc>
          <w:tcPr>
            <w:tcW w:w="4876" w:type="dxa"/>
            <w:tcBorders>
              <w:top w:val="nil"/>
              <w:left w:val="nil"/>
              <w:bottom w:val="nil"/>
              <w:right w:val="nil"/>
            </w:tcBorders>
          </w:tcPr>
          <w:p>
            <w:pPr>
              <w:pStyle w:val="Normal6a"/>
            </w:pPr>
            <w:r>
              <w:t>5.</w:t>
            </w:r>
            <w:r>
              <w:tab/>
            </w:r>
            <w:r>
              <w:t xml:space="preserve">naglašava da je za poticanje europske konkurentnosti potrebna industrijska politika; napominje da to ne smije dovesti do zlouporabe </w:t>
            </w:r>
            <w:r>
              <w:rPr>
                <w:b/>
                <w:i/>
              </w:rPr>
              <w:t>dominantnog</w:t>
            </w:r>
            <w:r>
              <w:t xml:space="preserve"> položaja </w:t>
            </w:r>
            <w:r>
              <w:rPr>
                <w:b/>
                <w:i/>
              </w:rPr>
              <w:t>na tržištu;</w:t>
            </w:r>
            <w:r>
              <w:t xml:space="preserve"> </w:t>
            </w:r>
            <w:r>
              <w:rPr>
                <w:b/>
                <w:i/>
              </w:rPr>
              <w:t>ukazuje na potrebu za učinkovitim postupcima kontrole koncentracija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naglašava da je za poticanje europske konkurentnosti potrebna industrijska politika; napominje da to ne smije dovesti do prevlasti na tržištu ili zlouporabe takvog položaja te </w:t>
            </w:r>
            <w:r>
              <w:rPr>
                <w:b/>
                <w:i/>
              </w:rPr>
              <w:t>upozorava da se ne bi smjela dopuštati integracija</w:t>
            </w:r>
            <w:r>
              <w:t xml:space="preserve"> tržišta kroz spajanja;</w:t>
            </w:r>
          </w:p>
        </w:tc>
        <w:tc>
          <w:tcPr>
            <w:tcW w:w="4876" w:type="dxa"/>
            <w:tcBorders>
              <w:top w:val="nil"/>
              <w:left w:val="nil"/>
              <w:bottom w:val="nil"/>
              <w:right w:val="nil"/>
            </w:tcBorders>
          </w:tcPr>
          <w:p>
            <w:pPr>
              <w:pStyle w:val="Normal6a"/>
            </w:pPr>
            <w:r>
              <w:t>5.</w:t>
            </w:r>
            <w:r>
              <w:tab/>
            </w:r>
            <w:r>
              <w:t xml:space="preserve">naglašava da je za poticanje europske konkurentnosti potrebna industrijska politika; napominje da to ne smije dovesti do prevlasti na tržištu ili zlouporabe takvog položaja te </w:t>
            </w:r>
            <w:r>
              <w:rPr>
                <w:b/>
                <w:i/>
              </w:rPr>
              <w:t>poziva na pozorno praćenje integracije</w:t>
            </w:r>
            <w:r>
              <w:t xml:space="preserve"> tržišta kroz spajanja;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naglašava važnost važnih projekata od zajedničkog europskog interesa za financiranje velikih transnacionalnih projekata i postizanje strateških prioriteta EU-a, ali žali zbog postupka i vremena koji su potrebni jer previše opterećuju MSP-ove;</w:t>
            </w:r>
            <w:r>
              <w:t xml:space="preserve"> </w:t>
            </w:r>
            <w:r>
              <w:rPr>
                <w:b/>
                <w:i/>
              </w:rPr>
              <w:t>poziva Komisiju i države članice da osiguraju da sve obavijesti budu dovršene najkasnije u roku od šest mjeseci;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ističe važnost smanjenja troškova energije kako bi se zajamčila konkurentnost EU-a poticanjem upotrebe alternativnih izvora kao što je najsuvremenija nuklearna energija;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ističe važnost politike energetske učinkovitosti EU-a kako bi se povećala konkurentnost i smanjila prekomjerna ovisnost kontinenta o zemljama koje nisu članice EU-a, dajući u razumnim granicama prednost državnim potporama u strateškim sektorima kao što su toplinska izolacija, obnovljivi izvori energije i optimizacija industrijskih procesa;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prima na znanje izvješće Komisije u kojem se tvrdi da su se u posljednjih 25 godina tržišna koncentracija, marže i dobit povećali, dok se dinamika industrije smanjila unatoč aktivnoj provedbi prava tržišnog natjecanja;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prima na znanje izvješće Komisije u kojem se tvrdi da su se u posljednjih 25 godina tržišna koncentracija, marže i dobit povećali, dok se dinamika industrije smanjila unatoč aktivnoj provedbi prava tržišnog natjecanja;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prima na znanje izvješće Komisije u kojem se tvrdi da su se u posljednjih 25 godina tržišna koncentracija, marže i dobit povećali, dok se dinamika industrije smanjila unatoč aktivnoj provedbi prava tržišnog natjecanja;</w:t>
            </w:r>
          </w:p>
        </w:tc>
        <w:tc>
          <w:tcPr>
            <w:tcW w:w="4876" w:type="dxa"/>
            <w:tcBorders>
              <w:top w:val="nil"/>
              <w:left w:val="nil"/>
              <w:bottom w:val="nil"/>
              <w:right w:val="nil"/>
            </w:tcBorders>
          </w:tcPr>
          <w:p>
            <w:pPr>
              <w:pStyle w:val="Normal6a"/>
            </w:pPr>
            <w:r>
              <w:t>6.</w:t>
            </w:r>
            <w:r>
              <w:tab/>
            </w:r>
            <w:r>
              <w:t xml:space="preserve">prima na znanje izvješće Komisije u kojem se tvrdi da su se u posljednjih 25 godina tržišna koncentracija, marže i dobit povećali, dok se dinamika industrije smanjila unatoč aktivnoj provedbi prava tržišnog natjecanja; </w:t>
            </w:r>
            <w:r>
              <w:rPr>
                <w:b/>
                <w:i/>
              </w:rPr>
              <w:t>ističe da se u drugim izvješćima navodi da povećana koncentracija tržišta, trgovinske marže i dobit ne upućuju nužno na nepravilno funkcioniranje tržišta, podsjećajući da to može odražavati poboljšanja učinkovitosti, inovacija i ekonomije razmjera koja su ostvarila poduzeća;</w:t>
            </w:r>
            <w:r>
              <w:t xml:space="preserve"> </w:t>
            </w:r>
            <w:r>
              <w:rPr>
                <w:b/>
                <w:i/>
              </w:rPr>
              <w:t>smatra da bi pad dinamičnosti industrije mogao biti više povezan s prekomjernom regulatornom intervencijom kojom se ograničava sposobnost poduzeća da se prilagode i natječu na globalnom tržištu;</w:t>
            </w:r>
            <w:r>
              <w:t xml:space="preserve"> </w:t>
            </w:r>
            <w:r>
              <w:rPr>
                <w:b/>
                <w:i/>
              </w:rPr>
              <w:t>poziva Komisiju da preispita regulatorni okvir u cilju poticanja fleksibilnog i konkurentnog okruženja koje poduzećima omogućuje inovacije i rast bez nepotrebnih ograničenja i opterećenja;</w:t>
            </w:r>
            <w:r>
              <w:t xml:space="preserve"> </w:t>
            </w:r>
            <w:r>
              <w:rPr>
                <w:b/>
                <w:i/>
              </w:rPr>
              <w:t>podsjeća da bi se provedba prava tržišnog natjecanja trebala usredotočiti na osiguravanje otvorenih, konkurentnih i slobodnih tržišta od praksi kojima se narušava tržišno natjecanje, bez nepotrebnog uplitanja u prirodnu tržišnu dinamiku;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prima na znanje izvješće Komisije u kojem se tvrdi da su se u posljednjih 25 godina tržišna koncentracija, marže i dobit povećali, dok se dinamika industrije smanjila </w:t>
            </w:r>
            <w:r>
              <w:rPr>
                <w:b/>
                <w:i/>
              </w:rPr>
              <w:t>unatoč aktivnoj provedbi prava</w:t>
            </w:r>
            <w:r>
              <w:t xml:space="preserve"> tržišnog natjecanja;</w:t>
            </w:r>
          </w:p>
        </w:tc>
        <w:tc>
          <w:tcPr>
            <w:tcW w:w="4876" w:type="dxa"/>
            <w:tcBorders>
              <w:top w:val="nil"/>
              <w:left w:val="nil"/>
              <w:bottom w:val="nil"/>
              <w:right w:val="nil"/>
            </w:tcBorders>
          </w:tcPr>
          <w:p>
            <w:pPr>
              <w:pStyle w:val="Normal6a"/>
            </w:pPr>
            <w:r>
              <w:t>6.</w:t>
            </w:r>
            <w:r>
              <w:tab/>
            </w:r>
            <w:r>
              <w:t>prima na znanje izvješće Komisije u kojem se tvrdi da su se u posljednjih 25 godina tržišna koncentracija, marže i dobit povećali, dok se dinamika industrije smanjila</w:t>
            </w:r>
            <w:r>
              <w:rPr>
                <w:b/>
                <w:i/>
              </w:rPr>
              <w:t>;</w:t>
            </w:r>
            <w:r>
              <w:t xml:space="preserve"> </w:t>
            </w:r>
            <w:r>
              <w:rPr>
                <w:b/>
                <w:i/>
              </w:rPr>
              <w:t>također prima na znanje da su spajanja i preuzimanja vodećih poduzeća vjerojatno doprinijela zabilježenom povećanju marži i koncentracije;</w:t>
            </w:r>
            <w:r>
              <w:t xml:space="preserve"> </w:t>
            </w:r>
            <w:r>
              <w:rPr>
                <w:b/>
                <w:i/>
              </w:rPr>
              <w:t>nadalje napominje da su slabe razine</w:t>
            </w:r>
            <w:r>
              <w:t xml:space="preserve"> tržišnog natjecanja </w:t>
            </w:r>
            <w:r>
              <w:rPr>
                <w:b/>
                <w:i/>
              </w:rPr>
              <w:t>imale znatne negativne učinke na potrošače, kupovnu moć te na konkurentnost poduzeća iz EU-a i ukupni gospodarski rast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prima na znanje izvješće Komisije u kojem se tvrdi da su se u posljednjih 25 godina tržišna koncentracija, marže i dobit povećali, dok se dinamika industrije smanjila unatoč aktivnoj provedbi prava tržišnog natjecanja;</w:t>
            </w:r>
          </w:p>
        </w:tc>
        <w:tc>
          <w:tcPr>
            <w:tcW w:w="4876" w:type="dxa"/>
            <w:tcBorders>
              <w:top w:val="nil"/>
              <w:left w:val="nil"/>
              <w:bottom w:val="nil"/>
              <w:right w:val="nil"/>
            </w:tcBorders>
          </w:tcPr>
          <w:p>
            <w:pPr>
              <w:pStyle w:val="Normal6a"/>
            </w:pPr>
            <w:r>
              <w:t>6.</w:t>
            </w:r>
            <w:r>
              <w:tab/>
            </w:r>
            <w:r>
              <w:t xml:space="preserve">prima na znanje izvješće Komisije u kojem se tvrdi da su se u posljednjih 25 godina tržišna koncentracija, marže i dobit povećali, dok se dinamika industrije </w:t>
            </w:r>
            <w:r>
              <w:rPr>
                <w:b/>
                <w:i/>
              </w:rPr>
              <w:t>znatno</w:t>
            </w:r>
            <w:r>
              <w:t xml:space="preserve"> smanjila unatoč aktivnoj provedbi prava tržišnog natjecanja;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prima na znanje izvješće</w:t>
            </w:r>
            <w:r>
              <w:t xml:space="preserve"> Komisije u kojem se tvrdi da su se u posljednjih 25 godina tržišna koncentracija, marže i dobit povećali, dok se dinamika industrije smanjila unatoč aktivnoj provedbi prava tržišnog natjecanja;</w:t>
            </w:r>
          </w:p>
        </w:tc>
        <w:tc>
          <w:tcPr>
            <w:tcW w:w="4876" w:type="dxa"/>
            <w:tcBorders>
              <w:top w:val="nil"/>
              <w:left w:val="nil"/>
              <w:bottom w:val="nil"/>
              <w:right w:val="nil"/>
            </w:tcBorders>
          </w:tcPr>
          <w:p>
            <w:pPr>
              <w:pStyle w:val="Normal6a"/>
            </w:pPr>
            <w:r>
              <w:t>6.</w:t>
            </w:r>
            <w:r>
              <w:tab/>
            </w:r>
            <w:r>
              <w:rPr>
                <w:b/>
                <w:i/>
              </w:rPr>
              <w:t>duboko je zabrinut zbog izvješća</w:t>
            </w:r>
            <w:r>
              <w:t xml:space="preserve"> Komisije u kojem se tvrdi da su se u posljednjih 25 godina tržišna koncentracija, marže i dobit povećali, dok se dinamika industrije smanjila unatoč aktivnoj provedbi prava tržišnog natjecanja;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podržava činjenicu da politika tržišnog natjecanja ima ključnu ulogu u rješavanju i ublažavanju poremećaja koji dovode do krize troškova života diljem EU-a;</w:t>
            </w:r>
            <w:r>
              <w:t xml:space="preserve"> </w:t>
            </w:r>
            <w:r>
              <w:rPr>
                <w:b/>
                <w:i/>
              </w:rPr>
              <w:t>u tom kontekstu naglašava da, kao odgovor na češće šokove u opskrbi koji proizlaze iz geopolitičkih napetosti te klimatske i ekološke krize, poduzeća koordiniraju povećanja cijena kako bi zaštitila, pa čak i povećala profitne marže koje propagiraju te šokove;</w:t>
            </w:r>
            <w:r>
              <w:t xml:space="preserve"> </w:t>
            </w:r>
            <w:r>
              <w:rPr>
                <w:b/>
                <w:i/>
              </w:rPr>
              <w:t> smatra da bi, iako bi učinak monetarne politike mogao biti ograničeniji pri suočavanju s takvim poremećajima u opskrbi, ciljana i koordinirana provedba protumonopolskih pravila mogla biti učinkovitija;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ističe važnost osiguravanja veće zaštite malih i srednjih poduzeća te općenito svih onih poduzeća koja su voljna povećati rizični kapital;</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u tom pogledu poziva Europsku komisiju da procijeni kako se protumonopolska pravila primjenjuju na povećanje cijena u kontekstu uskih grla i da razvije okvir za provedbu u slučaju nepravednog određivanja cijena;</w:t>
            </w:r>
            <w:r>
              <w:t xml:space="preserve"> </w:t>
            </w:r>
            <w:r>
              <w:rPr>
                <w:b/>
                <w:i/>
              </w:rPr>
              <w:t>podsjeća na to da se povjerenica Ribera obvezala da će izdati smjernice za procjenu i rješavanje zlouporabe iskorištavanja od strane dominantnih poduzeća kako bi provedba članka 102. UFEU-a bila učinkovitija;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traži veću transparentnost i suradnju između nacionalnih tijela i Europske komisije u primjeni pravila tržišnog natjecanja kako bi se zajamčio ujednačen i dosljedan pristup diljem Unije;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ističe potrebu za temeljitom analizom državnih potpora, posebno za poduzeća koja posluju u strateškim sektorima kao što su energetika, tehnologija i inovacije;</w:t>
            </w:r>
            <w:r>
              <w:t xml:space="preserve"> </w:t>
            </w:r>
            <w:r>
              <w:rPr>
                <w:b/>
                <w:i/>
              </w:rPr>
              <w:t>ističe važnost jamčenja učinkovitosti državnih potpora u poljoprivredi, logistici i prijevozu;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ističe da se državne potpore sve više koriste za potporu ciljevima industrijske politike;</w:t>
            </w:r>
            <w:r>
              <w:t xml:space="preserve"> </w:t>
            </w:r>
            <w:r>
              <w:rPr>
                <w:b/>
                <w:i/>
              </w:rPr>
              <w:t>primjećuje razlike u fiskalnim kapacitetima država članica i upozorava da fragmentiranost državnih potpora dovodi do nejednakih uvjeta;</w:t>
            </w:r>
            <w:r>
              <w:t xml:space="preserve"> </w:t>
            </w:r>
            <w:r>
              <w:rPr>
                <w:b/>
                <w:i/>
              </w:rPr>
              <w:t>poziva Komisiju da prati te učinke;</w:t>
            </w:r>
            <w:r>
              <w:t xml:space="preserve"> </w:t>
            </w:r>
            <w:r>
              <w:rPr>
                <w:b/>
                <w:i/>
              </w:rPr>
              <w:t>poziva Komisiju i države članice da se ne upuštaju u natjecanje u dodjeljivanju subvencija;</w:t>
            </w:r>
            <w:r>
              <w:t xml:space="preserve"> </w:t>
            </w:r>
            <w:r>
              <w:rPr>
                <w:b/>
                <w:i/>
              </w:rPr>
              <w:t>zaključuje da privremeni okviri za državne potpore nisu uspjeli spriječiti daljnju fragmentaciju;</w:t>
            </w:r>
            <w:r>
              <w:t xml:space="preserve"> </w:t>
            </w:r>
            <w:r>
              <w:rPr>
                <w:b/>
                <w:i/>
              </w:rPr>
              <w:t>poziva na strože praćenje prijava državnih potpora i bolje izvješćivanje o državnim potporama te na transparentnost u skladu s preporukama Europskog revizorskog suda;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ističe da se državne potpore sve više koriste za potporu ciljevima industrijske politike; </w:t>
            </w:r>
            <w:r>
              <w:rPr>
                <w:b/>
                <w:i/>
              </w:rPr>
              <w:t>primjećuje razlike u fiskalnim kapacitetima država članica i upozorava da fragmentiranost državnih potpora</w:t>
            </w:r>
            <w:r>
              <w:t xml:space="preserve"> dovodi do nejednakih uvjeta; poziva Komisiju da prati te učinke; </w:t>
            </w:r>
            <w:r>
              <w:rPr>
                <w:b/>
                <w:i/>
              </w:rPr>
              <w:t>poziva Komisiju i države članice</w:t>
            </w:r>
            <w:r>
              <w:t xml:space="preserve"> da se ne upuštaju u natjecanje u dodjeljivanju subvencija; zaključuje da privremeni okviri za državne potpore nisu uspjeli spriječiti daljnju fragmentaciju; poziva na strože praćenje prijava državnih potpora </w:t>
            </w:r>
            <w:r>
              <w:rPr>
                <w:b/>
                <w:i/>
              </w:rPr>
              <w:t>i bolje izvješćivanje o državnim potporama te na transparentnost</w:t>
            </w:r>
            <w:r>
              <w:t xml:space="preserve"> u skladu s preporukama Europskog revizorskog suda;</w:t>
            </w:r>
          </w:p>
        </w:tc>
        <w:tc>
          <w:tcPr>
            <w:tcW w:w="4876" w:type="dxa"/>
            <w:tcBorders>
              <w:top w:val="nil"/>
              <w:left w:val="nil"/>
              <w:bottom w:val="nil"/>
              <w:right w:val="nil"/>
            </w:tcBorders>
          </w:tcPr>
          <w:p>
            <w:pPr>
              <w:pStyle w:val="Normal6a"/>
            </w:pPr>
            <w:r>
              <w:t>7.</w:t>
            </w:r>
            <w:r>
              <w:tab/>
            </w:r>
            <w:r>
              <w:t xml:space="preserve">ističe da se državne potpore sve više koriste za potporu ciljevima industrijske politike; </w:t>
            </w:r>
            <w:r>
              <w:rPr>
                <w:b/>
                <w:i/>
              </w:rPr>
              <w:t>smatra da korištenje državnih potpora u industrijske svrhe narušava tržište davanjem prednosti određenim sektorima ili poduzećima u odnosu na druge, što može dovesti do neučinkovitosti te obeshrabriti inovacije i tržišno natjecanje;</w:t>
            </w:r>
            <w:r>
              <w:t xml:space="preserve"> </w:t>
            </w:r>
            <w:r>
              <w:rPr>
                <w:b/>
                <w:i/>
              </w:rPr>
              <w:t>primjećuje razlike u državnim potporama u EU-u, što</w:t>
            </w:r>
            <w:r>
              <w:t xml:space="preserve"> dovodi do nejednakih uvjeta </w:t>
            </w:r>
            <w:r>
              <w:rPr>
                <w:b/>
                <w:i/>
              </w:rPr>
              <w:t>i narušava tržište</w:t>
            </w:r>
            <w:r>
              <w:t xml:space="preserve">; poziva Komisiju da prati </w:t>
            </w:r>
            <w:r>
              <w:rPr>
                <w:b/>
                <w:i/>
              </w:rPr>
              <w:t>i ispravi</w:t>
            </w:r>
            <w:r>
              <w:t xml:space="preserve"> te učinke; </w:t>
            </w:r>
            <w:r>
              <w:rPr>
                <w:b/>
                <w:i/>
              </w:rPr>
              <w:t>predlaže Komisiji i državama članicama</w:t>
            </w:r>
            <w:r>
              <w:t xml:space="preserve"> da se ne upuštaju u natjecanje u dodjeljivanju subvencija </w:t>
            </w:r>
            <w:r>
              <w:rPr>
                <w:b/>
                <w:i/>
              </w:rPr>
              <w:t>kojim se samo povećava narušavanje tržišta, čime se često pogoduje neučinkovitim poduzećima, nego da predlože mjere kojima se potiče konkurentnost jedinstvenog tržišta</w:t>
            </w:r>
            <w:r>
              <w:t xml:space="preserve">; zaključuje da privremeni okviri za državne potpore nisu uspjeli spriječiti daljnju fragmentaciju </w:t>
            </w:r>
            <w:r>
              <w:rPr>
                <w:b/>
                <w:i/>
              </w:rPr>
              <w:t>i naglašava da to pokazuje potrebu za manjom državnom intervencijom na tržištu</w:t>
            </w:r>
            <w:r>
              <w:t>; poziva na strože praćenje prijava državnih potpora</w:t>
            </w:r>
            <w:r>
              <w:rPr>
                <w:b/>
                <w:i/>
              </w:rPr>
              <w:t>, ne samo kako bi se povećala transparentnost i izvješćivanje,</w:t>
            </w:r>
            <w:r>
              <w:t xml:space="preserve"> u skladu s preporukama Europskog revizorskog suda</w:t>
            </w:r>
            <w:r>
              <w:rPr>
                <w:b/>
                <w:i/>
              </w:rPr>
              <w:t>, već i kako bi se smanjila ovisnost poduzeća o državnim potporama i promicalo tržišno natjecanje na jedinstvenom tržištu</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Regina Doherty, Lídia Pereira, 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ističe da se državne potpore sve više koriste za potporu ciljevima industrijske politike; primjećuje razlike u fiskalnim kapacitetima država članica i upozorava da fragmentiranost državnih potpora dovodi do nejednakih uvjeta; poziva Komisiju da prati te učinke; poziva Komisiju i države članice da se ne upuštaju u natjecanje u dodjeljivanju subvencija; zaključuje da privremeni okviri za državne potpore nisu uspjeli spriječiti daljnju fragmentaciju; poziva na strože praćenje prijava državnih potpora i bolje izvješćivanje o državnim potporama te na transparentnost u skladu s preporukama Europskog revizorskog suda;</w:t>
            </w:r>
          </w:p>
        </w:tc>
        <w:tc>
          <w:tcPr>
            <w:tcW w:w="4876" w:type="dxa"/>
            <w:tcBorders>
              <w:top w:val="nil"/>
              <w:left w:val="nil"/>
              <w:bottom w:val="nil"/>
              <w:right w:val="nil"/>
            </w:tcBorders>
          </w:tcPr>
          <w:p>
            <w:pPr>
              <w:pStyle w:val="Normal6a"/>
            </w:pPr>
            <w:r>
              <w:t>7.</w:t>
            </w:r>
            <w:r>
              <w:tab/>
            </w:r>
            <w:r>
              <w:t xml:space="preserve">ističe da se državne potpore sve više koriste za potporu ciljevima industrijske politike; primjećuje razlike u fiskalnim kapacitetima država članica i upozorava da fragmentiranost državnih potpora dovodi do nejednakih uvjeta; poziva Komisiju da prati te učinke; </w:t>
            </w:r>
            <w:r>
              <w:rPr>
                <w:b/>
                <w:i/>
              </w:rPr>
              <w:t>naglašava da je slabljenje pravila EU-a o državnim potporama do kojeg je došlo posljednjih godina stvorilo goleme neravnoteže na jedinstvenom tržištu, posebno u području financijskih državnih potpora;</w:t>
            </w:r>
            <w:r>
              <w:t xml:space="preserve"> </w:t>
            </w:r>
            <w:r>
              <w:rPr>
                <w:b/>
                <w:i/>
              </w:rPr>
              <w:t>ističe da su financijske subvencije skup i često neučinkovit način pružanja potpore velikim sudionicima na tržištu, uglavnom nauštrb istinskog tržišnog natjecanja i inovacija;</w:t>
            </w:r>
            <w:r>
              <w:t xml:space="preserve"> </w:t>
            </w:r>
            <w:r>
              <w:rPr>
                <w:b/>
                <w:i/>
              </w:rPr>
              <w:t>podsjeća da od financijskih subvencija koristi imaju samo one države članice koje imaju sredstva za trošenje velikih iznosa novca;</w:t>
            </w:r>
            <w:r>
              <w:t xml:space="preserve"> poziva Komisiju i države članice da se ne upuštaju u natjecanje u dodjeljivanju subvencija; zaključuje da privremeni okviri za državne potpore nisu uspjeli spriječiti daljnju fragmentaciju; poziva na strože praćenje prijava državnih potpora i bolje izvješćivanje o državnim potporama te na transparentnost u skladu s preporukama Europskog revizorskog suda;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ističe</w:t>
            </w:r>
            <w:r>
              <w:t xml:space="preserve"> da se državne potpore sve više koriste za potporu ciljevima industrijske politike; primjećuje razlike u fiskalnim kapacitetima država članica i upozorava da fragmentiranost državnih potpora dovodi do nejednakih uvjeta; poziva Komisiju da prati te učinke; poziva Komisiju i države članice da se ne upuštaju u natjecanje u dodjeljivanju subvencija; zaključuje da privremeni okviri za državne potpore nisu uspjeli spriječiti daljnju fragmentaciju; poziva na strože praćenje prijava državnih potpora i bolje izvješćivanje o državnim potporama te na transparentnost u skladu s preporukama Europskog revizorskog suda;</w:t>
            </w:r>
          </w:p>
        </w:tc>
        <w:tc>
          <w:tcPr>
            <w:tcW w:w="4876" w:type="dxa"/>
            <w:tcBorders>
              <w:top w:val="nil"/>
              <w:left w:val="nil"/>
              <w:bottom w:val="nil"/>
              <w:right w:val="nil"/>
            </w:tcBorders>
          </w:tcPr>
          <w:p>
            <w:pPr>
              <w:pStyle w:val="Normal6a"/>
            </w:pPr>
            <w:r>
              <w:t>7.</w:t>
            </w:r>
            <w:r>
              <w:tab/>
            </w:r>
            <w:r>
              <w:rPr>
                <w:b/>
                <w:i/>
              </w:rPr>
              <w:t>sa zabrinutošću napominje</w:t>
            </w:r>
            <w:r>
              <w:t xml:space="preserve"> da se državne potpore sve više koriste za potporu ciljevima industrijske politike; </w:t>
            </w:r>
            <w:r>
              <w:rPr>
                <w:b/>
                <w:i/>
              </w:rPr>
              <w:t>podsjeća da takve potpore, kako je dopušteno člankom 107. stavkom 3. točkom (c) UFEU-a, ne smiju negativno utjecati na trgovinske uvjete ili zajednički interes;</w:t>
            </w:r>
            <w:r>
              <w:t xml:space="preserve"> primjećuje razlike u fiskalnim kapacitetima država članica i upozorava da fragmentiranost državnih potpora dovodi do nejednakih uvjeta; poziva Komisiju da prati te učinke; poziva Komisiju i države članice da se ne upuštaju u natjecanje u dodjeljivanju subvencija; zaključuje da privremeni okviri za državne potpore nisu uspjeli spriječiti daljnju fragmentaciju</w:t>
            </w:r>
            <w:r>
              <w:rPr>
                <w:b/>
                <w:i/>
              </w:rPr>
              <w:t>;</w:t>
            </w:r>
            <w:r>
              <w:t xml:space="preserve"> </w:t>
            </w:r>
            <w:r>
              <w:rPr>
                <w:b/>
                <w:i/>
              </w:rPr>
              <w:t>poziva na to da se potpora dodijeli iz proračuna EU-a, a ne u okviru potencijalno nekoordiniranih nacionalnih državnih potpora;</w:t>
            </w:r>
            <w:r>
              <w:t xml:space="preserve"> </w:t>
            </w:r>
            <w:r>
              <w:rPr>
                <w:b/>
                <w:i/>
              </w:rPr>
              <w:t>sa zabrinutošću napominje da su samo dvije države članice činile 77 %</w:t>
            </w:r>
            <w:r>
              <w:rPr>
                <w:b/>
                <w:i/>
                <w:vertAlign w:val="superscript"/>
              </w:rPr>
              <w:t>5a</w:t>
            </w:r>
            <w:r>
              <w:t xml:space="preserve"> </w:t>
            </w:r>
            <w:r>
              <w:rPr>
                <w:b/>
                <w:i/>
              </w:rPr>
              <w:t>državne potpore prijavljene u skladu s privremenim kriznim okvirom</w:t>
            </w:r>
            <w:r>
              <w:t>; poziva na strože praćenje prijava državnih potpora i bolje izvješćivanje o državnim potporama te na transparentnost u skladu s preporukama Europskog revizorskog suda;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Državne potpore nakon pandemije, rata i strane subvencije – Autor:</w:t>
            </w:r>
            <w:r>
              <w:t xml:space="preserve"> </w:t>
            </w:r>
            <w:r>
              <w:rPr>
                <w:b/>
                <w:i/>
              </w:rPr>
              <w:t>Marcin Cesluk-Grajewski, Služba za istraživanja za zastupnike, PE 747.106 – travanj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ističe da se državne potpore sve više koriste za potporu ciljevima industrijske politike; primjećuje razlike u fiskalnim kapacitetima država članica i upozorava da fragmentiranost državnih potpora dovodi do nejednakih uvjeta; poziva Komisiju da prati te učinke; poziva Komisiju i države članice da se ne upuštaju u natjecanje u dodjeljivanju subvencija; </w:t>
            </w:r>
            <w:r>
              <w:rPr>
                <w:b/>
                <w:i/>
              </w:rPr>
              <w:t>zaključuje da privremeni okviri za državne potpore nisu uspjeli spriječiti daljnju fragmentaciju;</w:t>
            </w:r>
            <w:r>
              <w:t xml:space="preserve"> </w:t>
            </w:r>
            <w:r>
              <w:rPr>
                <w:b/>
                <w:i/>
              </w:rPr>
              <w:t>poziva na strože praćenje prijava državnih potpora i bolje izvješćivanje o državnim potporama te na transparentnost u skladu s preporukama Europskog revizorskog suda;</w:t>
            </w:r>
          </w:p>
        </w:tc>
        <w:tc>
          <w:tcPr>
            <w:tcW w:w="4876" w:type="dxa"/>
            <w:tcBorders>
              <w:top w:val="nil"/>
              <w:left w:val="nil"/>
              <w:bottom w:val="nil"/>
              <w:right w:val="nil"/>
            </w:tcBorders>
          </w:tcPr>
          <w:p>
            <w:pPr>
              <w:pStyle w:val="Normal6a"/>
            </w:pPr>
            <w:r>
              <w:t>7.</w:t>
            </w:r>
            <w:r>
              <w:tab/>
            </w:r>
            <w:r>
              <w:t>ističe da se državne potpore sve više koriste za potporu ciljevima industrijske politike; primjećuje razlike u fiskalnim kapacitetima država članica i upozorava da fragmentiranost državnih potpora dovodi do nejednakih uvjeta; poziva Komisiju da prati te učinke; poziva Komisiju i države članice da se ne upuštaju u natjecanje u dodjeljivanju subvencija;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ističe da se državne potpore sve više koriste za potporu ciljevima industrijske politike; primjećuje razlike u fiskalnim kapacitetima država članica </w:t>
            </w:r>
            <w:r>
              <w:rPr>
                <w:b/>
                <w:i/>
              </w:rPr>
              <w:t>i upozorava da fragmentiranost državnih potpora dovodi do nejednakih uvjeta;</w:t>
            </w:r>
            <w:r>
              <w:t xml:space="preserve"> </w:t>
            </w:r>
            <w:r>
              <w:rPr>
                <w:b/>
                <w:i/>
              </w:rPr>
              <w:t>poziva Komisiju da prati te učinke</w:t>
            </w:r>
            <w:r>
              <w:t xml:space="preserve">; poziva Komisiju i države članice da </w:t>
            </w:r>
            <w:r>
              <w:rPr>
                <w:b/>
                <w:i/>
              </w:rPr>
              <w:t>se ne upuštaju u natjecanje u dodjeljivanju subvencija;</w:t>
            </w:r>
            <w:r>
              <w:t xml:space="preserve"> </w:t>
            </w:r>
            <w:r>
              <w:rPr>
                <w:b/>
                <w:i/>
              </w:rPr>
              <w:t>zaključuje da privremeni okviri za državne potpore nisu uspjeli spriječiti daljnju fragmentaciju</w:t>
            </w:r>
            <w:r>
              <w:t>; poziva na strože praćenje prijava državnih potpora i bolje izvješćivanje o državnim potporama te na transparentnost u skladu s preporukama Europskog revizorskog suda;</w:t>
            </w:r>
          </w:p>
        </w:tc>
        <w:tc>
          <w:tcPr>
            <w:tcW w:w="4876" w:type="dxa"/>
            <w:tcBorders>
              <w:top w:val="nil"/>
              <w:left w:val="nil"/>
              <w:bottom w:val="nil"/>
              <w:right w:val="nil"/>
            </w:tcBorders>
          </w:tcPr>
          <w:p>
            <w:pPr>
              <w:pStyle w:val="Normal6a"/>
            </w:pPr>
            <w:r>
              <w:t>7.</w:t>
            </w:r>
            <w:r>
              <w:tab/>
            </w:r>
            <w:r>
              <w:t xml:space="preserve">ističe da se državne potpore sve više koriste za potporu ciljevima industrijske politike; primjećuje razlike u fiskalnim kapacitetima država članica; poziva Komisiju i države članice da </w:t>
            </w:r>
            <w:r>
              <w:rPr>
                <w:b/>
                <w:i/>
              </w:rPr>
              <w:t>iskoriste sva sredstva za potporu europskim industrijama</w:t>
            </w:r>
            <w:r>
              <w:t>; poziva na strože praćenje prijava državnih potpora i bolje izvješćivanje o državnim potporama te na transparentnost u skladu s preporukama Europskog revizorskog suda;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Stéphanie Yon-Courtin,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ističe da se državne potpore sve više koriste za potporu ciljevima industrijske politike; primjećuje razlike u fiskalnim kapacitetima država članica i upozorava da fragmentiranost državnih potpora dovodi do nejednakih uvjeta; poziva Komisiju da prati te učinke; poziva Komisiju i države članice da se ne upuštaju u natjecanje u dodjeljivanju subvencija; zaključuje da privremeni okviri za državne potpore nisu uspjeli spriječiti daljnju fragmentaciju; </w:t>
            </w:r>
            <w:r>
              <w:rPr>
                <w:b/>
                <w:i/>
              </w:rPr>
              <w:t>poziva na strože praćenje prijava državnih potpora i bolje izvješćivanje o državnim potporama te na transparentnost u skladu s preporukama Europskog revizorskog suda;</w:t>
            </w:r>
          </w:p>
        </w:tc>
        <w:tc>
          <w:tcPr>
            <w:tcW w:w="4876" w:type="dxa"/>
            <w:tcBorders>
              <w:top w:val="nil"/>
              <w:left w:val="nil"/>
              <w:bottom w:val="nil"/>
              <w:right w:val="nil"/>
            </w:tcBorders>
          </w:tcPr>
          <w:p>
            <w:pPr>
              <w:pStyle w:val="Normal6a"/>
            </w:pPr>
            <w:r>
              <w:t>7.</w:t>
            </w:r>
            <w:r>
              <w:tab/>
            </w:r>
            <w:r>
              <w:t>ističe da se državne potpore sve više koriste za potporu ciljevima industrijske politike; primjećuje razlike u fiskalnim kapacitetima država članica i upozorava da fragmentiranost državnih potpora dovodi do nejednakih uvjeta; poziva Komisiju da prati te učinke; poziva Komisiju i države članice da se ne upuštaju u natjecanje u dodjeljivanju subvencija; zaključuje da privremeni okviri za državne potpore nisu uspjeli spriječiti daljnju fragmentaciju;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ističe da se državne potpore sve više koriste za potporu ciljevima industrijske politike; primjećuje razlike u fiskalnim kapacitetima država članica i upozorava da fragmentiranost državnih potpora dovodi do nejednakih uvjeta; poziva Komisiju da </w:t>
            </w:r>
            <w:r>
              <w:rPr>
                <w:b/>
                <w:i/>
              </w:rPr>
              <w:t>prati te učinke</w:t>
            </w:r>
            <w:r>
              <w:t>; poziva Komisiju i države članice da se ne upuštaju u natjecanje u dodjeljivanju subvencija; zaključuje da privremeni okviri za državne potpore nisu uspjeli spriječiti daljnju fragmentaciju; poziva na strože praćenje prijava državnih potpora i bolje izvješćivanje o državnim potporama te na transparentnost u skladu s preporukama Europskog revizorskog suda;</w:t>
            </w:r>
          </w:p>
        </w:tc>
        <w:tc>
          <w:tcPr>
            <w:tcW w:w="4876" w:type="dxa"/>
            <w:tcBorders>
              <w:top w:val="nil"/>
              <w:left w:val="nil"/>
              <w:bottom w:val="nil"/>
              <w:right w:val="nil"/>
            </w:tcBorders>
          </w:tcPr>
          <w:p>
            <w:pPr>
              <w:pStyle w:val="Normal6a"/>
            </w:pPr>
            <w:r>
              <w:t>7.</w:t>
            </w:r>
            <w:r>
              <w:tab/>
            </w:r>
            <w:r>
              <w:t xml:space="preserve">ističe da se državne potpore sve više koriste za potporu ciljevima industrijske politike; primjećuje razlike u fiskalnim kapacitetima država članica i upozorava da fragmentiranost državnih potpora dovodi do nejednakih uvjeta </w:t>
            </w:r>
            <w:r>
              <w:rPr>
                <w:b/>
                <w:i/>
              </w:rPr>
              <w:t>na jedinstvenom tržištu</w:t>
            </w:r>
            <w:r>
              <w:t xml:space="preserve">; poziva Komisiju da </w:t>
            </w:r>
            <w:r>
              <w:rPr>
                <w:b/>
                <w:i/>
              </w:rPr>
              <w:t>osigura cjelovitost jedinstvenog tržišta</w:t>
            </w:r>
            <w:r>
              <w:t>; poziva Komisiju i države članice da se ne upuštaju u natjecanje u dodjeljivanju subvencija; zaključuje da privremeni okviri za državne potpore nisu uspjeli spriječiti daljnju fragmentaciju; poziva na strože praćenje prijava državnih potpora i bolje izvješćivanje o državnim potporama te na transparentnost u skladu s preporukama Europskog revizorskog suda;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ističe da se državne potpore sve više koriste za potporu ciljevima industrijske politike; primjećuje razlike u fiskalnim kapacitetima država članica i upozorava da fragmentiranost državnih potpora dovodi do nejednakih uvjeta; poziva Komisiju da prati te učinke; poziva Komisiju i države članice da se ne upuštaju u natjecanje u dodjeljivanju subvencija</w:t>
            </w:r>
            <w:r>
              <w:rPr>
                <w:b/>
                <w:i/>
              </w:rPr>
              <w:t>;</w:t>
            </w:r>
            <w:r>
              <w:t xml:space="preserve"> </w:t>
            </w:r>
            <w:r>
              <w:rPr>
                <w:b/>
                <w:i/>
              </w:rPr>
              <w:t>zaključuje da privremeni okviri za državne potpore nisu uspjeli spriječiti daljnju fragmentaciju</w:t>
            </w:r>
            <w:r>
              <w:t>; poziva na strože praćenje prijava državnih potpora i bolje izvješćivanje o državnim potporama te na transparentnost u skladu s preporukama Europskog revizorskog suda;</w:t>
            </w:r>
          </w:p>
        </w:tc>
        <w:tc>
          <w:tcPr>
            <w:tcW w:w="4876" w:type="dxa"/>
            <w:tcBorders>
              <w:top w:val="nil"/>
              <w:left w:val="nil"/>
              <w:bottom w:val="nil"/>
              <w:right w:val="nil"/>
            </w:tcBorders>
          </w:tcPr>
          <w:p>
            <w:pPr>
              <w:pStyle w:val="Normal6a"/>
            </w:pPr>
            <w:r>
              <w:t>7.</w:t>
            </w:r>
            <w:r>
              <w:tab/>
            </w:r>
            <w:r>
              <w:t xml:space="preserve">ističe da se državne potpore sve više koriste za potporu ciljevima industrijske politike; </w:t>
            </w:r>
            <w:r>
              <w:rPr>
                <w:b/>
                <w:i/>
              </w:rPr>
              <w:t>podsjeća na to da u novijoj povijesti postoji više slučajeva u kojima su državne potpore očito bile neuspješne, primjerice u slučaju Northvolta u Dithmarschenu;</w:t>
            </w:r>
            <w:r>
              <w:t xml:space="preserve"> primjećuje razlike u fiskalnim kapacitetima država članica i upozorava da fragmentiranost državnih potpora dovodi do nejednakih uvjeta; poziva Komisiju da prati te učinke; poziva Komisiju i države članice da se ne upuštaju u natjecanje u dodjeljivanju subvencija; poziva na strože praćenje prijava državnih potpora i bolje izvješćivanje o državnim potporama te na transparentnost u skladu s preporukama Europskog revizorskog suda;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ističe da se državne potpore sve više koriste za potporu ciljevima industrijske politike; primjećuje razlike u fiskalnim kapacitetima država članica i upozorava da fragmentiranost državnih potpora dovodi do nejednakih uvjeta; poziva Komisiju da prati te učinke; poziva Komisiju i države članice da se ne upuštaju u natjecanje u dodjeljivanju subvencija; zaključuje da privremeni okviri za državne potpore nisu uspjeli spriječiti daljnju fragmentaciju; poziva na strože praćenje prijava državnih potpora i bolje izvješćivanje o državnim potporama te na transparentnost u skladu s preporukama Europskog revizorskog suda;</w:t>
            </w:r>
          </w:p>
        </w:tc>
        <w:tc>
          <w:tcPr>
            <w:tcW w:w="4876" w:type="dxa"/>
            <w:tcBorders>
              <w:top w:val="nil"/>
              <w:left w:val="nil"/>
              <w:bottom w:val="nil"/>
              <w:right w:val="nil"/>
            </w:tcBorders>
          </w:tcPr>
          <w:p>
            <w:pPr>
              <w:pStyle w:val="Normal6a"/>
            </w:pPr>
            <w:r>
              <w:t>7.</w:t>
            </w:r>
            <w:r>
              <w:tab/>
            </w:r>
            <w:r>
              <w:t xml:space="preserve">ističe da se državne potpore sve više koriste za potporu ciljevima industrijske politike; primjećuje razlike u fiskalnim kapacitetima država članica i upozorava da fragmentiranost državnih potpora dovodi do nejednakih uvjeta; poziva Komisiju da prati te učinke </w:t>
            </w:r>
            <w:r>
              <w:rPr>
                <w:b/>
                <w:i/>
              </w:rPr>
              <w:t>i stvori zajednički financijski instrument za europsku industrijsku politiku</w:t>
            </w:r>
            <w:r>
              <w:t>; poziva Komisiju i države članice da se ne upuštaju u natjecanje u dodjeljivanju subvencija; zaključuje da privremeni okviri za državne potpore nisu uspjeli spriječiti daljnju fragmentaciju; poziva na strože praćenje prijava državnih potpora i bolje izvješćivanje o državnim potporama te na transparentnost u skladu s preporukama Europskog revizorskog suda;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ističe da se državne potpore sve više koriste za potporu ciljevima industrijske politike; primjećuje razlike u fiskalnim kapacitetima država članica i upozorava da </w:t>
            </w:r>
            <w:r>
              <w:rPr>
                <w:b/>
                <w:i/>
              </w:rPr>
              <w:t>fragmentiranost</w:t>
            </w:r>
            <w:r>
              <w:t xml:space="preserve"> državnih potpora </w:t>
            </w:r>
            <w:r>
              <w:rPr>
                <w:b/>
                <w:i/>
              </w:rPr>
              <w:t>dovodi</w:t>
            </w:r>
            <w:r>
              <w:t xml:space="preserve"> do nejednakih uvjeta; poziva Komisiju da prati te učinke; poziva Komisiju i države članice da se ne upuštaju u </w:t>
            </w:r>
            <w:r>
              <w:rPr>
                <w:b/>
                <w:i/>
              </w:rPr>
              <w:t>natjecanje</w:t>
            </w:r>
            <w:r>
              <w:t xml:space="preserve"> u dodjeljivanju subvencija; </w:t>
            </w:r>
            <w:r>
              <w:rPr>
                <w:b/>
                <w:i/>
              </w:rPr>
              <w:t>zaključuje da privremeni okviri za državne potpore nisu uspjeli spriječiti daljnju fragmentaciju;</w:t>
            </w:r>
            <w:r>
              <w:t xml:space="preserve"> </w:t>
            </w:r>
            <w:r>
              <w:rPr>
                <w:b/>
                <w:i/>
              </w:rPr>
              <w:t>poziva na strože praćenje prijava državnih potpora i bolje izvješćivanje o državnim potporama te na transparentnost u skladu s preporukama Europskog revizorskog suda;</w:t>
            </w:r>
          </w:p>
        </w:tc>
        <w:tc>
          <w:tcPr>
            <w:tcW w:w="4876" w:type="dxa"/>
            <w:tcBorders>
              <w:top w:val="nil"/>
              <w:left w:val="nil"/>
              <w:bottom w:val="nil"/>
              <w:right w:val="nil"/>
            </w:tcBorders>
          </w:tcPr>
          <w:p>
            <w:pPr>
              <w:pStyle w:val="Normal6a"/>
            </w:pPr>
            <w:r>
              <w:t>7.</w:t>
            </w:r>
            <w:r>
              <w:tab/>
            </w:r>
            <w:r>
              <w:t xml:space="preserve">ističe da se državne potpore sve više koriste za potporu ciljevima industrijske politike; primjećuje razlike u fiskalnim kapacitetima država članica i upozorava da </w:t>
            </w:r>
            <w:r>
              <w:rPr>
                <w:b/>
                <w:i/>
              </w:rPr>
              <w:t>nejednak pristup dozvoljavanju</w:t>
            </w:r>
            <w:r>
              <w:t xml:space="preserve"> državnih potpora </w:t>
            </w:r>
            <w:r>
              <w:rPr>
                <w:b/>
                <w:i/>
              </w:rPr>
              <w:t>može dovesti</w:t>
            </w:r>
            <w:r>
              <w:t xml:space="preserve"> do nejednakih uvjeta </w:t>
            </w:r>
            <w:r>
              <w:rPr>
                <w:b/>
                <w:i/>
              </w:rPr>
              <w:t>na jedinstvenom tržištu</w:t>
            </w:r>
            <w:r>
              <w:t xml:space="preserve">; poziva Komisiju da prati te učinke; poziva Komisiju i države članice da se ne upuštaju u </w:t>
            </w:r>
            <w:r>
              <w:rPr>
                <w:b/>
                <w:i/>
              </w:rPr>
              <w:t>utrku</w:t>
            </w:r>
            <w:r>
              <w:t xml:space="preserve"> u dodjeljivanju subvencija;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ističe da se državne potpore sve više koriste za potporu ciljevima industrijske politike; primjećuje razlike u fiskalnim </w:t>
            </w:r>
            <w:r>
              <w:rPr>
                <w:b/>
                <w:i/>
              </w:rPr>
              <w:t>kapacitetima</w:t>
            </w:r>
            <w:r>
              <w:t xml:space="preserve"> država članica i upozorava da fragmentiranost državnih potpora dovodi do nejednakih uvjeta; poziva Komisiju da prati te učinke; poziva Komisiju i države članice da se ne upuštaju u natjecanje u dodjeljivanju subvencija; zaključuje da privremeni okviri za državne potpore nisu uspjeli spriječiti daljnju fragmentaciju; poziva na strože praćenje prijava državnih potpora i bolje izvješćivanje o državnim potporama te na transparentnost u skladu s preporukama Europskog revizorskog suda;</w:t>
            </w:r>
          </w:p>
        </w:tc>
        <w:tc>
          <w:tcPr>
            <w:tcW w:w="4876" w:type="dxa"/>
            <w:tcBorders>
              <w:top w:val="nil"/>
              <w:left w:val="nil"/>
              <w:bottom w:val="nil"/>
              <w:right w:val="nil"/>
            </w:tcBorders>
          </w:tcPr>
          <w:p>
            <w:pPr>
              <w:pStyle w:val="Normal6a"/>
            </w:pPr>
            <w:r>
              <w:t>7.</w:t>
            </w:r>
            <w:r>
              <w:tab/>
            </w:r>
            <w:r>
              <w:t xml:space="preserve">ističe da se državne potpore sve više koriste za potporu ciljevima industrijske politike; primjećuje razlike u fiskalnim </w:t>
            </w:r>
            <w:r>
              <w:rPr>
                <w:b/>
                <w:i/>
              </w:rPr>
              <w:t>mogućnostima</w:t>
            </w:r>
            <w:r>
              <w:t xml:space="preserve"> država članica i upozorava da fragmentiranost državnih potpora dovodi do nejednakih uvjeta; poziva Komisiju da prati te učinke; poziva Komisiju i države članice da se ne upuštaju u natjecanje u dodjeljivanju subvencija; zaključuje da privremeni okviri za državne potpore nisu uspjeli spriječiti daljnju fragmentaciju; poziva na strože praćenje prijava državnih potpora i bolje izvješćivanje o državnim potporama te na transparentnost u skladu s preporukama Europskog revizorskog suda;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Martin Schirdewan,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naglašava da politika tržišnog natjecanja ne bi smjela biti prepreka provedbi aktivne industrijske strategije;</w:t>
            </w:r>
            <w:r>
              <w:t xml:space="preserve"> </w:t>
            </w:r>
            <w:r>
              <w:rPr>
                <w:b/>
                <w:i/>
              </w:rPr>
              <w:t>poziva države članice i Uniju da provode aktivnu industrijsku politiku koja se temelji na snažnim javnim ulaganjima s ciljem suzbijanja socijalne i regionalne nejednakosti, dekarbonizacije industrije i jačanja autonomije u ključnim gospodarskim sektorima, uz istodobno doprinošenje ujednačenom i održivom gospodarskom razvoju na globalnoj razini;</w:t>
            </w:r>
            <w:r>
              <w:t xml:space="preserve"> </w:t>
            </w:r>
            <w:r>
              <w:rPr>
                <w:b/>
                <w:i/>
              </w:rPr>
              <w:t>poziva na koordiniranu fleksibilizaciju pravila o državnim potporama i uvođenje namjenskih trajnih europskih fondova solidarnosti u svrhu kompenziranja za nejednaku industrijsku potporu i razvoj u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ističe da se politikom državnih potpora i dalje podupiru fosilna goriva;</w:t>
            </w:r>
            <w:r>
              <w:t xml:space="preserve"> </w:t>
            </w:r>
            <w:r>
              <w:rPr>
                <w:b/>
                <w:i/>
              </w:rPr>
              <w:t>podsjeća na Osmi akcijski plan za okoliš prema kojem bi se postupno ukinule subvencije koje su štetne za okoliš, posebno subvencije za fosilna goriva;</w:t>
            </w:r>
            <w:r>
              <w:t xml:space="preserve"> </w:t>
            </w:r>
            <w:r>
              <w:rPr>
                <w:b/>
                <w:i/>
              </w:rPr>
              <w:t>prima na znanje ključne preporuke 4. i 5. iz Izvješća o procjeni za 2024. Europskog znanstvenog savjetodavnog odbora za klimatske promjene, posebno preporuku da bi pravila EU-a koja utječu na državne potpore za poduzeća trebala biti usklađenija s klimatskim ciljevima EU-a;</w:t>
            </w:r>
            <w:r>
              <w:t xml:space="preserve"> </w:t>
            </w:r>
            <w:r>
              <w:rPr>
                <w:b/>
                <w:i/>
              </w:rPr>
              <w:t>poziva na veću ambicioznost u pogledu toga da se izravna i neizravna financijska pomoć za fosilna goriva isključi iz prihvatljivosti za potporu u okviru politike državnih potpora;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Evelyn Regner, Irene Tinagli, Lara Wolters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ističe da se postojećim okvirom za državne potpore često ograničavaju javne intervencije na tržištu stambenih nekretnina, čime se ograničava sposobnost država članica da izravno financiraju projekte socijalnog i priuštivog stanovanja;</w:t>
            </w:r>
            <w:r>
              <w:t xml:space="preserve"> </w:t>
            </w:r>
            <w:r>
              <w:rPr>
                <w:b/>
                <w:i/>
              </w:rPr>
              <w:t>naglašava da se sustav državnih potpora mora prilagoditi kako bi odražavao javno dobro koje priuštivo stanovanje predstavlja i kako bi se omogućila usmjerenija ulaganja u socijalno i priuštivo stanovanje, a takve bi promjene osnažile države članice na način da mogu bolje rješavati problem nedostatka stambenih nekretnina na lokalnoj i regionalnoj razini i olakšati dugoročnu cjenovnu pristupačnost;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ističe važnost državnih potpora kao sredstva za smanjenje gospodarskog jaza između razvijenijih regija i otočnih područja EU-a, unutarnjih područja, najudaljenijih regija, gospodarski siromašnih područja i svih dijelova EU-a koji trpe zbog prirodnih čimbenika;</w:t>
            </w:r>
            <w:r>
              <w:t xml:space="preserve"> </w:t>
            </w:r>
            <w:r>
              <w:rPr>
                <w:b/>
                <w:i/>
              </w:rPr>
              <w:t>traži veću fleksibilnost i manja ograničenja državnih potpora za otočne i najosjetljivije regije EU-a;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pozdravlja zaštitu jednakih uvjeta na europskim tržištima te među europskim poduzećima i njihovim radnicima zahvaljujući antidampinškim mjerama kojima se kompenzira za strane državne potpore kojima se narušava tržišno natjecanje;</w:t>
            </w:r>
            <w:r>
              <w:t xml:space="preserve"> </w:t>
            </w:r>
            <w:r>
              <w:rPr>
                <w:b/>
                <w:i/>
              </w:rPr>
              <w:t>upozorava na to da se uvozne carine ne bi trebale povećati u mjeri većoj od subvencija kako bi se spriječile odmazde i takozvani carinski ratovi;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w:t>
            </w:r>
            <w:r>
              <w:tab/>
            </w:r>
            <w:r>
              <w:rPr>
                <w:b/>
                <w:i/>
              </w:rPr>
              <w:t>smatra da dugoročna konkurentnost i otpornost EU-a iziskuje uključivanje klimatskih i okolišnih pitanja u okvir politike tržišnog natjecanja EU-a;</w:t>
            </w:r>
            <w:r>
              <w:t xml:space="preserve"> </w:t>
            </w:r>
            <w:r>
              <w:rPr>
                <w:b/>
                <w:i/>
              </w:rPr>
              <w:t>naglašava potrebu za uključivanjem okolišnih pitanja u politiku državnih potpora preko uključivanja uvjeta koji se odnose na klimu i okoliš u politiku državnih potpora;</w:t>
            </w:r>
            <w:r>
              <w:t xml:space="preserve"> </w:t>
            </w:r>
            <w:r>
              <w:rPr>
                <w:b/>
                <w:i/>
              </w:rPr>
              <w:t>podržava to da bi takvi uvjeti trebali sustavno uključivati smislenu provedbu načela „ne nanosi bitnu štetu” kako bi se pružila zaštita od mogućih negativnih učinaka bilo kakve potpore na klimu i okoliš;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w:t>
            </w:r>
            <w:r>
              <w:tab/>
            </w:r>
            <w:r>
              <w:rPr>
                <w:b/>
                <w:i/>
              </w:rPr>
              <w:t>smatra da bi dodijeljene državne potpore trebale biti u skladu s ciljevima politike EU-a kao što su zeleni plan i stup socijalnih prava;</w:t>
            </w:r>
            <w:r>
              <w:t xml:space="preserve"> </w:t>
            </w:r>
            <w:r>
              <w:rPr>
                <w:b/>
                <w:i/>
              </w:rPr>
              <w:t>poziva na to da se poduzeća koja izbjegavaju plaćanje poreza koristeći se poreznim oazama trećih zemalja isključe iz postupaka javne nabave i da im se zabrani primanje državne potpore jer se ta poduzeća pod nepoštenim uvjetima natječu s poduzećima s poslovnim nastanom izvan poreznih oaza;</w:t>
            </w:r>
            <w:r>
              <w:t xml:space="preserve"> </w:t>
            </w:r>
            <w:r>
              <w:rPr>
                <w:b/>
                <w:i/>
              </w:rPr>
              <w:t>poziva Komisiju da istraži neusklađenost mehanizama povrata sredstava u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traži redovito preispitivanje politika tržišnog natjecanja EU-a kako bi se zajamčilo da su uvijek prilagođene izazovima na globalnom tržištu, novim tehnologijama i potrebama potrošača te kako bi se poboljšala učinkovitost poduzetih mjera;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c.</w:t>
            </w:r>
            <w:r>
              <w:tab/>
            </w:r>
            <w:r>
              <w:rPr>
                <w:b/>
                <w:i/>
              </w:rPr>
              <w:t>naglašava značaj važnih projekata od zajedničkog europskog interesa za financiranje projekata unutar Unije s prekograničnom dimenzijom;</w:t>
            </w:r>
            <w:r>
              <w:t xml:space="preserve"> </w:t>
            </w:r>
            <w:r>
              <w:rPr>
                <w:b/>
                <w:i/>
              </w:rPr>
              <w:t>naglašava da bi važni projekti od zajedničkog europskog interesa trebali imati istinsku europsku dodanu vrijednost, što znači da bi trebali pozitivno utjecati na više od jedne države članice;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preporučuje jačanje koordinacije među nacionalnim tijelima nadležnima za tržišno natjecanje kako bi se povećala učinkovitost i zajamčila ujednačena primjena pravila tržišnog natjecanja u cijeloj Uniji;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prima na znanje procjenu Marija Draghija da je za zaštitu konkurentnosti EU-a potrebno dodatnih 800 milijardi EUR godišnje;</w:t>
            </w:r>
            <w:r>
              <w:t xml:space="preserve"> </w:t>
            </w:r>
            <w:r>
              <w:rPr>
                <w:b/>
                <w:i/>
              </w:rPr>
              <w:t>svjestan je važnosti javnih ulaganja u tom kontekstu;</w:t>
            </w:r>
            <w:r>
              <w:t xml:space="preserve"> </w:t>
            </w:r>
            <w:r>
              <w:rPr>
                <w:b/>
                <w:i/>
              </w:rPr>
              <w:t>smatra da je ključno uvođenje stalnog kapaciteta EU-a za ulaganja;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prima na znanje procjenu Marija Draghija da je za zaštitu konkurentnosti EU-a potrebno dodatnih 800 milijardi EUR godišnje;</w:t>
            </w:r>
            <w:r>
              <w:t xml:space="preserve"> </w:t>
            </w:r>
            <w:r>
              <w:rPr>
                <w:b/>
                <w:i/>
              </w:rPr>
              <w:t>svjestan je važnosti javnih ulaganja u tom kontekstu;</w:t>
            </w:r>
            <w:r>
              <w:t xml:space="preserve"> </w:t>
            </w:r>
            <w:r>
              <w:rPr>
                <w:b/>
                <w:i/>
              </w:rPr>
              <w:t>smatra da je ključno uvođenje stalnog kapaciteta EU-a za ulaganja;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prima na znanje procjenu Marija Draghija da </w:t>
            </w:r>
            <w:r>
              <w:rPr>
                <w:b/>
                <w:i/>
              </w:rPr>
              <w:t>je za zaštitu konkurentnosti EU-a potrebno</w:t>
            </w:r>
            <w:r>
              <w:t xml:space="preserve"> dodatnih 800 </w:t>
            </w:r>
            <w:r>
              <w:rPr>
                <w:b/>
                <w:i/>
              </w:rPr>
              <w:t>milijardi</w:t>
            </w:r>
            <w:r>
              <w:t xml:space="preserve"> EUR godišnje; </w:t>
            </w:r>
            <w:r>
              <w:rPr>
                <w:b/>
                <w:i/>
              </w:rPr>
              <w:t>svjestan je važnosti</w:t>
            </w:r>
            <w:r>
              <w:t xml:space="preserve"> javnih ulaganja </w:t>
            </w:r>
            <w:r>
              <w:rPr>
                <w:b/>
                <w:i/>
              </w:rPr>
              <w:t>u tom kontekstu</w:t>
            </w:r>
            <w:r>
              <w:t xml:space="preserve">; smatra da je </w:t>
            </w:r>
            <w:r>
              <w:rPr>
                <w:b/>
                <w:i/>
              </w:rPr>
              <w:t>ključno uvođenje stalnog kapaciteta EU-a za</w:t>
            </w:r>
            <w:r>
              <w:t xml:space="preserve"> ulaganja;</w:t>
            </w:r>
          </w:p>
        </w:tc>
        <w:tc>
          <w:tcPr>
            <w:tcW w:w="4876" w:type="dxa"/>
            <w:tcBorders>
              <w:top w:val="nil"/>
              <w:left w:val="nil"/>
              <w:bottom w:val="nil"/>
              <w:right w:val="nil"/>
            </w:tcBorders>
          </w:tcPr>
          <w:p>
            <w:pPr>
              <w:pStyle w:val="Normal6a"/>
            </w:pPr>
            <w:r>
              <w:t>8.</w:t>
            </w:r>
            <w:r>
              <w:tab/>
            </w:r>
            <w:r>
              <w:t xml:space="preserve">prima na znanje procjenu Marija Draghija da </w:t>
            </w:r>
            <w:r>
              <w:rPr>
                <w:b/>
                <w:i/>
              </w:rPr>
              <w:t>bi moglo biti potrebno oko</w:t>
            </w:r>
            <w:r>
              <w:t xml:space="preserve"> dodatnih 800 </w:t>
            </w:r>
            <w:r>
              <w:rPr>
                <w:b/>
                <w:i/>
              </w:rPr>
              <w:t>000 milijuna</w:t>
            </w:r>
            <w:r>
              <w:t xml:space="preserve"> EUR godišnje; </w:t>
            </w:r>
            <w:r>
              <w:rPr>
                <w:b/>
                <w:i/>
              </w:rPr>
              <w:t>smatra da konkurentnost ne bi trebala ovisiti o više javnih ulaganja, već o konkurentnom i regulatornom okruženju koje potiče učinkovitost tržišta i poduzećima omogućuje inovacije i slobodno tržišno natjecanje;</w:t>
            </w:r>
            <w:r>
              <w:t xml:space="preserve"> </w:t>
            </w:r>
            <w:r>
              <w:rPr>
                <w:b/>
                <w:i/>
              </w:rPr>
              <w:t>naglašava da je privatni sektor glavni pokretač ulaganja i gospodarskog rasta te da širenje</w:t>
            </w:r>
            <w:r>
              <w:t xml:space="preserve"> javnih ulaganja </w:t>
            </w:r>
            <w:r>
              <w:rPr>
                <w:b/>
                <w:i/>
              </w:rPr>
              <w:t>može dovesti do neučinkovitosti i obeshrabriti tržišno natjecanje;</w:t>
            </w:r>
            <w:r>
              <w:t xml:space="preserve"> </w:t>
            </w:r>
            <w:r>
              <w:rPr>
                <w:b/>
                <w:i/>
              </w:rPr>
              <w:t>uviđa da javna ulaganja mogu imati komplementarnu ulogu, ali ustraje u tome da bi državna intervencija trebala biti ograničena, a ne zamjena za privatna ulaganja</w:t>
            </w:r>
            <w:r>
              <w:t xml:space="preserve">; smatra da je </w:t>
            </w:r>
            <w:r>
              <w:rPr>
                <w:b/>
                <w:i/>
              </w:rPr>
              <w:t>dovršetak unije tržišta kapitala od ključne važnosti za postizanje potrebnih privatnih</w:t>
            </w:r>
            <w:r>
              <w:t xml:space="preserve"> ulaganja; </w:t>
            </w:r>
            <w:r>
              <w:rPr>
                <w:b/>
                <w:i/>
              </w:rPr>
              <w:t>poziva na donošenje politike usmjerene na smanjenje regulatornih prepreka, promicanje liberalizacije tržišta i omogućavanje privatnom sektoru da preuzme proaktivniju ulogu u ulaganjima;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prima na znanje procjenu Marija Draghija da je za zaštitu konkurentnosti EU-a potrebno </w:t>
            </w:r>
            <w:r>
              <w:rPr>
                <w:b/>
                <w:i/>
              </w:rPr>
              <w:t>dodatnih 800 milijardi EUR godišnje</w:t>
            </w:r>
            <w:r>
              <w:t xml:space="preserve">; svjestan je </w:t>
            </w:r>
            <w:r>
              <w:rPr>
                <w:b/>
                <w:i/>
              </w:rPr>
              <w:t>važnosti javnih ulaganja u tom kontekstu;</w:t>
            </w:r>
            <w:r>
              <w:t xml:space="preserve"> </w:t>
            </w:r>
            <w:r>
              <w:rPr>
                <w:b/>
                <w:i/>
              </w:rPr>
              <w:t>smatra da je ključno uvođenje stalnog kapaciteta EU-a za</w:t>
            </w:r>
            <w:r>
              <w:t xml:space="preserve"> ulaganja;</w:t>
            </w:r>
          </w:p>
        </w:tc>
        <w:tc>
          <w:tcPr>
            <w:tcW w:w="4876" w:type="dxa"/>
            <w:tcBorders>
              <w:top w:val="nil"/>
              <w:left w:val="nil"/>
              <w:bottom w:val="nil"/>
              <w:right w:val="nil"/>
            </w:tcBorders>
          </w:tcPr>
          <w:p>
            <w:pPr>
              <w:pStyle w:val="Normal6a"/>
            </w:pPr>
            <w:r>
              <w:t>8.</w:t>
            </w:r>
            <w:r>
              <w:tab/>
            </w:r>
            <w:r>
              <w:t xml:space="preserve">prima na znanje procjenu Marija Draghija da je za zaštitu konkurentnosti EU-a potrebno </w:t>
            </w:r>
            <w:r>
              <w:rPr>
                <w:b/>
                <w:i/>
              </w:rPr>
              <w:t>hitno povećati produktivnost i financijske kapacitete</w:t>
            </w:r>
            <w:r>
              <w:t xml:space="preserve">; svjestan je </w:t>
            </w:r>
            <w:r>
              <w:rPr>
                <w:b/>
                <w:i/>
              </w:rPr>
              <w:t>hitne potrebe za reformama uz učinkovitu provedbu triju stupova iz Draghijeva izvješća: i. premošćivanje inovacijskog jaza u odnosu na SAD i Kinu; ii. zajednički plan za dekarbonizaciju i konkurentnost kako bi se ubrzala tranzicija i smanjili troškovi energije;</w:t>
            </w:r>
            <w:r>
              <w:t xml:space="preserve"> </w:t>
            </w:r>
            <w:r>
              <w:rPr>
                <w:b/>
                <w:i/>
              </w:rPr>
              <w:t>i iii. povećanje sigurnosti i smanjenje ovisnosti.</w:t>
            </w:r>
            <w:r>
              <w:t xml:space="preserve"> </w:t>
            </w:r>
            <w:r>
              <w:rPr>
                <w:b/>
                <w:i/>
              </w:rPr>
              <w:t>Napredak u tim stupovima ovisit će i o međusektorskim i međusobno povezanim faktorima za konkurentnost i uključivi rast, a to su produbljivanje jedinstvenog tržišta, pojednostavnjenje, razvoj vještina i kvalitetna radna mjesta, financiranje</w:t>
            </w:r>
            <w:r>
              <w:t xml:space="preserve"> ulaganja </w:t>
            </w:r>
            <w:r>
              <w:rPr>
                <w:b/>
                <w:i/>
              </w:rPr>
              <w:t>i poboljšanje koordinacije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prima na znanje procjenu Marija Draghija da je za zaštitu konkurentnosti EU-a potrebno dodatnih 800 milijardi EUR godišnje; svjestan je važnosti javnih ulaganja u tom kontekstu; smatra da je ključno uvođenje stalnog kapaciteta EU-a za ulaganja;</w:t>
            </w:r>
          </w:p>
        </w:tc>
        <w:tc>
          <w:tcPr>
            <w:tcW w:w="4876" w:type="dxa"/>
            <w:tcBorders>
              <w:top w:val="nil"/>
              <w:left w:val="nil"/>
              <w:bottom w:val="nil"/>
              <w:right w:val="nil"/>
            </w:tcBorders>
          </w:tcPr>
          <w:p>
            <w:pPr>
              <w:pStyle w:val="Normal6a"/>
            </w:pPr>
            <w:r>
              <w:t>8.</w:t>
            </w:r>
            <w:r>
              <w:tab/>
            </w:r>
            <w:r>
              <w:t xml:space="preserve">prima na znanje procjenu Marija Draghija da je za zaštitu konkurentnosti EU-a potrebno dodatnih 800 milijardi EUR godišnje; svjestan je važnosti </w:t>
            </w:r>
            <w:r>
              <w:rPr>
                <w:b/>
                <w:i/>
              </w:rPr>
              <w:t>znatnih</w:t>
            </w:r>
            <w:r>
              <w:t xml:space="preserve"> javnih </w:t>
            </w:r>
            <w:r>
              <w:rPr>
                <w:b/>
                <w:i/>
              </w:rPr>
              <w:t>i privatnih</w:t>
            </w:r>
            <w:r>
              <w:t xml:space="preserve"> ulaganja u tom kontekstu; smatra da je ključno uvođenje stalnog kapaciteta EU-a za ulaganja; </w:t>
            </w:r>
            <w:r>
              <w:rPr>
                <w:b/>
                <w:i/>
              </w:rPr>
              <w:t>smatra da su iščekivana strategija Komisije za uniju za štednju i ulaganja, kao i strategija ulaganja za male ulagatelje, ključne za poticanje i mobilizaciju privatnih ulaganja te potiče suzakonodavce da nastave biti ambiciozni i da ostvare brz napredak u vezi s tim inicijativama;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prima na znanje procjenu Marija Draghija da je za zaštitu konkurentnosti EU-a potrebno dodatnih 800 milijardi EUR godišnje; svjestan je važnosti javnih ulaganja u tom kontekstu; smatra da je ključno uvođenje stalnog kapaciteta EU-a za ulaganja;</w:t>
            </w:r>
          </w:p>
        </w:tc>
        <w:tc>
          <w:tcPr>
            <w:tcW w:w="4876" w:type="dxa"/>
            <w:tcBorders>
              <w:top w:val="nil"/>
              <w:left w:val="nil"/>
              <w:bottom w:val="nil"/>
              <w:right w:val="nil"/>
            </w:tcBorders>
          </w:tcPr>
          <w:p>
            <w:pPr>
              <w:pStyle w:val="Normal6a"/>
            </w:pPr>
            <w:r>
              <w:t>8.</w:t>
            </w:r>
            <w:r>
              <w:tab/>
            </w:r>
            <w:r>
              <w:t xml:space="preserve">prima na znanje procjenu Marija Draghija da je za zaštitu konkurentnosti EU-a potrebno dodatnih 800 milijardi EUR godišnje; svjestan je važnosti javnih </w:t>
            </w:r>
            <w:r>
              <w:rPr>
                <w:b/>
                <w:i/>
              </w:rPr>
              <w:t>i privatnih</w:t>
            </w:r>
            <w:r>
              <w:t xml:space="preserve"> ulaganja u tom kontekstu</w:t>
            </w:r>
            <w:r>
              <w:rPr>
                <w:b/>
                <w:i/>
              </w:rPr>
              <w:t>;</w:t>
            </w:r>
            <w:r>
              <w:t xml:space="preserve"> </w:t>
            </w:r>
            <w:r>
              <w:rPr>
                <w:b/>
                <w:i/>
              </w:rPr>
              <w:t>naglašava da će za poticanje privatnih ulaganja u mjeri koja je potrebna biti nužno znatno smanjenje privatnog troška kapitala, u čemu fiskalni poticaji i poboljšana učinkovitost tržišta kapitala mogu pomoći</w:t>
            </w:r>
            <w:r>
              <w:rPr>
                <w:b/>
                <w:i/>
                <w:vertAlign w:val="superscript"/>
              </w:rPr>
              <w:t>6a</w:t>
            </w:r>
            <w:r>
              <w:t>; smatra da je ključno uvođenje stalnog kapaciteta EU-a za ulaganja;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Budućnost europske konkurentnosti Dio B</w:t>
            </w:r>
            <w:r>
              <w:t xml:space="preserve"> </w:t>
            </w:r>
            <w:r>
              <w:rPr>
                <w:b/>
                <w:i/>
              </w:rPr>
              <w:t>| Detaljna analiza i preporuke, Poglavlje 3. - Održavanje ulaganja. str-283.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prima na znanje procjenu Marija Draghija da je za zaštitu konkurentnosti EU-a potrebno dodatnih 800 milijardi EUR godišnje; svjestan je važnosti javnih ulaganja u tom kontekstu; smatra da je ključno uvođenje stalnog kapaciteta EU-a za ulaganja;</w:t>
            </w:r>
          </w:p>
        </w:tc>
        <w:tc>
          <w:tcPr>
            <w:tcW w:w="4876" w:type="dxa"/>
            <w:tcBorders>
              <w:top w:val="nil"/>
              <w:left w:val="nil"/>
              <w:bottom w:val="nil"/>
              <w:right w:val="nil"/>
            </w:tcBorders>
          </w:tcPr>
          <w:p>
            <w:pPr>
              <w:pStyle w:val="Normal6a"/>
            </w:pPr>
            <w:r>
              <w:t>8.</w:t>
            </w:r>
            <w:r>
              <w:tab/>
            </w:r>
            <w:r>
              <w:t xml:space="preserve">prima na znanje procjenu Marija Draghija da je za zaštitu konkurentnosti EU-a potrebno dodatnih 800 milijardi EUR godišnje; svjestan je važnosti javnih ulaganja u tom kontekstu; smatra da je ključno uvođenje stalnog kapaciteta EU-a za ulaganja; </w:t>
            </w:r>
            <w:r>
              <w:rPr>
                <w:b/>
                <w:i/>
              </w:rPr>
              <w:t>smatra da je ključno da Komisija i države članice preciziraju kako se te izvanredne financijske potrebe mogu zadovoljiti i kojim doprinosima pojedinačnih država članica;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prima na znanje procjenu Marija Draghija da je za zaštitu konkurentnosti EU-a potrebno dodatnih 800 milijardi EUR godišnje; svjestan je važnosti javnih ulaganja u tom kontekstu; smatra da je ključno uvođenje stalnog kapaciteta EU-a za ulaganja;</w:t>
            </w:r>
          </w:p>
        </w:tc>
        <w:tc>
          <w:tcPr>
            <w:tcW w:w="4876" w:type="dxa"/>
            <w:tcBorders>
              <w:top w:val="nil"/>
              <w:left w:val="nil"/>
              <w:bottom w:val="nil"/>
              <w:right w:val="nil"/>
            </w:tcBorders>
          </w:tcPr>
          <w:p>
            <w:pPr>
              <w:pStyle w:val="Normal6a"/>
            </w:pPr>
            <w:r>
              <w:t>8.</w:t>
            </w:r>
            <w:r>
              <w:tab/>
            </w:r>
            <w:r>
              <w:t xml:space="preserve">prima na znanje procjenu Marija Draghija da je za zaštitu konkurentnosti EU-a potrebno dodatnih 800 milijardi EUR godišnje; svjestan je važnosti </w:t>
            </w:r>
            <w:r>
              <w:rPr>
                <w:b/>
                <w:i/>
              </w:rPr>
              <w:t>održivih</w:t>
            </w:r>
            <w:r>
              <w:t xml:space="preserve"> javnih ulaganja u tom kontekstu; smatra da je ključno uvođenje stalnog kapaciteta EU-a za ulaganja; </w:t>
            </w:r>
            <w:r>
              <w:rPr>
                <w:b/>
                <w:i/>
              </w:rPr>
              <w:t>naglašava važnost privatnih ulaganja za poticanje konkurentnosti i smatra da je potrebno hitno pokrenuti uniju za štednju i ulaganja, čime bi se dovršila unija tržišta kapitala;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Stéphanie Yon-Courtin, Gilles Boyer,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prima na znanje procjenu Marija Draghija da je za zaštitu konkurentnosti EU-a potrebno dodatnih 800 milijardi EUR godišnje; svjestan je važnosti javnih ulaganja u tom kontekstu; </w:t>
            </w:r>
            <w:r>
              <w:rPr>
                <w:b/>
                <w:i/>
              </w:rPr>
              <w:t>smatra da je ključno uvođenje stalnog kapaciteta EU-a za</w:t>
            </w:r>
            <w:r>
              <w:t xml:space="preserve"> ulaganja;</w:t>
            </w:r>
          </w:p>
        </w:tc>
        <w:tc>
          <w:tcPr>
            <w:tcW w:w="4876" w:type="dxa"/>
            <w:tcBorders>
              <w:top w:val="nil"/>
              <w:left w:val="nil"/>
              <w:bottom w:val="nil"/>
              <w:right w:val="nil"/>
            </w:tcBorders>
          </w:tcPr>
          <w:p>
            <w:pPr>
              <w:pStyle w:val="Normal6a"/>
            </w:pPr>
            <w:r>
              <w:t>8.</w:t>
            </w:r>
            <w:r>
              <w:tab/>
            </w:r>
            <w:r>
              <w:t xml:space="preserve">prima na znanje procjenu Marija Draghija da je za zaštitu konkurentnosti EU-a potrebno dodatnih 800 milijardi EUR godišnje; svjestan je važnosti javnih </w:t>
            </w:r>
            <w:r>
              <w:rPr>
                <w:b/>
                <w:i/>
              </w:rPr>
              <w:t>i privatnih</w:t>
            </w:r>
            <w:r>
              <w:t xml:space="preserve"> ulaganja u tom kontekstu; </w:t>
            </w:r>
            <w:r>
              <w:rPr>
                <w:b/>
                <w:i/>
              </w:rPr>
              <w:t>naglašava da će biti potrebna dodatna javna i privatna</w:t>
            </w:r>
            <w:r>
              <w:t xml:space="preserve"> ulaganja </w:t>
            </w:r>
            <w:r>
              <w:rPr>
                <w:b/>
                <w:i/>
              </w:rPr>
              <w:t>kako bi se odgovorilo na problem rascjepkanosti unutarnjeg tržišta, poduprla industrijska strategija EU-a, smanjile naše kritične ovisnosti i osigurala naša otvorena strateška autonomija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Anouk Van Brug,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prima na znanje procjenu Marija Draghija da je za zaštitu konkurentnosti EU-a potrebno dodatnih 800 milijardi EUR godišnje; svjestan je važnosti javnih ulaganja u tom kontekstu; </w:t>
            </w:r>
            <w:r>
              <w:rPr>
                <w:b/>
                <w:i/>
              </w:rPr>
              <w:t>smatra</w:t>
            </w:r>
            <w:r>
              <w:t xml:space="preserve"> da je </w:t>
            </w:r>
            <w:r>
              <w:rPr>
                <w:b/>
                <w:i/>
              </w:rPr>
              <w:t>ključno uvođenje stalnog kapaciteta EU-a za ulaganja</w:t>
            </w:r>
            <w:r>
              <w:t>;</w:t>
            </w:r>
          </w:p>
        </w:tc>
        <w:tc>
          <w:tcPr>
            <w:tcW w:w="4876" w:type="dxa"/>
            <w:tcBorders>
              <w:top w:val="nil"/>
              <w:left w:val="nil"/>
              <w:bottom w:val="nil"/>
              <w:right w:val="nil"/>
            </w:tcBorders>
          </w:tcPr>
          <w:p>
            <w:pPr>
              <w:pStyle w:val="Normal6a"/>
            </w:pPr>
            <w:r>
              <w:t>8.</w:t>
            </w:r>
            <w:r>
              <w:tab/>
            </w:r>
            <w:r>
              <w:t xml:space="preserve">prima na znanje procjenu Marija Draghija da je za zaštitu konkurentnosti EU-a potrebno dodatnih 800 milijardi EUR godišnje; svjestan je važnosti </w:t>
            </w:r>
            <w:r>
              <w:rPr>
                <w:b/>
                <w:i/>
              </w:rPr>
              <w:t>kako</w:t>
            </w:r>
            <w:r>
              <w:t xml:space="preserve"> javnih </w:t>
            </w:r>
            <w:r>
              <w:rPr>
                <w:b/>
                <w:i/>
              </w:rPr>
              <w:t>tako i privatnih</w:t>
            </w:r>
            <w:r>
              <w:t xml:space="preserve"> ulaganja u tom kontekstu; </w:t>
            </w:r>
            <w:r>
              <w:rPr>
                <w:b/>
                <w:i/>
              </w:rPr>
              <w:t>naglašava</w:t>
            </w:r>
            <w:r>
              <w:t xml:space="preserve"> da je </w:t>
            </w:r>
            <w:r>
              <w:rPr>
                <w:b/>
                <w:i/>
              </w:rPr>
              <w:t>dovršetak unije tržišta kapitala ključan za oslobađanje potencijala privatnog kapitala u tom pogledu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prima na znanje procjenu Marija Draghija da je za zaštitu konkurentnosti EU-a potrebno dodatnih 800 milijardi EUR godišnje; svjestan je važnosti javnih ulaganja u tom kontekstu; </w:t>
            </w:r>
            <w:r>
              <w:rPr>
                <w:b/>
                <w:i/>
              </w:rPr>
              <w:t>smatra da je ključno uvođenje stalnog kapaciteta EU-a za ulaganja;</w:t>
            </w:r>
          </w:p>
        </w:tc>
        <w:tc>
          <w:tcPr>
            <w:tcW w:w="4876" w:type="dxa"/>
            <w:tcBorders>
              <w:top w:val="nil"/>
              <w:left w:val="nil"/>
              <w:bottom w:val="nil"/>
              <w:right w:val="nil"/>
            </w:tcBorders>
          </w:tcPr>
          <w:p>
            <w:pPr>
              <w:pStyle w:val="Normal6a"/>
            </w:pPr>
            <w:r>
              <w:t>8.</w:t>
            </w:r>
            <w:r>
              <w:tab/>
            </w:r>
            <w:r>
              <w:t>prima na znanje procjenu Marija Draghija da je za zaštitu konkurentnosti EU-a potrebno dodatnih 800 milijardi EUR godišnje; svjestan je važnosti javnih ulaganja u tom kontekstu;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prima na znanje procjenu Marija Draghija da je za zaštitu konkurentnosti EU-a potrebno dodatnih 800 milijardi EUR godišnje; svjestan je važnosti javnih ulaganja u tom kontekstu; smatra da je </w:t>
            </w:r>
            <w:r>
              <w:rPr>
                <w:b/>
                <w:i/>
              </w:rPr>
              <w:t>ključno</w:t>
            </w:r>
            <w:r>
              <w:t xml:space="preserve"> uvođenje stalnog kapaciteta EU-a za ulaganja;</w:t>
            </w:r>
          </w:p>
        </w:tc>
        <w:tc>
          <w:tcPr>
            <w:tcW w:w="4876" w:type="dxa"/>
            <w:tcBorders>
              <w:top w:val="nil"/>
              <w:left w:val="nil"/>
              <w:bottom w:val="nil"/>
              <w:right w:val="nil"/>
            </w:tcBorders>
          </w:tcPr>
          <w:p>
            <w:pPr>
              <w:pStyle w:val="Normal6a"/>
            </w:pPr>
            <w:r>
              <w:t>8.</w:t>
            </w:r>
            <w:r>
              <w:tab/>
            </w:r>
            <w:r>
              <w:t xml:space="preserve">prima na znanje procjenu Marija Draghija da je za zaštitu konkurentnosti EU-a potrebno dodatnih 800 milijardi EUR godišnje; svjestan je važnosti javnih ulaganja u tom kontekstu; smatra da je uvođenje stalnog kapaciteta EU-a za ulaganja </w:t>
            </w:r>
            <w:r>
              <w:rPr>
                <w:b/>
                <w:i/>
              </w:rPr>
              <w:t>ključno za dovršetak usporedne zelene i digitalne tranzicije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Pierre Pimpie, Aleksandar Nikolic,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prima na znanje procjenu Marija Draghija da je za zaštitu konkurentnosti EU-a potrebno dodatnih 800 milijardi EUR godišnje; svjestan je važnosti javnih ulaganja u tom kontekstu; smatra da je ključno uvođenje stalnog kapaciteta EU-a za ulaganja;</w:t>
            </w:r>
          </w:p>
        </w:tc>
        <w:tc>
          <w:tcPr>
            <w:tcW w:w="4876" w:type="dxa"/>
            <w:tcBorders>
              <w:top w:val="nil"/>
              <w:left w:val="nil"/>
              <w:bottom w:val="nil"/>
              <w:right w:val="nil"/>
            </w:tcBorders>
          </w:tcPr>
          <w:p>
            <w:pPr>
              <w:pStyle w:val="Normal6a"/>
            </w:pPr>
            <w:r>
              <w:t>8.</w:t>
            </w:r>
            <w:r>
              <w:tab/>
            </w:r>
            <w:r>
              <w:t xml:space="preserve">prima na znanje procjenu Marija Draghija da je za zaštitu konkurentnosti EU-a potrebno dodatnih 800 milijardi EUR godišnje; svjestan je važnosti </w:t>
            </w:r>
            <w:r>
              <w:rPr>
                <w:b/>
                <w:i/>
              </w:rPr>
              <w:t>potrebne sinergije između</w:t>
            </w:r>
            <w:r>
              <w:t xml:space="preserve"> javnih </w:t>
            </w:r>
            <w:r>
              <w:rPr>
                <w:b/>
                <w:i/>
              </w:rPr>
              <w:t>i privatnih</w:t>
            </w:r>
            <w:r>
              <w:t xml:space="preserve"> ulaganja u tom kontekstu; smatra da je ključno uvođenje stalnog kapaciteta EU-a za ulaganja;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prima na znanje procjenu Marija Draghija da je za zaštitu konkurentnosti EU-a potrebno dodatnih 800 milijardi EUR godišnje; svjestan je važnosti javnih ulaganja u tom kontekstu; smatra da je ključno uvođenje stalnog kapaciteta EU-a za ulaganja;</w:t>
            </w:r>
          </w:p>
        </w:tc>
        <w:tc>
          <w:tcPr>
            <w:tcW w:w="4876" w:type="dxa"/>
            <w:tcBorders>
              <w:top w:val="nil"/>
              <w:left w:val="nil"/>
              <w:bottom w:val="nil"/>
              <w:right w:val="nil"/>
            </w:tcBorders>
          </w:tcPr>
          <w:p>
            <w:pPr>
              <w:pStyle w:val="Normal6a"/>
            </w:pPr>
            <w:r>
              <w:t>8.</w:t>
            </w:r>
            <w:r>
              <w:tab/>
            </w:r>
            <w:r>
              <w:t xml:space="preserve">prima na znanje procjenu Marija Draghija da je za zaštitu konkurentnosti EU-a potrebno dodatnih 800 milijardi EUR godišnje; svjestan je važnosti javnih ulaganja u tom kontekstu; smatra da je ključno uvođenje stalnog kapaciteta EU-a za ulaganja </w:t>
            </w:r>
            <w:r>
              <w:rPr>
                <w:b/>
                <w:i/>
              </w:rPr>
              <w:t>pod kontrolom država članica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prima na znanje procjenu Marija Draghija da je za zaštitu konkurentnosti EU-a potrebno dodatnih 800 milijardi EUR godišnje; </w:t>
            </w:r>
            <w:r>
              <w:rPr>
                <w:b/>
                <w:i/>
              </w:rPr>
              <w:t>svjestan je važnosti javnih ulaganja u tom kontekstu;</w:t>
            </w:r>
            <w:r>
              <w:t xml:space="preserve"> </w:t>
            </w:r>
            <w:r>
              <w:rPr>
                <w:b/>
                <w:i/>
              </w:rPr>
              <w:t>smatra da je ključno uvođenje stalnog kapaciteta EU-a za ulaganja</w:t>
            </w:r>
            <w:r>
              <w:t>;</w:t>
            </w:r>
          </w:p>
        </w:tc>
        <w:tc>
          <w:tcPr>
            <w:tcW w:w="4876" w:type="dxa"/>
            <w:tcBorders>
              <w:top w:val="nil"/>
              <w:left w:val="nil"/>
              <w:bottom w:val="nil"/>
              <w:right w:val="nil"/>
            </w:tcBorders>
          </w:tcPr>
          <w:p>
            <w:pPr>
              <w:pStyle w:val="Normal6a"/>
            </w:pPr>
            <w:r>
              <w:t>8.</w:t>
            </w:r>
            <w:r>
              <w:tab/>
            </w:r>
            <w:r>
              <w:t xml:space="preserve">prima na znanje procjenu Marija Draghija da je za zaštitu konkurentnosti EU-a potrebno dodatnih 800 milijardi EUR godišnje; </w:t>
            </w:r>
            <w:r>
              <w:rPr>
                <w:b/>
                <w:i/>
              </w:rPr>
              <w:t>napominje da te investicije moraju u prvoj liniji financirati privatne osobe i da moraju biti podržane javnim investicijama, posebice u infrastrukturu i obrazovanje</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Regina Doherty, Lídia Pereira, Dirk Gotink,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naglašava da konkurentnost nije izazov koji se može riješiti samo novim novcem;</w:t>
            </w:r>
            <w:r>
              <w:t xml:space="preserve"> </w:t>
            </w:r>
            <w:r>
              <w:rPr>
                <w:b/>
                <w:i/>
              </w:rPr>
              <w:t>naglašava da se EU iz relativnog pada ne može izvući trošenjem;</w:t>
            </w:r>
            <w:r>
              <w:t xml:space="preserve"> </w:t>
            </w:r>
            <w:r>
              <w:rPr>
                <w:b/>
                <w:i/>
              </w:rPr>
              <w:t>poziva Komisiju i sve države članice da djeluju i provedu pravne i administrativne reforme kojima se povećava konkurentnost, promiču inovacije i dinamičnost, pojednostavnjuje birokracija, smanjuju troškovi i regulatorno opterećenje za inovatore, pojednostavnjuju zahtjevi za izvješćivanje, stvara okruženje koje pogoduje ulaganjima u Europi, povećavaju mogućnosti trgovanja s trećim zemljama, rješava problem prekomjerne regulacije i poboljšava nadzorna suradnja među državama članicama;</w:t>
            </w:r>
            <w:r>
              <w:t xml:space="preserve"> </w:t>
            </w:r>
            <w:r>
              <w:rPr>
                <w:b/>
                <w:i/>
              </w:rPr>
              <w:t>odbacuje svaki korak prema povećanom protekcionizmu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napominje da je pri utvrđivanju mjerodavnog tržišta u slučajevima tržišnog natjecanja i kontrole koncentracija potrebno pažljivo analizirati međunarodno okruženje;</w:t>
            </w:r>
            <w:r>
              <w:t xml:space="preserve"> </w:t>
            </w:r>
            <w:r>
              <w:rPr>
                <w:b/>
                <w:i/>
              </w:rPr>
              <w:t>žali zbog toga što je Komisija u prošlosti ponekad imala preusku perspektivu o mjerodavnom tržištu, čime je europskim poduzećima uskratila mogućnost da se učinkovito natječu u globaliziranom okruženju;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Francesco Ventola, Denis Nesci,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poziva Komisiju da dovrši prekogranične dionice transeuropske prometne mreže (TEN-T) kako bi se promicalo međusobno povezivanje europskog jedinstvenog tržišta;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primjećuje promjene u poslovnim praksama, s naglaskom na padu broja slučajeva kartela i pomaku prema novim oblicima štetnog ponašanja kao što su prešutni tajni sporazumi i algoritamski tajni sporazumi, te naglašava potrebu za usklađivanjem provedbenih prioriteta s tim promjenjivim okruženjem;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Francesco Ventola, Denis Nesci,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poziva Komisiju da dovrši i provede jedinstveni europski patentni sustav i nadležnost Jedinstvenog europskog suda za patente;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Francesco Ventola, Denis Nesci,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3.b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ističe važnost zakonodavstva EU-a o priznavanju oznaka zemljopisnog podrijetla za obrtničke i industrijske proizvode;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Francesco Ventola, Denis Nesci,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pozdravlja prijedlog Marija Draghija o „novom instrumentu za tržišno natjecanje” kao fleksibilnom alatu za istraživanje tržišta osmišljenom za rješavanje strukturnih problema tržišnog natjecanja smanjenjem prepreka ulasku na tržište za konkurente u cilju povećanja konkurentnosti, poticanja inovacija i zaštite ranjivih potrošača;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pozdravlja prijedlog Marija Draghija o „novom instrumentu za tržišno natjecanje” kao fleksibilnom alatu za istraživanje tržišta osmišljenom za rješavanje strukturnih problema tržišnog natjecanja smanjenjem prepreka ulasku na tržište za konkurente u cilju povećanja konkurentnosti, poticanja inovacija i zaštite ranjivih potrošača;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pozdravlja prijedlog Marija Draghija o „novom instrumentu za tržišno natjecanje” kao fleksibilnom alatu za istraživanje tržišta osmišljenom za rješavanje strukturnih problema tržišnog natjecanja smanjenjem prepreka ulasku na tržište za konkurente u cilju povećanja konkurentnosti, poticanja inovacija i zaštite ranjivih potrošača;</w:t>
            </w:r>
          </w:p>
        </w:tc>
        <w:tc>
          <w:tcPr>
            <w:tcW w:w="4876" w:type="dxa"/>
            <w:tcBorders>
              <w:top w:val="nil"/>
              <w:left w:val="nil"/>
              <w:bottom w:val="nil"/>
              <w:right w:val="nil"/>
            </w:tcBorders>
          </w:tcPr>
          <w:p>
            <w:pPr>
              <w:pStyle w:val="Normal6a"/>
            </w:pPr>
            <w:r>
              <w:t>9.</w:t>
            </w:r>
            <w:r>
              <w:tab/>
            </w:r>
            <w:r>
              <w:t xml:space="preserve">pozdravlja prijedlog Marija Draghija o „novom instrumentu za tržišno natjecanje” kao fleksibilnom alatu za istraživanje tržišta osmišljenom za rješavanje strukturnih problema tržišnog natjecanja smanjenjem prepreka ulasku na tržište za konkurente u cilju povećanja konkurentnosti, poticanja inovacija i zaštite ranjivih potrošača; </w:t>
            </w:r>
            <w:r>
              <w:rPr>
                <w:b/>
                <w:i/>
              </w:rPr>
              <w:t>nadalje ističe da su u današnjem gospodarstvu, koje je temeljeno na podacima, interoperabilnost, prenosivost podataka i pravedan pristup ključnim podatkovnim resursima ključni za rješavanje pitanja snažnih mrežnih učinaka i isključive kontrole nad podacima, čime se omogućuje šire sudjelovanje na svim tržišnim razinama</w:t>
            </w:r>
            <w:r>
              <w:rPr>
                <w:b/>
                <w:i/>
                <w:vertAlign w:val="superscript"/>
              </w:rPr>
              <w:t>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Budućnost europske konkurentnosti Dio B</w:t>
            </w:r>
            <w:r>
              <w:t xml:space="preserve"> </w:t>
            </w:r>
            <w:r>
              <w:rPr>
                <w:b/>
                <w:i/>
              </w:rPr>
              <w:t>| Detaljna analiza i preporuke, Poglavlje 3. - Održavanje ulaganja. str-283.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pozdravlja prijedlog Marija Draghija o „novom instrumentu za tržišno natjecanje” kao fleksibilnom alatu za istraživanje tržišta osmišljenom za rješavanje </w:t>
            </w:r>
            <w:r>
              <w:rPr>
                <w:b/>
                <w:i/>
              </w:rPr>
              <w:t>strukturnih</w:t>
            </w:r>
            <w:r>
              <w:t xml:space="preserve"> problema tržišnog natjecanja smanjenjem prepreka ulasku na tržište za konkurente u cilju povećanja konkurentnosti, poticanja inovacija i zaštite ranjivih potrošača;</w:t>
            </w:r>
          </w:p>
        </w:tc>
        <w:tc>
          <w:tcPr>
            <w:tcW w:w="4876" w:type="dxa"/>
            <w:tcBorders>
              <w:top w:val="nil"/>
              <w:left w:val="nil"/>
              <w:bottom w:val="nil"/>
              <w:right w:val="nil"/>
            </w:tcBorders>
          </w:tcPr>
          <w:p>
            <w:pPr>
              <w:pStyle w:val="Normal6a"/>
            </w:pPr>
            <w:r>
              <w:t>9.</w:t>
            </w:r>
            <w:r>
              <w:tab/>
            </w:r>
            <w:r>
              <w:t xml:space="preserve">pozdravlja prijedlog Marija Draghija o „novom instrumentu za tržišno natjecanje” kao fleksibilnom alatu za istraživanje tržišta osmišljenom za rješavanje problema tržišnog natjecanja </w:t>
            </w:r>
            <w:r>
              <w:rPr>
                <w:b/>
                <w:i/>
              </w:rPr>
              <w:t>koji nisu rezultat protutržišnih sporazuma ili zlouporabe vladajućeg položaja te za nametanje strukturnih mjera ili mjera praćenja poslovanja usmjerenih na budućnost na razini tržišta, među ostalim</w:t>
            </w:r>
            <w:r>
              <w:t xml:space="preserve"> smanjenjem prepreka ulasku na tržište za konkurente </w:t>
            </w:r>
            <w:r>
              <w:rPr>
                <w:b/>
                <w:i/>
              </w:rPr>
              <w:t>i prodaju</w:t>
            </w:r>
            <w:r>
              <w:t xml:space="preserve"> u cilju povećanja konkurentnosti, poticanja inovacija i zaštite ranjivih potrošača; </w:t>
            </w:r>
            <w:r>
              <w:rPr>
                <w:b/>
                <w:i/>
              </w:rPr>
              <w:t>smatra da bi se taj instrument trebao primjenjivati na sve sektore;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pozdravlja prijedlog Marija Draghija o „novom instrumentu za tržišno natjecanje” kao fleksibilnom alatu za istraživanje tržišta osmišljenom za rješavanje strukturnih problema tržišnog natjecanja smanjenjem prepreka ulasku na tržište za konkurente u cilju povećanja konkurentnosti, poticanja inovacija i zaštite ranjivih potrošača;</w:t>
            </w:r>
          </w:p>
        </w:tc>
        <w:tc>
          <w:tcPr>
            <w:tcW w:w="4876" w:type="dxa"/>
            <w:tcBorders>
              <w:top w:val="nil"/>
              <w:left w:val="nil"/>
              <w:bottom w:val="nil"/>
              <w:right w:val="nil"/>
            </w:tcBorders>
          </w:tcPr>
          <w:p>
            <w:pPr>
              <w:pStyle w:val="Normal6a"/>
            </w:pPr>
            <w:r>
              <w:t>9.</w:t>
            </w:r>
            <w:r>
              <w:tab/>
            </w:r>
            <w:r>
              <w:t xml:space="preserve">pozdravlja prijedlog Marija Draghija o „novom instrumentu za tržišno natjecanje” kao fleksibilnom alatu za istraživanje tržišta osmišljenom za rješavanje strukturnih problema tržišnog natjecanja smanjenjem prepreka ulasku na tržište za konkurente u cilju povećanja konkurentnosti, poticanja inovacija i zaštite ranjivih potrošača; </w:t>
            </w:r>
            <w:r>
              <w:rPr>
                <w:b/>
                <w:i/>
              </w:rPr>
              <w:t>poziva Europsku komisiju da analizira kako se „novi instrument za tržišno natjecanje” Marija Draghija uklapa s postojećim okvirom za sektorska istraživanja;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pozdravlja prijedlog Marija Draghija o „novom instrumentu za tržišno natjecanje” kao fleksibilnom alatu za istraživanje tržišta osmišljenom za rješavanje strukturnih problema tržišnog natjecanja smanjenjem prepreka ulasku na tržište za konkurente u cilju povećanja konkurentnosti, poticanja inovacija i zaštite ranjivih potrošača;</w:t>
            </w:r>
          </w:p>
        </w:tc>
        <w:tc>
          <w:tcPr>
            <w:tcW w:w="4876" w:type="dxa"/>
            <w:tcBorders>
              <w:top w:val="nil"/>
              <w:left w:val="nil"/>
              <w:bottom w:val="nil"/>
              <w:right w:val="nil"/>
            </w:tcBorders>
          </w:tcPr>
          <w:p>
            <w:pPr>
              <w:pStyle w:val="Normal6a"/>
            </w:pPr>
            <w:r>
              <w:t>9.</w:t>
            </w:r>
            <w:r>
              <w:tab/>
            </w:r>
            <w:r>
              <w:t>pozdravlja prijedlog Marija Draghija o „novom instrumentu za tržišno natjecanje” kao fleksibilnom alatu za istraživanje tržišta osmišljenom za rješavanje strukturnih problema tržišnog natjecanja smanjenjem prepreka ulasku na tržište za konkurente u cilju povećanja konkurentnosti, poticanja inovacija</w:t>
            </w:r>
            <w:r>
              <w:rPr>
                <w:b/>
                <w:i/>
              </w:rPr>
              <w:t>, ograničavanja neželjene tržišne koncentracije</w:t>
            </w:r>
            <w:r>
              <w:t xml:space="preserve"> i zaštite ranjivih potrošača;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smatra da je ključno razmotriti značajke i operativne mehanizme tog istražnog alata, jasno definirati kriterije za njegovu aktivaciju i uspostaviti njegovu sposobnost predlaganja mogućih mjera za sprečavanje praksi kojima se narušava tržišno natjecanje;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Francesco Ventola, Denis Nesci,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poziva Komisiju da uvede carine za treće zemlje koje ne poštuju europske standarde u pogledu kvalitete, zaštite okoliša i zaštite radnika;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podsjeća da su u nekim državama članicama nacionalni zakonodavci, kako bi riješili strukturne probleme koji vladaju na nekim tržištima, čak i u nedostatku određenog ponašanja kojim se krše protumonopolska pravila, uveli novi istražni instrument izmjenom postojećih nacionalnih zakona o tržišnom natjecanju, čime su nacionalnim tijelima nadležnima za tržišno natjecanje dali ovlast za donošenje mjera strukturne i bihevioralne prirode ako se na temelju rezultata istraživanja tržišta utvrdi da postoje znatni i trajni poremećaji u pravilnom funkcioniranju tržišta koja su predmet istrage;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Francesco Ventola, Denis Nesci,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poziva Komisiju da dovrši reformu Carinskog zakonika Unije kako bi se uskladile kontrole među državama članicama jačanjem aktivnosti za borbu protiv krivotvorenja i prijevara;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podsjeća da Komisija u skladu s Ugovorom ima ovlast za rješavanje izrabljivačkih zlouporaba;</w:t>
            </w:r>
            <w:r>
              <w:t xml:space="preserve"> </w:t>
            </w:r>
            <w:r>
              <w:rPr>
                <w:b/>
                <w:i/>
              </w:rPr>
              <w:t>smatra da bi fokusiranje na izrabljivačke zlouporabe potrošača moglo pomoći u izravnom rješavanju porasta cijena zbog inflacije koju uzrokuje dobit ili pohlepa;</w:t>
            </w:r>
            <w:r>
              <w:t xml:space="preserve"> </w:t>
            </w:r>
            <w:r>
              <w:rPr>
                <w:b/>
                <w:i/>
              </w:rPr>
              <w:t>žali zbog toga što Komisija rijetko istražuje slučajeve izrabljivanja i traži da se relevantne smjernice ažuriraju uzimajući u obzir ranjivost potrošača;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podsjeća da Komisija u skladu s Ugovorom ima ovlast za rješavanje izrabljivačkih zlouporaba;</w:t>
            </w:r>
            <w:r>
              <w:t xml:space="preserve"> </w:t>
            </w:r>
            <w:r>
              <w:rPr>
                <w:b/>
                <w:i/>
              </w:rPr>
              <w:t>smatra da bi fokusiranje na izrabljivačke zlouporabe potrošača moglo pomoći u izravnom rješavanju porasta cijena zbog inflacije koju uzrokuje dobit ili pohlepa;</w:t>
            </w:r>
            <w:r>
              <w:t xml:space="preserve"> </w:t>
            </w:r>
            <w:r>
              <w:rPr>
                <w:b/>
                <w:i/>
              </w:rPr>
              <w:t>žali zbog toga što Komisija rijetko istražuje slučajeve izrabljivanja i traži da se relevantne smjernice ažuriraju uzimajući u obzir ranjivost potrošača;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podsjeća da Komisija u skladu s Ugovorom ima ovlast za rješavanje izrabljivačkih zlouporaba;</w:t>
            </w:r>
            <w:r>
              <w:t xml:space="preserve"> </w:t>
            </w:r>
            <w:r>
              <w:rPr>
                <w:b/>
                <w:i/>
              </w:rPr>
              <w:t>smatra da bi fokusiranje na izrabljivačke zlouporabe potrošača moglo pomoći u izravnom rješavanju porasta cijena zbog inflacije koju uzrokuje dobit ili pohlepa;</w:t>
            </w:r>
            <w:r>
              <w:t xml:space="preserve"> </w:t>
            </w:r>
            <w:r>
              <w:rPr>
                <w:b/>
                <w:i/>
              </w:rPr>
              <w:t>žali zbog toga što Komisija rijetko istražuje slučajeve izrabljivanja i traži da se relevantne smjernice ažuriraju uzimajući u obzir ranjivost potrošača;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podsjeća da Komisija u skladu s Ugovorom ima ovlast za rješavanje izrabljivačkih zlouporaba; </w:t>
            </w:r>
            <w:r>
              <w:rPr>
                <w:b/>
                <w:i/>
              </w:rPr>
              <w:t>smatra da bi fokusiranje na izrabljivačke zlouporabe potrošača moglo pomoći u izravnom rješavanju porasta cijena zbog inflacije koju uzrokuje dobit ili pohlepa;</w:t>
            </w:r>
            <w:r>
              <w:t xml:space="preserve"> </w:t>
            </w:r>
            <w:r>
              <w:rPr>
                <w:b/>
                <w:i/>
              </w:rPr>
              <w:t>žali zbog toga što Komisija rijetko istražuje slučajeve izrabljivanja i traži da se relevantne smjernice ažuriraju uzimajući u obzir ranjivost potrošača;</w:t>
            </w:r>
          </w:p>
        </w:tc>
        <w:tc>
          <w:tcPr>
            <w:tcW w:w="4876" w:type="dxa"/>
            <w:tcBorders>
              <w:top w:val="nil"/>
              <w:left w:val="nil"/>
              <w:bottom w:val="nil"/>
              <w:right w:val="nil"/>
            </w:tcBorders>
          </w:tcPr>
          <w:p>
            <w:pPr>
              <w:pStyle w:val="Normal6a"/>
            </w:pPr>
            <w:r>
              <w:t>10.</w:t>
            </w:r>
            <w:r>
              <w:tab/>
            </w:r>
            <w:r>
              <w:t>podsjeća da Komisija u skladu s Ugovorom ima ovlast za rješavanje izrabljivačkih zlouporaba;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podsjeća da Komisija u skladu s Ugovorom ima ovlast za rješavanje izrabljivačkih zlouporaba; smatra da bi fokusiranje na izrabljivačke zlouporabe potrošača moglo pomoći u izravnom rješavanju porasta cijena zbog inflacije koju uzrokuje dobit ili pohlepa; žali zbog toga što Komisija rijetko istražuje slučajeve izrabljivanja i traži da se relevantne smjernice ažuriraju uzimajući u obzir ranjivost potrošača;</w:t>
            </w:r>
          </w:p>
        </w:tc>
        <w:tc>
          <w:tcPr>
            <w:tcW w:w="4876" w:type="dxa"/>
            <w:tcBorders>
              <w:top w:val="nil"/>
              <w:left w:val="nil"/>
              <w:bottom w:val="nil"/>
              <w:right w:val="nil"/>
            </w:tcBorders>
          </w:tcPr>
          <w:p>
            <w:pPr>
              <w:pStyle w:val="Normal6a"/>
            </w:pPr>
            <w:r>
              <w:t>10.</w:t>
            </w:r>
            <w:r>
              <w:tab/>
            </w:r>
            <w:r>
              <w:t xml:space="preserve">podsjeća da Komisija u skladu s Ugovorom ima ovlast za rješavanje izrabljivačkih zlouporaba; smatra da bi fokusiranje na izrabljivačke zlouporabe potrošača moglo pomoći u izravnom rješavanju porasta cijena zbog inflacije koju uzrokuje dobit ili pohlepa; žali zbog toga što Komisija rijetko istražuje slučajeve izrabljivanja i traži da se relevantne smjernice ažuriraju uzimajući u obzir ranjivost potrošača; </w:t>
            </w:r>
            <w:r>
              <w:rPr>
                <w:b/>
                <w:i/>
              </w:rPr>
              <w:t>osuđuje zloupotrebu tržišne moći od strane korporacija koje imaju ulogu u pohlepom izazvanoj inflaciji, koja dovodi do viših razina inflacije i pogoršava krizu troškova života;</w:t>
            </w:r>
            <w:r>
              <w:t xml:space="preserve"> </w:t>
            </w:r>
            <w:r>
              <w:rPr>
                <w:b/>
                <w:i/>
              </w:rPr>
              <w:t>poziva države članice i Komisiju da uvedu trajne i opće poreze na neočekivanu dobit te da reformiraju pravo tržišnog natjecanja kako bi se tijelima nadležnima za tržišno natjecanje omogućilo da sustavno istražuju i interveniraju na sektorskoj razini u pogledu nepravednog povećanja cijena;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podsjeća da Komisija u skladu s Ugovorom ima ovlast za rješavanje izrabljivačkih zlouporaba; smatra da bi fokusiranje na izrabljivačke zlouporabe potrošača moglo pomoći u izravnom rješavanju porasta cijena zbog inflacije koju uzrokuje dobit </w:t>
            </w:r>
            <w:r>
              <w:rPr>
                <w:b/>
                <w:i/>
              </w:rPr>
              <w:t>ili pohlepa;</w:t>
            </w:r>
            <w:r>
              <w:t xml:space="preserve"> </w:t>
            </w:r>
            <w:r>
              <w:rPr>
                <w:b/>
                <w:i/>
              </w:rPr>
              <w:t>žali zbog toga što Komisija rijetko istražuje slučajeve izrabljivanja i traži da se relevantne smjernice ažuriraju uzimajući u obzir ranjivost potrošača</w:t>
            </w:r>
            <w:r>
              <w:t>;</w:t>
            </w:r>
          </w:p>
        </w:tc>
        <w:tc>
          <w:tcPr>
            <w:tcW w:w="4876" w:type="dxa"/>
            <w:tcBorders>
              <w:top w:val="nil"/>
              <w:left w:val="nil"/>
              <w:bottom w:val="nil"/>
              <w:right w:val="nil"/>
            </w:tcBorders>
          </w:tcPr>
          <w:p>
            <w:pPr>
              <w:pStyle w:val="Normal6a"/>
            </w:pPr>
            <w:r>
              <w:t>10.</w:t>
            </w:r>
            <w:r>
              <w:tab/>
            </w:r>
            <w:r>
              <w:t>podsjeća da Komisija u skladu s Ugovorom ima ovlast za rješavanje izrabljivačkih zlouporaba; smatra da bi fokusiranje na izrabljivačke zlouporabe potrošača moglo pomoći u izravnom rješavanju porasta cijena zbog inflacije koju uzrokuje dobit;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podsjeća da Komisija u skladu s Ugovorom ima ovlast za rješavanje izrabljivačkih zlouporaba; smatra da bi fokusiranje na izrabljivačke zlouporabe potrošača moglo pomoći u izravnom rješavanju porasta cijena zbog inflacije koju uzrokuje dobit ili pohlepa; žali zbog toga što Komisija rijetko istražuje slučajeve izrabljivanja i traži da se relevantne smjernice ažuriraju </w:t>
            </w:r>
            <w:r>
              <w:rPr>
                <w:b/>
                <w:i/>
              </w:rPr>
              <w:t>uzimajući u obzir ranjivost potrošača</w:t>
            </w:r>
            <w:r>
              <w:t>;</w:t>
            </w:r>
          </w:p>
        </w:tc>
        <w:tc>
          <w:tcPr>
            <w:tcW w:w="4876" w:type="dxa"/>
            <w:tcBorders>
              <w:top w:val="nil"/>
              <w:left w:val="nil"/>
              <w:bottom w:val="nil"/>
              <w:right w:val="nil"/>
            </w:tcBorders>
          </w:tcPr>
          <w:p>
            <w:pPr>
              <w:pStyle w:val="Normal6a"/>
            </w:pPr>
            <w:r>
              <w:t>10.</w:t>
            </w:r>
            <w:r>
              <w:tab/>
            </w:r>
            <w:r>
              <w:t xml:space="preserve">podsjeća da Komisija u skladu s Ugovorom ima ovlast za rješavanje izrabljivačkih zlouporaba; smatra da bi fokusiranje na izrabljivačke zlouporabe potrošača moglo pomoći u izravnom rješavanju </w:t>
            </w:r>
            <w:r>
              <w:rPr>
                <w:b/>
                <w:i/>
              </w:rPr>
              <w:t>diskriminatornih praksi ili</w:t>
            </w:r>
            <w:r>
              <w:t xml:space="preserve"> porasta cijena zbog inflacije koju uzrokuje dobit ili pohlepa; žali zbog toga što Komisija rijetko istražuje slučajeve izrabljivanja i traži da se relevantne smjernice ažuriraju </w:t>
            </w:r>
            <w:r>
              <w:rPr>
                <w:b/>
                <w:i/>
              </w:rPr>
              <w:t>s obzirom na negativan učinak tih praksi na poduzeća, potrošače i javni interes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podsjeća da Komisija u skladu s Ugovorom ima ovlast za rješavanje izrabljivačkih zlouporaba; smatra da bi fokusiranje na izrabljivačke zlouporabe potrošača moglo pomoći u izravnom rješavanju porasta cijena zbog inflacije koju uzrokuje dobit ili pohlepa; žali zbog toga što Komisija rijetko istražuje slučajeve izrabljivanja i traži da se relevantne smjernice ažuriraju uzimajući u obzir ranjivost potrošača;</w:t>
            </w:r>
          </w:p>
        </w:tc>
        <w:tc>
          <w:tcPr>
            <w:tcW w:w="4876" w:type="dxa"/>
            <w:tcBorders>
              <w:top w:val="nil"/>
              <w:left w:val="nil"/>
              <w:bottom w:val="nil"/>
              <w:right w:val="nil"/>
            </w:tcBorders>
          </w:tcPr>
          <w:p>
            <w:pPr>
              <w:pStyle w:val="Normal6a"/>
            </w:pPr>
            <w:r>
              <w:t>10.</w:t>
            </w:r>
            <w:r>
              <w:tab/>
            </w:r>
            <w:r>
              <w:t>podsjeća da Komisija u skladu s Ugovorom ima ovlast za rješavanje izrabljivačkih zlouporaba; smatra da bi fokusiranje na izrabljivačke zlouporabe potrošača</w:t>
            </w:r>
            <w:r>
              <w:rPr>
                <w:b/>
                <w:i/>
              </w:rPr>
              <w:t>, posebno od strane subjekata koji imaju vladajući položaj,</w:t>
            </w:r>
            <w:r>
              <w:t xml:space="preserve"> moglo pomoći u izravnom rješavanju porasta cijena zbog inflacije koju uzrokuje dobit ili pohlepa; žali zbog toga što Komisija rijetko istražuje slučajeve izrabljivanja i traži da se relevantne smjernice ažuriraju uzimajući u obzir ranjivost potrošača;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podsjeća da Komisija u skladu s Ugovorom ima ovlast za rješavanje izrabljivačkih zlouporaba; smatra da bi fokusiranje na izrabljivačke zlouporabe potrošača moglo pomoći u izravnom rješavanju porasta cijena zbog inflacije koju uzrokuje dobit ili pohlepa; </w:t>
            </w:r>
            <w:r>
              <w:rPr>
                <w:b/>
                <w:i/>
              </w:rPr>
              <w:t>žali zbog toga što Komisija rijetko istražuje slučajeve izrabljivanja i</w:t>
            </w:r>
            <w:r>
              <w:t xml:space="preserve"> traži da se relevantne smjernice ažuriraju uzimajući u obzir ranjivost potrošača;</w:t>
            </w:r>
          </w:p>
        </w:tc>
        <w:tc>
          <w:tcPr>
            <w:tcW w:w="4876" w:type="dxa"/>
            <w:tcBorders>
              <w:top w:val="nil"/>
              <w:left w:val="nil"/>
              <w:bottom w:val="nil"/>
              <w:right w:val="nil"/>
            </w:tcBorders>
          </w:tcPr>
          <w:p>
            <w:pPr>
              <w:pStyle w:val="Normal6a"/>
            </w:pPr>
            <w:r>
              <w:t>10.</w:t>
            </w:r>
            <w:r>
              <w:tab/>
            </w:r>
            <w:r>
              <w:t>podsjeća da Komisija u skladu s Ugovorom ima ovlast za rješavanje izrabljivačkih zlouporaba; smatra da bi fokusiranje na izrabljivačke zlouporabe potrošača moglo pomoći u izravnom rješavanju porasta cijena zbog inflacije koju uzrokuje dobit ili pohlepa; traži da se relevantne smjernice ažuriraju uzimajući u obzir ranjivost potrošača;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Stéphanie Yon-Courtin, Gilles Boyer,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podsjeća da Komisija u skladu s Ugovorom ima ovlast za rješavanje izrabljivačkih zlouporaba; </w:t>
            </w:r>
            <w:r>
              <w:rPr>
                <w:b/>
                <w:i/>
              </w:rPr>
              <w:t>smatra da bi fokusiranje na izrabljivačke zlouporabe potrošača moglo pomoći u izravnom rješavanju porasta cijena zbog inflacije koju uzrokuje dobit ili pohlepa</w:t>
            </w:r>
            <w:r>
              <w:t>; žali zbog toga što Komisija rijetko istražuje slučajeve izrabljivanja i traži da se relevantne smjernice ažuriraju uzimajući u obzir ranjivost potrošača;</w:t>
            </w:r>
          </w:p>
        </w:tc>
        <w:tc>
          <w:tcPr>
            <w:tcW w:w="4876" w:type="dxa"/>
            <w:tcBorders>
              <w:top w:val="nil"/>
              <w:left w:val="nil"/>
              <w:bottom w:val="nil"/>
              <w:right w:val="nil"/>
            </w:tcBorders>
          </w:tcPr>
          <w:p>
            <w:pPr>
              <w:pStyle w:val="Normal6a"/>
            </w:pPr>
            <w:r>
              <w:t>10.</w:t>
            </w:r>
            <w:r>
              <w:tab/>
            </w:r>
            <w:r>
              <w:t xml:space="preserve">podsjeća da Komisija u skladu s Ugovorom ima ovlast za rješavanje izrabljivačkih zlouporaba; </w:t>
            </w:r>
            <w:r>
              <w:rPr>
                <w:b/>
                <w:i/>
              </w:rPr>
              <w:t>poziva Komisiju da zajedno s nacionalnim tijelima nadležnima za tržišno natjecanje pomno prati posljedice protutržišnog ponašanja i njegovu ulogu u kretanjima inflacije</w:t>
            </w:r>
            <w:r>
              <w:t>; žali zbog toga što Komisija rijetko istražuje slučajeve izrabljivanja i traži da se relevantne smjernice ažuriraju uzimajući u obzir ranjivost potrošača;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prima na znanje preliminarne nalaze istrage AT.40670 Google – Adtech i prakse povezane s podacima te pozdravlja utvrđivanje obveznih prodaja kao proporcionalnog i učinkovitog sredstva za rješavanje inherentnog sukoba interesa u središtu Googleova poslovanja koje se odnosi na Adtech;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w:t>
            </w:r>
            <w:r>
              <w:tab/>
            </w:r>
            <w:r>
              <w:rPr>
                <w:b/>
                <w:i/>
              </w:rPr>
              <w:t>naglašava da su Akt o digitalnim tržištima i Akt o digitalnim uslugama ključni koraci prema usklađenom, pravednom i konkurentnom digitalnom jedinstvenom tržištu;</w:t>
            </w:r>
            <w:r>
              <w:t xml:space="preserve"> </w:t>
            </w:r>
            <w:r>
              <w:rPr>
                <w:b/>
                <w:i/>
              </w:rPr>
              <w:t>traži od Komisije da se pobrine za to da se oni u potpunosti provode i da se za tu zadaću dodijeli dovoljno osoblja i resursa;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c.</w:t>
            </w:r>
            <w:r>
              <w:tab/>
            </w:r>
            <w:r>
              <w:rPr>
                <w:b/>
                <w:i/>
              </w:rPr>
              <w:t>prepoznaje da su izdavatelji, ulagači i mirovinski štediše oštećeni zbog iskorištavanja tržišne snage i nedostatka tržišnog natjecanja u infrastrukturi tržišta kapitala, što smanjuje ukupnu učinkovitost i povećava njezine troškove;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zna da postoji pravna osnova za strukturne mjere protiv zlouporabe prevlasti na tržištu;</w:t>
            </w:r>
            <w:r>
              <w:t xml:space="preserve"> </w:t>
            </w:r>
            <w:r>
              <w:rPr>
                <w:b/>
                <w:i/>
              </w:rPr>
              <w:t>žali zbog nevoljkosti Komisije da problem dominacije na tržištu rješava strukturnim mjerama;</w:t>
            </w:r>
            <w:r>
              <w:t xml:space="preserve"> </w:t>
            </w:r>
            <w:r>
              <w:rPr>
                <w:b/>
                <w:i/>
              </w:rPr>
              <w:t>ponovno poziva na to da se strukturne mjere bolje koriste te da se mjerama praćenja poslovanja više ne daje prednost;</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Pierre Pimpie, Enikő Győri, 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zna da postoji pravna osnova za strukturne mjere protiv zlouporabe prevlasti na tržištu;</w:t>
            </w:r>
            <w:r>
              <w:t xml:space="preserve"> </w:t>
            </w:r>
            <w:r>
              <w:rPr>
                <w:b/>
                <w:i/>
              </w:rPr>
              <w:t>žali zbog nevoljkosti Komisije da problem dominacije na tržištu rješava strukturnim mjerama;</w:t>
            </w:r>
            <w:r>
              <w:t xml:space="preserve"> </w:t>
            </w:r>
            <w:r>
              <w:rPr>
                <w:b/>
                <w:i/>
              </w:rPr>
              <w:t>ponovno poziva na to da se strukturne mjere bolje koriste te da se mjerama praćenja poslovanja više ne daje prednost;</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zna da postoji pravna osnova za strukturne mjere protiv zlouporabe prevlasti na tržištu; žali zbog nevoljkosti Komisije da problem dominacije na tržištu rješava strukturnim mjerama; ponovno poziva na to da se strukturne mjere bolje koriste te da se mjerama praćenja poslovanja više ne daje prednost;</w:t>
            </w:r>
          </w:p>
        </w:tc>
        <w:tc>
          <w:tcPr>
            <w:tcW w:w="4876" w:type="dxa"/>
            <w:tcBorders>
              <w:top w:val="nil"/>
              <w:left w:val="nil"/>
              <w:bottom w:val="nil"/>
              <w:right w:val="nil"/>
            </w:tcBorders>
          </w:tcPr>
          <w:p>
            <w:pPr>
              <w:pStyle w:val="Normal6a"/>
            </w:pPr>
            <w:r>
              <w:t>11.</w:t>
            </w:r>
            <w:r>
              <w:tab/>
            </w:r>
            <w:r>
              <w:t xml:space="preserve">zna da postoji pravna osnova za strukturne mjere protiv zlouporabe prevlasti na tržištu; žali zbog nevoljkosti Komisije </w:t>
            </w:r>
            <w:r>
              <w:rPr>
                <w:b/>
                <w:i/>
              </w:rPr>
              <w:t>i nada se njezinoj većoj odlučnosti</w:t>
            </w:r>
            <w:r>
              <w:t xml:space="preserve"> da problem dominacije na tržištu rješava strukturnim mjerama; ponovno poziva na to da se strukturne mjere bolje koriste te da se mjerama praćenja poslovanja više ne daje prednost; </w:t>
            </w:r>
            <w:r>
              <w:rPr>
                <w:b/>
                <w:i/>
              </w:rPr>
              <w:t>poziva Komisiju da u takvim slučajevima prednost da provedbi strukturnih mjera, a ne kratkoročnih mjera praćenja poslovanja, čime bi se zajamčila veća učinkovitost pravila tržišnog natjecanja;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zna da postoji pravna osnova za strukturne mjere protiv zlouporabe prevlasti na tržištu; </w:t>
            </w:r>
            <w:r>
              <w:rPr>
                <w:b/>
                <w:i/>
              </w:rPr>
              <w:t>žali zbog nevoljkosti Komisije da problem dominacije na tržištu rješava strukturnim mjerama;</w:t>
            </w:r>
            <w:r>
              <w:t xml:space="preserve"> </w:t>
            </w:r>
            <w:r>
              <w:rPr>
                <w:b/>
                <w:i/>
              </w:rPr>
              <w:t>ponovno poziva na to da se strukturne mjere bolje koriste te da se mjerama praćenja poslovanja više ne daje prednost;</w:t>
            </w:r>
          </w:p>
        </w:tc>
        <w:tc>
          <w:tcPr>
            <w:tcW w:w="4876" w:type="dxa"/>
            <w:tcBorders>
              <w:top w:val="nil"/>
              <w:left w:val="nil"/>
              <w:bottom w:val="nil"/>
              <w:right w:val="nil"/>
            </w:tcBorders>
          </w:tcPr>
          <w:p>
            <w:pPr>
              <w:pStyle w:val="Normal6a"/>
            </w:pPr>
            <w:r>
              <w:t>11.</w:t>
            </w:r>
            <w:r>
              <w:tab/>
            </w:r>
            <w:r>
              <w:t>zna da postoji pravna osnova za strukturne mjere protiv zlouporabe prevlasti na tržištu;</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zna da postoji pravna osnova za strukturne mjere protiv zlouporabe prevlasti na tržištu; </w:t>
            </w:r>
            <w:r>
              <w:rPr>
                <w:b/>
                <w:i/>
              </w:rPr>
              <w:t>žali zbog nevoljkosti Komisije da problem dominacije na tržištu rješava strukturnim mjerama;</w:t>
            </w:r>
            <w:r>
              <w:t xml:space="preserve"> </w:t>
            </w:r>
            <w:r>
              <w:rPr>
                <w:b/>
                <w:i/>
              </w:rPr>
              <w:t>ponovno poziva na to da se strukturne mjere bolje koriste te da se mjerama praćenja poslovanja više ne daje prednost</w:t>
            </w:r>
            <w:r>
              <w:t>;</w:t>
            </w:r>
          </w:p>
        </w:tc>
        <w:tc>
          <w:tcPr>
            <w:tcW w:w="4876" w:type="dxa"/>
            <w:tcBorders>
              <w:top w:val="nil"/>
              <w:left w:val="nil"/>
              <w:bottom w:val="nil"/>
              <w:right w:val="nil"/>
            </w:tcBorders>
          </w:tcPr>
          <w:p>
            <w:pPr>
              <w:pStyle w:val="Normal6a"/>
            </w:pPr>
            <w:r>
              <w:t>11.</w:t>
            </w:r>
            <w:r>
              <w:tab/>
            </w:r>
            <w:r>
              <w:t xml:space="preserve">zna da postoji pravna osnova za strukturne mjere protiv zlouporabe prevlasti na tržištu; </w:t>
            </w:r>
            <w:r>
              <w:rPr>
                <w:b/>
                <w:i/>
              </w:rPr>
              <w:t>pozdravlja nedavni razvoj događaja u sklopu kojeg Komisija, pod određenim uvjetima, razmatra strukturne mjere za rješavanje opetovanih praksi kojima se narušava tržišno natjecanje, te potiče daljnje napore za jačanje njihove primjene kada je to potrebno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zna da postoji pravna osnova za strukturne mjere protiv zlouporabe prevlasti na tržištu; </w:t>
            </w:r>
            <w:r>
              <w:rPr>
                <w:b/>
                <w:i/>
              </w:rPr>
              <w:t>žali zbog nevoljkosti Komisije da problem dominacije na tržištu rješava strukturnim mjerama;</w:t>
            </w:r>
            <w:r>
              <w:t xml:space="preserve"> </w:t>
            </w:r>
            <w:r>
              <w:rPr>
                <w:b/>
                <w:i/>
              </w:rPr>
              <w:t>ponovno poziva na to da se strukturne</w:t>
            </w:r>
            <w:r>
              <w:t xml:space="preserve"> mjere </w:t>
            </w:r>
            <w:r>
              <w:rPr>
                <w:b/>
                <w:i/>
              </w:rPr>
              <w:t>bolje koriste te da se mjerama</w:t>
            </w:r>
            <w:r>
              <w:t xml:space="preserve"> praćenja poslovanja </w:t>
            </w:r>
            <w:r>
              <w:rPr>
                <w:b/>
                <w:i/>
              </w:rPr>
              <w:t>više ne daje prednost</w:t>
            </w:r>
            <w:r>
              <w:t>;</w:t>
            </w:r>
          </w:p>
        </w:tc>
        <w:tc>
          <w:tcPr>
            <w:tcW w:w="4876" w:type="dxa"/>
            <w:tcBorders>
              <w:top w:val="nil"/>
              <w:left w:val="nil"/>
              <w:bottom w:val="nil"/>
              <w:right w:val="nil"/>
            </w:tcBorders>
          </w:tcPr>
          <w:p>
            <w:pPr>
              <w:pStyle w:val="Normal6a"/>
            </w:pPr>
            <w:r>
              <w:t>11.</w:t>
            </w:r>
            <w:r>
              <w:tab/>
            </w:r>
            <w:r>
              <w:t xml:space="preserve">zna da postoji pravna osnova za strukturne mjere protiv zlouporabe prevlasti na tržištu; </w:t>
            </w:r>
            <w:r>
              <w:rPr>
                <w:b/>
                <w:i/>
              </w:rPr>
              <w:t>naglašava da bi se strukturne mjere trebale primjenjivati samo kao krajnja mjera i samo ako se</w:t>
            </w:r>
            <w:r>
              <w:t xml:space="preserve"> mjere praćenja poslovanja </w:t>
            </w:r>
            <w:r>
              <w:rPr>
                <w:b/>
                <w:i/>
              </w:rPr>
              <w:t>pokažu neučinkovitima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Francesco Ventola, Denis Nesci,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zna da postoji pravna osnova za </w:t>
            </w:r>
            <w:r>
              <w:rPr>
                <w:b/>
                <w:i/>
              </w:rPr>
              <w:t>strukturne</w:t>
            </w:r>
            <w:r>
              <w:t xml:space="preserve"> mjere protiv zlouporabe prevlasti na tržištu; žali zbog nevoljkosti Komisije da problem dominacije na tržištu rješava </w:t>
            </w:r>
            <w:r>
              <w:rPr>
                <w:b/>
                <w:i/>
              </w:rPr>
              <w:t>strukturnim</w:t>
            </w:r>
            <w:r>
              <w:t xml:space="preserve"> mjerama; ponovno poziva na to da se strukturne mjere bolje koriste te da se mjerama praćenja poslovanja više ne daje prednost;</w:t>
            </w:r>
          </w:p>
        </w:tc>
        <w:tc>
          <w:tcPr>
            <w:tcW w:w="4876" w:type="dxa"/>
            <w:tcBorders>
              <w:top w:val="nil"/>
              <w:left w:val="nil"/>
              <w:bottom w:val="nil"/>
              <w:right w:val="nil"/>
            </w:tcBorders>
          </w:tcPr>
          <w:p>
            <w:pPr>
              <w:pStyle w:val="Normal6a"/>
            </w:pPr>
            <w:r>
              <w:t>11.</w:t>
            </w:r>
            <w:r>
              <w:tab/>
            </w:r>
            <w:r>
              <w:t xml:space="preserve">zna da postoji pravna osnova za </w:t>
            </w:r>
            <w:r>
              <w:rPr>
                <w:b/>
                <w:i/>
              </w:rPr>
              <w:t>bihevioralne</w:t>
            </w:r>
            <w:r>
              <w:t xml:space="preserve"> mjere protiv zlouporabe prevlasti na tržištu; žali zbog nevoljkosti Komisije da problem dominacije na tržištu rješava </w:t>
            </w:r>
            <w:r>
              <w:rPr>
                <w:b/>
                <w:i/>
              </w:rPr>
              <w:t>bihevioralnim</w:t>
            </w:r>
            <w:r>
              <w:t xml:space="preserve"> mjerama </w:t>
            </w:r>
            <w:r>
              <w:rPr>
                <w:b/>
                <w:i/>
              </w:rPr>
              <w:t>diversificiranima prema potrebama pojedinačnih država članica</w:t>
            </w:r>
            <w:r>
              <w:t>; ponovno poziva na to da se strukturne mjere bolje koriste te da se mjerama praćenja poslovanja više ne daje prednost;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Stéphanie Yon-Courtin, Gilles Boyer,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ističe ključnu ulogu Europske mreže za tržišno natjecanje (ECN);</w:t>
            </w:r>
            <w:r>
              <w:t xml:space="preserve"> </w:t>
            </w:r>
            <w:r>
              <w:rPr>
                <w:b/>
                <w:i/>
              </w:rPr>
              <w:t>poziva Komisiju da teži kontinuiranom konstruktivnom dijalogu i suradnji na međunarodnoj razini;</w:t>
            </w:r>
            <w:r>
              <w:t xml:space="preserve"> </w:t>
            </w:r>
            <w:r>
              <w:rPr>
                <w:b/>
                <w:i/>
              </w:rPr>
              <w:t>naglašava potrebu za povećanjem suradnje između protumonopolskih i drugih sektorskih regulatora, kao što su oni koji se bave privatnošću podataka, kako bi se nadzirala zlouporaba korporativnih podataka i spriječilo poduzeća da koriste podatke o potrošačima kako bi stekla nepoštenu konkurentsku prednost;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poziva Komisiju da bolje iskoristi instrument privremenih mjera kako bi se zaustavile sve prakse koje bi ozbiljno naškodile tržišnom natjecanju, posebno kada je riječ o dinamičnim tržištima koja se brzo razvijaju, kao što su digitalna tržišta;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w:t>
            </w:r>
            <w:r>
              <w:tab/>
            </w:r>
            <w:r>
              <w:rPr>
                <w:b/>
                <w:i/>
              </w:rPr>
              <w:t>poziva Komisiju da u većoj mjeri iskoristi dodatne alate za dokazivanje kao što su bihevioralni uvidi i financijska analitika, kao i veće sudjelovanje znanstvenika u području podataka, računala i umjetne inteligencije kao i bihevioralnih ekonomista u provedbi prava tržišnog natjecanja;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pozdravlja prednost koju nova Komisija daje stanovanju;</w:t>
            </w:r>
            <w:r>
              <w:t xml:space="preserve"> </w:t>
            </w:r>
            <w:r>
              <w:rPr>
                <w:b/>
                <w:i/>
              </w:rPr>
              <w:t>poziva Komisiju da procijeni kako načela tržišnog natjecanja EU-a utječu na pružanje usluga od općeg gospodarskog interesa;</w:t>
            </w:r>
            <w:r>
              <w:t xml:space="preserve"> </w:t>
            </w:r>
            <w:r>
              <w:rPr>
                <w:b/>
                <w:i/>
              </w:rPr>
              <w:t>poziva na reviziju usluga od općeg gospodarskog interesa kojom bi se izuzeće za priuštivo stanovanje proširilo na kućanstva sa srednjim dohotkom;</w:t>
            </w:r>
            <w:r>
              <w:t xml:space="preserve"> </w:t>
            </w:r>
            <w:r>
              <w:rPr>
                <w:b/>
                <w:i/>
              </w:rPr>
              <w:t>poziva Komisiju da ocijeni položaj socijalnih usluga od općeg interesa;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pozdravlja prednost koju nova Komisija daje stanovanju</w:t>
            </w:r>
            <w:r>
              <w:rPr>
                <w:b/>
                <w:i/>
              </w:rPr>
              <w:t>;</w:t>
            </w:r>
            <w:r>
              <w:t xml:space="preserve"> </w:t>
            </w:r>
            <w:r>
              <w:rPr>
                <w:b/>
                <w:i/>
              </w:rPr>
              <w:t>poziva Komisiju da procijeni kako načela tržišnog natjecanja EU-a utječu na pružanje usluga od općeg gospodarskog interesa;</w:t>
            </w:r>
            <w:r>
              <w:t xml:space="preserve"> </w:t>
            </w:r>
            <w:r>
              <w:rPr>
                <w:b/>
                <w:i/>
              </w:rPr>
              <w:t>poziva na reviziju usluga od općeg gospodarskog interesa kojom bi se izuzeće za priuštivo stanovanje proširilo na kućanstva sa srednjim dohotkom;</w:t>
            </w:r>
            <w:r>
              <w:t xml:space="preserve"> </w:t>
            </w:r>
            <w:r>
              <w:rPr>
                <w:b/>
                <w:i/>
              </w:rPr>
              <w:t>poziva Komisiju da ocijeni položaj socijalnih usluga od općeg interesa</w:t>
            </w:r>
            <w:r>
              <w:t>;</w:t>
            </w:r>
          </w:p>
        </w:tc>
        <w:tc>
          <w:tcPr>
            <w:tcW w:w="4876" w:type="dxa"/>
            <w:tcBorders>
              <w:top w:val="nil"/>
              <w:left w:val="nil"/>
              <w:bottom w:val="nil"/>
              <w:right w:val="nil"/>
            </w:tcBorders>
          </w:tcPr>
          <w:p>
            <w:pPr>
              <w:pStyle w:val="Normal6a"/>
            </w:pPr>
            <w:r>
              <w:t>12.</w:t>
            </w:r>
            <w:r>
              <w:tab/>
            </w:r>
            <w:r>
              <w:t>pozdravlja prednost koju nova Komisija daje stanovanju</w:t>
            </w:r>
            <w:r>
              <w:rPr>
                <w:b/>
                <w:i/>
              </w:rPr>
              <w:t>, s tim u vezi podsjeća na načelo supsidijarnosti te da se treba paziti na nadležnost država članica, regija, gradova i općina</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pozdravlja prednost koju nova Komisija daje stanovanju; poziva Komisiju da procijeni kako načela tržišnog natjecanja EU-a utječu na </w:t>
            </w:r>
            <w:r>
              <w:rPr>
                <w:b/>
                <w:i/>
              </w:rPr>
              <w:t>pružanje usluga od općeg gospodarskog interesa;</w:t>
            </w:r>
            <w:r>
              <w:t xml:space="preserve"> </w:t>
            </w:r>
            <w:r>
              <w:rPr>
                <w:b/>
                <w:i/>
              </w:rPr>
              <w:t>poziva na reviziju usluga od općeg gospodarskog interesa kojom bi se izuzeće za priuštivo stanovanje proširilo na kućanstva sa srednjim dohotkom;</w:t>
            </w:r>
            <w:r>
              <w:t xml:space="preserve"> </w:t>
            </w:r>
            <w:r>
              <w:rPr>
                <w:b/>
                <w:i/>
              </w:rPr>
              <w:t>poziva Komisiju da ocijeni položaj socijalnih usluga od općeg interesa</w:t>
            </w:r>
            <w:r>
              <w:t>;</w:t>
            </w:r>
          </w:p>
        </w:tc>
        <w:tc>
          <w:tcPr>
            <w:tcW w:w="4876" w:type="dxa"/>
            <w:tcBorders>
              <w:top w:val="nil"/>
              <w:left w:val="nil"/>
              <w:bottom w:val="nil"/>
              <w:right w:val="nil"/>
            </w:tcBorders>
          </w:tcPr>
          <w:p>
            <w:pPr>
              <w:pStyle w:val="Normal6a"/>
            </w:pPr>
            <w:r>
              <w:t>12.</w:t>
            </w:r>
            <w:r>
              <w:tab/>
            </w:r>
            <w:r>
              <w:t xml:space="preserve">pozdravlja prednost koju nova Komisija daje stanovanju; poziva Komisiju da procijeni kako načela tržišnog natjecanja EU-a utječu na </w:t>
            </w:r>
            <w:r>
              <w:rPr>
                <w:b/>
                <w:i/>
              </w:rPr>
              <w:t>ponudu stambenih nekretnina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pozdravlja prednost koju nova Komisija daje stanovanju; poziva Komisiju da procijeni kako načela tržišnog natjecanja EU-a utječu na pružanje usluga od općeg gospodarskog interesa; </w:t>
            </w:r>
            <w:r>
              <w:rPr>
                <w:b/>
                <w:i/>
              </w:rPr>
              <w:t>poziva na reviziju usluga od općeg gospodarskog interesa kojom bi se izuzeće za priuštivo stanovanje proširilo na kućanstva sa srednjim dohotkom;</w:t>
            </w:r>
            <w:r>
              <w:t xml:space="preserve"> </w:t>
            </w:r>
            <w:r>
              <w:rPr>
                <w:b/>
                <w:i/>
              </w:rPr>
              <w:t>poziva Komisiju da ocijeni položaj socijalnih usluga od općeg interesa;</w:t>
            </w:r>
          </w:p>
        </w:tc>
        <w:tc>
          <w:tcPr>
            <w:tcW w:w="4876" w:type="dxa"/>
            <w:tcBorders>
              <w:top w:val="nil"/>
              <w:left w:val="nil"/>
              <w:bottom w:val="nil"/>
              <w:right w:val="nil"/>
            </w:tcBorders>
          </w:tcPr>
          <w:p>
            <w:pPr>
              <w:pStyle w:val="Normal6a"/>
            </w:pPr>
            <w:r>
              <w:t>12.</w:t>
            </w:r>
            <w:r>
              <w:tab/>
            </w:r>
            <w:r>
              <w:t>pozdravlja prednost koju nova Komisija daje stanovanju; poziva Komisiju da procijeni kako načela tržišnog natjecanja EU-a utječu na pružanje usluga od općeg gospodarskog interesa;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pozdravlja prednost koju nova Komisija daje stanovanju; poziva Komisiju da procijeni kako načela tržišnog natjecanja EU-a utječu na pružanje usluga od općeg gospodarskog interesa; poziva </w:t>
            </w:r>
            <w:r>
              <w:rPr>
                <w:b/>
                <w:i/>
              </w:rPr>
              <w:t>na reviziju usluga od općeg gospodarskog interesa kojom bi se izuzeće za priuštivo stanovanje proširilo na kućanstva sa srednjim dohotkom;</w:t>
            </w:r>
            <w:r>
              <w:t xml:space="preserve"> </w:t>
            </w:r>
            <w:r>
              <w:rPr>
                <w:b/>
                <w:i/>
              </w:rPr>
              <w:t>poziva</w:t>
            </w:r>
            <w:r>
              <w:t xml:space="preserve"> Komisiju da ocijeni položaj socijalnih usluga od općeg interesa;</w:t>
            </w:r>
          </w:p>
        </w:tc>
        <w:tc>
          <w:tcPr>
            <w:tcW w:w="4876" w:type="dxa"/>
            <w:tcBorders>
              <w:top w:val="nil"/>
              <w:left w:val="nil"/>
              <w:bottom w:val="nil"/>
              <w:right w:val="nil"/>
            </w:tcBorders>
          </w:tcPr>
          <w:p>
            <w:pPr>
              <w:pStyle w:val="Normal6a"/>
            </w:pPr>
            <w:r>
              <w:t>12.</w:t>
            </w:r>
            <w:r>
              <w:tab/>
            </w:r>
            <w:r>
              <w:t>pozdravlja prednost koju nova Komisija daje stanovanju; poziva Komisiju da procijeni kako načela tržišnog natjecanja EU-a utječu na pružanje usluga od općeg gospodarskog interesa; poziva Komisiju da ocijeni položaj socijalnih usluga od općeg interesa;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pozdravlja prednost koju nova Komisija daje stanovanju; poziva Komisiju da procijeni kako načela tržišnog natjecanja EU-a utječu na pružanje usluga od općeg gospodarskog interesa; poziva </w:t>
            </w:r>
            <w:r>
              <w:rPr>
                <w:b/>
                <w:i/>
              </w:rPr>
              <w:t>na reviziju</w:t>
            </w:r>
            <w:r>
              <w:t xml:space="preserve"> usluga od općeg </w:t>
            </w:r>
            <w:r>
              <w:rPr>
                <w:b/>
                <w:i/>
              </w:rPr>
              <w:t>gospodarskog</w:t>
            </w:r>
            <w:r>
              <w:t xml:space="preserve"> interesa </w:t>
            </w:r>
            <w:r>
              <w:rPr>
                <w:b/>
                <w:i/>
              </w:rPr>
              <w:t>kojom bi se izuzeće za priuštivo stanovanje proširilo na kućanstva sa srednjim dohotkom;</w:t>
            </w:r>
            <w:r>
              <w:t xml:space="preserve"> </w:t>
            </w:r>
            <w:r>
              <w:rPr>
                <w:b/>
                <w:i/>
              </w:rPr>
              <w:t>poziva Komisiju da ocijeni položaj socijalnih usluga od općeg interesa</w:t>
            </w:r>
            <w:r>
              <w:t>;</w:t>
            </w:r>
          </w:p>
        </w:tc>
        <w:tc>
          <w:tcPr>
            <w:tcW w:w="4876" w:type="dxa"/>
            <w:tcBorders>
              <w:top w:val="nil"/>
              <w:left w:val="nil"/>
              <w:bottom w:val="nil"/>
              <w:right w:val="nil"/>
            </w:tcBorders>
          </w:tcPr>
          <w:p>
            <w:pPr>
              <w:pStyle w:val="Normal6a"/>
            </w:pPr>
            <w:r>
              <w:t>12.</w:t>
            </w:r>
            <w:r>
              <w:tab/>
            </w:r>
            <w:r>
              <w:t xml:space="preserve">pozdravlja prednost koju nova Komisija daje stanovanju; poziva Komisiju da procijeni kako načela tržišnog natjecanja EU-a utječu na pružanje usluga od općeg gospodarskog interesa; poziva </w:t>
            </w:r>
            <w:r>
              <w:rPr>
                <w:b/>
                <w:i/>
              </w:rPr>
              <w:t>Komisiju da ocijeni položaj socijalnih</w:t>
            </w:r>
            <w:r>
              <w:t xml:space="preserve"> usluga od općeg interesa </w:t>
            </w:r>
            <w:r>
              <w:rPr>
                <w:b/>
                <w:i/>
              </w:rPr>
              <w:t>i moguću reviziju usluga od općeg gospodarskog interesa za cjenovno pristupačno stanovanje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Regina Doherty, Lídia Pereira, Dirk Gotink,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pozdravlja činjenicu da je Europska komisija za prioritet postavila smanjenje opterećenja za poduzeća u pogledu propisanih zahtjeva za izvješćivanje za 25 % i 35 % za MSP-ove;</w:t>
            </w:r>
            <w:r>
              <w:t xml:space="preserve"> </w:t>
            </w:r>
            <w:r>
              <w:rPr>
                <w:b/>
                <w:i/>
              </w:rPr>
              <w:t>poziva na provedbu tog prioriteta u svim sektorima;</w:t>
            </w:r>
            <w:r>
              <w:t xml:space="preserve"> </w:t>
            </w:r>
            <w:r>
              <w:rPr>
                <w:b/>
                <w:i/>
              </w:rPr>
              <w:t>poziva na to da se svi novi prijedlozi Komisije procijene na temelju toga poboljšava li se njima konkurentnost EU-a, među ostalim s pomoću pouzdanih procjena učinka;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podsjeća da je dozvoljavanje državnih potpora u kontekstu usluga od općeg gospodarskog interesa i dalje ključno za opstanak nekoliko zajednica diljem Europe, posebno u kontekstu državne potpore posvećene povezivosti i drugim osnovnim uslugama za zajednice koje žive u izoliranim, udaljenim ili perifernim regijama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pozdravlja predstojeću reviziju Direktive o javnoj nabavi;</w:t>
            </w:r>
            <w:r>
              <w:t xml:space="preserve"> </w:t>
            </w:r>
            <w:r>
              <w:rPr>
                <w:b/>
                <w:i/>
              </w:rPr>
              <w:t>poziva Komisiju da modernizira pravila o javnoj nabavi kako bi pomogla u poticanju zelene i digitalne industrije;</w:t>
            </w:r>
            <w:r>
              <w:t xml:space="preserve"> </w:t>
            </w:r>
            <w:r>
              <w:rPr>
                <w:b/>
                <w:i/>
              </w:rPr>
              <w:t>poziva Komisiju da uzme u obzir kriterije održivosti i suverenosti za pravila o javnoj nabavi kako bi se potaknula proizvodnja robe „proizvedene u Europi”;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poziva na poštovanje nadređenosti gospodarskih interesa država članica i Unije nad normativnim razmatranjima kada su ona u sukobu na način da se potonjima ozbiljno ugrožavaju prvonavedena, što se može vidjeti u kontekstu krize s kojom se suočava naša automobilska industrija;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poziva Komisiju da izda jasne javne smjernice o tome kako poduzeća mogu surađivati i sudjelovati u zajedničkoj nabavi, a da pritom ne krše pravila o tržišnom natjecanju, posebno kada je riječ o suradnji u pogledu ciljeva zaštite okoliša i održivosti;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Martin Schirdewan,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naglašava da državne potpore ne bi smjele predstavljati prijenos javnog bogatstva privatnim dioničarima;</w:t>
            </w:r>
            <w:r>
              <w:t xml:space="preserve"> </w:t>
            </w:r>
            <w:r>
              <w:rPr>
                <w:b/>
                <w:i/>
              </w:rPr>
              <w:t>poziva na zabranu raspodjele dividendi dioničarima i bonusa višem rukovodstvu u poduzećima koja primaju državnu potporu;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Martin Schirdewan,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w:t>
            </w:r>
            <w:r>
              <w:tab/>
            </w:r>
            <w:r>
              <w:rPr>
                <w:b/>
                <w:i/>
              </w:rPr>
              <w:t>naglašava da svrha državnih potpora nije služiti privatnim interesima poduzeća, već podupirati i usmjeravati održivi industrijski razvoj u javnom interesu;</w:t>
            </w:r>
            <w:r>
              <w:t xml:space="preserve"> </w:t>
            </w:r>
            <w:r>
              <w:rPr>
                <w:b/>
                <w:i/>
              </w:rPr>
              <w:t>poziva države članice da pri dodjeli državnih potpora postave socijalne uvjete u cilju poticanja dobrih radnih uvjeta i plaća, sudjelovanja na tržištu rada i prava na kolektivno pregovaranje te održavanja i otvaranja novih radnih mjesta i naukovanja;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w:t>
            </w:r>
            <w:r>
              <w:tab/>
            </w:r>
            <w:r>
              <w:rPr>
                <w:b/>
                <w:i/>
              </w:rPr>
              <w:t>prima na znanje nedavnu presudu Suda Europske unije u kojoj je utvrđeno da Estonija nije prenijela Direktivu ECN+ u nacionalno zakonodavstvo;</w:t>
            </w:r>
            <w:r>
              <w:t xml:space="preserve"> </w:t>
            </w:r>
            <w:r>
              <w:rPr>
                <w:b/>
                <w:i/>
              </w:rPr>
              <w:t>potiče Estoniju da u potpunosti prenese Direktivu ECN+;</w:t>
            </w:r>
            <w:r>
              <w:t xml:space="preserve"> </w:t>
            </w:r>
            <w:r>
              <w:rPr>
                <w:b/>
                <w:i/>
              </w:rPr>
              <w:t>poziva sve države članice da osiguraju pravilnu provedbu te direktive;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Martin Schirdewan,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c.</w:t>
            </w:r>
            <w:r>
              <w:tab/>
            </w:r>
            <w:r>
              <w:rPr>
                <w:b/>
                <w:i/>
              </w:rPr>
              <w:t>poziva države članice da pri dodjeli državnih potpora postave uvjete u vezi s okolišem u cilju promicanja gospodarstva s nultom stopom emisija i nultom stopom otpada te očuvanja biološke raznolikosti;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Martin Schirdewan,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12.d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d.</w:t>
            </w:r>
            <w:r>
              <w:tab/>
            </w:r>
            <w:r>
              <w:rPr>
                <w:b/>
                <w:i/>
              </w:rPr>
              <w:t>izražava žaljenje zbog dubinskih istraga Komisije o pravilima o državnim potporama u slučajevima javnih željezničkih prijevoznika tereta Fret SNCF i DB Cargo;</w:t>
            </w:r>
            <w:r>
              <w:t xml:space="preserve"> </w:t>
            </w:r>
            <w:r>
              <w:rPr>
                <w:b/>
                <w:i/>
              </w:rPr>
              <w:t>žali zbog toga što su te istrage stavile pritisak na prijevoznike da provedu planove restrukturiranja, što podrazumijeva smanjenje aktivnosti i troškova kako bi se uskladili s tržišnom logikom, dok bi prijevoz tereta trebao biti javna usluga;</w:t>
            </w:r>
            <w:r>
              <w:t xml:space="preserve"> </w:t>
            </w:r>
            <w:r>
              <w:rPr>
                <w:b/>
                <w:i/>
              </w:rPr>
              <w:t>žali zbog toga što je restrukturiranje dovelo do gubitka stotina radnih mjesta u Njemačkoj i Francuskoj;</w:t>
            </w:r>
            <w:r>
              <w:t xml:space="preserve"> </w:t>
            </w:r>
            <w:r>
              <w:rPr>
                <w:b/>
                <w:i/>
              </w:rPr>
              <w:t>poziva Komisiju da se savjetuje sa sindikatima i da zajamči prava radnika u takvim slučajevima;</w:t>
            </w:r>
            <w:r>
              <w:t xml:space="preserve"> </w:t>
            </w:r>
            <w:r>
              <w:rPr>
                <w:b/>
                <w:i/>
              </w:rPr>
              <w:t>podsjeća Komisiju na ciljeve utvrđene u strategiji za održivu i inteligentnu mobilnost u okviru europskog zelenog plana, čiji je cilj udvostručiti željeznički prijevoz tereta i smanjiti ukupne emisije iz prometa za 90 % do 2050.;</w:t>
            </w:r>
            <w:r>
              <w:t xml:space="preserve"> </w:t>
            </w:r>
            <w:r>
              <w:rPr>
                <w:b/>
                <w:i/>
              </w:rPr>
              <w:t>naglašava da politika tržišnog natjecanja ne bi smjela kočiti napredak u zelenoj tranziciji, za koju je željeznički prijevoz tereta ključan;</w:t>
            </w:r>
            <w:r>
              <w:t xml:space="preserve"> </w:t>
            </w:r>
            <w:r>
              <w:rPr>
                <w:b/>
                <w:i/>
              </w:rPr>
              <w:t>poziva da se na osnovi toga provede reforma pravila tržišnog natjecanja;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sa zabrinutošću prima na znanje tumačenje Općeg suda o članku 22.</w:t>
            </w:r>
            <w:r>
              <w:t xml:space="preserve"> </w:t>
            </w:r>
            <w:r>
              <w:rPr>
                <w:b/>
                <w:i/>
              </w:rPr>
              <w:t>Uredbe EZ-a o koncentracijama u predmetu C-611/22 P (Illumina/Komisija), kojim se napušta Komisijin pristup prihvaćanja upućivanja za one dogovore koji se ne moraju prijaviti;</w:t>
            </w:r>
            <w:r>
              <w:t xml:space="preserve"> </w:t>
            </w:r>
            <w:r>
              <w:rPr>
                <w:b/>
                <w:i/>
              </w:rPr>
              <w:t>potvrđuje da Uredba EZ-a o koncentracijama nije dovoljna da bi se Komisija nosila s „ubojitim” preuzimanjima;</w:t>
            </w:r>
            <w:r>
              <w:t xml:space="preserve"> </w:t>
            </w:r>
            <w:r>
              <w:rPr>
                <w:b/>
                <w:i/>
              </w:rPr>
              <w:t>čvrsto vjeruje da učinak odluka o koncentracijama na jedinstveno tržište opravdava dodavanje pravne osnove jedinstvenog tržišta u Uredbu EZ-a o koncentracijama kako bi suzakonodavci bili u potpunosti uključeni, na sličan način kao u Aktu o digitalnim tržištima; potiče Komisiju da ohrabri države članice koje imaju ili mogu tražiti mjerodavnu nadležnost da preispituju moguća „ubojita” preuzimanja u svjetlu svojih nacionalnih zakona o kontroli koncentracija te da nastave upućivati te dogovore u skladu s člankom 22.</w:t>
            </w:r>
            <w:r>
              <w:t xml:space="preserve"> </w:t>
            </w:r>
            <w:r>
              <w:rPr>
                <w:b/>
                <w:i/>
              </w:rPr>
              <w:t>Uredbe EZ-a o koncentracijama;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sa zabrinutošću prima na znanje tumačenje Općeg suda o članku 22. Uredbe EZ-a o koncentracijama u predmetu C-611/22 P (Illumina/Komisija), kojim se napušta Komisijin pristup prihvaćanja upućivanja za one dogovore koji se ne moraju prijaviti; potvrđuje da Uredba EZ-a o koncentracijama nije dovoljna da bi se Komisija nosila s „ubojitim” preuzimanjima; čvrsto vjeruje da učinak odluka o koncentracijama na jedinstveno tržište opravdava dodavanje pravne osnove jedinstvenog tržišta u Uredbu EZ-a o koncentracijama kako bi suzakonodavci bili u potpunosti uključeni, na sličan način kao u Aktu o digitalnim tržištima; potiče Komisiju da ohrabri države članice koje imaju ili mogu tražiti mjerodavnu nadležnost da preispituju moguća „ubojita” preuzimanja u svjetlu svojih nacionalnih zakona o kontroli koncentracija te da nastave upućivati te dogovore u skladu s člankom 22. Uredbe EZ-a o koncentracijama;</w:t>
            </w:r>
          </w:p>
        </w:tc>
        <w:tc>
          <w:tcPr>
            <w:tcW w:w="4876" w:type="dxa"/>
            <w:tcBorders>
              <w:top w:val="nil"/>
              <w:left w:val="nil"/>
              <w:bottom w:val="nil"/>
              <w:right w:val="nil"/>
            </w:tcBorders>
          </w:tcPr>
          <w:p>
            <w:pPr>
              <w:pStyle w:val="Normal6a"/>
            </w:pPr>
            <w:r>
              <w:t>13.</w:t>
            </w:r>
            <w:r>
              <w:tab/>
            </w:r>
            <w:r>
              <w:t xml:space="preserve">sa zabrinutošću prima na znanje tumačenje Općeg suda o članku 22. Uredbe EZ-a o koncentracijama u predmetu C-611/22 P (Illumina/Komisija), kojim se napušta Komisijin pristup prihvaćanja upućivanja za one dogovore koji se ne moraju prijaviti; potvrđuje da Uredba EZ-a o koncentracijama nije dovoljna da bi se Komisija nosila s „ubojitim” preuzimanjima; čvrsto vjeruje da učinak odluka o koncentracijama na jedinstveno tržište opravdava dodavanje pravne osnove jedinstvenog tržišta u Uredbu EZ-a o koncentracijama kako bi suzakonodavci bili u potpunosti uključeni, na sličan način kao u Aktu o digitalnim tržištima; potiče Komisiju da ohrabri države članice koje imaju ili mogu tražiti mjerodavnu nadležnost da preispituju moguća „ubojita” preuzimanja u svjetlu svojih nacionalnih zakona o kontroli koncentracija te da nastave upućivati te dogovore u skladu s člankom 22. Uredbe EZ-a o koncentracijama; </w:t>
            </w:r>
            <w:r>
              <w:rPr>
                <w:b/>
                <w:i/>
              </w:rPr>
              <w:t>poziva Komisiju da razmotri mogućnost preispitivanja Uredbe 139/2004 kako bi se omogućilo ispitivanje koncentracije koje su ispod pragova EU-a ili nacionalnih pragova, bez obzira na uključene sektore;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sa zabrinutošću</w:t>
            </w:r>
            <w:r>
              <w:t xml:space="preserve"> prima na znanje tumačenje Općeg suda o članku 22. Uredbe EZ-a o koncentracijama u predmetu C-611/22 P (Illumina/Komisija), kojim se napušta Komisijin pristup prihvaćanja upućivanja za one dogovore koji se ne moraju prijaviti; </w:t>
            </w:r>
            <w:r>
              <w:rPr>
                <w:b/>
                <w:i/>
              </w:rPr>
              <w:t>potvrđuje da Uredba EZ-a o koncentracijama nije dovoljna</w:t>
            </w:r>
            <w:r>
              <w:t xml:space="preserve"> da bi se Komisija </w:t>
            </w:r>
            <w:r>
              <w:rPr>
                <w:b/>
                <w:i/>
              </w:rPr>
              <w:t>nosila s „ubojitim” preuzimanjima;</w:t>
            </w:r>
            <w:r>
              <w:t xml:space="preserve"> </w:t>
            </w:r>
            <w:r>
              <w:rPr>
                <w:b/>
                <w:i/>
              </w:rPr>
              <w:t>čvrsto vjeruje da učinak odluka o koncentracijama na jedinstveno tržište opravdava dodavanje pravne osnove jedinstvenog tržišta u Uredbu EZ-a o koncentracijama kako bi suzakonodavci bili u potpunosti uključeni, na sličan način kao u Aktu o digitalnim tržištima</w:t>
            </w:r>
            <w:r>
              <w:t xml:space="preserve">; potiče Komisiju da ohrabri države članice koje imaju ili mogu tražiti mjerodavnu nadležnost da preispituju moguća „ubojita” preuzimanja u svjetlu svojih nacionalnih zakona o kontroli koncentracija </w:t>
            </w:r>
            <w:r>
              <w:rPr>
                <w:b/>
                <w:i/>
              </w:rPr>
              <w:t>te da nastave upućivati te dogovore u skladu s člankom 22.</w:t>
            </w:r>
            <w:r>
              <w:t xml:space="preserve"> </w:t>
            </w:r>
            <w:r>
              <w:rPr>
                <w:b/>
                <w:i/>
              </w:rPr>
              <w:t>Uredbe EZ-a o koncentracijama</w:t>
            </w:r>
            <w:r>
              <w:t>;</w:t>
            </w:r>
          </w:p>
        </w:tc>
        <w:tc>
          <w:tcPr>
            <w:tcW w:w="4876" w:type="dxa"/>
            <w:tcBorders>
              <w:top w:val="nil"/>
              <w:left w:val="nil"/>
              <w:bottom w:val="nil"/>
              <w:right w:val="nil"/>
            </w:tcBorders>
          </w:tcPr>
          <w:p>
            <w:pPr>
              <w:pStyle w:val="Normal6a"/>
            </w:pPr>
            <w:r>
              <w:t>13.</w:t>
            </w:r>
            <w:r>
              <w:tab/>
            </w:r>
            <w:r>
              <w:t xml:space="preserve">prima na znanje tumačenje Općeg suda o članku 22. Uredbe EZ-a o koncentracijama u predmetu C-611/22 P (Illumina/Komisija), kojim se napušta Komisijin pristup prihvaćanja upućivanja za one dogovore koji se ne moraju prijaviti; </w:t>
            </w:r>
            <w:r>
              <w:rPr>
                <w:b/>
                <w:i/>
              </w:rPr>
              <w:t>ističe</w:t>
            </w:r>
            <w:r>
              <w:t xml:space="preserve"> da bi se Komisija </w:t>
            </w:r>
            <w:r>
              <w:rPr>
                <w:b/>
                <w:i/>
              </w:rPr>
              <w:t>uvijek trebala pridržavati sudskih tumačenja u presudama u predmetima povezanima s tržišnim natjecanjem kako bi se izbjeglo daljnje ugrožavanje učinkovitosti, predvidljivosti i pravne sigurnosti koje se moraju zajamčiti stranama u koncentraciji radi pravilnog funkcioniranja unutarnjeg tržišta EU-a</w:t>
            </w:r>
            <w:r>
              <w:rPr>
                <w:b/>
                <w:i/>
                <w:vertAlign w:val="superscript"/>
              </w:rPr>
              <w:t>8a</w:t>
            </w:r>
            <w:r>
              <w:t>; potiče Komisiju da ohrabri države članice koje imaju ili mogu tražiti mjerodavnu nadležnost da preispituju moguća „ubojita” preuzimanja u svjetlu svojih nacionalnih zakona o kontroli koncentracija;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Predmet C-611/22, točka 206.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sa zabrinutošću prima na znanje tumačenje Općeg suda o članku 22. Uredbe EZ-a o koncentracijama u predmetu C-611/22 P (Illumina/Komisija), kojim se napušta Komisijin pristup prihvaćanja upućivanja za one dogovore koji se ne moraju prijaviti; potvrđuje da Uredba EZ-a o koncentracijama </w:t>
            </w:r>
            <w:r>
              <w:rPr>
                <w:b/>
                <w:i/>
              </w:rPr>
              <w:t>nije dovoljna da</w:t>
            </w:r>
            <w:r>
              <w:t xml:space="preserve"> bi se </w:t>
            </w:r>
            <w:r>
              <w:rPr>
                <w:b/>
                <w:i/>
              </w:rPr>
              <w:t>Komisija</w:t>
            </w:r>
            <w:r>
              <w:t xml:space="preserve"> nosila s „ubojitim” preuzimanjima; čvrsto vjeruje da učinak odluka o koncentracijama na </w:t>
            </w:r>
            <w:r>
              <w:rPr>
                <w:b/>
                <w:i/>
              </w:rPr>
              <w:t>jedinstveno</w:t>
            </w:r>
            <w:r>
              <w:t xml:space="preserve"> tržište opravdava </w:t>
            </w:r>
            <w:r>
              <w:rPr>
                <w:b/>
                <w:i/>
              </w:rPr>
              <w:t>dodavanje</w:t>
            </w:r>
            <w:r>
              <w:t xml:space="preserve"> pravne osnove </w:t>
            </w:r>
            <w:r>
              <w:rPr>
                <w:b/>
                <w:i/>
              </w:rPr>
              <w:t>jedinstvenog</w:t>
            </w:r>
            <w:r>
              <w:t xml:space="preserve"> tržišta u Uredbu EZ-a o koncentracijama </w:t>
            </w:r>
            <w:r>
              <w:rPr>
                <w:b/>
                <w:i/>
              </w:rPr>
              <w:t>kako bi suzakonodavci bili u potpunosti uključeni, na sličan način kao u Aktu o digitalnim tržištima; potiče</w:t>
            </w:r>
            <w:r>
              <w:t xml:space="preserve"> Komisiju da </w:t>
            </w:r>
            <w:r>
              <w:rPr>
                <w:b/>
                <w:i/>
              </w:rPr>
              <w:t>ohrabri države članice</w:t>
            </w:r>
            <w:r>
              <w:t xml:space="preserve"> koje imaju ili mogu tražiti mjerodavnu nadležnost </w:t>
            </w:r>
            <w:r>
              <w:rPr>
                <w:b/>
                <w:i/>
              </w:rPr>
              <w:t>da preispituju</w:t>
            </w:r>
            <w:r>
              <w:t xml:space="preserve"> moguća „ubojita” preuzimanja u svjetlu svojih nacionalnih zakona o kontroli koncentracija te da nastave upućivati </w:t>
            </w:r>
            <w:r>
              <w:rPr>
                <w:b/>
                <w:i/>
              </w:rPr>
              <w:t>te</w:t>
            </w:r>
            <w:r>
              <w:t xml:space="preserve"> dogovore u skladu s člankom 22. Uredbe EZ-a o koncentracijama;</w:t>
            </w:r>
          </w:p>
        </w:tc>
        <w:tc>
          <w:tcPr>
            <w:tcW w:w="4876" w:type="dxa"/>
            <w:tcBorders>
              <w:top w:val="nil"/>
              <w:left w:val="nil"/>
              <w:bottom w:val="nil"/>
              <w:right w:val="nil"/>
            </w:tcBorders>
          </w:tcPr>
          <w:p>
            <w:pPr>
              <w:pStyle w:val="Normal6a"/>
            </w:pPr>
            <w:r>
              <w:t>13.</w:t>
            </w:r>
            <w:r>
              <w:tab/>
            </w:r>
            <w:r>
              <w:t xml:space="preserve">sa zabrinutošću prima na znanje tumačenje Općeg suda o članku 22. Uredbe EZ-a o koncentracijama u predmetu C-611/22 P (Illumina/Komisija), kojim se napušta Komisijin pristup prihvaćanja upućivanja za one dogovore koji se ne moraju prijaviti; potvrđuje da Uredba EZ-a o koncentracijama </w:t>
            </w:r>
            <w:r>
              <w:rPr>
                <w:b/>
                <w:i/>
              </w:rPr>
              <w:t>Komisiji ne pruža dovoljno alata kako</w:t>
            </w:r>
            <w:r>
              <w:t xml:space="preserve"> bi se nosila s „ubojitim” preuzimanjima; čvrsto vjeruje da učinak odluka o koncentracijama na </w:t>
            </w:r>
            <w:r>
              <w:rPr>
                <w:b/>
                <w:i/>
              </w:rPr>
              <w:t>unutarnje</w:t>
            </w:r>
            <w:r>
              <w:t xml:space="preserve"> tržište opravdava </w:t>
            </w:r>
            <w:r>
              <w:rPr>
                <w:b/>
                <w:i/>
              </w:rPr>
              <w:t>uključivanje</w:t>
            </w:r>
            <w:r>
              <w:t xml:space="preserve"> pravne osnove </w:t>
            </w:r>
            <w:r>
              <w:rPr>
                <w:b/>
                <w:i/>
              </w:rPr>
              <w:t>unutarnjeg</w:t>
            </w:r>
            <w:r>
              <w:t xml:space="preserve"> tržišta u Uredbu EZ-a o koncentracijama</w:t>
            </w:r>
            <w:r>
              <w:rPr>
                <w:b/>
                <w:i/>
              </w:rPr>
              <w:t>;</w:t>
            </w:r>
            <w:r>
              <w:t xml:space="preserve"> </w:t>
            </w:r>
            <w:r>
              <w:rPr>
                <w:b/>
                <w:i/>
              </w:rPr>
              <w:t>poziva</w:t>
            </w:r>
            <w:r>
              <w:t xml:space="preserve"> Komisiju da </w:t>
            </w:r>
            <w:r>
              <w:rPr>
                <w:b/>
                <w:i/>
              </w:rPr>
              <w:t>od država članica</w:t>
            </w:r>
            <w:r>
              <w:t xml:space="preserve"> koje imaju ili mogu tražiti mjerodavnu nadležnost </w:t>
            </w:r>
            <w:r>
              <w:rPr>
                <w:b/>
                <w:i/>
              </w:rPr>
              <w:t>zatraži da istraže</w:t>
            </w:r>
            <w:r>
              <w:t xml:space="preserve"> moguća „ubojita” preuzimanja u svjetlu svojih nacionalnih zakona o kontroli koncentracija te da nastave upućivati </w:t>
            </w:r>
            <w:r>
              <w:rPr>
                <w:b/>
                <w:i/>
              </w:rPr>
              <w:t>takve</w:t>
            </w:r>
            <w:r>
              <w:t xml:space="preserve"> dogovore u skladu s člankom 22. Uredbe EZ-a o koncentracijama;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sa zabrinutošću prima na znanje tumačenje </w:t>
            </w:r>
            <w:r>
              <w:rPr>
                <w:b/>
                <w:i/>
              </w:rPr>
              <w:t>Općeg</w:t>
            </w:r>
            <w:r>
              <w:t xml:space="preserve"> suda o članku 22. Uredbe EZ-a o koncentracijama u predmetu C-611/22 P (Illumina/Komisija), kojim se napušta Komisijin pristup prihvaćanja upućivanja za one dogovore koji se ne moraju prijaviti; potvrđuje da Uredba EZ-a o koncentracijama nije dovoljna da bi se Komisija nosila s „ubojitim” preuzimanjima; čvrsto vjeruje da učinak odluka o koncentracijama na jedinstveno tržište opravdava dodavanje pravne osnove jedinstvenog tržišta u Uredbu EZ-a o koncentracijama kako bi suzakonodavci bili u potpunosti uključeni, na sličan način kao u Aktu o digitalnim tržištima; potiče Komisiju da ohrabri države članice koje imaju ili mogu tražiti mjerodavnu nadležnost da preispituju moguća „ubojita” preuzimanja u svjetlu svojih nacionalnih zakona o kontroli koncentracija te da nastave upućivati te dogovore u skladu s člankom 22. Uredbe EZ-a o koncentracijama;</w:t>
            </w:r>
          </w:p>
        </w:tc>
        <w:tc>
          <w:tcPr>
            <w:tcW w:w="4876" w:type="dxa"/>
            <w:tcBorders>
              <w:top w:val="nil"/>
              <w:left w:val="nil"/>
              <w:bottom w:val="nil"/>
              <w:right w:val="nil"/>
            </w:tcBorders>
          </w:tcPr>
          <w:p>
            <w:pPr>
              <w:pStyle w:val="Normal6a"/>
            </w:pPr>
            <w:r>
              <w:t>13.</w:t>
            </w:r>
            <w:r>
              <w:tab/>
            </w:r>
            <w:r>
              <w:t>sa zabrinutošću prima na znanje tumačenje Suda o članku 22. Uredbe EZ-a o koncentracijama u predmetu C-611/22 P (Illumina/Komisija), kojim se napušta Komisijin pristup prihvaćanja upućivanja za one dogovore koji se ne moraju prijaviti; potvrđuje da Uredba EZ-a o koncentracijama nije dovoljna da bi se Komisija nosila s „ubojitim” preuzimanjima; čvrsto vjeruje da učinak odluka o koncentracijama na jedinstveno tržište opravdava dodavanje pravne osnove jedinstvenog tržišta u Uredbu EZ-a o koncentracijama kako bi suzakonodavci bili u potpunosti uključeni, na sličan način kao u Aktu o digitalnim tržištima; potiče Komisiju da ohrabri države članice koje imaju ili mogu tražiti mjerodavnu nadležnost da preispituju moguća „ubojita” preuzimanja u svjetlu svojih nacionalnih zakona o kontroli koncentracija te da nastave upućivati te dogovore u skladu s člankom 22. Uredbe EZ-a o koncentracijama;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a.</w:t>
            </w:r>
            <w:r>
              <w:tab/>
            </w:r>
            <w:r>
              <w:rPr>
                <w:b/>
                <w:i/>
              </w:rPr>
              <w:t>konstatira da je, unatoč istaknutim istragama, smanjen učinak provedbe politike tržišnog natjecanja, posebno preispitivanja koncentracija;</w:t>
            </w:r>
            <w:r>
              <w:t xml:space="preserve"> </w:t>
            </w:r>
            <w:r>
              <w:rPr>
                <w:b/>
                <w:i/>
              </w:rPr>
              <w:t>sa zabrinutošću konstatira da je od uvođenja Uredbe o koncentracijama iz 2004. samo 0,7 % prijavljenih koncentracija Komisija blokirala ili su povučene nakon istrage, dok su preuzimanja od strane velikih poduzeća vjerojatno pridonijela povećanju tržišne koncentracije i marži;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pozdravlja prijedlog Marija Draghija o „obrani inovacija”; nadalje, poziva na to da se pri ispitivanju učinka neke koncentracije na unutarnje tržište u obzir </w:t>
            </w:r>
            <w:r>
              <w:rPr>
                <w:b/>
                <w:i/>
              </w:rPr>
              <w:t>uzmu pitanja od javnog interesa, kao što su zaštita klime, održivost i utjecaj na radnike</w:t>
            </w:r>
            <w:r>
              <w:t>;</w:t>
            </w:r>
          </w:p>
        </w:tc>
        <w:tc>
          <w:tcPr>
            <w:tcW w:w="4876" w:type="dxa"/>
            <w:tcBorders>
              <w:top w:val="nil"/>
              <w:left w:val="nil"/>
              <w:bottom w:val="nil"/>
              <w:right w:val="nil"/>
            </w:tcBorders>
          </w:tcPr>
          <w:p>
            <w:pPr>
              <w:pStyle w:val="Normal6a"/>
            </w:pPr>
            <w:r>
              <w:t>14.</w:t>
            </w:r>
            <w:r>
              <w:tab/>
            </w:r>
            <w:r>
              <w:t xml:space="preserve">pozdravlja prijedlog Marija Draghija o „obrani inovacija” </w:t>
            </w:r>
            <w:r>
              <w:rPr>
                <w:b/>
                <w:i/>
              </w:rPr>
              <w:t>kao ključnom pokretaču gospodarskog rasta i s obzirom na to da koncentracija poduzeća, pod odgovarajućom analizom, može pozitivno doprinijeti inovacijama i konkurentnosti kombiniranjem resursa i sposobnosti za pružanje boljih proizvoda i usluga</w:t>
            </w:r>
            <w:r>
              <w:t xml:space="preserve">; nadalje, poziva na to da se pri ispitivanju učinka neke koncentracije na unutarnje tržište </w:t>
            </w:r>
            <w:r>
              <w:rPr>
                <w:b/>
                <w:i/>
              </w:rPr>
              <w:t>uzme</w:t>
            </w:r>
            <w:r>
              <w:t xml:space="preserve"> u obzir </w:t>
            </w:r>
            <w:r>
              <w:rPr>
                <w:b/>
                <w:i/>
              </w:rPr>
              <w:t>učinkovitost tržišta;</w:t>
            </w:r>
            <w:r>
              <w:t xml:space="preserve"> </w:t>
            </w:r>
            <w:r>
              <w:rPr>
                <w:b/>
                <w:i/>
              </w:rPr>
              <w:t>ustraje u tome da se analiza koncentracija na unutarnjem tržištu ne bi trebala temeljiti na razmatranjima koja nisu povezana s gospodarskim rezultatima i učinkovitim tržišnim natjecanjem te da bi državne intervencije trebale biti minimalne, ograničene na slučajeve u kojima postoji jasan rizik da će koncentracija spriječiti učinkovito tržišno natjecanje ili dovesti do zlouporabe tržišne snage koja je štetna za potrošače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pozdravlja prijedlog Marija Draghija o „obrani inovacija”; </w:t>
            </w:r>
            <w:r>
              <w:rPr>
                <w:b/>
                <w:i/>
              </w:rPr>
              <w:t>nadalje, poziva na to da se pri ispitivanju učinka neke koncentracije na unutarnje tržište u obzir uzmu pitanja od javnog interesa, kao što su zaštita klime, održivost i utjecaj na radnike;</w:t>
            </w:r>
          </w:p>
        </w:tc>
        <w:tc>
          <w:tcPr>
            <w:tcW w:w="4876" w:type="dxa"/>
            <w:tcBorders>
              <w:top w:val="nil"/>
              <w:left w:val="nil"/>
              <w:bottom w:val="nil"/>
              <w:right w:val="nil"/>
            </w:tcBorders>
          </w:tcPr>
          <w:p>
            <w:pPr>
              <w:pStyle w:val="Normal6a"/>
            </w:pPr>
            <w:r>
              <w:t>14.</w:t>
            </w:r>
            <w:r>
              <w:tab/>
            </w:r>
            <w:r>
              <w:t>pozdravlja prijedlog Marija Draghija o „obrani inovacija”;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pozdravlja</w:t>
            </w:r>
            <w:r>
              <w:t xml:space="preserve"> prijedlog Marija Draghija o „obrani inovacija”; nadalje, poziva na to da se pri ispitivanju učinka neke koncentracije na unutarnje tržište u obzir uzmu pitanja od javnog interesa, kao što su zaštita klime, održivost i utjecaj na radnike;</w:t>
            </w:r>
          </w:p>
        </w:tc>
        <w:tc>
          <w:tcPr>
            <w:tcW w:w="4876" w:type="dxa"/>
            <w:tcBorders>
              <w:top w:val="nil"/>
              <w:left w:val="nil"/>
              <w:bottom w:val="nil"/>
              <w:right w:val="nil"/>
            </w:tcBorders>
          </w:tcPr>
          <w:p>
            <w:pPr>
              <w:pStyle w:val="Normal6a"/>
            </w:pPr>
            <w:r>
              <w:t>14.</w:t>
            </w:r>
            <w:r>
              <w:tab/>
            </w:r>
            <w:r>
              <w:rPr>
                <w:b/>
                <w:i/>
              </w:rPr>
              <w:t>prima na znanje</w:t>
            </w:r>
            <w:r>
              <w:t xml:space="preserve"> prijedlog Marija Draghija o „obrani inovacija”; nadalje, poziva na to da se pri ispitivanju učinka neke koncentracije na unutarnje tržište </w:t>
            </w:r>
            <w:r>
              <w:rPr>
                <w:b/>
                <w:i/>
              </w:rPr>
              <w:t>i postojanja praksi kojima se narušava tržišno natjecanje u skladu s člancima 101. i 102. UFEU-a</w:t>
            </w:r>
            <w:r>
              <w:t xml:space="preserve"> u obzir uzmu pitanja od javnog interesa, kao što su zaštita klime, održivost i utjecaj na radnike</w:t>
            </w:r>
            <w:r>
              <w:rPr>
                <w:b/>
                <w:i/>
              </w:rPr>
              <w:t>, medijski pluralizam i privatnost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pozdravlja prijedlog Marija Draghija o „obrani inovacija”; nadalje, poziva na to da se pri ispitivanju učinka neke koncentracije na unutarnje tržište u obzir uzmu pitanja od javnog interesa, kao što su zaštita klime, održivost </w:t>
            </w:r>
            <w:r>
              <w:rPr>
                <w:b/>
                <w:i/>
              </w:rPr>
              <w:t>i</w:t>
            </w:r>
            <w:r>
              <w:t xml:space="preserve"> utjecaj na radnike;</w:t>
            </w:r>
          </w:p>
        </w:tc>
        <w:tc>
          <w:tcPr>
            <w:tcW w:w="4876" w:type="dxa"/>
            <w:tcBorders>
              <w:top w:val="nil"/>
              <w:left w:val="nil"/>
              <w:bottom w:val="nil"/>
              <w:right w:val="nil"/>
            </w:tcBorders>
          </w:tcPr>
          <w:p>
            <w:pPr>
              <w:pStyle w:val="Normal6a"/>
            </w:pPr>
            <w:r>
              <w:t>14.</w:t>
            </w:r>
            <w:r>
              <w:tab/>
            </w:r>
            <w:r>
              <w:t>pozdravlja prijedlog Marija Draghija o „obrani inovacija”; nadalje, poziva na to da se pri ispitivanju učinka neke koncentracije na unutarnje tržište u obzir uzmu pitanja od javnog interesa, kao što su zaštita klime, održivost</w:t>
            </w:r>
            <w:r>
              <w:rPr>
                <w:b/>
                <w:i/>
              </w:rPr>
              <w:t>,</w:t>
            </w:r>
            <w:r>
              <w:t xml:space="preserve"> utjecaj na radnike</w:t>
            </w:r>
            <w:r>
              <w:rPr>
                <w:b/>
                <w:i/>
              </w:rPr>
              <w:t>, konkurentnost naših tržišta i autonomija naših industrija, posebno energetskog sektora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pozdravlja prijedlog Marija Draghija o „obrani inovacija”; nadalje, poziva na to da se pri ispitivanju učinka neke koncentracije na unutarnje tržište u obzir uzmu pitanja od javnog interesa</w:t>
            </w:r>
            <w:r>
              <w:rPr>
                <w:b/>
                <w:i/>
              </w:rPr>
              <w:t>, kao što su zaštita klime, održivost i utjecaj na radnike</w:t>
            </w:r>
            <w:r>
              <w:t>;</w:t>
            </w:r>
          </w:p>
        </w:tc>
        <w:tc>
          <w:tcPr>
            <w:tcW w:w="4876" w:type="dxa"/>
            <w:tcBorders>
              <w:top w:val="nil"/>
              <w:left w:val="nil"/>
              <w:bottom w:val="nil"/>
              <w:right w:val="nil"/>
            </w:tcBorders>
          </w:tcPr>
          <w:p>
            <w:pPr>
              <w:pStyle w:val="Normal6a"/>
            </w:pPr>
            <w:r>
              <w:t>14.</w:t>
            </w:r>
            <w:r>
              <w:tab/>
            </w:r>
            <w:r>
              <w:t>pozdravlja prijedlog Marija Draghija o „obrani inovacija”; nadalje, poziva na to da se pri ispitivanju učinka neke koncentracije na unutarnje tržište u obzir uzmu pitanja od javnog interesa;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pozdravlja prijedlog Marija Draghija o „obrani inovacija”</w:t>
            </w:r>
            <w:r>
              <w:rPr>
                <w:b/>
                <w:i/>
              </w:rPr>
              <w:t>;</w:t>
            </w:r>
            <w:r>
              <w:t xml:space="preserve"> </w:t>
            </w:r>
            <w:r>
              <w:rPr>
                <w:b/>
                <w:i/>
              </w:rPr>
              <w:t>nadalje, poziva na to da se pri ispitivanju učinka neke koncentracije na unutarnje tržište u obzir uzmu pitanja od javnog interesa, kao što su zaštita klime, održivost i utjecaj na radnike</w:t>
            </w:r>
            <w:r>
              <w:t>;</w:t>
            </w:r>
          </w:p>
        </w:tc>
        <w:tc>
          <w:tcPr>
            <w:tcW w:w="4876" w:type="dxa"/>
            <w:tcBorders>
              <w:top w:val="nil"/>
              <w:left w:val="nil"/>
              <w:bottom w:val="nil"/>
              <w:right w:val="nil"/>
            </w:tcBorders>
          </w:tcPr>
          <w:p>
            <w:pPr>
              <w:pStyle w:val="Normal6a"/>
            </w:pPr>
            <w:r>
              <w:t>14.</w:t>
            </w:r>
            <w:r>
              <w:tab/>
            </w:r>
            <w:r>
              <w:t xml:space="preserve">pozdravlja prijedlog Marija Draghija o „obrani inovacija” </w:t>
            </w:r>
            <w:r>
              <w:rPr>
                <w:b/>
                <w:i/>
              </w:rPr>
              <w:t>u slučajevima u kojima se određenom koncentracijom povećava sposobnost i poticaj za inovacije;</w:t>
            </w:r>
            <w:r>
              <w:t xml:space="preserve"> </w:t>
            </w:r>
            <w:r>
              <w:rPr>
                <w:b/>
                <w:i/>
              </w:rPr>
              <w:t>poziva Europsku komisiju da analizira i dodatno razvije taj koncept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pozdravlja prijedlog Marija Draghija o „obrani inovacija”; nadalje, poziva na to da se pri ispitivanju učinka neke koncentracije na unutarnje tržište u obzir uzmu pitanja od javnog interesa, kao što su zaštita klime, održivost i utjecaj na radnike;</w:t>
            </w:r>
          </w:p>
        </w:tc>
        <w:tc>
          <w:tcPr>
            <w:tcW w:w="4876" w:type="dxa"/>
            <w:tcBorders>
              <w:top w:val="nil"/>
              <w:left w:val="nil"/>
              <w:bottom w:val="nil"/>
              <w:right w:val="nil"/>
            </w:tcBorders>
          </w:tcPr>
          <w:p>
            <w:pPr>
              <w:pStyle w:val="Normal6a"/>
            </w:pPr>
            <w:r>
              <w:t>14.</w:t>
            </w:r>
            <w:r>
              <w:tab/>
            </w:r>
            <w:r>
              <w:t>pozdravlja prijedlog Marija Draghija o „obrani inovacija”; nadalje, poziva na to da se pri ispitivanju učinka neke koncentracije na unutarnje tržište u obzir uzmu pitanja od javnog interesa, kao što su zaštita klime, održivost</w:t>
            </w:r>
            <w:r>
              <w:rPr>
                <w:b/>
                <w:i/>
              </w:rPr>
              <w:t>, jamstvo pružanja usluga</w:t>
            </w:r>
            <w:r>
              <w:t xml:space="preserve"> i utjecaj na radnike;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pozdravlja prijedlog Marija Draghija o „obrani inovacija”; nadalje, poziva na to da se </w:t>
            </w:r>
            <w:r>
              <w:rPr>
                <w:b/>
                <w:i/>
              </w:rPr>
              <w:t>pri ispitivanju učinka neke koncentracije na unutarnje tržište</w:t>
            </w:r>
            <w:r>
              <w:t xml:space="preserve"> u obzir </w:t>
            </w:r>
            <w:r>
              <w:rPr>
                <w:b/>
                <w:i/>
              </w:rPr>
              <w:t>uzmu pitanja od javnog interesa, kao što su zaštita klime, održivost i utjecaj na radnike</w:t>
            </w:r>
            <w:r>
              <w:t>;</w:t>
            </w:r>
          </w:p>
        </w:tc>
        <w:tc>
          <w:tcPr>
            <w:tcW w:w="4876" w:type="dxa"/>
            <w:tcBorders>
              <w:top w:val="nil"/>
              <w:left w:val="nil"/>
              <w:bottom w:val="nil"/>
              <w:right w:val="nil"/>
            </w:tcBorders>
          </w:tcPr>
          <w:p>
            <w:pPr>
              <w:pStyle w:val="Normal6a"/>
            </w:pPr>
            <w:r>
              <w:t>14.</w:t>
            </w:r>
            <w:r>
              <w:tab/>
            </w:r>
            <w:r>
              <w:t xml:space="preserve">pozdravlja prijedlog Marija Draghija o „obrani inovacija”; nadalje, poziva na to da se </w:t>
            </w:r>
            <w:r>
              <w:rPr>
                <w:b/>
                <w:i/>
              </w:rPr>
              <w:t>u procjenama Glavne uprave za tržišno natjecanje</w:t>
            </w:r>
            <w:r>
              <w:rPr>
                <w:b/>
                <w:i/>
                <w:vertAlign w:val="superscript"/>
              </w:rPr>
              <w:t>9a</w:t>
            </w:r>
            <w:r>
              <w:t xml:space="preserve"> </w:t>
            </w:r>
            <w:r>
              <w:rPr>
                <w:b/>
                <w:i/>
              </w:rPr>
              <w:t>uzmu</w:t>
            </w:r>
            <w:r>
              <w:t xml:space="preserve"> u obzir </w:t>
            </w:r>
            <w:r>
              <w:rPr>
                <w:b/>
                <w:i/>
              </w:rPr>
              <w:t>rizici od poremećaja za gospodarstvo EU-a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9a</w:t>
            </w:r>
            <w:r>
              <w:t xml:space="preserve"> </w:t>
            </w:r>
            <w:r>
              <w:rPr>
                <w:b/>
                <w:i/>
              </w:rPr>
              <w:t>Budućnost europske konkurentnosti Dio B</w:t>
            </w:r>
            <w:r>
              <w:t xml:space="preserve"> </w:t>
            </w:r>
            <w:r>
              <w:rPr>
                <w:b/>
                <w:i/>
              </w:rPr>
              <w:t>| Detaljna analiza i preporuke, Poglavlje 4. - Modernizacija tržišnog natjecanja. str. 300.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pozdravlja prijedlog Marija Draghija o „obrani inovacija”; </w:t>
            </w:r>
            <w:r>
              <w:rPr>
                <w:b/>
                <w:i/>
              </w:rPr>
              <w:t>nadalje,</w:t>
            </w:r>
            <w:r>
              <w:t xml:space="preserve"> poziva </w:t>
            </w:r>
            <w:r>
              <w:rPr>
                <w:b/>
                <w:i/>
              </w:rPr>
              <w:t>na to</w:t>
            </w:r>
            <w:r>
              <w:t xml:space="preserve"> da se pri ispitivanju učinka neke koncentracije na unutarnje tržište u obzir </w:t>
            </w:r>
            <w:r>
              <w:rPr>
                <w:b/>
                <w:i/>
              </w:rPr>
              <w:t>uzmu pitanja od javnog interesa, kao što su zaštita klime, održivost i utjecaj na radnike</w:t>
            </w:r>
            <w:r>
              <w:t>;</w:t>
            </w:r>
          </w:p>
        </w:tc>
        <w:tc>
          <w:tcPr>
            <w:tcW w:w="4876" w:type="dxa"/>
            <w:tcBorders>
              <w:top w:val="nil"/>
              <w:left w:val="nil"/>
              <w:bottom w:val="nil"/>
              <w:right w:val="nil"/>
            </w:tcBorders>
          </w:tcPr>
          <w:p>
            <w:pPr>
              <w:pStyle w:val="Normal6a"/>
            </w:pPr>
            <w:r>
              <w:t>14.</w:t>
            </w:r>
            <w:r>
              <w:tab/>
            </w:r>
            <w:r>
              <w:t xml:space="preserve">pozdravlja prijedlog Marija Draghija o „obrani inovacija”; </w:t>
            </w:r>
            <w:r>
              <w:rPr>
                <w:b/>
                <w:i/>
              </w:rPr>
              <w:t>stoga</w:t>
            </w:r>
            <w:r>
              <w:t xml:space="preserve"> poziva da se pri ispitivanju učinka neke koncentracije na unutarnje tržište u obzir </w:t>
            </w:r>
            <w:r>
              <w:rPr>
                <w:b/>
                <w:i/>
              </w:rPr>
              <w:t>uzme sposobnost da se bude izvor inovacija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pozdravlja prijedlog Marija Draghija o „obrani inovacija”; nadalje, poziva na to da se pri ispitivanju učinka neke koncentracije na unutarnje tržište u obzir uzmu pitanja od javnog interesa, kao što su </w:t>
            </w:r>
            <w:r>
              <w:rPr>
                <w:b/>
                <w:i/>
              </w:rPr>
              <w:t>zaštita klime, održivost i utjecaj na radnike</w:t>
            </w:r>
            <w:r>
              <w:t>;</w:t>
            </w:r>
          </w:p>
        </w:tc>
        <w:tc>
          <w:tcPr>
            <w:tcW w:w="4876" w:type="dxa"/>
            <w:tcBorders>
              <w:top w:val="nil"/>
              <w:left w:val="nil"/>
              <w:bottom w:val="nil"/>
              <w:right w:val="nil"/>
            </w:tcBorders>
          </w:tcPr>
          <w:p>
            <w:pPr>
              <w:pStyle w:val="Normal6a"/>
            </w:pPr>
            <w:r>
              <w:t>14.</w:t>
            </w:r>
            <w:r>
              <w:tab/>
            </w:r>
            <w:r>
              <w:t xml:space="preserve">pozdravlja prijedlog Marija Draghija o „obrani inovacija”; nadalje, poziva na to da se pri ispitivanju učinka neke koncentracije na unutarnje tržište u obzir uzmu pitanja od javnog interesa, kao što su </w:t>
            </w:r>
            <w:r>
              <w:rPr>
                <w:b/>
                <w:i/>
              </w:rPr>
              <w:t>utjecaj na radnike ili europska strateška neovisnost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Stéphanie Yon-Courtin, Gilles Boyer,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poziva Komisiju da usvoji pristup konsolidaciji u EU-u usmjeren na budućnost, kako je predloženo i u izvješćima Draghija i Lette, uzimajući u obzir stratešku važnost i pozitivan učinak na tržišno natjecanje razmjera i povoljnih uvjeta ulaganja u određenim sektorima u poticanju inovacija i dugoročnog tržišnog natjecanja;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prima na znanje prijedlog ex post korektivnih mjera u području koncentracija koji je iznesen u Draghijevu izvješću;</w:t>
            </w:r>
            <w:r>
              <w:t xml:space="preserve"> </w:t>
            </w:r>
            <w:r>
              <w:rPr>
                <w:b/>
                <w:i/>
              </w:rPr>
              <w:t>pozdravlja razmatranje strukturnih mjera uz napomenu da ex post kontrola koncentracija nije savršena zamjena za ex ante kontrolu koncentracija jer (djelomično) poništavanje čvrste integracije može predstavljati praktične poteškoće;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traži od Komisije da utvrdi nacionalne prepreke koje bi je mogle spriječiti da europsko tržište utvrdi kao mjerodavno u analizi koncentracija;</w:t>
            </w:r>
            <w:r>
              <w:t xml:space="preserve"> </w:t>
            </w:r>
            <w:r>
              <w:rPr>
                <w:b/>
                <w:i/>
              </w:rPr>
              <w:t>poziva Komisiju da predstavi zakonodavni prijedlog za uklanjanje tih prepreka;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poziva na ažuriranje okvira za ocjenu koncentracija kako bi se odrazilo stvarno stanje digitalnoga gospodarstva, u kojem se tržišna snaga može očitovati na način koji nadilazi tradicionalni tržišni udio; podržava razvoj </w:t>
            </w:r>
            <w:r>
              <w:rPr>
                <w:b/>
                <w:i/>
              </w:rPr>
              <w:t>novih</w:t>
            </w:r>
            <w:r>
              <w:t xml:space="preserve"> metodologija za analizu učinaka dominantnog položaja i mreža temeljenih na podacima;</w:t>
            </w:r>
          </w:p>
        </w:tc>
        <w:tc>
          <w:tcPr>
            <w:tcW w:w="4876" w:type="dxa"/>
            <w:tcBorders>
              <w:top w:val="nil"/>
              <w:left w:val="nil"/>
              <w:bottom w:val="nil"/>
              <w:right w:val="nil"/>
            </w:tcBorders>
          </w:tcPr>
          <w:p>
            <w:pPr>
              <w:pStyle w:val="Normal6a"/>
            </w:pPr>
            <w:r>
              <w:t>15.</w:t>
            </w:r>
            <w:r>
              <w:tab/>
            </w:r>
            <w:r>
              <w:t xml:space="preserve">poziva na ažuriranje okvira za ocjenu koncentracija kako bi se odrazilo stvarno stanje digitalnoga gospodarstva, u kojem se tržišna snaga može očitovati na način koji nadilazi tradicionalni tržišni udio; podržava razvoj </w:t>
            </w:r>
            <w:r>
              <w:rPr>
                <w:b/>
                <w:i/>
              </w:rPr>
              <w:t>naprednih</w:t>
            </w:r>
            <w:r>
              <w:t xml:space="preserve"> metodologija za analizu učinaka dominantnog položaja i mreža temeljenih na podacima</w:t>
            </w:r>
            <w:r>
              <w:rPr>
                <w:b/>
                <w:i/>
              </w:rPr>
              <w:t>, naglašavajući ključnu ulogu izbora potrošača u odabiru digitalnih usluga i uređaja;</w:t>
            </w:r>
            <w:r>
              <w:t xml:space="preserve"> </w:t>
            </w:r>
            <w:r>
              <w:rPr>
                <w:b/>
                <w:i/>
              </w:rPr>
              <w:t>potiče Komisiju da poboljša mehanizme koji omogućuju interoperabilnost među uslugama i uređajima, potičući inovacije i tržišno natjecanje u digitalnom ekosustavu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poziva na ažuriranje okvira za ocjenu koncentracija kako bi se odrazilo stvarno stanje digitalnoga gospodarstva, u kojem se tržišna snaga može očitovati na način koji nadilazi tradicionalni tržišni udio; podržava razvoj novih metodologija za analizu učinaka dominantnog položaja i mreža temeljenih na podacima;</w:t>
            </w:r>
          </w:p>
        </w:tc>
        <w:tc>
          <w:tcPr>
            <w:tcW w:w="4876" w:type="dxa"/>
            <w:tcBorders>
              <w:top w:val="nil"/>
              <w:left w:val="nil"/>
              <w:bottom w:val="nil"/>
              <w:right w:val="nil"/>
            </w:tcBorders>
          </w:tcPr>
          <w:p>
            <w:pPr>
              <w:pStyle w:val="Normal6a"/>
            </w:pPr>
            <w:r>
              <w:t>15.</w:t>
            </w:r>
            <w:r>
              <w:tab/>
            </w:r>
            <w:r>
              <w:t xml:space="preserve">poziva na ažuriranje okvira za ocjenu koncentracija kako bi se odrazilo stvarno stanje digitalnoga gospodarstva, u kojem se tržišna snaga može očitovati na način koji nadilazi tradicionalni tržišni udio; podržava razvoj novih metodologija za analizu učinaka dominantnog položaja i mreža temeljenih na podacima; </w:t>
            </w:r>
            <w:r>
              <w:rPr>
                <w:b/>
                <w:i/>
              </w:rPr>
              <w:t>podržava Komisiju da pri procjeni koncentracija u kojima bi širenje na susjedna tržišta imalo učinak daljnjeg jačanja vladajućeg položaja na temeljnom tržištu poduzeća preuzimatelja u većoj mjeri uzima u obzir moguću štetu za tržišno natjecanje;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poziva na ažuriranje okvira za ocjenu koncentracija kako bi se odrazilo stvarno stanje digitalnoga gospodarstva, u kojem se tržišna snaga može očitovati na način koji nadilazi tradicionalni tržišni udio; podržava razvoj novih metodologija za analizu učinaka dominantnog položaja i mreža temeljenih na podacima;</w:t>
            </w:r>
          </w:p>
        </w:tc>
        <w:tc>
          <w:tcPr>
            <w:tcW w:w="4876" w:type="dxa"/>
            <w:tcBorders>
              <w:top w:val="nil"/>
              <w:left w:val="nil"/>
              <w:bottom w:val="nil"/>
              <w:right w:val="nil"/>
            </w:tcBorders>
          </w:tcPr>
          <w:p>
            <w:pPr>
              <w:pStyle w:val="Normal6a"/>
            </w:pPr>
            <w:r>
              <w:t>15.</w:t>
            </w:r>
            <w:r>
              <w:tab/>
            </w:r>
            <w:r>
              <w:t>poziva na ažuriranje okvira za ocjenu koncentracija kako bi se odrazilo stvarno stanje digitalnoga gospodarstva, u kojem se tržišna snaga može očitovati na način koji nadilazi tradicionalni tržišni udio; podržava razvoj novih metodologija za analizu učinaka dominantnog položaja i mreža temeljenih na podacima</w:t>
            </w:r>
            <w:r>
              <w:rPr>
                <w:b/>
                <w:i/>
              </w:rPr>
              <w:t>, uključujući sustavniju upotrebu standardnog računovodstva i financijske analize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poziva na ažuriranje okvira za ocjenu koncentracija kako bi se odrazilo stvarno stanje digitalnoga gospodarstva, u kojem se tržišna snaga može očitovati na način koji nadilazi tradicionalni tržišni udio; podržava razvoj novih metodologija za analizu učinaka dominantnog položaja i mreža temeljenih na podacima;</w:t>
            </w:r>
          </w:p>
        </w:tc>
        <w:tc>
          <w:tcPr>
            <w:tcW w:w="4876" w:type="dxa"/>
            <w:tcBorders>
              <w:top w:val="nil"/>
              <w:left w:val="nil"/>
              <w:bottom w:val="nil"/>
              <w:right w:val="nil"/>
            </w:tcBorders>
          </w:tcPr>
          <w:p>
            <w:pPr>
              <w:pStyle w:val="Normal6a"/>
            </w:pPr>
            <w:r>
              <w:t>15.</w:t>
            </w:r>
            <w:r>
              <w:tab/>
            </w:r>
            <w:r>
              <w:t xml:space="preserve">poziva na ažuriranje okvira za ocjenu koncentracija kako bi se odrazilo stvarno stanje digitalnoga gospodarstva, u kojem se tržišna snaga može očitovati na način koji nadilazi tradicionalni tržišni udio </w:t>
            </w:r>
            <w:r>
              <w:rPr>
                <w:b/>
                <w:i/>
              </w:rPr>
              <w:t>u jasno razgraničenim tržištima</w:t>
            </w:r>
            <w:r>
              <w:t xml:space="preserve">; podržava razvoj novih metodologija za analizu </w:t>
            </w:r>
            <w:r>
              <w:rPr>
                <w:b/>
                <w:i/>
              </w:rPr>
              <w:t>infrastrukturnih</w:t>
            </w:r>
            <w:r>
              <w:t xml:space="preserve"> učinaka dominantnog položaja i mreža temeljenih na podacima;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poziva na</w:t>
            </w:r>
            <w:r>
              <w:t xml:space="preserve"> ažuriranje okvira za ocjenu koncentracija kako bi se odrazilo stvarno stanje digitalnoga gospodarstva, u kojem se tržišna snaga može očitovati na način koji nadilazi tradicionalni tržišni udio; podržava razvoj novih metodologija za analizu učinaka dominantnog položaja i mreža temeljenih na podacima;</w:t>
            </w:r>
          </w:p>
        </w:tc>
        <w:tc>
          <w:tcPr>
            <w:tcW w:w="4876" w:type="dxa"/>
            <w:tcBorders>
              <w:top w:val="nil"/>
              <w:left w:val="nil"/>
              <w:bottom w:val="nil"/>
              <w:right w:val="nil"/>
            </w:tcBorders>
          </w:tcPr>
          <w:p>
            <w:pPr>
              <w:pStyle w:val="Normal6a"/>
            </w:pPr>
            <w:r>
              <w:t>15.</w:t>
            </w:r>
            <w:r>
              <w:tab/>
            </w:r>
            <w:r>
              <w:rPr>
                <w:b/>
                <w:i/>
              </w:rPr>
              <w:t>predlaže</w:t>
            </w:r>
            <w:r>
              <w:t xml:space="preserve"> ažuriranje okvira za ocjenu koncentracija kako bi se odrazilo stvarno stanje digitalnoga gospodarstva, u kojem se tržišna snaga može očitovati na način koji nadilazi tradicionalni tržišni udio; podržava razvoj novih metodologija za analizu učinaka dominantnog položaja i mreža temeljenih na podacima;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ističe buduće potrebe EU-a u pogledu povezivosti u smislu infrastrukture i ulaganja;</w:t>
            </w:r>
            <w:r>
              <w:t xml:space="preserve"> </w:t>
            </w:r>
            <w:r>
              <w:rPr>
                <w:b/>
                <w:i/>
              </w:rPr>
              <w:t>poziva Komisiju da revidira smjernice o koncentracijama kako bi usvojila sveobuhvatniju procjenu učinkovitosti u području kontrole koncentracija i suradnje;</w:t>
            </w:r>
            <w:r>
              <w:t xml:space="preserve"> </w:t>
            </w:r>
            <w:r>
              <w:rPr>
                <w:b/>
                <w:i/>
              </w:rPr>
              <w:t>napominje da bi se prilikom procjene horizontalne suradnje u obzir trebala uzeti i važnost suradnje na tržištima kojima dominiraju nadzornici pristupa;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poziva na periodično preispitivanje kvantitativnih pragova nacionalne nadležnosti iz Uredbe EU-a o koncentracijama kako bi se uzela u obzir nova kretanja na tržištu;</w:t>
            </w:r>
            <w:r>
              <w:t xml:space="preserve"> </w:t>
            </w:r>
            <w:r>
              <w:rPr>
                <w:b/>
                <w:i/>
              </w:rPr>
              <w:t>posebno napominje da pragovi prihoda iz Uredbe o koncentracijama možda nisu prikladni za otkrivanje svih slučajeva koje bi tijela nadležna za tržišno natjecanje trebala preispitati;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poziva na to da se kontrolom koncentracija u EU-u obuhvate prakse kojima se koriste poduzeća s dominantnim položajem kako bi izbjegla službene istrage, kao što je sve veća upotreba „partnerstava” u sektoru umjetne inteligencije;</w:t>
            </w:r>
            <w:r>
              <w:t xml:space="preserve"> </w:t>
            </w:r>
            <w:r>
              <w:rPr>
                <w:b/>
                <w:i/>
              </w:rPr>
              <w:t>po potrebi bi to trebalo uključivati ažuriranje Uredbe EZ-a o koncentracijama i povezanih obavijesti i smjernica;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poziva Komisiju da riješi problem protumonopolskih istraga koje predugo traju, tijekom kojih poduzeća i dalje ostvaruju koristi od praksi kojima narušavaju tržišno natjecanje;</w:t>
            </w:r>
          </w:p>
        </w:tc>
        <w:tc>
          <w:tcPr>
            <w:tcW w:w="4876" w:type="dxa"/>
            <w:tcBorders>
              <w:top w:val="nil"/>
              <w:left w:val="nil"/>
              <w:bottom w:val="nil"/>
              <w:right w:val="nil"/>
            </w:tcBorders>
          </w:tcPr>
          <w:p>
            <w:pPr>
              <w:pStyle w:val="Normal6a"/>
            </w:pPr>
            <w:r>
              <w:t>16.</w:t>
            </w:r>
            <w:r>
              <w:tab/>
            </w:r>
            <w:r>
              <w:t xml:space="preserve">poziva Komisiju da riješi problem protumonopolskih istraga koje predugo traju, tijekom kojih poduzeća i dalje ostvaruju koristi od praksi kojima narušavaju tržišno natjecanje; </w:t>
            </w:r>
            <w:r>
              <w:rPr>
                <w:b/>
                <w:i/>
              </w:rPr>
              <w:t>poziva Komisiju da uvede vremensko ograničenje za protumonopolske predmete kako bi se osigurala učinkovitost pravila EU-a;</w:t>
            </w:r>
            <w:r>
              <w:t xml:space="preserve"> </w:t>
            </w:r>
            <w:r>
              <w:rPr>
                <w:b/>
                <w:i/>
              </w:rPr>
              <w:t>poziva Komisiju da donese dodatne privremene mjere kako bi se eliminirale sve prakse koje bi ozbiljno naškodile tržišnom natjecanju, posebno kada je riječ o dinamičnim tržištima koja se brzo razvijaju, kao što su digitalna tržišta;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poziva Komisiju da riješi problem protumonopolskih istraga koje predugo traju, tijekom kojih poduzeća </w:t>
            </w:r>
            <w:r>
              <w:rPr>
                <w:b/>
                <w:i/>
              </w:rPr>
              <w:t>i dalje ostvaruju koristi od praksi kojima narušavaju tržišno natjecanje</w:t>
            </w:r>
            <w:r>
              <w:t>;</w:t>
            </w:r>
          </w:p>
        </w:tc>
        <w:tc>
          <w:tcPr>
            <w:tcW w:w="4876" w:type="dxa"/>
            <w:tcBorders>
              <w:top w:val="nil"/>
              <w:left w:val="nil"/>
              <w:bottom w:val="nil"/>
              <w:right w:val="nil"/>
            </w:tcBorders>
          </w:tcPr>
          <w:p>
            <w:pPr>
              <w:pStyle w:val="Normal6a"/>
            </w:pPr>
            <w:r>
              <w:t>16.</w:t>
            </w:r>
            <w:r>
              <w:tab/>
            </w:r>
            <w:r>
              <w:t xml:space="preserve">poziva Komisiju da riješi problem protumonopolskih istraga koje predugo traju, tijekom kojih </w:t>
            </w:r>
            <w:r>
              <w:rPr>
                <w:b/>
                <w:i/>
              </w:rPr>
              <w:t>se</w:t>
            </w:r>
            <w:r>
              <w:t xml:space="preserve"> poduzeća </w:t>
            </w:r>
            <w:r>
              <w:rPr>
                <w:b/>
                <w:i/>
              </w:rPr>
              <w:t>mogu suočiti s dugotrajnim nesigurnostima koje ometaju njihovu sposobnost tržišnog natjecanja i inovacija;</w:t>
            </w:r>
            <w:r>
              <w:t xml:space="preserve"> </w:t>
            </w:r>
            <w:r>
              <w:rPr>
                <w:b/>
                <w:i/>
              </w:rPr>
              <w:t>podsjeća da pretjerano duge istrage mogu stvoriti nepotrebne troškove te obeshrabriti ulaganja i dinamičnost</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poziva Komisiju da riješi problem protumonopolskih istraga koje predugo traju, tijekom kojih poduzeća i dalje ostvaruju koristi od praksi kojima narušavaju tržišno natjecanje;</w:t>
            </w:r>
          </w:p>
        </w:tc>
        <w:tc>
          <w:tcPr>
            <w:tcW w:w="4876" w:type="dxa"/>
            <w:tcBorders>
              <w:top w:val="nil"/>
              <w:left w:val="nil"/>
              <w:bottom w:val="nil"/>
              <w:right w:val="nil"/>
            </w:tcBorders>
          </w:tcPr>
          <w:p>
            <w:pPr>
              <w:pStyle w:val="Normal6a"/>
            </w:pPr>
            <w:r>
              <w:t>16.</w:t>
            </w:r>
            <w:r>
              <w:tab/>
            </w:r>
            <w:r>
              <w:t xml:space="preserve">poziva Komisiju da riješi problem protumonopolskih istraga koje predugo traju, tijekom kojih poduzeća i dalje ostvaruju koristi od praksi kojima narušavaju tržišno natjecanje </w:t>
            </w:r>
            <w:r>
              <w:rPr>
                <w:b/>
                <w:i/>
              </w:rPr>
              <w:t>i da u potpunosti izvršava svoje ovlasti, primjerice češćom primjenom privremenih mjera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poziva Komisiju da </w:t>
            </w:r>
            <w:r>
              <w:rPr>
                <w:b/>
                <w:i/>
              </w:rPr>
              <w:t>riješi problem protumonopolskih istraga koje predugo traju, tijekom kojih poduzeća i dalje ostvaruju koristi od praksi kojima narušavaju tržišno natjecanje</w:t>
            </w:r>
            <w:r>
              <w:t>;</w:t>
            </w:r>
          </w:p>
        </w:tc>
        <w:tc>
          <w:tcPr>
            <w:tcW w:w="4876" w:type="dxa"/>
            <w:tcBorders>
              <w:top w:val="nil"/>
              <w:left w:val="nil"/>
              <w:bottom w:val="nil"/>
              <w:right w:val="nil"/>
            </w:tcBorders>
          </w:tcPr>
          <w:p>
            <w:pPr>
              <w:pStyle w:val="Normal6a"/>
            </w:pPr>
            <w:r>
              <w:t>16.</w:t>
            </w:r>
            <w:r>
              <w:tab/>
            </w:r>
            <w:r>
              <w:t xml:space="preserve">poziva Komisiju da </w:t>
            </w:r>
            <w:r>
              <w:rPr>
                <w:b/>
                <w:i/>
              </w:rPr>
              <w:t>ubrza protumonopolske postupke, odredi odgovarajuće rokove za postupke i osigura učinkovito daljnje postupanje na temelju donesenih odluka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poziva Komisiju da hitro iskoristi dostupne trgovinske instrumente za sprečavanje nepoštenog tržišnog natjecanja na unutarnjem tržištu, tj. da primjeni alate kao što su „Instrument za međunarodnu nabavu” i „Uredba o stranim subvencijama”, te da zadrži jednake uvjete, pri kojima strana poduzeća primaju izdašne državne subvencije;</w:t>
            </w:r>
            <w:r>
              <w:t xml:space="preserve"> </w:t>
            </w:r>
            <w:r>
              <w:rPr>
                <w:b/>
                <w:i/>
              </w:rPr>
              <w:t>dodaje da bi se problemi društvenog i ekološkog dampinga također trebali rješavati primjenom pravila o tržišnom natjecanju;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poziva na uvođenje obveznih prava radnika na savjetovanje i sudjelovanje u odlukama o koncentracijama i stjecanju;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traži da se posveti dodatna pozornost digitalnom sektoru kako bi se zajamčilo da velike internetske platforme i tehnološki divovi ne zloupotrebljavaju svoj dominantan položaj;</w:t>
            </w:r>
            <w:r>
              <w:t xml:space="preserve"> </w:t>
            </w:r>
            <w:r>
              <w:rPr>
                <w:b/>
                <w:i/>
              </w:rPr>
              <w:t>ističe važnost primjene posebnih pravila kako bi se spriječilo narušavanje tržišnog natjecanja u tom području, dajući prednost i primjeni posebnih oblika oporezivanja od strane EU-a i pojedinačnih država članica;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pozdravlja dva nedavna istaknuta slučaja koji potvrđuju tvrdnju</w:t>
            </w:r>
            <w:r>
              <w:t xml:space="preserve"> Komisije da irski porezni dogovor s Appleom </w:t>
            </w:r>
            <w:r>
              <w:rPr>
                <w:b/>
                <w:i/>
              </w:rPr>
              <w:t>i Googleom predstavlja protutržišnu praksu</w:t>
            </w:r>
            <w:r>
              <w:t>;</w:t>
            </w:r>
          </w:p>
        </w:tc>
        <w:tc>
          <w:tcPr>
            <w:tcW w:w="4876" w:type="dxa"/>
            <w:tcBorders>
              <w:top w:val="nil"/>
              <w:left w:val="nil"/>
              <w:bottom w:val="nil"/>
              <w:right w:val="nil"/>
            </w:tcBorders>
          </w:tcPr>
          <w:p>
            <w:pPr>
              <w:pStyle w:val="Normal6a"/>
            </w:pPr>
            <w:r>
              <w:t>17.</w:t>
            </w:r>
            <w:r>
              <w:tab/>
            </w:r>
            <w:r>
              <w:rPr>
                <w:b/>
                <w:i/>
              </w:rPr>
              <w:t>Prima na znanje nedavni slučaj kojim se potvrđuje tvrdnja</w:t>
            </w:r>
            <w:r>
              <w:t xml:space="preserve"> Komisije da </w:t>
            </w:r>
            <w:r>
              <w:rPr>
                <w:b/>
                <w:i/>
              </w:rPr>
              <w:t>povijesni</w:t>
            </w:r>
            <w:r>
              <w:t xml:space="preserve"> irski porezni dogovor s Appleom</w:t>
            </w:r>
            <w:r>
              <w:rPr>
                <w:b/>
                <w:i/>
              </w:rPr>
              <w:t>, koji se provodio od 2003. do 2014., nije bio u skladu sa zakonodavstvom EU-a o državnim potporama;</w:t>
            </w:r>
            <w:r>
              <w:t xml:space="preserve"> </w:t>
            </w:r>
            <w:r>
              <w:rPr>
                <w:b/>
                <w:i/>
              </w:rPr>
              <w:t>potvrđuje da se pravni okvir u Irskoj u međuvremenu promijenio i da se dotični porezni aranžman više ne primjenjuje;</w:t>
            </w:r>
            <w:r>
              <w:t xml:space="preserve"> </w:t>
            </w:r>
            <w:r>
              <w:rPr>
                <w:b/>
                <w:i/>
              </w:rPr>
              <w:t>također prima na znanje nedavnu presudu Suda EU-a prema kojoj Googleove prakse u pogledu njegove usluge za usporedbu cijena nisu bile u skladu s pravom EU-a o tržišnom natjecanju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pozdravlja</w:t>
            </w:r>
            <w:r>
              <w:t xml:space="preserve"> dva nedavna istaknuta slučaja koji potvrđuju tvrdnju Komisije da irski porezni dogovor s Appleom i Googleom predstavlja protutržišnu praksu;</w:t>
            </w:r>
          </w:p>
        </w:tc>
        <w:tc>
          <w:tcPr>
            <w:tcW w:w="4876" w:type="dxa"/>
            <w:tcBorders>
              <w:top w:val="nil"/>
              <w:left w:val="nil"/>
              <w:bottom w:val="nil"/>
              <w:right w:val="nil"/>
            </w:tcBorders>
          </w:tcPr>
          <w:p>
            <w:pPr>
              <w:pStyle w:val="Normal6a"/>
            </w:pPr>
            <w:r>
              <w:t>17.</w:t>
            </w:r>
            <w:r>
              <w:tab/>
            </w:r>
            <w:r>
              <w:rPr>
                <w:b/>
                <w:i/>
              </w:rPr>
              <w:t>naglašava</w:t>
            </w:r>
            <w:r>
              <w:t xml:space="preserve"> dva nedavna istaknuta slučaja koji potvrđuju tvrdnju Komisije da irski porezni dogovor s Appleom i Googleom predstavlja protutržišnu praksu; </w:t>
            </w:r>
            <w:r>
              <w:rPr>
                <w:b/>
                <w:i/>
              </w:rPr>
              <w:t>podsjeća da bi, iako je potrebno ispraviti prakse koje štete slobodnom tržištu, pristup Komisije trebao biti da tržišta ostanu otvorena, uz poštovanje načela supsidijarnosti u poreznoj politici;</w:t>
            </w:r>
            <w:r>
              <w:t xml:space="preserve"> </w:t>
            </w:r>
            <w:r>
              <w:rPr>
                <w:b/>
                <w:i/>
              </w:rPr>
              <w:t>podsjeća da države moraju zadržati svoju autonomiju u provođenju fiskalnih politika kojima se potiče gospodarski rast, ulaganja i konkurentnost u njihovim gospodarstvima;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pozdravlja </w:t>
            </w:r>
            <w:r>
              <w:rPr>
                <w:b/>
                <w:i/>
              </w:rPr>
              <w:t>dva nedavna istaknuta slučaja koji potvrđuju tvrdnju</w:t>
            </w:r>
            <w:r>
              <w:t xml:space="preserve"> Komisije da irski porezni dogovor s Appleom </w:t>
            </w:r>
            <w:r>
              <w:rPr>
                <w:b/>
                <w:i/>
              </w:rPr>
              <w:t>i Googleom predstavlja protutržišnu praksu</w:t>
            </w:r>
            <w:r>
              <w:t>;</w:t>
            </w:r>
          </w:p>
        </w:tc>
        <w:tc>
          <w:tcPr>
            <w:tcW w:w="4876" w:type="dxa"/>
            <w:tcBorders>
              <w:top w:val="nil"/>
              <w:left w:val="nil"/>
              <w:bottom w:val="nil"/>
              <w:right w:val="nil"/>
            </w:tcBorders>
          </w:tcPr>
          <w:p>
            <w:pPr>
              <w:pStyle w:val="Normal6a"/>
            </w:pPr>
            <w:r>
              <w:t>17.</w:t>
            </w:r>
            <w:r>
              <w:tab/>
            </w:r>
            <w:r>
              <w:t xml:space="preserve">pozdravlja </w:t>
            </w:r>
            <w:r>
              <w:rPr>
                <w:b/>
                <w:i/>
              </w:rPr>
              <w:t>dvije nedavne povijesne sudske presude kojima se potvrđuje tvrdnja</w:t>
            </w:r>
            <w:r>
              <w:t xml:space="preserve"> Komisije da irski porezni dogovor s Appleom </w:t>
            </w:r>
            <w:r>
              <w:rPr>
                <w:b/>
                <w:i/>
              </w:rPr>
              <w:t>predstavlja nezakonitu državnu potporu te da je Google zloupotrijebio svoj dominantni položaj protivno Ugovorima;</w:t>
            </w:r>
            <w:r>
              <w:t xml:space="preserve"> </w:t>
            </w:r>
            <w:r>
              <w:rPr>
                <w:b/>
                <w:i/>
              </w:rPr>
              <w:t>potiče Komisiju da nastavi s suzbijanjem zlouporaba državnih potpora koje uključuju selektivne porezne prednosti za poduzeća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pozdravlja dva nedavna istaknuta slučaja koji potvrđuju tvrdnju Komisije da irski porezni dogovor s Appleom i Googleom predstavlja protutržišnu praksu;</w:t>
            </w:r>
          </w:p>
        </w:tc>
        <w:tc>
          <w:tcPr>
            <w:tcW w:w="4876" w:type="dxa"/>
            <w:tcBorders>
              <w:top w:val="nil"/>
              <w:left w:val="nil"/>
              <w:bottom w:val="nil"/>
              <w:right w:val="nil"/>
            </w:tcBorders>
          </w:tcPr>
          <w:p>
            <w:pPr>
              <w:pStyle w:val="Normal6a"/>
            </w:pPr>
            <w:r>
              <w:t>17.</w:t>
            </w:r>
            <w:r>
              <w:tab/>
            </w:r>
            <w:r>
              <w:t xml:space="preserve">pozdravlja dva nedavna istaknuta slučaja koji potvrđuju tvrdnju Komisije da irski porezni dogovor s Appleom i Googleom predstavlja protutržišnu praksu; </w:t>
            </w:r>
            <w:r>
              <w:rPr>
                <w:b/>
                <w:i/>
              </w:rPr>
              <w:t>traži od Komisije da pojasni postojeće pravne propise kako bi se porezne olakšice kojima se narušava tržišno natjecanje mogle smatrati nezakonitima;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pozdravlja dva nedavna istaknuta slučaja koji potvrđuju tvrdnju Komisije da irski porezni dogovor s Appleom i Googleom predstavlja protutržišnu praksu;</w:t>
            </w:r>
          </w:p>
        </w:tc>
        <w:tc>
          <w:tcPr>
            <w:tcW w:w="4876" w:type="dxa"/>
            <w:tcBorders>
              <w:top w:val="nil"/>
              <w:left w:val="nil"/>
              <w:bottom w:val="nil"/>
              <w:right w:val="nil"/>
            </w:tcBorders>
          </w:tcPr>
          <w:p>
            <w:pPr>
              <w:pStyle w:val="Normal6a"/>
            </w:pPr>
            <w:r>
              <w:t>17.</w:t>
            </w:r>
            <w:r>
              <w:tab/>
            </w:r>
            <w:r>
              <w:t xml:space="preserve">pozdravlja dva nedavna istaknuta slučaja koji potvrđuju tvrdnju Komisije da irski porezni dogovor s Appleom i Googleom predstavlja protutržišnu praksu </w:t>
            </w:r>
            <w:r>
              <w:rPr>
                <w:b/>
                <w:i/>
              </w:rPr>
              <w:t>zbog dodjele nezakonite državne potpore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Regina Doherty, Lídia Pereira, 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pozdravlja</w:t>
            </w:r>
            <w:r>
              <w:t xml:space="preserve"> dva nedavna </w:t>
            </w:r>
            <w:r>
              <w:rPr>
                <w:b/>
                <w:i/>
              </w:rPr>
              <w:t>istaknuta slučaja koji potvrđuju tvrdnju Komisije da irski porezni dogovor s Appleom i Googleom predstavlja protutržišnu praksu</w:t>
            </w:r>
            <w:r>
              <w:t>;</w:t>
            </w:r>
          </w:p>
        </w:tc>
        <w:tc>
          <w:tcPr>
            <w:tcW w:w="4876" w:type="dxa"/>
            <w:tcBorders>
              <w:top w:val="nil"/>
              <w:left w:val="nil"/>
              <w:bottom w:val="nil"/>
              <w:right w:val="nil"/>
            </w:tcBorders>
          </w:tcPr>
          <w:p>
            <w:pPr>
              <w:pStyle w:val="Normal6a"/>
            </w:pPr>
            <w:r>
              <w:t>17.</w:t>
            </w:r>
            <w:r>
              <w:tab/>
            </w:r>
            <w:r>
              <w:rPr>
                <w:b/>
                <w:i/>
              </w:rPr>
              <w:t>prima na znanje</w:t>
            </w:r>
            <w:r>
              <w:t xml:space="preserve"> dva nedavna </w:t>
            </w:r>
            <w:r>
              <w:rPr>
                <w:b/>
                <w:i/>
              </w:rPr>
              <w:t>predmeta pred Sudom EU-a koji se odnose na porez koji je Apple platio u skladu s prethodnim poreznim pravilima iz razdoblja prije 2007., a koji su sada nezakoniti, i na Googleove aktivnosti koje se smatraju protutržišnima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pozdravlja dva nedavna istaknuta slučaja koji potvrđuju tvrdnju Komisije da irski </w:t>
            </w:r>
            <w:r>
              <w:rPr>
                <w:b/>
                <w:i/>
              </w:rPr>
              <w:t>porezni</w:t>
            </w:r>
            <w:r>
              <w:t xml:space="preserve"> dogovor </w:t>
            </w:r>
            <w:r>
              <w:rPr>
                <w:b/>
                <w:i/>
              </w:rPr>
              <w:t>s Appleom i Googleom</w:t>
            </w:r>
            <w:r>
              <w:t xml:space="preserve"> predstavlja protutržišnu praksu;</w:t>
            </w:r>
          </w:p>
        </w:tc>
        <w:tc>
          <w:tcPr>
            <w:tcW w:w="4876" w:type="dxa"/>
            <w:tcBorders>
              <w:top w:val="nil"/>
              <w:left w:val="nil"/>
              <w:bottom w:val="nil"/>
              <w:right w:val="nil"/>
            </w:tcBorders>
          </w:tcPr>
          <w:p>
            <w:pPr>
              <w:pStyle w:val="Normal6a"/>
            </w:pPr>
            <w:r>
              <w:t>17.</w:t>
            </w:r>
            <w:r>
              <w:tab/>
            </w:r>
            <w:r>
              <w:t xml:space="preserve">pozdravlja dva nedavna istaknuta slučaja koji potvrđuju tvrdnju Komisije da irski dogovor </w:t>
            </w:r>
            <w:r>
              <w:rPr>
                <w:b/>
                <w:i/>
              </w:rPr>
              <w:t>o dodjeli državne potpore Appleu i Googleu</w:t>
            </w:r>
            <w:r>
              <w:t xml:space="preserve"> predstavlja protutržišnu praksu;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izražava duboko žaljenje zbog izvršnog naloga predsjednika SAD-a u kojem se tvrdi da globalni porezni sporazum OECD-a „nema ni valjanosti ni učinka u Sjedinjenim Američkim Državama”, ne temelju čega se SAD zapravo povlači iz pregovora;</w:t>
            </w:r>
            <w:r>
              <w:t xml:space="preserve"> </w:t>
            </w:r>
            <w:r>
              <w:rPr>
                <w:b/>
                <w:i/>
              </w:rPr>
              <w:t>naglašava važnost multilateralizma kako bi se osiguralo da multinacionalna poduzeća plaćaju svoj udio u oporezivanju ondje gdje se vrijednost stvara;</w:t>
            </w:r>
            <w:r>
              <w:t xml:space="preserve"> </w:t>
            </w:r>
            <w:r>
              <w:rPr>
                <w:b/>
                <w:i/>
              </w:rPr>
              <w:t>ističe da se drugim stupom globalnog poreznog sporazuma OECD-a ograničava štetna porezna konkurencija, čime se zaustavlja utrka prema dnu u oporezivanju trgovačkih društava, koja je narušila porezne prihode, dovela u pitanje pravednost i povećala globalnu nejednakost;</w:t>
            </w:r>
            <w:r>
              <w:t xml:space="preserve"> </w:t>
            </w:r>
            <w:r>
              <w:rPr>
                <w:b/>
                <w:i/>
              </w:rPr>
              <w:t>smatra da bi EU trebao u potpunosti podržati Direktivu o drugom stupu kako bi se spriječio povratak nekontrolirane porezne konkurencije, koja bi štetila javnim prihodima;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naglašava zabrinjavajuće</w:t>
            </w:r>
            <w:r>
              <w:t xml:space="preserve"> tržišne koncentracije na raznim digitalnim tržištima, kao što su društvene mreže, tražilice, umjetna inteligencija, usluge računalstva u oblaku i internetsko oglašavanje; ističe stvarni i potencijalni negativni učinak na europsku konkurentnost, zaštitu podataka, društvo i demokraciju; potiče Komisiju da se bavi pitanjima koja su specifična za tehnološko tržište, uključujući infrastrukturnu snagu, vertikalnu koncentraciju i tržišni utjecaj na digitalnim tržištima;</w:t>
            </w:r>
          </w:p>
        </w:tc>
        <w:tc>
          <w:tcPr>
            <w:tcW w:w="4876" w:type="dxa"/>
            <w:tcBorders>
              <w:top w:val="nil"/>
              <w:left w:val="nil"/>
              <w:bottom w:val="nil"/>
              <w:right w:val="nil"/>
            </w:tcBorders>
          </w:tcPr>
          <w:p>
            <w:pPr>
              <w:pStyle w:val="Normal6a"/>
            </w:pPr>
            <w:r>
              <w:t>18.</w:t>
            </w:r>
            <w:r>
              <w:tab/>
            </w:r>
            <w:r>
              <w:rPr>
                <w:b/>
                <w:i/>
              </w:rPr>
              <w:t>ističe</w:t>
            </w:r>
            <w:r>
              <w:t xml:space="preserve"> tržišne koncentracije na raznim digitalnim tržištima, kao što su društvene mreže, tražilice, umjetna inteligencija, usluge računalstva u oblaku i internetsko oglašavanje; </w:t>
            </w:r>
            <w:r>
              <w:rPr>
                <w:b/>
                <w:i/>
              </w:rPr>
              <w:t>uviđa da se takve koncentracije ne bi trebale automatski tumačiti kao prakse protivne tržišnom natjecanju, već mogu odražavati učinkovitost i inovacijski kapacitet poduzeća koja dominiraju tim sektorima;</w:t>
            </w:r>
            <w:r>
              <w:t xml:space="preserve"> ističe stvarni i potencijalni negativni učinak </w:t>
            </w:r>
            <w:r>
              <w:rPr>
                <w:b/>
                <w:i/>
              </w:rPr>
              <w:t>koji mogu imati</w:t>
            </w:r>
            <w:r>
              <w:t xml:space="preserve"> na europsku konkurentnost, zaštitu podataka, društvo i demokraciju; potiče Komisiju da se bavi pitanjima koja su specifična za tehnološko tržište, uključujući infrastrukturnu snagu, vertikalnu koncentraciju i tržišni utjecaj na digitalnim tržištima;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naglašava zabrinjavajuće tržišne koncentracije na raznim digitalnim tržištima, kao što su društvene mreže, tražilice, umjetna inteligencija, usluge računalstva u oblaku i internetsko oglašavanje; ističe stvarni i potencijalni negativni učinak na europsku konkurentnost, zaštitu podataka, društvo i demokraciju; potiče Komisiju da </w:t>
            </w:r>
            <w:r>
              <w:rPr>
                <w:b/>
                <w:i/>
              </w:rPr>
              <w:t>se bavi pitanjima</w:t>
            </w:r>
            <w:r>
              <w:t xml:space="preserve"> koja su specifična za tehnološko tržište, uključujući infrastrukturnu snagu, vertikalnu koncentraciju i tržišni utjecaj na digitalnim tržištima;</w:t>
            </w:r>
          </w:p>
        </w:tc>
        <w:tc>
          <w:tcPr>
            <w:tcW w:w="4876" w:type="dxa"/>
            <w:tcBorders>
              <w:top w:val="nil"/>
              <w:left w:val="nil"/>
              <w:bottom w:val="nil"/>
              <w:right w:val="nil"/>
            </w:tcBorders>
          </w:tcPr>
          <w:p>
            <w:pPr>
              <w:pStyle w:val="Normal6a"/>
            </w:pPr>
            <w:r>
              <w:t>18.</w:t>
            </w:r>
            <w:r>
              <w:tab/>
            </w:r>
            <w:r>
              <w:t xml:space="preserve">naglašava zabrinjavajuće tržišne koncentracije na raznim digitalnim tržištima, kao što su društvene mreže, tražilice, umjetna inteligencija, usluge računalstva u oblaku i internetsko oglašavanje; ističe stvarni i potencijalni negativni učinak na europsku konkurentnost, zaštitu podataka, društvo i demokraciju; potiče Komisiju da </w:t>
            </w:r>
            <w:r>
              <w:rPr>
                <w:b/>
                <w:i/>
              </w:rPr>
              <w:t>nastavi ulagati napore u rješavanje pitanja</w:t>
            </w:r>
            <w:r>
              <w:t xml:space="preserve"> koja su specifična za tehnološko tržište, uključujući infrastrukturnu snagu, vertikalnu koncentraciju i tržišni utjecaj na digitalnim tržištima</w:t>
            </w:r>
            <w:r>
              <w:rPr>
                <w:b/>
                <w:i/>
              </w:rPr>
              <w:t>, čije koristi potvrđuje napredak postignut u okviru Akta o digitalnim tržištima.</w:t>
            </w:r>
            <w:r>
              <w:t xml:space="preserve"> </w:t>
            </w:r>
            <w:r>
              <w:rPr>
                <w:b/>
                <w:i/>
              </w:rPr>
              <w:t>Osim toga, poziva na pokretanje novih istraga u sektoru računalstva u oblaku kako bi se dodatno zajamčili pošteno tržišno natjecanje i inovacije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naglašava zabrinjavajuće tržišne koncentracije na raznim digitalnim tržištima, kao što su društvene mreže, tražilice, umjetna inteligencija, usluge računalstva u oblaku i internetsko oglašavanje; ističe stvarni i potencijalni negativni učinak na europsku konkurentnost, zaštitu podataka, društvo i demokraciju; potiče Komisiju da se bavi pitanjima koja su specifična za tehnološko tržište, uključujući infrastrukturnu snagu, vertikalnu koncentraciju i tržišni utjecaj na digitalnim tržištima;</w:t>
            </w:r>
          </w:p>
        </w:tc>
        <w:tc>
          <w:tcPr>
            <w:tcW w:w="4876" w:type="dxa"/>
            <w:tcBorders>
              <w:top w:val="nil"/>
              <w:left w:val="nil"/>
              <w:bottom w:val="nil"/>
              <w:right w:val="nil"/>
            </w:tcBorders>
          </w:tcPr>
          <w:p>
            <w:pPr>
              <w:pStyle w:val="Normal6a"/>
            </w:pPr>
            <w:r>
              <w:t>18.</w:t>
            </w:r>
            <w:r>
              <w:tab/>
            </w:r>
            <w:r>
              <w:t xml:space="preserve">naglašava zabrinjavajuće tržišne koncentracije na raznim digitalnim tržištima, kao što su društvene mreže, tražilice, umjetna inteligencija, usluge računalstva u oblaku i internetsko oglašavanje; ističe stvarni i potencijalni negativni učinak na europsku konkurentnost, zaštitu podataka, društvo i demokraciju; potiče Komisiju da se bavi pitanjima koja su specifična za tehnološko tržište, uključujući infrastrukturnu snagu, vertikalnu koncentraciju i tržišni utjecaj na digitalnim tržištima; </w:t>
            </w:r>
            <w:r>
              <w:rPr>
                <w:b/>
                <w:i/>
              </w:rPr>
              <w:t>potiče Komisiju da se pozabavi sve većom vertikalnom koncentracijom dominantnih aktera u cijelom vrijednosnom lancu oglašavanja, koja ugrožava europski sektor internetskog oglašavanja;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naglašava zabrinjavajuće tržišne koncentracije na raznim digitalnim tržištima, kao što su društvene mreže, tražilice, umjetna inteligencija, usluge računalstva u oblaku i internetsko oglašavanje; ističe stvarni i potencijalni negativni učinak na europsku konkurentnost, zaštitu podataka, društvo i demokraciju; potiče Komisiju da se bavi pitanjima koja su specifična za tehnološko tržište, uključujući infrastrukturnu snagu, vertikalnu koncentraciju </w:t>
            </w:r>
            <w:r>
              <w:rPr>
                <w:b/>
                <w:i/>
              </w:rPr>
              <w:t>i tržišni</w:t>
            </w:r>
            <w:r>
              <w:t xml:space="preserve"> utjecaj na digitalnim tržištima;</w:t>
            </w:r>
          </w:p>
        </w:tc>
        <w:tc>
          <w:tcPr>
            <w:tcW w:w="4876" w:type="dxa"/>
            <w:tcBorders>
              <w:top w:val="nil"/>
              <w:left w:val="nil"/>
              <w:bottom w:val="nil"/>
              <w:right w:val="nil"/>
            </w:tcBorders>
          </w:tcPr>
          <w:p>
            <w:pPr>
              <w:pStyle w:val="Normal6a"/>
            </w:pPr>
            <w:r>
              <w:t>18.</w:t>
            </w:r>
            <w:r>
              <w:tab/>
            </w:r>
            <w:r>
              <w:t xml:space="preserve">naglašava zabrinjavajuće tržišne koncentracije na raznim digitalnim tržištima, kao što su društvene mreže, tražilice, umjetna inteligencija, usluge računalstva u oblaku i internetsko oglašavanje; ističe stvarni i potencijalni negativni učinak na europsku konkurentnost, zaštitu podataka, društvo i demokraciju; potiče Komisiju da se bavi pitanjima koja su specifična za tehnološko tržište, uključujući infrastrukturnu snagu, </w:t>
            </w:r>
            <w:r>
              <w:rPr>
                <w:b/>
                <w:i/>
              </w:rPr>
              <w:t>u slojevima hardvera i računarstva u oblaku,</w:t>
            </w:r>
            <w:r>
              <w:t xml:space="preserve"> vertikalnu koncentraciju</w:t>
            </w:r>
            <w:r>
              <w:rPr>
                <w:b/>
                <w:i/>
              </w:rPr>
              <w:t>, strukturni utjecaj velikih pozicioniranih aktera na ekosustav međuovisnih komplemenata i raširen međutržišni</w:t>
            </w:r>
            <w:r>
              <w:t xml:space="preserve"> utjecaj na digitalnim tržištima;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naglašava zabrinjavajuće tržišne koncentracije na raznim digitalnim tržištima, kao što su društvene mreže, tražilice, umjetna inteligencija, usluge računalstva u oblaku i internetsko oglašavanje; ističe stvarni i </w:t>
            </w:r>
            <w:r>
              <w:rPr>
                <w:b/>
                <w:i/>
              </w:rPr>
              <w:t>potencijalni</w:t>
            </w:r>
            <w:r>
              <w:t xml:space="preserve"> negativni učinak na europsku konkurentnost, zaštitu podataka, društvo i demokraciju; potiče Komisiju da se bavi pitanjima koja su specifična za tehnološko tržište, uključujući infrastrukturnu snagu, vertikalnu koncentraciju i tržišni utjecaj na digitalnim tržištima;</w:t>
            </w:r>
          </w:p>
        </w:tc>
        <w:tc>
          <w:tcPr>
            <w:tcW w:w="4876" w:type="dxa"/>
            <w:tcBorders>
              <w:top w:val="nil"/>
              <w:left w:val="nil"/>
              <w:bottom w:val="nil"/>
              <w:right w:val="nil"/>
            </w:tcBorders>
          </w:tcPr>
          <w:p>
            <w:pPr>
              <w:pStyle w:val="Normal6a"/>
            </w:pPr>
            <w:r>
              <w:t>18.</w:t>
            </w:r>
            <w:r>
              <w:tab/>
            </w:r>
            <w:r>
              <w:t>naglašava zabrinjavajuće tržišne koncentracije na raznim digitalnim tržištima, kao što su društvene mreže, tražilice, umjetna inteligencija, usluge računalstva u oblaku</w:t>
            </w:r>
            <w:r>
              <w:rPr>
                <w:b/>
                <w:i/>
              </w:rPr>
              <w:t>, čipovi</w:t>
            </w:r>
            <w:r>
              <w:t xml:space="preserve"> i internetsko oglašavanje; ističe stvarni i </w:t>
            </w:r>
            <w:r>
              <w:rPr>
                <w:b/>
                <w:i/>
              </w:rPr>
              <w:t>potencijalan</w:t>
            </w:r>
            <w:r>
              <w:t xml:space="preserve"> negativni učinak na europsku konkurentnost, </w:t>
            </w:r>
            <w:r>
              <w:rPr>
                <w:b/>
                <w:i/>
              </w:rPr>
              <w:t>otpornost lanaca opskrbe,</w:t>
            </w:r>
            <w:r>
              <w:t xml:space="preserve"> zaštitu podataka, društvo i demokraciju; potiče Komisiju da se bavi pitanjima koja su specifična za tehnološko tržište, uključujući infrastrukturnu snagu, vertikalnu koncentraciju</w:t>
            </w:r>
            <w:r>
              <w:rPr>
                <w:b/>
                <w:i/>
              </w:rPr>
              <w:t>, algoritamsku manipulaciju u digitalnoj javnoj sferi</w:t>
            </w:r>
            <w:r>
              <w:t xml:space="preserve"> i tržišni utjecaj na digitalnim tržištima;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naglašava zabrinjavajuće tržišne koncentracije na raznim digitalnim tržištima, kao što su društvene mreže, tražilice, umjetna inteligencija, usluge računalstva u oblaku i internetsko oglašavanje; ističe stvarni i </w:t>
            </w:r>
            <w:r>
              <w:rPr>
                <w:b/>
                <w:i/>
              </w:rPr>
              <w:t>potencijalni</w:t>
            </w:r>
            <w:r>
              <w:t xml:space="preserve"> negativni učinak na europsku konkurentnost, zaštitu podataka, društvo i demokraciju; potiče Komisiju da se bavi pitanjima koja su specifična za tehnološko tržište, uključujući infrastrukturnu snagu, vertikalnu koncentraciju i tržišni utjecaj na digitalnim tržištima;</w:t>
            </w:r>
          </w:p>
        </w:tc>
        <w:tc>
          <w:tcPr>
            <w:tcW w:w="4876" w:type="dxa"/>
            <w:tcBorders>
              <w:top w:val="nil"/>
              <w:left w:val="nil"/>
              <w:bottom w:val="nil"/>
              <w:right w:val="nil"/>
            </w:tcBorders>
          </w:tcPr>
          <w:p>
            <w:pPr>
              <w:pStyle w:val="Normal6a"/>
            </w:pPr>
            <w:r>
              <w:t>18.</w:t>
            </w:r>
            <w:r>
              <w:tab/>
            </w:r>
            <w:r>
              <w:t xml:space="preserve">naglašava zabrinjavajuće tržišne koncentracije na raznim digitalnim tržištima, kao što su društvene mreže, tražilice, umjetna inteligencija, usluge računalstva u oblaku i internetsko oglašavanje; ističe stvarni i </w:t>
            </w:r>
            <w:r>
              <w:rPr>
                <w:b/>
                <w:i/>
              </w:rPr>
              <w:t>potencijalan</w:t>
            </w:r>
            <w:r>
              <w:t xml:space="preserve"> negativni učinak </w:t>
            </w:r>
            <w:r>
              <w:rPr>
                <w:b/>
                <w:i/>
              </w:rPr>
              <w:t>zlouporabe dominantnog položaja određenih sudionika na tržištu</w:t>
            </w:r>
            <w:r>
              <w:t xml:space="preserve"> na europsku konkurentnost, zaštitu podataka, društvo i demokraciju; potiče Komisiju da se bavi pitanjima koja su specifična za tehnološko tržište, uključujući infrastrukturnu snagu, vertikalnu koncentraciju i tržišni utjecaj na digitalnim tržištima;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naglašava zabrinjavajuće tržišne koncentracije na raznim digitalnim tržištima, kao što su društvene mreže, tražilice, umjetna inteligencija, usluge računalstva u oblaku i internetsko oglašavanje; ističe stvarni i potencijalni negativni učinak na europsku konkurentnost, zaštitu podataka, društvo i demokraciju; potiče Komisiju da </w:t>
            </w:r>
            <w:r>
              <w:rPr>
                <w:b/>
                <w:i/>
              </w:rPr>
              <w:t>se bavi pitanjima koja su specifična</w:t>
            </w:r>
            <w:r>
              <w:t xml:space="preserve"> za tehnološko tržište, uključujući infrastrukturnu snagu, vertikalnu koncentraciju i tržišni utjecaj na digitalnim tržištima;</w:t>
            </w:r>
          </w:p>
        </w:tc>
        <w:tc>
          <w:tcPr>
            <w:tcW w:w="4876" w:type="dxa"/>
            <w:tcBorders>
              <w:top w:val="nil"/>
              <w:left w:val="nil"/>
              <w:bottom w:val="nil"/>
              <w:right w:val="nil"/>
            </w:tcBorders>
          </w:tcPr>
          <w:p>
            <w:pPr>
              <w:pStyle w:val="Normal6a"/>
            </w:pPr>
            <w:r>
              <w:t>18.</w:t>
            </w:r>
            <w:r>
              <w:tab/>
            </w:r>
            <w:r>
              <w:t xml:space="preserve">naglašava zabrinjavajuće tržišne koncentracije na raznim digitalnim tržištima, kao što su društvene mreže, tražilice, umjetna inteligencija, usluge računalstva u oblaku i internetsko oglašavanje; ističe stvarni i potencijalni negativni učinak na europsku konkurentnost, zaštitu podataka, društvo i demokraciju; potiče Komisiju da </w:t>
            </w:r>
            <w:r>
              <w:rPr>
                <w:b/>
                <w:i/>
              </w:rPr>
              <w:t>odlučnom primjenom Akta o digitalnim tržištima riješi probleme koji su specifični</w:t>
            </w:r>
            <w:r>
              <w:t xml:space="preserve"> za tehnološko tržište, uključujući infrastrukturnu snagu, vertikalnu koncentraciju i tržišni utjecaj na digitalnim tržištima;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naglašava zabrinjavajuće tržišne koncentracije na raznim digitalnim tržištima, kao što su društvene mreže, tražilice, umjetna inteligencija, usluge računalstva u oblaku i internetsko oglašavanje; ističe stvarni i potencijalni negativni učinak na europsku konkurentnost, zaštitu podataka, društvo i demokraciju; potiče Komisiju da se bavi pitanjima koja su specifična za tehnološko tržište, uključujući infrastrukturnu snagu, vertikalnu koncentraciju i tržišni utjecaj na digitalnim tržištima;</w:t>
            </w:r>
          </w:p>
        </w:tc>
        <w:tc>
          <w:tcPr>
            <w:tcW w:w="4876" w:type="dxa"/>
            <w:tcBorders>
              <w:top w:val="nil"/>
              <w:left w:val="nil"/>
              <w:bottom w:val="nil"/>
              <w:right w:val="nil"/>
            </w:tcBorders>
          </w:tcPr>
          <w:p>
            <w:pPr>
              <w:pStyle w:val="Normal6a"/>
            </w:pPr>
            <w:r>
              <w:t>18.</w:t>
            </w:r>
            <w:r>
              <w:tab/>
            </w:r>
            <w:r>
              <w:t>naglašava zabrinjavajuće tržišne koncentracije na raznim digitalnim tržištima, kao što su društvene mreže, tražilice, umjetna inteligencija, usluge računalstva u oblaku i internetsko oglašavanje; ističe stvarni i potencijalni negativni učinak na europsku konkurentnost, zaštitu podataka, društvo i demokraciju; potiče Komisiju da se bavi pitanjima koja su specifična za tehnološko tržište, uključujući infrastrukturnu snagu, vertikalnu koncentraciju</w:t>
            </w:r>
            <w:r>
              <w:rPr>
                <w:b/>
                <w:i/>
              </w:rPr>
              <w:t>, potrebu za oporezivanjem</w:t>
            </w:r>
            <w:r>
              <w:t xml:space="preserve"> i tržišni utjecaj na digitalnim tržištima;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naglašava zabrinjavajuće</w:t>
            </w:r>
            <w:r>
              <w:t xml:space="preserve"> tržišne koncentracije na raznim digitalnim tržištima, kao što su društvene mreže, tražilice, umjetna inteligencija, usluge računalstva u oblaku i internetsko oglašavanje; ističe </w:t>
            </w:r>
            <w:r>
              <w:rPr>
                <w:b/>
                <w:i/>
              </w:rPr>
              <w:t>stvarni i potencijalni</w:t>
            </w:r>
            <w:r>
              <w:t xml:space="preserve"> negativni učinak na europsku konkurentnost</w:t>
            </w:r>
            <w:r>
              <w:rPr>
                <w:b/>
                <w:i/>
              </w:rPr>
              <w:t>, zaštitu podataka, društvo i demokraciju</w:t>
            </w:r>
            <w:r>
              <w:t xml:space="preserve">; potiče Komisiju da se bavi pitanjima koja su specifična za </w:t>
            </w:r>
            <w:r>
              <w:rPr>
                <w:b/>
                <w:i/>
              </w:rPr>
              <w:t>tehnološko tržište, uključujući infrastrukturnu snagu, vertikalnu koncentraciju i tržišni utjecaj na digitalnim tržištima</w:t>
            </w:r>
            <w:r>
              <w:t>;</w:t>
            </w:r>
          </w:p>
        </w:tc>
        <w:tc>
          <w:tcPr>
            <w:tcW w:w="4876" w:type="dxa"/>
            <w:tcBorders>
              <w:top w:val="nil"/>
              <w:left w:val="nil"/>
              <w:bottom w:val="nil"/>
              <w:right w:val="nil"/>
            </w:tcBorders>
          </w:tcPr>
          <w:p>
            <w:pPr>
              <w:pStyle w:val="Normal6a"/>
            </w:pPr>
            <w:r>
              <w:t>18.</w:t>
            </w:r>
            <w:r>
              <w:tab/>
            </w:r>
            <w:r>
              <w:rPr>
                <w:b/>
                <w:i/>
              </w:rPr>
              <w:t>ističe</w:t>
            </w:r>
            <w:r>
              <w:t xml:space="preserve"> tržišne koncentracije na raznim digitalnim tržištima, kao što su društvene mreže, tražilice, umjetna inteligencija, usluge računalstva u oblaku i internetsko oglašavanje; ističe </w:t>
            </w:r>
            <w:r>
              <w:rPr>
                <w:b/>
                <w:i/>
              </w:rPr>
              <w:t>stvaran i potencijalan</w:t>
            </w:r>
            <w:r>
              <w:t xml:space="preserve"> negativni učinak na europsku konkurentnost; potiče Komisiju da se bavi pitanjima koja su specifična za </w:t>
            </w:r>
            <w:r>
              <w:rPr>
                <w:b/>
                <w:i/>
              </w:rPr>
              <w:t>tržište tehnologije, uzimajući u obzir budući inovacijski potencijal u svojim procjenama, unatoč neizvjesnosti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naglašava zabrinjavajuće tržišne koncentracije na raznim digitalnim tržištima, kao što su društvene mreže, tražilice, umjetna inteligencija, usluge računalstva u oblaku i internetsko oglašavanje; ističe stvarni i potencijalni negativni učinak na europsku konkurentnost, zaštitu podataka, društvo i demokraciju; potiče Komisiju da se bavi pitanjima koja su specifična za tehnološko tržište, uključujući infrastrukturnu snagu, vertikalnu koncentraciju i tržišni utjecaj na digitalnim tržištima;</w:t>
            </w:r>
          </w:p>
        </w:tc>
        <w:tc>
          <w:tcPr>
            <w:tcW w:w="4876" w:type="dxa"/>
            <w:tcBorders>
              <w:top w:val="nil"/>
              <w:left w:val="nil"/>
              <w:bottom w:val="nil"/>
              <w:right w:val="nil"/>
            </w:tcBorders>
          </w:tcPr>
          <w:p>
            <w:pPr>
              <w:pStyle w:val="Normal6a"/>
            </w:pPr>
            <w:r>
              <w:t>18.</w:t>
            </w:r>
            <w:r>
              <w:tab/>
            </w:r>
            <w:r>
              <w:t>naglašava zabrinjavajuće tržišne koncentracije na raznim digitalnim tržištima, kao što su društvene mreže, tražilice, umjetna inteligencija, usluge računalstva u oblaku</w:t>
            </w:r>
            <w:r>
              <w:rPr>
                <w:b/>
                <w:i/>
              </w:rPr>
              <w:t>, e-trgovina</w:t>
            </w:r>
            <w:r>
              <w:t xml:space="preserve"> i internetsko oglašavanje; ističe stvarni i potencijalni negativni učinak na europsku konkurentnost, zaštitu podataka, društvo i demokraciju; potiče Komisiju da se bavi pitanjima koja su specifična za tehnološko tržište, uključujući infrastrukturnu snagu, vertikalnu koncentraciju i tržišni utjecaj na digitalnim tržištima;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naglašava zabrinjavajuće tržišne koncentracije na raznim digitalnim tržištima, kao što su društvene mreže, tražilice, umjetna inteligencija, usluge računalstva u oblaku i internetsko oglašavanje; ističe stvarni i potencijalni negativni učinak na </w:t>
            </w:r>
            <w:r>
              <w:rPr>
                <w:b/>
                <w:i/>
              </w:rPr>
              <w:t>europsku</w:t>
            </w:r>
            <w:r>
              <w:t xml:space="preserve"> konkurentnost</w:t>
            </w:r>
            <w:r>
              <w:rPr>
                <w:b/>
                <w:i/>
              </w:rPr>
              <w:t>,</w:t>
            </w:r>
            <w:r>
              <w:t xml:space="preserve"> zaštitu podataka</w:t>
            </w:r>
            <w:r>
              <w:rPr>
                <w:b/>
                <w:i/>
              </w:rPr>
              <w:t>, društvo i demokraciju</w:t>
            </w:r>
            <w:r>
              <w:t>; potiče Komisiju da se bavi pitanjima koja su specifična za tehnološko tržište, uključujući infrastrukturnu snagu, vertikalnu koncentraciju i tržišni utjecaj na digitalnim tržištima;</w:t>
            </w:r>
          </w:p>
        </w:tc>
        <w:tc>
          <w:tcPr>
            <w:tcW w:w="4876" w:type="dxa"/>
            <w:tcBorders>
              <w:top w:val="nil"/>
              <w:left w:val="nil"/>
              <w:bottom w:val="nil"/>
              <w:right w:val="nil"/>
            </w:tcBorders>
          </w:tcPr>
          <w:p>
            <w:pPr>
              <w:pStyle w:val="Normal6a"/>
            </w:pPr>
            <w:r>
              <w:t>18.</w:t>
            </w:r>
            <w:r>
              <w:tab/>
            </w:r>
            <w:r>
              <w:t xml:space="preserve">naglašava zabrinjavajuće tržišne koncentracije na raznim digitalnim tržištima, kao što su društvene mreže, tražilice, umjetna inteligencija, usluge računalstva u oblaku i internetsko oglašavanje; ističe stvarni i potencijalni negativni učinak na konkurentnost </w:t>
            </w:r>
            <w:r>
              <w:rPr>
                <w:b/>
                <w:i/>
              </w:rPr>
              <w:t>i</w:t>
            </w:r>
            <w:r>
              <w:t xml:space="preserve"> zaštitu podataka; potiče Komisiju da se bavi pitanjima koja su specifična za tehnološko tržište, uključujući infrastrukturnu snagu, vertikalnu koncentraciju i tržišni utjecaj na digitalnim tržištima;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napominje da veliki digitalni akteri iskorištavaju svoju tržišnu moć, moć nad potrošačima, financijske resurse i koncentraciju podataka na jednom tržištu kako bi se probili na drugo tržište;</w:t>
            </w:r>
            <w:r>
              <w:t xml:space="preserve"> </w:t>
            </w:r>
            <w:r>
              <w:rPr>
                <w:b/>
                <w:i/>
              </w:rPr>
              <w:t>ističe da se mali akteri zbog toga ne mogu natjecati s njima, što dovodi do još veće ovisnosti europskih građana o malom broju istih poduzeća koja nisu iz EU-a i što ugrožava stratešku autonomiju;</w:t>
            </w:r>
            <w:r>
              <w:t xml:space="preserve"> </w:t>
            </w:r>
            <w:r>
              <w:rPr>
                <w:b/>
                <w:i/>
              </w:rPr>
              <w:t>poziva na pojačan nadzor nad utjecajem dominantnog položaja u digitalnim sektorima radi stjecanja prednosti u drugim sektorima kao i na postizanje strateške autonomije EU-a, na temelju revizije smjernica o koncentracijama, kako bi se osiguralo da se tržišni utjecaj može učinkovitije nadzirati;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izražava zabrinutost zbog stupnja tržišne koncentracije u sektoru računalstva u oblaku i zbog praksi kojima se narušava tržišno natjecanje, a koje su povezane sa složenim i netransparentnim uvjetima licenciranja ili prisilnim objedinjavanjem, zbog čega je korisnicima sve teže promijeniti pružatelje usluga računalstva u oblaku i što u fokus, s cijem poticanja tržišnog natjecanja, stavlja potrebu za raznolikim rasponom pružatelja;</w:t>
            </w:r>
            <w:r>
              <w:t xml:space="preserve"> </w:t>
            </w:r>
            <w:r>
              <w:rPr>
                <w:b/>
                <w:i/>
              </w:rPr>
              <w:t>poziva tijela nadležna za tržišno natjecanje da posebnu pozornost posvete tim praksama, koje bi mogle naštetiti tržišnom natjecanju i ograničiti izbor potrošača;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ističe ključnu ulogu interoperabilnosti u neograničenom tržišnom natjecanju smanjenjem troškova prebacivanja na digitalnim tržištima i povećanjem dobrobiti potrošača na način da im se omogući izbor, uključujući izbor alternativa koje su održivije, socijalnijeg karaktera ili koje više pogoduju zaštiti privatnosti;</w:t>
            </w:r>
            <w:r>
              <w:t xml:space="preserve"> </w:t>
            </w:r>
            <w:r>
              <w:rPr>
                <w:b/>
                <w:i/>
              </w:rPr>
              <w:t>potiče Komisiju da brzo napreduje u provedbi postojećih obveza u pogledu interoperabilnosti za usluge slanja poruka u skladu s Aktom o digitalnim tržištima, postojećih obveza u pogledu interoperabilnosti za pružatelje usluga računalstva u oblaku u skladu s Aktom o podacima te da započne s radom na preispitivanju koje treba biti provedeno u svibnju 2026.;</w:t>
            </w:r>
            <w:r>
              <w:t xml:space="preserve"> </w:t>
            </w:r>
            <w:r>
              <w:rPr>
                <w:b/>
                <w:i/>
              </w:rPr>
              <w:t>potiče Komisiju da proširi obveze u pogledu interoperabilnosti u okviru Akta o digitalnim tržištima na usluge društvenog umrežavanja na internetu;</w:t>
            </w:r>
            <w:r>
              <w:t xml:space="preserve"> </w:t>
            </w:r>
            <w:r>
              <w:rPr>
                <w:b/>
                <w:i/>
              </w:rPr>
              <w:t>potiče Komisiju da preispita jesu li obveze u pogledu interoperabilnosti i prenosivosti podataka za pružatelje usluga računalstva u oblaku u praksi dovoljno učinkovite i dostupne kako bi se omogućilo jednostavno prebacivanje i na taj način poduprli pošteno tržišno natjecanje na tržištima računalstva u oblaku kao i mogućnosti za europska mala i srednja poduzeća;</w:t>
            </w:r>
            <w:r>
              <w:t xml:space="preserve"> </w:t>
            </w:r>
            <w:r>
              <w:rPr>
                <w:b/>
                <w:i/>
              </w:rPr>
              <w:t>naglašava potrebu da Komisija u područje primjene Akta o digitalnim tržištima uključi nadzornike pristupa u vrijednosni lanac umjetne inteligencije;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izražava zabrinutost i zbog brzog razvoja usluga u području umjetne inteligencije, koji može dovesti do koncentracije na tržištu;</w:t>
            </w:r>
            <w:r>
              <w:t xml:space="preserve"> </w:t>
            </w:r>
            <w:r>
              <w:rPr>
                <w:b/>
                <w:i/>
              </w:rPr>
              <w:t>ističe da Akt o digitalnom tržištu sadržava nekoliko odredbi koje se moraju primijeniti kako bi se nadzornike pristupa spriječilo da ograniče nove programere umjetne inteligencije, kao što su pravedno rangiranje, transparentnost u oglašavanju ili pristup podacima;</w:t>
            </w:r>
            <w:r>
              <w:t xml:space="preserve"> </w:t>
            </w:r>
            <w:r>
              <w:rPr>
                <w:b/>
                <w:i/>
              </w:rPr>
              <w:t>poziva Komisiju da pomno prati usluge u području umjetne inteligencije u okviru Akta o digitalnom tržištu,</w:t>
            </w:r>
            <w:r>
              <w:t xml:space="preserve"> </w:t>
            </w:r>
            <w:r>
              <w:rPr>
                <w:b/>
                <w:i/>
              </w:rPr>
              <w:t>razmotri dodatna utvrđivanja statusa osnovne usluge platforme i brzo djeluje kako bi se uklonio rizik od toga da potrošači budu prisiljeni upotrebljavati unaprijed određene usluge u području umjetne inteligencije na svojim mobilnim uređajima, osiguravajući pritom da sustavi umjetne inteligencije i dalje ostanu transparentni i da ih korisnici mogu izabrati, čime se štiti tržišno natjecanje i izbor potrošača;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potiče Komisiju da upotrijebi sve alate koji su joj na raspolaganju za eliminiranje praksi takozvanih „ubojitih stjecanja” koja primjenjuju dominantni akteri, a koje mogu utjecati na mogućnost neograničenog tržišnog natjecanja i pravednost jedinstvenog digitalnog tržišta te imati štetan utjecaj na izbor potrošača;</w:t>
            </w:r>
            <w:r>
              <w:t xml:space="preserve"> </w:t>
            </w:r>
            <w:r>
              <w:rPr>
                <w:b/>
                <w:i/>
              </w:rPr>
              <w:t>napominje važnost podataka i alata za analizu podataka kao jednog od odvraćajućih čimbenika kada je riječ o koncentracijama i stjecanjima u digitalnom sektoru;</w:t>
            </w:r>
            <w:r>
              <w:t xml:space="preserve"> </w:t>
            </w:r>
            <w:r>
              <w:rPr>
                <w:b/>
                <w:i/>
              </w:rPr>
              <w:t>poziva na donošenje obveznog mišljenja Europskog odbora za zaštitu podataka u slučaju koncentracija koje uključuju jednog ili više operatera u digitalnom sektoru o relevantnosti skupova podataka za namjeravanu koncentraciju, osobnim podacima koji se u ciljanom stjecanju obrađuju i potencijalnom utjecaju na prava na privatnost i zaštitu podataka namjeravane koncentracije; poziva Komisiju da se uhvati u koštac s razmjenom podataka među uslugama bez prethodnog pristanka, kojom se ugrožavaju prava potrošača na zaštitu podataka, jačaju koncentracije moći u području podataka i smanjuje kontrola potrošača nad njihovim podacima;</w:t>
            </w:r>
            <w:r>
              <w:t xml:space="preserve"> </w:t>
            </w:r>
            <w:r>
              <w:rPr>
                <w:b/>
                <w:i/>
              </w:rPr>
              <w:t>naglašava da nedostatno provođenje Opće uredbe o zaštiti podataka u Irskoj pogoduje konkurentnosti malog broja velikih digitalnih platformi zbog toleriranja povreda privatnosti u svrhu prikupljanja podataka, čime se povećava koncentracija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ističe ključnu ulogu Europske mreže za tržišno natjecanje (ECN);</w:t>
            </w:r>
            <w:r>
              <w:t xml:space="preserve"> </w:t>
            </w:r>
            <w:r>
              <w:rPr>
                <w:b/>
                <w:i/>
              </w:rPr>
              <w:t>poziva Komisiju da prednost daje trajnom konstruktivnom dijalogu i suradnji na međunarodnoj razini;</w:t>
            </w:r>
            <w:r>
              <w:t xml:space="preserve"> </w:t>
            </w:r>
            <w:r>
              <w:rPr>
                <w:b/>
                <w:i/>
              </w:rPr>
              <w:t>naglašava nužnost uspostave intenzivnije suradnje između protumonopolskih i drugih sektorskih regulatora, kao što su oni koji nadziru privatnost podataka, kako bi se učinkovito nadzirala zlouporaba korporativnih podataka, a poduzeća spriječilo da iskorištavaju podatke o potrošačima kako bi stekla nepoštenu konkurentsku prednost;</w:t>
            </w:r>
            <w:r>
              <w:t xml:space="preserve"> </w:t>
            </w:r>
            <w:r>
              <w:rPr>
                <w:b/>
                <w:i/>
              </w:rPr>
              <w:t>pozdravlja bitnu ulogu nacionalnih tijela nadležnih za tržišno natjecanje u provedbi pravila Akta o digitalnim tržištima i nacionalnih zakonodavnih inicijativa koje se uvode kako bi se suzbilo protutržišno ponašanje velikih internetskih platformi u digitalnim sektorima;</w:t>
            </w:r>
            <w:r>
              <w:t xml:space="preserve"> </w:t>
            </w:r>
            <w:r>
              <w:rPr>
                <w:b/>
                <w:i/>
              </w:rPr>
              <w:t>u tom pogledu naglašava važnost koordiniranog i ujednačenog djelovanja kojim se u pitanje ne dovodi primjena Akta o digitalnim tržištima, s jedne strane, ni nacionalnih pravila o tržišnom natjecanju u digitalnom sektoru, s druge strane, kako je navedeno u članku 1. stavku 6. Akta o digitalnim tržištima;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18.d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18.d</w:t>
            </w:r>
            <w:r>
              <w:tab/>
            </w:r>
            <w:r>
              <w:rPr>
                <w:b/>
                <w:i/>
              </w:rPr>
              <w:t>ističe obilježja digitalnih tržišta, kao što su agregiranje i upotreba podataka, višestrana tržišta, izravni i neizravni mrežni učinci, višedomno pristupanje, nenovčani troškovi promjene pružatelja osim cijena, na primjer mreža koju su korisnici izgradili, troškovi obrazovanja te konkretna reputacija ili recenzije korisnika povezani s platformom;</w:t>
            </w:r>
            <w:r>
              <w:t xml:space="preserve"> </w:t>
            </w:r>
            <w:r>
              <w:rPr>
                <w:b/>
                <w:i/>
              </w:rPr>
              <w:t>ističe da je moć digitalnih aktera nad potrošačima određena ulogom podataka te izravnim i neizravnim mrežnim učincima;</w:t>
            </w:r>
            <w:r>
              <w:t xml:space="preserve"> </w:t>
            </w:r>
            <w:r>
              <w:rPr>
                <w:b/>
                <w:i/>
              </w:rPr>
              <w:t>pozdravlja reviziju Obavijesti o utvrđivanju tržišta kako bi se digitalna tržišta bolje procijenila te potiče Komisiju da pri ocjeni tržišne snage u obzir uzme nenovčane čimbenike, kao što su oni već navedeni, i to pri definiranju digitalnih tržišta i položaja moći na takvim tržištima, kao što su troškovi prebacivanja osim cijena;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18.e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18.e</w:t>
            </w:r>
            <w:r>
              <w:tab/>
            </w:r>
            <w:r>
              <w:rPr>
                <w:b/>
                <w:i/>
              </w:rPr>
              <w:t>ističe da učinci koncentracije moći na digitalnim tržištima nadilaze ometanje tržišnog natjecanja s drugim poduzećima, ali da uključuju učinke kao što su moć nad potrošačima, mogući utjecaj na temeljna prava, privatnost i zaštitu podataka te potencijalni utjecaj na slobodu medija, društvo i demokraciju;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18.f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18.f</w:t>
            </w:r>
            <w:r>
              <w:tab/>
            </w:r>
            <w:r>
              <w:rPr>
                <w:b/>
                <w:i/>
              </w:rPr>
              <w:t>prima na znanje vertikalno integrirane ekosustave sektora umjetne inteligencije, koji se stječu kontrolom hardvera, podataka, modela umjetne inteligencije i distribucije;</w:t>
            </w:r>
            <w:r>
              <w:t xml:space="preserve"> </w:t>
            </w:r>
            <w:r>
              <w:rPr>
                <w:b/>
                <w:i/>
              </w:rPr>
              <w:t>podsjeća na poziv Komisije iz 2024. na informacije i izradu studije tržišne dinamike u sektoru umjetne inteligencije kao i na priznanje Komisije da Unija „ne može ponoviti iste pogreške kao u slučaju društvenih medija i digitalnog gospodarstva”;</w:t>
            </w:r>
            <w:r>
              <w:t xml:space="preserve"> </w:t>
            </w:r>
            <w:r>
              <w:rPr>
                <w:b/>
                <w:i/>
              </w:rPr>
              <w:t>poziva Komisiju da zauzme ekološki pristup u pogledu tog sektora, među ostalim razvojem i primjenom novih teorija štete, kako bi se odgovorilo na daljnje ukorjenjivanje pozicioniranih aktera u tom sektoru;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18.g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18.g</w:t>
            </w:r>
            <w:r>
              <w:tab/>
            </w:r>
            <w:r>
              <w:rPr>
                <w:b/>
                <w:i/>
              </w:rPr>
              <w:t>izražava zabrinutost zbog sve veće upotrebe dinamičnih mehanizama određivanja cijena diljem Unije, posebno u slučaju poduzeća s dominantnim položajem;</w:t>
            </w:r>
            <w:r>
              <w:t xml:space="preserve"> </w:t>
            </w:r>
            <w:r>
              <w:rPr>
                <w:b/>
                <w:i/>
              </w:rPr>
              <w:t>smatra da dinamično određivanje cijena na tržištima s neprilagodljivom potražnjom predstavlja rizik za pravednost tržišta, zaštitu potrošača i integritet tržišta;</w:t>
            </w:r>
            <w:r>
              <w:t xml:space="preserve"> </w:t>
            </w:r>
            <w:r>
              <w:rPr>
                <w:b/>
                <w:i/>
              </w:rPr>
              <w:t>poziva Komisiju da ispita regulatorne mjere protiv vrlo prilagodljivih i netransparentnih metoda određivanja cijena za proizvode s neprilagodljivom potražnjom koje mogu dovesti do određivanja prekomjernih i diskriminirajućih cijena.</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poziva na odlučnu primjenu svih pravila o tržišnom natjecanju, uključujući Uredbu o stranim subvencijama i Akt o digitalnim tržištima, kako bi se riješio problem prakse nadzora pristupa te poticala tržišta neograničenog tržišnog natjecanja i pošteno tržišno natjecanje;</w:t>
            </w:r>
          </w:p>
        </w:tc>
        <w:tc>
          <w:tcPr>
            <w:tcW w:w="4876" w:type="dxa"/>
            <w:tcBorders>
              <w:top w:val="nil"/>
              <w:left w:val="nil"/>
              <w:bottom w:val="nil"/>
              <w:right w:val="nil"/>
            </w:tcBorders>
          </w:tcPr>
          <w:p>
            <w:pPr>
              <w:pStyle w:val="Normal6a"/>
            </w:pPr>
            <w:r>
              <w:t>19.</w:t>
            </w:r>
            <w:r>
              <w:tab/>
            </w:r>
            <w:r>
              <w:t xml:space="preserve">poziva na odlučnu primjenu svih pravila o tržišnom natjecanju, uključujući Uredbu o stranim subvencijama i Akt o digitalnim tržištima, kako bi se riješio problem prakse nadzora pristupa te poticala tržišta neograničenog tržišnog natjecanja i pošteno tržišno natjecanje; </w:t>
            </w:r>
            <w:r>
              <w:rPr>
                <w:b/>
                <w:i/>
              </w:rPr>
              <w:t>poziva Komisiju da osigura daljnju provedbu i primjenu postojećih zakona kao i strogu ocjenu njihove učinkovitosti prije uvođenja novih pravnih propisa;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poziva na odlučnu primjenu svih pravila o tržišnom natjecanju, uključujući Uredbu o stranim subvencijama i Akt o digitalnim tržištima, kako bi se riješio problem prakse nadzora pristupa te poticala tržišta neograničenog tržišnog natjecanja i pošteno tržišno natjecanje;</w:t>
            </w:r>
          </w:p>
        </w:tc>
        <w:tc>
          <w:tcPr>
            <w:tcW w:w="4876" w:type="dxa"/>
            <w:tcBorders>
              <w:top w:val="nil"/>
              <w:left w:val="nil"/>
              <w:bottom w:val="nil"/>
              <w:right w:val="nil"/>
            </w:tcBorders>
          </w:tcPr>
          <w:p>
            <w:pPr>
              <w:pStyle w:val="Normal6a"/>
            </w:pPr>
            <w:r>
              <w:t>19.</w:t>
            </w:r>
            <w:r>
              <w:tab/>
            </w:r>
            <w:r>
              <w:t xml:space="preserve">poziva na odlučnu primjenu svih pravila o tržišnom natjecanju, uključujući Uredbu o stranim subvencijama i Akt o digitalnim tržištima, kako bi se riješio problem prakse nadzora pristupa te poticala tržišta neograničenog tržišnog natjecanja i pošteno tržišno natjecanje; </w:t>
            </w:r>
            <w:r>
              <w:rPr>
                <w:b/>
                <w:i/>
              </w:rPr>
              <w:t>poziva Komisiju da zabrani sve koncentracije ili stjecanja za poduzeća koja su sada, u skladu s člankom 3. Akta o digitalnim tržištima, definirana kao nadzornici pristupa;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Francesco Ventola, Denis Nesci,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poziva na odlučnu primjenu svih pravila o tržišnom natjecanju, uključujući Uredbu o stranim subvencijama i Akt o digitalnim tržištima, kako bi se riješio problem prakse nadzora pristupa te poticala tržišta neograničenog tržišnog natjecanja i pošteno tržišno natjecanje;</w:t>
            </w:r>
          </w:p>
        </w:tc>
        <w:tc>
          <w:tcPr>
            <w:tcW w:w="4876" w:type="dxa"/>
            <w:tcBorders>
              <w:top w:val="nil"/>
              <w:left w:val="nil"/>
              <w:bottom w:val="nil"/>
              <w:right w:val="nil"/>
            </w:tcBorders>
          </w:tcPr>
          <w:p>
            <w:pPr>
              <w:pStyle w:val="Normal6a"/>
            </w:pPr>
            <w:r>
              <w:t>19.</w:t>
            </w:r>
            <w:r>
              <w:tab/>
            </w:r>
            <w:r>
              <w:t xml:space="preserve">poziva na odlučnu primjenu svih pravila o tržišnom natjecanju, uključujući Uredbu o stranim subvencijama i Akt o digitalnim tržištima, kako bi se riješio problem prakse nadzora pristupa te poticala tržišta neograničenog tržišnog natjecanja i pošteno tržišno natjecanje; </w:t>
            </w:r>
            <w:r>
              <w:rPr>
                <w:b/>
                <w:i/>
              </w:rPr>
              <w:t>boreći se protiv problema narušavanja tržišnog natjecanja od strane velikih internetskih platformi;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poziva na odlučnu primjenu svih pravila o tržišnom natjecanju, uključujući Uredbu o stranim subvencijama i Akt o digitalnim tržištima, kako bi se riješio problem prakse nadzora pristupa te poticala tržišta neograničenog tržišnog natjecanja i pošteno tržišno natjecanje;</w:t>
            </w:r>
          </w:p>
        </w:tc>
        <w:tc>
          <w:tcPr>
            <w:tcW w:w="4876" w:type="dxa"/>
            <w:tcBorders>
              <w:top w:val="nil"/>
              <w:left w:val="nil"/>
              <w:bottom w:val="nil"/>
              <w:right w:val="nil"/>
            </w:tcBorders>
          </w:tcPr>
          <w:p>
            <w:pPr>
              <w:pStyle w:val="Normal6a"/>
            </w:pPr>
            <w:r>
              <w:t>19.</w:t>
            </w:r>
            <w:r>
              <w:tab/>
            </w:r>
            <w:r>
              <w:t xml:space="preserve">poziva na odlučnu primjenu svih pravila o tržišnom natjecanju, uključujući Uredbu o stranim subvencijama i Akt o digitalnim tržištima, kako bi se riješio problem prakse nadzora pristupa te poticala tržišta neograničenog tržišnog natjecanja i pošteno tržišno natjecanje </w:t>
            </w:r>
            <w:r>
              <w:rPr>
                <w:b/>
                <w:i/>
              </w:rPr>
              <w:t>te ističe da bi Komisija trebala raspolagati odgovarajućim osobljem za provedbu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poziva na odlučnu primjenu svih pravila o tržišnom natjecanju</w:t>
            </w:r>
            <w:r>
              <w:rPr>
                <w:b/>
                <w:i/>
              </w:rPr>
              <w:t>, uključujući Uredbu o stranim subvencijama i Akt o digitalnim tržištima,</w:t>
            </w:r>
            <w:r>
              <w:t xml:space="preserve"> kako bi se riješio problem prakse nadzora pristupa te poticala tržišta neograničenog tržišnog natjecanja i pošteno tržišno natjecanje;</w:t>
            </w:r>
          </w:p>
        </w:tc>
        <w:tc>
          <w:tcPr>
            <w:tcW w:w="4876" w:type="dxa"/>
            <w:tcBorders>
              <w:top w:val="nil"/>
              <w:left w:val="nil"/>
              <w:bottom w:val="nil"/>
              <w:right w:val="nil"/>
            </w:tcBorders>
          </w:tcPr>
          <w:p>
            <w:pPr>
              <w:pStyle w:val="Normal6a"/>
            </w:pPr>
            <w:r>
              <w:t>19.</w:t>
            </w:r>
            <w:r>
              <w:tab/>
            </w:r>
            <w:r>
              <w:t>poziva na odlučnu primjenu svih pravila o tržišnom natjecanju kako bi se riješio problem prakse nadzora pristupa te poticala tržišta neograničenog tržišnog natjecanja i pošteno tržišno natjecanje;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poziva na odlučnu primjenu svih pravila o tržišnom natjecanju</w:t>
            </w:r>
            <w:r>
              <w:rPr>
                <w:b/>
                <w:i/>
              </w:rPr>
              <w:t>, uključujući Uredbu o stranim subvencijama i Akt o digitalnim tržištima,</w:t>
            </w:r>
            <w:r>
              <w:t xml:space="preserve"> kako bi se riješio problem prakse nadzora pristupa te poticala tržišta neograničenog tržišnog natjecanja i pošteno tržišno natjecanje;</w:t>
            </w:r>
          </w:p>
        </w:tc>
        <w:tc>
          <w:tcPr>
            <w:tcW w:w="4876" w:type="dxa"/>
            <w:tcBorders>
              <w:top w:val="nil"/>
              <w:left w:val="nil"/>
              <w:bottom w:val="nil"/>
              <w:right w:val="nil"/>
            </w:tcBorders>
          </w:tcPr>
          <w:p>
            <w:pPr>
              <w:pStyle w:val="Normal6a"/>
            </w:pPr>
            <w:r>
              <w:t>19.</w:t>
            </w:r>
            <w:r>
              <w:tab/>
            </w:r>
            <w:r>
              <w:t>poziva na odlučnu primjenu svih pravila o tržišnom natjecanju kako bi se riješio problem prakse nadzora pristupa te poticala tržišta neograničenog tržišnog natjecanja i pošteno tržišno natjecanje;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poziva na odlučnu primjenu svih pravila o tržišnom natjecanju, uključujući Uredbu o stranim subvencijama i Akt o digitalnim tržištima, kako bi se riješio problem prakse nadzora pristupa te poticala tržišta neograničenog tržišnog natjecanja i pošteno tržišno natjecanje;</w:t>
            </w:r>
          </w:p>
        </w:tc>
        <w:tc>
          <w:tcPr>
            <w:tcW w:w="4876" w:type="dxa"/>
            <w:tcBorders>
              <w:top w:val="nil"/>
              <w:left w:val="nil"/>
              <w:bottom w:val="nil"/>
              <w:right w:val="nil"/>
            </w:tcBorders>
          </w:tcPr>
          <w:p>
            <w:pPr>
              <w:pStyle w:val="Normal6a"/>
            </w:pPr>
            <w:r>
              <w:t>19.</w:t>
            </w:r>
            <w:r>
              <w:tab/>
            </w:r>
            <w:r>
              <w:t xml:space="preserve">poziva </w:t>
            </w:r>
            <w:r>
              <w:rPr>
                <w:b/>
                <w:i/>
              </w:rPr>
              <w:t>Komisiju</w:t>
            </w:r>
            <w:r>
              <w:t xml:space="preserve"> na odlučnu </w:t>
            </w:r>
            <w:r>
              <w:rPr>
                <w:b/>
                <w:i/>
              </w:rPr>
              <w:t>i učinkovitu</w:t>
            </w:r>
            <w:r>
              <w:t xml:space="preserve"> primjenu svih pravila o tržišnom natjecanju, uključujući Uredbu o stranim subvencijama i Akt o digitalnim tržištima, kako bi se riješio problem prakse nadzora pristupa te poticala tržišta neograničenog tržišnog natjecanja i pošteno tržišno natjecanje;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ističe da postoji rizik od toga da nadzornici pristupa iskoriste svoj povlašteni pristup ključnim ulaznim podacima umjetne inteligencije, kao što su podaci, računalna infrastruktura, računalstvo u oblaku, i da svojim konkurentima nametnu nepoštene uvjete ili da primijene prakse kojima se narušava tržišno natjecanje kako bi prisvojili tržište umjetne inteligencije;</w:t>
            </w:r>
            <w:r>
              <w:t xml:space="preserve"> </w:t>
            </w:r>
            <w:r>
              <w:rPr>
                <w:b/>
                <w:i/>
              </w:rPr>
              <w:t>ističe potrebu za pažljivom ocjenom sporazuma o suradnji i koncentracija nadzornika pristupa koji su ujedno i dobavljači umjetne inteligencije i start-up poduzeća kako bi se spriječio svaki rizik od monopola u sektoru tehnologija umjetne inteligencije koji se brzo razvija;</w:t>
            </w:r>
            <w:r>
              <w:t xml:space="preserve"> </w:t>
            </w:r>
            <w:r>
              <w:rPr>
                <w:b/>
                <w:i/>
              </w:rPr>
              <w:t>poziva Komisiju da istraži mogućnost dodavanja generativne umjetne inteligencije kao nove osnovne usluge platforme u skladu s Aktom o digitalnom tržištu;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ističe važnost odobravanja važnih projekata od zajedničkog europskog interesa na temelju njihova vjerojatnog doprinosa gospodarskom prelijevanju unutar EU-a stvaranju visokokvalitetnih radnih mjesta kao i pozitivnom učinku na zelenu i digitalnu tranziciju u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Francesco Ventola, Denis Nesci,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traži da se poduzmu mjere u području međunarodnog oporezivanja primjenom globalnog minimalnog poreza i odobravanjem prvog stupa projekta BEPS (smanjenje porezne osnovice i premještanje dobiti) ili mjera nadahnutih tim projektom;</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poziva na hitno proširenje Akta o digitalnom tržištu na prakse kojima se narušava tržišno natjecanje u sektorima umjetne inteligencije i računalstva u oblaku, prema potrebi, među ostalim, ažuriranjem zakonodavstva;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pozdravlja obvezu koju je Komisija preuzela o pravilnoj provedbi Akta o digitalnom tržištu i prima na znanje šest postupaka u slučaju neusklađenosti pokrenutih protiv nekih nadzornika pristupa s utvrđenim statusom;</w:t>
            </w:r>
            <w:r>
              <w:t xml:space="preserve"> </w:t>
            </w:r>
            <w:r>
              <w:rPr>
                <w:b/>
                <w:i/>
              </w:rPr>
              <w:t>izražava duboku zabrinutost u pogledu mogućih kašnjenja u kritičnim istragama i sposobnosti Komisije da ispoštuje svoje obveze prema kojima mora poduzeti sve u svojoj moći te donese odluku o postupcima u slučaju neusklađenosti u roku od 12 mjeseci;</w:t>
            </w:r>
            <w:r>
              <w:t xml:space="preserve"> </w:t>
            </w:r>
            <w:r>
              <w:rPr>
                <w:b/>
                <w:i/>
              </w:rPr>
              <w:t>poziva Komisiju da te istrage zaključi što prije i da po potrebi nametne novčane kazne;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pozdravlja prvu konačnu odluku u skladu s Uredbom o stranim subvencijama, donesenu u rujnu 2024.;</w:t>
            </w:r>
            <w:r>
              <w:t xml:space="preserve"> </w:t>
            </w:r>
            <w:r>
              <w:rPr>
                <w:b/>
                <w:i/>
              </w:rPr>
              <w:t>ističe važnost tog novog alata i potrebu za pravodobnim pokretanjem istraga jer su dva temeljita ispitna postupaka pokrenuta u skladu s Uredbom o stranim subvencijama dovela do toga da su se gospodarski subjekti osumnjičeni za nepoštene strane subvencije sami povukli iz postupaka javnih natječaja i javne nabave;</w:t>
            </w:r>
            <w:r>
              <w:t xml:space="preserve"> </w:t>
            </w:r>
            <w:r>
              <w:rPr>
                <w:b/>
                <w:i/>
              </w:rPr>
              <w:t>poziva Komisiju da osigura odgovarajuća i dostatna sredstva za provedbu te Uredbe;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19.d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pozdravlja prva dva postupka utvrđivanja specifikacija u skladu s člankom 8. stavkom 2. Akta o digitalnom tržištu kako bi se jednom nadzorniku pristupa s utvrđenim statusom</w:t>
            </w:r>
            <w:r>
              <w:rPr>
                <w:b/>
                <w:i/>
                <w:vertAlign w:val="superscript"/>
              </w:rPr>
              <w:t>1a</w:t>
            </w:r>
            <w:r>
              <w:t xml:space="preserve"> </w:t>
            </w:r>
            <w:r>
              <w:rPr>
                <w:b/>
                <w:i/>
              </w:rPr>
              <w:t>pomoglo da ispuni obveze interoperabilnosti u skladu s Aktom o digitalnim tržištima, čime bi se formalizirao regulatorni dijalog za osiguravanje stvarne usklađenosti s obvezama iz Akta o digitalnom tržištu;</w:t>
            </w:r>
            <w:r>
              <w:t xml:space="preserve"> </w:t>
            </w:r>
            <w:r>
              <w:rPr>
                <w:b/>
                <w:i/>
              </w:rPr>
              <w:t>naglašava da bi poticanje veće interoperabilnosti, uključujući među uslugama nadzornika pristupa, značilo velike prednosti za europska poduzeća i potrošače;</w:t>
            </w:r>
            <w:r>
              <w:t xml:space="preserve"> </w:t>
            </w:r>
            <w:r>
              <w:rPr>
                <w:b/>
                <w:i/>
              </w:rPr>
              <w:t>poziva Komisiju da poduzme brze i odlučne mjere za provedbu i provedbu potrebnih korektivnih mjera;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https://digital-markets-act.ec.europa.eu/commission-starts-first-proceedings-specify-apples-interoperability-obligations-under-digital-2024-09-19_en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19.e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19.e</w:t>
            </w:r>
            <w:r>
              <w:tab/>
            </w:r>
            <w:r>
              <w:rPr>
                <w:b/>
                <w:i/>
              </w:rPr>
              <w:t>pozdravlja donošenje Akta o podacima, kojim se korisnicima omogućuje da promijene pružatelja usluga obrade podataka u oblaku, ali ističe da su potrebna dodatna pravila i pravna sredstva kako bi se ponovno uspostavilo pošteno i ravnopravno tržišno natjecanje na europskom tržištu računalstva u oblaku;</w:t>
            </w:r>
            <w:r>
              <w:t xml:space="preserve"> </w:t>
            </w:r>
            <w:r>
              <w:rPr>
                <w:b/>
                <w:i/>
              </w:rPr>
              <w:t>izražava žaljenje zbog toga što nijednom pružatelju usluga računalstva u oblaku nije utvrđen status nadzornika pristupa u skladu s Aktom o digitalnom tržištu;</w:t>
            </w:r>
            <w:r>
              <w:t xml:space="preserve"> </w:t>
            </w:r>
            <w:r>
              <w:rPr>
                <w:b/>
                <w:i/>
              </w:rPr>
              <w:t>potiče nacionalna tijela nadležna za tržišno natjecanje da istraže prakse kojima se narušava tržišno natjecanje na tržištu računalstva u oblaku, uključujući složene uvjete licenciranja, prisilno objedinjavanje i komercijalne poticaje kojima se stvara dugoročna ovisnost o pojedinačnim dobavljačima u oblaku;</w:t>
            </w:r>
            <w:r>
              <w:t xml:space="preserve"> </w:t>
            </w:r>
            <w:r>
              <w:rPr>
                <w:b/>
                <w:i/>
              </w:rPr>
              <w:t>poziva Komisiju da predloži mjere za ograničavanje takvih praksi ako one štete tržišnom natjecanju i ograničavaju izbor korisnika;</w:t>
            </w:r>
            <w:r>
              <w:t xml:space="preserve"> </w:t>
            </w:r>
            <w:r>
              <w:rPr>
                <w:b/>
                <w:i/>
              </w:rPr>
              <w:t>naglašava potrebu za eliminiranjem diskriminirajućih praksi licenciranja softvera, kojima se za konkurentske pružatelje usluga računalstva u oblaku umjetno stvaraju više cijene;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sa zabrinutošću primjećuje rascjepkanost na brojnim potrošačkim tržištima</w:t>
            </w:r>
            <w:r>
              <w:rPr>
                <w:b/>
                <w:i/>
              </w:rPr>
              <w:t>, uključujući financijske usluge, telekomunikacije i energiju u kućanstvima, te poziva na bržu i veću integraciju</w:t>
            </w:r>
            <w:r>
              <w:t xml:space="preserve"> tržišta </w:t>
            </w:r>
            <w:r>
              <w:rPr>
                <w:b/>
                <w:i/>
              </w:rPr>
              <w:t>tamo gdje postoje koristi za potrošače</w:t>
            </w:r>
            <w:r>
              <w:t>;</w:t>
            </w:r>
          </w:p>
        </w:tc>
        <w:tc>
          <w:tcPr>
            <w:tcW w:w="4876" w:type="dxa"/>
            <w:tcBorders>
              <w:top w:val="nil"/>
              <w:left w:val="nil"/>
              <w:bottom w:val="nil"/>
              <w:right w:val="nil"/>
            </w:tcBorders>
          </w:tcPr>
          <w:p>
            <w:pPr>
              <w:pStyle w:val="Normal6a"/>
            </w:pPr>
            <w:r>
              <w:t>20.</w:t>
            </w:r>
            <w:r>
              <w:tab/>
            </w:r>
            <w:r>
              <w:t xml:space="preserve">sa zabrinutošću primjećuje rascjepkanost na brojnim potrošačkim tržištima </w:t>
            </w:r>
            <w:r>
              <w:rPr>
                <w:b/>
                <w:i/>
              </w:rPr>
              <w:t>i naglašava važnost brže i veće integracije tržišta kad god ta integracija rezultira jasnim koristima za potrošače;</w:t>
            </w:r>
            <w:r>
              <w:t xml:space="preserve"> </w:t>
            </w:r>
            <w:r>
              <w:rPr>
                <w:b/>
                <w:i/>
              </w:rPr>
              <w:t>podsjeća da se integracija</w:t>
            </w:r>
            <w:r>
              <w:t xml:space="preserve"> tržišta </w:t>
            </w:r>
            <w:r>
              <w:rPr>
                <w:b/>
                <w:i/>
              </w:rPr>
              <w:t>ne bi trebala temeljiti na državnim intervencijama kojima se narušava načelo slobodnog tržišnog natjecanja, već bi se trebala promicati unutar okvira kojim se promiču učinkovito tržišno natjecanje, inovacije i pravedan pristup uslugama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sa zabrinutošću primjećuje rascjepkanost na brojnim potrošačkim tržištima, uključujući financijske usluge, telekomunikacije i energiju u kućanstvima, te poziva na bržu i veću integraciju tržišta </w:t>
            </w:r>
            <w:r>
              <w:rPr>
                <w:b/>
                <w:i/>
              </w:rPr>
              <w:t>tamo</w:t>
            </w:r>
            <w:r>
              <w:t xml:space="preserve"> gdje postoje koristi za potrošače;</w:t>
            </w:r>
          </w:p>
        </w:tc>
        <w:tc>
          <w:tcPr>
            <w:tcW w:w="4876" w:type="dxa"/>
            <w:tcBorders>
              <w:top w:val="nil"/>
              <w:left w:val="nil"/>
              <w:bottom w:val="nil"/>
              <w:right w:val="nil"/>
            </w:tcBorders>
          </w:tcPr>
          <w:p>
            <w:pPr>
              <w:pStyle w:val="Normal6a"/>
            </w:pPr>
            <w:r>
              <w:t>20.</w:t>
            </w:r>
            <w:r>
              <w:tab/>
            </w:r>
            <w:r>
              <w:t xml:space="preserve">sa zabrinutošću primjećuje rascjepkanost na brojnim potrošačkim tržištima, uključujući financijske usluge, telekomunikacije i energiju u kućanstvima, te poziva </w:t>
            </w:r>
            <w:r>
              <w:rPr>
                <w:b/>
                <w:i/>
              </w:rPr>
              <w:t>i</w:t>
            </w:r>
            <w:r>
              <w:t xml:space="preserve"> na bržu i </w:t>
            </w:r>
            <w:r>
              <w:rPr>
                <w:b/>
                <w:i/>
              </w:rPr>
              <w:t>na</w:t>
            </w:r>
            <w:r>
              <w:t xml:space="preserve"> veću integraciju tržišta </w:t>
            </w:r>
            <w:r>
              <w:rPr>
                <w:b/>
                <w:i/>
              </w:rPr>
              <w:t>ondje</w:t>
            </w:r>
            <w:r>
              <w:t xml:space="preserve"> gdje postoje koristi za potrošače </w:t>
            </w:r>
            <w:r>
              <w:rPr>
                <w:b/>
                <w:i/>
              </w:rPr>
              <w:t>kao i na veće prepoznavanje koristi za potrošače koje se mogu ostvariti konsolidacijom na tržištu, kojom se potiču ulaganja i inovacije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sa zabrinutošću primjećuje rascjepkanost na brojnim potrošačkim tržištima, </w:t>
            </w:r>
            <w:r>
              <w:rPr>
                <w:b/>
                <w:i/>
              </w:rPr>
              <w:t>uključujući financijske usluge, telekomunikacije i energiju u kućanstvima,</w:t>
            </w:r>
            <w:r>
              <w:t xml:space="preserve"> te poziva na bržu i veću integraciju tržišta tamo gdje postoje koristi za potrošače;</w:t>
            </w:r>
          </w:p>
        </w:tc>
        <w:tc>
          <w:tcPr>
            <w:tcW w:w="4876" w:type="dxa"/>
            <w:tcBorders>
              <w:top w:val="nil"/>
              <w:left w:val="nil"/>
              <w:bottom w:val="nil"/>
              <w:right w:val="nil"/>
            </w:tcBorders>
          </w:tcPr>
          <w:p>
            <w:pPr>
              <w:pStyle w:val="Normal6a"/>
            </w:pPr>
            <w:r>
              <w:t>20.</w:t>
            </w:r>
            <w:r>
              <w:tab/>
            </w:r>
            <w:r>
              <w:t xml:space="preserve">sa zabrinutošću primjećuje rascjepkanost na brojnim </w:t>
            </w:r>
            <w:r>
              <w:rPr>
                <w:b/>
                <w:i/>
              </w:rPr>
              <w:t>nedržavnim</w:t>
            </w:r>
            <w:r>
              <w:t xml:space="preserve"> potrošačkim tržištima, te poziva na bržu i veću integraciju tržišta tamo gdje postoje koristi za </w:t>
            </w:r>
            <w:r>
              <w:rPr>
                <w:b/>
                <w:i/>
              </w:rPr>
              <w:t>države članice i</w:t>
            </w:r>
            <w:r>
              <w:t xml:space="preserve"> potrošače;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izražava zabrinutost zbog visoke koncentracije u maloprodajnom, poljoprivrednom i automobilskom sektoru u prekomorskim područjima, pri čemu prekomjerne cijene osnovnih proizvoda i usluga koje su utvrdili poduzetnici s dominantnim položajem dovode do većih nejednakosti, nesigurnosti i teritorijalne nejednakosti;</w:t>
            </w:r>
            <w:r>
              <w:t xml:space="preserve"> </w:t>
            </w:r>
            <w:r>
              <w:rPr>
                <w:b/>
                <w:i/>
              </w:rPr>
              <w:t>hitno poziva Europsku komisiju da pokrene istragu o mogućim zlouporabama vladajućeg položaja u skladu s člankom 102. UFEU-a;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sa zabrinutošću primjećuje visok stupanj tržišne koncentracije u europskom financijskom sektoru te njegovo kontinuirano prekomjerno oslanjanje na pružatelje usluga izvan EU-a;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sa zabrinutošću primjećuje visok stupanj tržišne koncentracije u europskom financijskom sektoru te njegovo kontinuirano prekomjerno oslanjanje na pružatelje usluga izvan EU-a;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sa zabrinutošću primjećuje visok stupanj tržišne koncentracije u europskom financijskom sektoru te njegovo kontinuirano prekomjerno oslanjanje na pružatelje usluga izvan EU-a;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sa zabrinutošću primjećuje visok stupanj tržišne koncentracije u europskom financijskom sektoru te njegovo kontinuirano prekomjerno oslanjanje na pružatelje usluga izvan EU-a;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sa zabrinutošću primjećuje visok stupanj tržišne koncentracije u europskom financijskom sektoru te njegovo kontinuirano prekomjerno oslanjanje na pružatelje usluga izvan EU-a;</w:t>
            </w:r>
          </w:p>
        </w:tc>
        <w:tc>
          <w:tcPr>
            <w:tcW w:w="4876" w:type="dxa"/>
            <w:tcBorders>
              <w:top w:val="nil"/>
              <w:left w:val="nil"/>
              <w:bottom w:val="nil"/>
              <w:right w:val="nil"/>
            </w:tcBorders>
          </w:tcPr>
          <w:p>
            <w:pPr>
              <w:pStyle w:val="Normal6a"/>
            </w:pPr>
            <w:r>
              <w:t>21.</w:t>
            </w:r>
            <w:r>
              <w:tab/>
            </w:r>
            <w:r>
              <w:t xml:space="preserve">sa zabrinutošću primjećuje visok stupanj tržišne koncentracije u europskom financijskom sektoru te njegovo kontinuirano prekomjerno oslanjanje na pružatelje usluga izvan EU-a; </w:t>
            </w:r>
            <w:r>
              <w:rPr>
                <w:b/>
                <w:i/>
              </w:rPr>
              <w:t>izražava duboku zabrinutost zbog kontinuirane visoke koncentracije na revizijskom tržištu subjekata od javnog interesa od reforme iz 2014., pri čemu četiri poduzeća drže više od 86 % prihoda EU-a od revizija subjekata od javnog interesa, ograničavajući tako izbor i ugrožavajući nadzor;</w:t>
            </w:r>
            <w:r>
              <w:t xml:space="preserve"> </w:t>
            </w:r>
            <w:r>
              <w:rPr>
                <w:b/>
                <w:i/>
              </w:rPr>
              <w:t>ističe da sve veći broj zahtjeva u pogledu revizije, primjerice u okviru Direktive o korporativnom izvješćivanju o održivosti i Akta o digitalnim uslugama/Akta o digitalnom tržištu, povećava te rizike za potrošače i građane izvan financijskih tržišta;</w:t>
            </w:r>
            <w:r>
              <w:t xml:space="preserve"> </w:t>
            </w:r>
            <w:r>
              <w:rPr>
                <w:b/>
                <w:i/>
              </w:rPr>
              <w:t>naglašava potrebu za pouzdanim okvirom za korporativno izvješćivanje i za konkurentnim revizijskim ekosustavom kako bi se poduprle utemeljene odluke o ulaganjima i spriječile zlouporabe;</w:t>
            </w:r>
            <w:r>
              <w:t xml:space="preserve"> </w:t>
            </w:r>
            <w:r>
              <w:rPr>
                <w:b/>
                <w:i/>
              </w:rPr>
              <w:t>poziva Komisiju da predloži zakonodavstvo na temelju temeljite procjene učinka kako bi se diversificiralo tržište revizije subjekata od javnog interesa i poboljšala kvaliteta revizije u korist otpornog jedinstvenog tržišta;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sa zabrinutošću primjećuje visok stupanj tržišne koncentracije u europskom financijskom sektoru </w:t>
            </w:r>
            <w:r>
              <w:rPr>
                <w:b/>
                <w:i/>
              </w:rPr>
              <w:t>te njegovo</w:t>
            </w:r>
            <w:r>
              <w:t xml:space="preserve"> kontinuirano prekomjerno oslanjanje na pružatelje usluga izvan EU-a;</w:t>
            </w:r>
          </w:p>
        </w:tc>
        <w:tc>
          <w:tcPr>
            <w:tcW w:w="4876" w:type="dxa"/>
            <w:tcBorders>
              <w:top w:val="nil"/>
              <w:left w:val="nil"/>
              <w:bottom w:val="nil"/>
              <w:right w:val="nil"/>
            </w:tcBorders>
          </w:tcPr>
          <w:p>
            <w:pPr>
              <w:pStyle w:val="Normal6a"/>
            </w:pPr>
            <w:r>
              <w:t>21.</w:t>
            </w:r>
            <w:r>
              <w:tab/>
            </w:r>
            <w:r>
              <w:t>sa zabrinutošću primjećuje visok stupanj tržišne koncentracije u europskom financijskom sektoru</w:t>
            </w:r>
            <w:r>
              <w:rPr>
                <w:b/>
                <w:i/>
              </w:rPr>
              <w:t>, koji utječe na vrijednost za novac korisnika, te</w:t>
            </w:r>
            <w:r>
              <w:t xml:space="preserve"> kontinuirano prekomjerno oslanjanje </w:t>
            </w:r>
            <w:r>
              <w:rPr>
                <w:b/>
                <w:i/>
              </w:rPr>
              <w:t>sektora</w:t>
            </w:r>
            <w:r>
              <w:t xml:space="preserve"> na pružatelje usluga izvan EU-a; </w:t>
            </w:r>
            <w:r>
              <w:rPr>
                <w:b/>
                <w:i/>
              </w:rPr>
              <w:t>poziva na ulaganje novih napora u dovršetak bankovne unije; poziva Komisiju da razmotri mjere za poboljšanje jedinstvenog tržišta osiguranja, čime će se povećati konkurentnost domaćih tržišta u svim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sa zabrinutošću primjećuje visok stupanj tržišne koncentracije u europskom financijskom sektoru te njegovo kontinuirano prekomjerno oslanjanje na pružatelje usluga izvan EU-a;</w:t>
            </w:r>
          </w:p>
        </w:tc>
        <w:tc>
          <w:tcPr>
            <w:tcW w:w="4876" w:type="dxa"/>
            <w:tcBorders>
              <w:top w:val="nil"/>
              <w:left w:val="nil"/>
              <w:bottom w:val="nil"/>
              <w:right w:val="nil"/>
            </w:tcBorders>
          </w:tcPr>
          <w:p>
            <w:pPr>
              <w:pStyle w:val="Normal6a"/>
            </w:pPr>
            <w:r>
              <w:t>21.</w:t>
            </w:r>
            <w:r>
              <w:tab/>
            </w:r>
            <w:r>
              <w:t xml:space="preserve">sa zabrinutošću primjećuje visok stupanj tržišne koncentracije u europskom financijskom sektoru te njegovo kontinuirano prekomjerno oslanjanje na pružatelje usluga izvan EU-a </w:t>
            </w:r>
            <w:r>
              <w:rPr>
                <w:b/>
                <w:i/>
              </w:rPr>
              <w:t>u brojnim područjima, uključujući okolišne, socijalne i upravljačke aktivnosti i aktivnosti povezane s kreditnim rejtingom, upravljanje plaćanjima, postupanje s ugovorima o izvedenicama, pružatelje usluga u području kibernetičke sigurnosti i revizije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sa zabrinutošću primjećuje visok stupanj tržišne koncentracije u europskom financijskom sektoru te njegovo kontinuirano prekomjerno oslanjanje na pružatelje usluga izvan EU-a;</w:t>
            </w:r>
          </w:p>
        </w:tc>
        <w:tc>
          <w:tcPr>
            <w:tcW w:w="4876" w:type="dxa"/>
            <w:tcBorders>
              <w:top w:val="nil"/>
              <w:left w:val="nil"/>
              <w:bottom w:val="nil"/>
              <w:right w:val="nil"/>
            </w:tcBorders>
          </w:tcPr>
          <w:p>
            <w:pPr>
              <w:pStyle w:val="Normal6a"/>
            </w:pPr>
            <w:r>
              <w:t>21.</w:t>
            </w:r>
            <w:r>
              <w:tab/>
            </w:r>
            <w:r>
              <w:t>sa zabrinutošću primjećuje visok stupanj tržišne koncentracije u europskom financijskom sektoru te njegovo kontinuirano prekomjerno oslanjanje na pružatelje usluga izvan EU-a</w:t>
            </w:r>
            <w:r>
              <w:rPr>
                <w:b/>
                <w:i/>
              </w:rPr>
              <w:t>, čime nastaje raspršenje konkurentnosti poduzeća u korist zemalja izvan EU-a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sa zabrinutošću primjećuje </w:t>
            </w:r>
            <w:r>
              <w:rPr>
                <w:b/>
                <w:i/>
              </w:rPr>
              <w:t>visok stupanj tržišne koncentracije u europskom financijskom sektoru te njegovo kontinuirano prekomjerno oslanjanje na pružatelje</w:t>
            </w:r>
            <w:r>
              <w:t xml:space="preserve"> usluga izvan EU-a;</w:t>
            </w:r>
          </w:p>
        </w:tc>
        <w:tc>
          <w:tcPr>
            <w:tcW w:w="4876" w:type="dxa"/>
            <w:tcBorders>
              <w:top w:val="nil"/>
              <w:left w:val="nil"/>
              <w:bottom w:val="nil"/>
              <w:right w:val="nil"/>
            </w:tcBorders>
          </w:tcPr>
          <w:p>
            <w:pPr>
              <w:pStyle w:val="Normal6a"/>
            </w:pPr>
            <w:r>
              <w:t>21.</w:t>
            </w:r>
            <w:r>
              <w:tab/>
            </w:r>
            <w:r>
              <w:t xml:space="preserve">sa zabrinutošću primjećuje </w:t>
            </w:r>
            <w:r>
              <w:rPr>
                <w:b/>
                <w:i/>
              </w:rPr>
              <w:t>prekomjerno oslanjanje europskog financijskog sektora na ograničen broj pružatelja</w:t>
            </w:r>
            <w:r>
              <w:t xml:space="preserve"> usluga izvan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ističe buduće potrebe EU-a u pogledu povezivosti u smislu infrastrukture i ulaganja;</w:t>
            </w:r>
            <w:r>
              <w:t xml:space="preserve"> </w:t>
            </w:r>
            <w:r>
              <w:rPr>
                <w:b/>
                <w:i/>
              </w:rPr>
              <w:t>poziva Komisiju da razmotri reviziju trenutačne prakse tržišnog natjecanja na telekomunikacijskom tržištu, kojom je spriječena koncentracija mobilnih operatera tj. smanjenje njihova broja s četiri na tri, kako bi se olakšalo stvaranje potpuno integriranog jedinstvenog tržišta telekomunikacijskih usluga;</w:t>
            </w:r>
            <w:r>
              <w:t xml:space="preserve"> </w:t>
            </w:r>
            <w:r>
              <w:rPr>
                <w:b/>
                <w:i/>
              </w:rPr>
              <w:t>napominje da bi konsolidacija tržišta mogla biti jedini način da se izbjegne prodaja infrastrukture stranim poduzećima izvan EU-a u dijelovima;</w:t>
            </w:r>
            <w:r>
              <w:t xml:space="preserve"> </w:t>
            </w:r>
            <w:r>
              <w:rPr>
                <w:b/>
                <w:i/>
              </w:rPr>
              <w:t>ističe da je rast tog sektora u Europi tijekom posljednjeg desetljeća bio vrlo nizak i da je glavni razlog za to rascjepkanost;</w:t>
            </w:r>
            <w:r>
              <w:t xml:space="preserve"> </w:t>
            </w:r>
            <w:r>
              <w:rPr>
                <w:b/>
                <w:i/>
              </w:rPr>
              <w:t>u tom pogledu pozdravlja novi prijedlog Akta o digitalnim mrežama, čija je svrha rješavanje problema fragmentacije tržišta, privlačenje ulaganja, sigurna telekomunikacijska infrastruktura i promicanje inovacija bez dodatnih troškova za potrošače i bez ugrožavanja poštenog tržišnog natjecanja među svim akterima;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sa zabrinutošću prima na znanje pojavu nejednakih uvjeta kao posljedice Uredbe (EU) 575/2013 i Direktive 2013/36/EU, kako su ažurirane Uredbom (EU) 2024/1623, posebno u pogledu bonitetnog tretmana međusektorskih vlasničkih udjela u skladu sa sektorskim pravilima (takozvani „danski kompromis”);</w:t>
            </w:r>
            <w:r>
              <w:t xml:space="preserve"> </w:t>
            </w:r>
            <w:r>
              <w:rPr>
                <w:b/>
                <w:i/>
              </w:rPr>
              <w:t>pozdravlja mjeru donesenu člankom 3. Direktive (EU) 2025/2, kojim se se predviđa da je Komisija do 31. prosinca 2027. dužna predstaviti izvješće o funkcioniranju navedenog mehanizma u pogledu tržišnog natjecanja;</w:t>
            </w:r>
            <w:r>
              <w:t xml:space="preserve"> </w:t>
            </w:r>
            <w:r>
              <w:rPr>
                <w:b/>
                <w:i/>
              </w:rPr>
              <w:t>poziva na proširenje njezina područja primjene na financijske subjekte koji nisu konglomerati;</w:t>
            </w:r>
            <w:r>
              <w:t xml:space="preserve"> </w:t>
            </w:r>
            <w:r>
              <w:rPr>
                <w:b/>
                <w:i/>
              </w:rPr>
              <w:t>naglašava važnost i hitnost spomenutog izvješća i preporučuje Komisiji da predvidi rok za njegovo predstavljanje;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i dalje je duboko zabrinut zbog dalekosežne koncentracije u lancu opskrbe poljoprivrednim i prehrambenim proizvodima;</w:t>
            </w:r>
            <w:r>
              <w:t xml:space="preserve"> </w:t>
            </w:r>
            <w:r>
              <w:rPr>
                <w:b/>
                <w:i/>
              </w:rPr>
              <w:t>ponovo poziva Komisiju da hitno provede detaljnu analizu opsega i učinka nabavnih saveza i tako posebnu pozornost posveti jamčenju poštenog tržišnog natjecanja i veće transparentnosti u trgovačkim praksama supermarketa i hipermarketa, posebno kada takve prakse utječu na vrijednost robne marke i izbor proizvoda ili kada ograničavaju inovacije ili usporedivost cijena;</w:t>
            </w:r>
            <w:r>
              <w:t xml:space="preserve"> </w:t>
            </w:r>
            <w:r>
              <w:rPr>
                <w:b/>
                <w:i/>
              </w:rPr>
              <w:t>poziva Komisiju da nastavi produbljivati svoje znanje o tim savezima i njihovim učincima, ne samo na cijene već i na sposobnost poljoprivrednika i proizvođača poljoprivredno-prehrambenih proizvoda da europskim potrošačima isporučuju zdrave, sigurne i održive proizvode;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izražava duboku zabrinutost zbog krize cijena hrane i visokih razina tržišne koncentracije i financijskog vlasništva u lancima opskrbe hranom, koji bi mogli destimulirati tržišno natjecanje i omogućiti nepoštena povećanja cijena;</w:t>
            </w:r>
            <w:r>
              <w:t xml:space="preserve"> </w:t>
            </w:r>
            <w:r>
              <w:rPr>
                <w:b/>
                <w:i/>
              </w:rPr>
              <w:t>poziva na temeljitu sektorsku istragu tržišne snage i financijskog vlasništva u prehrambenim lancima EU-a te na provedbu strukturnih mjera, uključujući sprečavanje daljnjih koncentracija i stjecanja;</w:t>
            </w:r>
            <w:r>
              <w:t xml:space="preserve"> </w:t>
            </w:r>
            <w:r>
              <w:rPr>
                <w:b/>
                <w:i/>
              </w:rPr>
              <w:t>poziva na reviziju prava tržišnog natjecanja EU-a kako bi se njegova provedba uskladila s ciljem prema kojemu poduzeća pri svojem djelovanju moraju poštovati temeljno pravo potrošača na cjenovno pristupačnu hranu;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Aleksandar Nikolic,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poziva, s obzirom na njihovu stratešku prirodu, na očuvanje nacionalnih obrambenih industrija i na to da se zajedničko tržište za obrambenu industriju, kako je navedeno u izvješću Enrica Lette, tumači samo kao tržište koje promiče plasman narudžbi između država članica i europskih proizvođača, suradnju među proizvođačima kada je to u interesu nacionalne obrane i općenitije europsku stratešku neovisnost u pitanjima obrane;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Niels Fuglsang, Lara Wolters, Adnan Dibrani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poziva Komisiju da predloži zakonodavstvo kojim se nalaže strukturno odvajanje računovodstvenih poduzeća od financijskih, poreznih i drugih savjetodavnih službi kako bi se spriječili sukobi interesa;</w:t>
            </w:r>
            <w:r>
              <w:t xml:space="preserve"> </w:t>
            </w:r>
            <w:r>
              <w:rPr>
                <w:b/>
                <w:i/>
              </w:rPr>
              <w:t>izražava žaljenje zbog toga što jedno od četiriju velikih računovodstvenih poduzeća nije postupilo u skladu sa svojim najavljenim planom za razdvajanje revizijskih i savjetodavnih aktivnosti</w:t>
            </w:r>
            <w:r>
              <w:rPr>
                <w:b/>
                <w:i/>
                <w:vertAlign w:val="superscript"/>
              </w:rPr>
              <w:t>1a</w:t>
            </w:r>
            <w:r>
              <w:rPr>
                <w:b/>
                <w:i/>
              </w:rPr>
              <w:t>, naglašavajući pritom potrebu za regulatornom intervencijom u dotičnom području;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https://www.theaccountant-online.com/news/ey-calls-off-audit-advisory-split/?cf-view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Adnan Dibrani, Eero Heinäluoma,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sa zabrinutošću primjećuje visoku neto dobit banaka u EU-u tijekom razdoblja inflacije, koja je potencijalno ostvarena na štetu potrošača i malih poduzeća;</w:t>
            </w:r>
            <w:r>
              <w:t xml:space="preserve"> </w:t>
            </w:r>
            <w:r>
              <w:rPr>
                <w:b/>
                <w:i/>
              </w:rPr>
              <w:t>apelira na Komisiju da temeljito istraži to pitanje i da, ako se utvrde bilo kakve nepravilnosti ili neispravnosti, primijeni sve dostupne instrumente kako bi se u europskom bankarskom sektoru osiguralo pošteno tržišno natjecanje;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Evelyn Regner, Irene Tinagli, Lara Wolters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sa zabrinutošću primjećuje porast špekulacija stambenim nekretninama, zbog čega dolazi do povećanja cijena te ograničavanja cjenovne pristupačnosti;</w:t>
            </w:r>
            <w:r>
              <w:t xml:space="preserve"> </w:t>
            </w:r>
            <w:r>
              <w:rPr>
                <w:b/>
                <w:i/>
              </w:rPr>
              <w:t>naglašava da to šteti konkurentnosti EU-a jer se smanjuje mobilnost, povećava nejednakost i pod pritisak stavlja socijalna stabilnost;</w:t>
            </w:r>
            <w:r>
              <w:t xml:space="preserve"> </w:t>
            </w:r>
            <w:r>
              <w:rPr>
                <w:b/>
                <w:i/>
              </w:rPr>
              <w:t>poziva na donošenje strožih propisa kako bi se suzbile špekulacije, čime bi se osiguralo pravedno tržište stambenih nekretnina i tako poduprli gospodarski rast i socijalna uključenost;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izražava žaljenje zbog činjenice da tržišni udio tri najveće agencije za kreditni rejting i dalje premašuje 90 %;</w:t>
            </w:r>
            <w:r>
              <w:t xml:space="preserve"> </w:t>
            </w:r>
            <w:r>
              <w:rPr>
                <w:b/>
                <w:i/>
              </w:rPr>
              <w:t>poziva na osnivanje europske javne agencije za kreditni rejting, kao nepristrane i pouzdane alternative postojećim agencijama;</w:t>
            </w:r>
            <w:r>
              <w:t xml:space="preserve"> </w:t>
            </w:r>
            <w:r>
              <w:rPr>
                <w:b/>
                <w:i/>
              </w:rPr>
              <w:t>nadalje, izražava žaljenje zbog problema koncentracije i sukoba interesa na tržištu revizije;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ističe da je potrebno zajamčiti konkurentnost unutarnjeg tržišta država članica, među ostalim mjerama zaštite i državnim potporama za mala i srednja poduzeća koja su u svojim djelatnostima obilježena tipičnom prirodom proizvoda povezanim s posebnim značajkama okoliša, klime i teritorija;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{Greens/EFA}</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poziva Komisiju da ne produlji prijelazno razdoblje za operativne potpore svim regionalnim zračnim lukama u kontekstu revizije Smjernica o državnim potporama zračnim lukama i zračnim prijevoznicima;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ističe da je zabrinut zbog visoke tržišne koncentracije u europskom lancu opskrbe poljoprivrednim i prehrambenim proizvodima, koja šteti potrošačima, malim poljoprivrednicima i biološkoj raznolikosti;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Andreas Schwab</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prima na znanje obavijest o utvrđenim činjenicama koju je Europska komisija objavila 25. lipnja 2024. u okviru protumonopolske istrage mogućih praksi Microsofta kojima se narušava tržišno natjecanje u vezi s aplikacijom Teams, u kojoj je Komisija izrazila svoje preliminarno stajalište prema kojemu je Microsoft povezao svoj proizvod za komunikaciju i suradnju Teams sa svojim aplikacijama za produktivnost uključenima u pakete za poduzeća, Office 365 i Microsoft 365;</w:t>
            </w:r>
            <w:r>
              <w:t xml:space="preserve"> </w:t>
            </w:r>
            <w:r>
              <w:rPr>
                <w:b/>
                <w:i/>
              </w:rPr>
              <w:t>poziva Komisiju da nastavi ulagati napore i da se pažljivo pobrine za zaključivanje te protumonopolske istrage kako bi se osigurali jednaki uvjeti za sve sudionike na tržištu, reagirajući pritom na probleme potrošača kao i na probleme u području interoperabilnosti i određivanja cijena;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s posebnom zabrinutošću primjećuje dominantan položaj dvaju međunarodnih kartičnih shema na tržištu platnog prometa EU-a i njihove prakse jačanja i širenja dominantnog položaja nad tržištem digitalnih plaćanja u EU-u, čime bi se mogle dodatno povećati prepreke ulasku na tržište i ometati dugoročne inovacije</w:t>
            </w:r>
            <w:r>
              <w:rPr>
                <w:b/>
                <w:i/>
                <w:vertAlign w:val="superscript"/>
              </w:rPr>
              <w:t>1b</w:t>
            </w:r>
            <w:r>
              <w:t xml:space="preserve"> </w:t>
            </w:r>
            <w:r>
              <w:rPr>
                <w:b/>
                <w:i/>
              </w:rPr>
              <w:t>te što bi moglo dovesti do većih troškova za poduzeća u EU-u i u konačnici potrošače;</w:t>
            </w:r>
            <w:r>
              <w:t xml:space="preserve"> </w:t>
            </w:r>
            <w:r>
              <w:rPr>
                <w:b/>
                <w:i/>
              </w:rPr>
              <w:t>poziva Komisiju da poduzme odlučne mjere, naglašavajući pritom potrebu za revizijom Uredbe o međubankovnim naknadama, kako bi se riješio problem velikog porasta naknada za kartične sustave koje naplaćuju međunarodni kartični sustavi te osiguralo pravedno, konkurentno i transparentno tržišno okruženje;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Vidjeti tematsko izvješće Europskog revizorskog suda: Digitalna plaćanja u EU-u:</w:t>
            </w:r>
            <w:r>
              <w:t xml:space="preserve"> </w:t>
            </w:r>
            <w:r>
              <w:rPr>
                <w:b/>
                <w:i/>
              </w:rPr>
              <w:t>https://www.eca.europa.eu/ECAPublications/SR-2025-01/SR-2025-01_HR.pdf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ističe da je tržište revizije jedno od najkoncentriranijih tržišta u Uniji te da je je na njemu tržišni udio četiriju velikih poduzeća veći od 90 %;</w:t>
            </w:r>
            <w:r>
              <w:t xml:space="preserve"> </w:t>
            </w:r>
            <w:r>
              <w:rPr>
                <w:b/>
                <w:i/>
              </w:rPr>
              <w:t>podsjeća na to da je visok stupanj tržišne koncentracije na tržištu revizije već odavno prepoznat kao prijetnja stabilnosti financijskog tržišta;</w:t>
            </w:r>
            <w:r>
              <w:t xml:space="preserve"> </w:t>
            </w:r>
            <w:r>
              <w:rPr>
                <w:b/>
                <w:i/>
              </w:rPr>
              <w:t>poziva Komisiju da predstavi zakonodavni prijedlog o reformi tržišta revizije kojim se jača sustav nadzora, uklanjaju nedostaci i iznimke za države članice te kojim se uvode pravila u pogledu izbjegavanja sukoba interesa;</w:t>
            </w:r>
            <w:r>
              <w:t xml:space="preserve"> </w:t>
            </w:r>
            <w:r>
              <w:rPr>
                <w:b/>
                <w:i/>
              </w:rPr>
              <w:t>apelira na Komisiju da poduzme mjere kako bi se izbjegla preuska povezanost između javnih institucija i revizorskih društava, među ostalim pri vlastitim aktivnostima;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Adnan Dibrani, Eero Heinäluoma,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sa zabrinutošću prima na znanje da postoji rizik od inflacijske dinamike i nekonkurentnog ponašanja u prehrambenim sektorima koji doprinose naglom porastu cijena hrane posljednjih godina na štetu europskih potrošača;</w:t>
            </w:r>
            <w:r>
              <w:t xml:space="preserve"> </w:t>
            </w:r>
            <w:r>
              <w:rPr>
                <w:b/>
                <w:i/>
              </w:rPr>
              <w:t>poziva usto i na hitnu aktivaciju dostupnih alata za tržišno natjecanje kako bi se ta tržišta hitno istražila,</w:t>
            </w:r>
            <w:r>
              <w:t xml:space="preserve"> </w:t>
            </w:r>
            <w:r>
              <w:rPr>
                <w:b/>
                <w:i/>
              </w:rPr>
              <w:t>uz istodobnu procjenu potrebe za uvođenjem „novog instrumenta za tržišno natjecanje” kako bi se riješili strukturni problemi u području tržišnog natjecanja;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sa zabrinutošću primjećuje tržišnu koncentraciju u trgovini poljoprivrednim proizvodima, pri čemu četiri poduzeća u svojim rukama drže do 90 % svjetske trgovine žitaricama i 60 % svjetske trgovine žitaricama, uljaricama i proteinskim usjevima;</w:t>
            </w:r>
            <w:r>
              <w:t xml:space="preserve"> </w:t>
            </w:r>
            <w:r>
              <w:rPr>
                <w:b/>
                <w:i/>
              </w:rPr>
              <w:t>podsjeća na izvješće Komisije o koncentraciji konkurencije iz studenoga 2024., u kojem se govori o „tržištu u obliku pješčanog sata”, na kojem nekoliko poduzeća ostvaruje dobit kupnjom poljoprivrednih proizvoda i njihovom preprodajom, kao takvih ili u prerađenom obliku, po višoj cijeni;</w:t>
            </w:r>
            <w:r>
              <w:t xml:space="preserve"> </w:t>
            </w:r>
            <w:r>
              <w:rPr>
                <w:b/>
                <w:i/>
              </w:rPr>
              <w:t>izražava žaljenje zbog toga što je Komisija ipak uvjetno odobrila koncentraciju poduzetnika Bunge i Vittera (predmet M.11204) unatoč zabrinutosti u pogledu tržišnog natjecanja;</w:t>
            </w:r>
            <w:r>
              <w:t xml:space="preserve"> </w:t>
            </w:r>
            <w:r>
              <w:rPr>
                <w:b/>
                <w:i/>
              </w:rPr>
              <w:t>traži od Komisije da riješi problem prekomjernog gomilanja moći u rukama nekoliko velikih sudionika na tom tržištu kako bi se ojačao pregovarački položaj poljoprivrednika i potrošača;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naglašava da bi Parlament trebao biti dostatno uključen u oblikovanje politike tržišnog natjecanja;</w:t>
            </w:r>
            <w:r>
              <w:t xml:space="preserve"> </w:t>
            </w:r>
            <w:r>
              <w:rPr>
                <w:b/>
                <w:i/>
              </w:rPr>
              <w:t>poziva Komisiju da započne pregovore o međuinstitucijskom sporazumu o politici tržišnog natjecanja;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Lara Wolters, Jonás Fernández, Claire Fita, Niels Fuglsang, Thomas Bajada, Eero Heinäluoma,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naglašava da bi Parlament trebao biti dostatno uključen u oblikovanje politike tržišnog natjecanja; poziva Komisiju da započne pregovore o međuinstitucijskom sporazumu o politici tržišnog natjecanja;</w:t>
            </w:r>
          </w:p>
        </w:tc>
        <w:tc>
          <w:tcPr>
            <w:tcW w:w="4876" w:type="dxa"/>
            <w:tcBorders>
              <w:top w:val="nil"/>
              <w:left w:val="nil"/>
              <w:bottom w:val="nil"/>
              <w:right w:val="nil"/>
            </w:tcBorders>
          </w:tcPr>
          <w:p>
            <w:pPr>
              <w:pStyle w:val="Normal6a"/>
            </w:pPr>
            <w:r>
              <w:t>22.</w:t>
            </w:r>
            <w:r>
              <w:tab/>
            </w:r>
            <w:r>
              <w:t xml:space="preserve">naglašava da bi Parlament trebao biti dostatno uključen u oblikovanje politike tržišnog natjecanja </w:t>
            </w:r>
            <w:r>
              <w:rPr>
                <w:b/>
                <w:i/>
              </w:rPr>
              <w:t>i upozorava na prekomjerno oslanjanje na instrumente neobvezujućeg prava, kao što su smjernice i privremeni okviri u kojima je sudjelovanje Parlamenta ograničeno</w:t>
            </w:r>
            <w:r>
              <w:t xml:space="preserve">; poziva Komisiju da započne pregovore o međuinstitucijskom sporazumu o politici tržišnog natjecanja </w:t>
            </w:r>
            <w:r>
              <w:rPr>
                <w:b/>
                <w:i/>
              </w:rPr>
              <w:t>kako bi se provedbeni prioriteti formalizirali i za Parlament;</w:t>
            </w:r>
            <w:r>
              <w:t xml:space="preserve"> </w:t>
            </w:r>
            <w:r>
              <w:rPr>
                <w:b/>
                <w:i/>
              </w:rPr>
              <w:t>poziva Europsko vijeće da donese odluku u skladu s člankom 48. stavkom 7. drugim podstavkom UEU-a kojom bi se omogućilo donošenje zakonodavnih akata u području politike tržišnog natjecanja u skladu s redovnim zakonodavnim postupkom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Stéphanie Yon-Courtin, Gilles Boyer,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naglašava da bi Parlament trebao biti dostatno uključen u oblikovanje politike tržišnog natjecanja; poziva Komisiju da započne pregovore o međuinstitucijskom sporazumu o politici tržišnog natjecanja;</w:t>
            </w:r>
          </w:p>
        </w:tc>
        <w:tc>
          <w:tcPr>
            <w:tcW w:w="4876" w:type="dxa"/>
            <w:tcBorders>
              <w:top w:val="nil"/>
              <w:left w:val="nil"/>
              <w:bottom w:val="nil"/>
              <w:right w:val="nil"/>
            </w:tcBorders>
          </w:tcPr>
          <w:p>
            <w:pPr>
              <w:pStyle w:val="Normal6a"/>
            </w:pPr>
            <w:r>
              <w:t>22.</w:t>
            </w:r>
            <w:r>
              <w:tab/>
            </w:r>
            <w:r>
              <w:t xml:space="preserve">naglašava da bi Parlament trebao biti dostatno uključen u oblikovanje politike tržišnog natjecanja; poziva Komisiju da započne pregovore o međuinstitucijskom sporazumu o politici tržišnog natjecanja; </w:t>
            </w:r>
            <w:r>
              <w:rPr>
                <w:b/>
                <w:i/>
              </w:rPr>
              <w:t>naglašava da bi Parlament u svojstvu promatrača trebao biti više uključen u aktivnosti radnih skupina i stručnih skupina u Međunarodnoj mreži za tržišno natjecanje (ICN) i OECD-u, ali i u rad stručne skupine na visokoj razini za Akt o digitalnom tržištu;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Martin Schirdewan,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naglašava da bi Parlament trebao </w:t>
            </w:r>
            <w:r>
              <w:rPr>
                <w:b/>
                <w:i/>
              </w:rPr>
              <w:t>biti dostatno uključen u oblikovanje politike</w:t>
            </w:r>
            <w:r>
              <w:t xml:space="preserve"> tržišnog natjecanja; poziva Komisiju da započne pregovore o međuinstitucijskom sporazumu o politici tržišnog natjecanja;</w:t>
            </w:r>
          </w:p>
        </w:tc>
        <w:tc>
          <w:tcPr>
            <w:tcW w:w="4876" w:type="dxa"/>
            <w:tcBorders>
              <w:top w:val="nil"/>
              <w:left w:val="nil"/>
              <w:bottom w:val="nil"/>
              <w:right w:val="nil"/>
            </w:tcBorders>
          </w:tcPr>
          <w:p>
            <w:pPr>
              <w:pStyle w:val="Normal6a"/>
            </w:pPr>
            <w:r>
              <w:t>22.</w:t>
            </w:r>
            <w:r>
              <w:tab/>
            </w:r>
            <w:r>
              <w:t xml:space="preserve">naglašava da bi Parlament trebao </w:t>
            </w:r>
            <w:r>
              <w:rPr>
                <w:b/>
                <w:i/>
              </w:rPr>
              <w:t>oblikovati politiku</w:t>
            </w:r>
            <w:r>
              <w:t xml:space="preserve"> tržišnog natjecanja; poziva Komisiju da započne pregovore o međuinstitucijskom sporazumu o politici tržišnog natjecanja; </w:t>
            </w:r>
            <w:r>
              <w:rPr>
                <w:b/>
                <w:i/>
              </w:rPr>
              <w:t>poziva na puno širenje redovnog zakonodavnog postupka kako bi se obuhvatili pravni propisi o politici tržišnog natjecanja;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Pierre Pimpie, Aleksandar Nikolic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naglašava da bi Parlament trebao biti </w:t>
            </w:r>
            <w:r>
              <w:rPr>
                <w:b/>
                <w:i/>
              </w:rPr>
              <w:t>dostatno</w:t>
            </w:r>
            <w:r>
              <w:t xml:space="preserve"> uključen u oblikovanje politike tržišnog natjecanja; poziva Komisiju da započne pregovore o međuinstitucijskom sporazumu o politici tržišnog natjecanja;</w:t>
            </w:r>
          </w:p>
        </w:tc>
        <w:tc>
          <w:tcPr>
            <w:tcW w:w="4876" w:type="dxa"/>
            <w:tcBorders>
              <w:top w:val="nil"/>
              <w:left w:val="nil"/>
              <w:bottom w:val="nil"/>
              <w:right w:val="nil"/>
            </w:tcBorders>
          </w:tcPr>
          <w:p>
            <w:pPr>
              <w:pStyle w:val="Normal6a"/>
            </w:pPr>
            <w:r>
              <w:t>22.</w:t>
            </w:r>
            <w:r>
              <w:tab/>
            </w:r>
            <w:r>
              <w:t xml:space="preserve">naglašava da bi Parlament trebao biti </w:t>
            </w:r>
            <w:r>
              <w:rPr>
                <w:b/>
                <w:i/>
              </w:rPr>
              <w:t>u većoj mjeri</w:t>
            </w:r>
            <w:r>
              <w:t xml:space="preserve"> uključen u oblikovanje politike tržišnog natjecanja; poziva Komisiju da započne pregovore o međuinstitucijskom sporazumu o politici tržišnog natjecanja;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Stéphanie Yon-Courtin, Gilles Boyer, Engin Eroglu,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poziva izvršnu potpredsjednicu Komisije koja je zadužena i za politiku tržišnog natjecanja da ostane u bliskom kontaktu s nadležnim odborom Parlamenta i njegovom radnom skupinom za pitanja tržišnog natjecanja;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poziva članicu Europske komisije koja je zadužena za politiku tržišnog natjecanja da ostane u bliskom kontaktu s nadležnim odborom Europskog parlamenta i njegovom radnom skupinom za pitanja tržišnog natjecanja;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Marco Falcone,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ističe potrebu za učinkovitom međuinstitucijskom suradnjom u području politike tržišnog natjecanja, uz jasno definiranje uloga i odgovornosti Parlamenta, Komisije i Vijeća;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768.085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162</w:t>
    </w:r>
    <w:r>
      <w:fldChar w:fldCharType="end"/>
    </w:r>
    <w:r>
      <w:t>/</w:t>
    </w:r>
    <w:r>
      <w:fldChar w:fldCharType="begin"/>
    </w:r>
    <w:r>
      <w:instrText xml:space="preserve"> NUMPAGES </w:instrText>
    </w:r>
    <w:r>
      <w:fldChar w:fldCharType="separate"/>
    </w:r>
    <w:r>
      <w:t>163</w:t>
    </w:r>
    <w:r>
      <w:fldChar w:fldCharType="end"/>
    </w:r>
    <w:r>
      <w:tab/>
    </w:r>
    <w:r>
      <w:rPr>
        <w:rStyle w:val="HideTWBExt"/>
      </w:rPr>
      <w:t>&lt;PathFdR&gt;</w:t>
    </w:r>
    <w:r>
      <w:t>AM\1314304HR.docx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AM\1314304HR.docx</w:t>
    </w:r>
    <w:r>
      <w:rPr>
        <w:rStyle w:val="HideTWBExt"/>
      </w:rPr>
      <w:t>&lt;/PathFdR&gt;</w:t>
    </w:r>
    <w:r>
      <w:tab/>
    </w:r>
    <w:r>
      <w:fldChar w:fldCharType="begin"/>
    </w:r>
    <w:r>
      <w:instrText xml:space="preserve"> PAGE </w:instrText>
    </w:r>
    <w:r>
      <w:fldChar w:fldCharType="separate"/>
    </w:r>
    <w:r>
      <w:t>163</w:t>
    </w:r>
    <w:r>
      <w:fldChar w:fldCharType="end"/>
    </w:r>
    <w:r>
      <w:t>/</w:t>
    </w:r>
    <w:r>
      <w:fldChar w:fldCharType="begin"/>
    </w:r>
    <w:r>
      <w:instrText xml:space="preserve"> NUMPAGES </w:instrText>
    </w:r>
    <w:r>
      <w:fldChar w:fldCharType="separate"/>
    </w:r>
    <w:r>
      <w:t>163</w:t>
    </w:r>
    <w:r>
      <w:fldChar w:fldCharType="end"/>
    </w:r>
    <w:r>
      <w:tab/>
    </w:r>
    <w:r>
      <w:t>PE</w:t>
    </w:r>
    <w:r>
      <w:rPr>
        <w:rStyle w:val="HideTWBExt"/>
      </w:rPr>
      <w:t>&lt;NoPE&gt;</w:t>
    </w:r>
    <w:r>
      <w:t>768.085</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AM\1314304HR.docx</w:t>
    </w:r>
    <w:r>
      <w:rPr>
        <w:rStyle w:val="HideTWBExt"/>
      </w:rPr>
      <w:t>&lt;/PathFdR&gt;</w:t>
    </w:r>
    <w:r>
      <w:tab/>
    </w:r>
    <w:r>
      <w:tab/>
    </w:r>
    <w:r>
      <w:t>PE</w:t>
    </w:r>
    <w:r>
      <w:rPr>
        <w:rStyle w:val="HideTWBExt"/>
      </w:rPr>
      <w:t>&lt;NoPE&gt;</w:t>
    </w:r>
    <w:r>
      <w:t>768.085</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163</Pages>
  <Words>31004</Words>
  <Characters>195663</Characters>
  <Application>Microsoft Office Word</Application>
  <DocSecurity>0</DocSecurity>
  <Lines>1</Lines>
  <Paragraphs>2889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1314304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128433</vt:lpwstr>
  </property>
  <property fmtid="{D5CDD505-2E9C-101B-9397-08002B2CF9AE}" pid="7" name="dmxml.render.traceId">
    <vt:lpwstr>67b2ed006ef803a17c6ab8502e063799</vt:lpwstr>
  </property>
  <property fmtid="{D5CDD505-2E9C-101B-9397-08002B2CF9AE}" pid="8" name="FooterPath">
    <vt:lpwstr>AM\1314304HR.docx</vt:lpwstr>
  </property>
  <property fmtid="{D5CDD505-2E9C-101B-9397-08002B2CF9AE}" pid="9" name="PE Number">
    <vt:lpwstr>768.085</vt:lpwstr>
  </property>
  <property fmtid="{D5CDD505-2E9C-101B-9397-08002B2CF9AE}" pid="10" name="UID">
    <vt:lpwstr>eu.europa.europarl-DIN1-2025-0000013585_02.00-hr-01.00_text-xml</vt:lpwstr>
  </property>
</Properties>
</file>