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B3AAB" w:rsidRPr="00CD3F77">
        <w:trPr>
          <w:trHeight w:hRule="exact" w:val="1417"/>
          <w:jc w:val="center"/>
        </w:trPr>
        <w:tc>
          <w:tcPr>
            <w:tcW w:w="6804" w:type="dxa"/>
            <w:tcBorders>
              <w:top w:val="nil"/>
              <w:left w:val="nil"/>
              <w:bottom w:val="nil"/>
              <w:right w:val="nil"/>
            </w:tcBorders>
            <w:vAlign w:val="center"/>
          </w:tcPr>
          <w:p w:rsidR="008B3AAB" w:rsidRPr="00CD3F77" w:rsidRDefault="00D50C1F">
            <w:pPr>
              <w:pStyle w:val="EPName"/>
            </w:pPr>
            <w:r w:rsidRPr="00CD3F77">
              <w:t>Europos Parl</w:t>
            </w:r>
            <w:r w:rsidR="003238E6" w:rsidRPr="00CD3F77">
              <w:t>ament</w:t>
            </w:r>
            <w:r w:rsidRPr="00CD3F77">
              <w:t>as</w:t>
            </w:r>
          </w:p>
          <w:p w:rsidR="008B3AAB" w:rsidRPr="00CD3F77" w:rsidRDefault="003238E6">
            <w:pPr>
              <w:pStyle w:val="EPTerm"/>
            </w:pPr>
            <w:r w:rsidRPr="00CD3F77">
              <w:t>2024-2029</w:t>
            </w:r>
          </w:p>
        </w:tc>
        <w:tc>
          <w:tcPr>
            <w:tcW w:w="2268" w:type="dxa"/>
            <w:tcBorders>
              <w:top w:val="nil"/>
              <w:left w:val="nil"/>
              <w:bottom w:val="nil"/>
              <w:right w:val="nil"/>
            </w:tcBorders>
          </w:tcPr>
          <w:p w:rsidR="008B3AAB" w:rsidRPr="00CD3F77" w:rsidRDefault="00CF6155">
            <w:pPr>
              <w:pStyle w:val="EPLogo"/>
            </w:pPr>
            <w:r w:rsidRPr="00CD3F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8B3AAB" w:rsidRPr="00CD3F77" w:rsidRDefault="003238E6">
      <w:pPr>
        <w:pStyle w:val="LineTop"/>
      </w:pPr>
      <w:r w:rsidRPr="00CD3F77">
        <w:t xml:space="preserve"> </w:t>
      </w:r>
    </w:p>
    <w:p w:rsidR="008B3AAB" w:rsidRPr="00CD3F77" w:rsidRDefault="003238E6">
      <w:pPr>
        <w:pStyle w:val="EPBody"/>
      </w:pPr>
      <w:r w:rsidRPr="00CD3F77">
        <w:rPr>
          <w:rStyle w:val="HideTWBExt"/>
          <w:rFonts w:eastAsia="Times New Roman"/>
          <w:i w:val="0"/>
        </w:rPr>
        <w:t>&lt;Commission&gt;</w:t>
      </w:r>
      <w:r w:rsidRPr="00CD3F77">
        <w:rPr>
          <w:rStyle w:val="HideTWBInt"/>
          <w:i w:val="0"/>
        </w:rPr>
        <w:t>{ECON}</w:t>
      </w:r>
      <w:r w:rsidR="00D50C1F" w:rsidRPr="00CD3F77">
        <w:t>Ekonomikos ir pinigų politikos komitetas</w:t>
      </w:r>
      <w:r w:rsidRPr="00CD3F77">
        <w:rPr>
          <w:rStyle w:val="HideTWBExt"/>
          <w:rFonts w:eastAsia="Times New Roman"/>
          <w:i w:val="0"/>
        </w:rPr>
        <w:t>&lt;/Commission&gt;</w:t>
      </w:r>
    </w:p>
    <w:p w:rsidR="008B3AAB" w:rsidRPr="00CD3F77" w:rsidRDefault="003238E6">
      <w:pPr>
        <w:pStyle w:val="LineBottom"/>
      </w:pPr>
      <w:r w:rsidRPr="00CD3F77">
        <w:t xml:space="preserve"> </w:t>
      </w:r>
    </w:p>
    <w:p w:rsidR="008B3AAB" w:rsidRPr="00CD3F77" w:rsidRDefault="003238E6">
      <w:pPr>
        <w:pStyle w:val="CoverReference"/>
      </w:pPr>
      <w:r w:rsidRPr="00CD3F77">
        <w:rPr>
          <w:rStyle w:val="HideTWBExt"/>
          <w:rFonts w:eastAsia="Times New Roman"/>
          <w:b w:val="0"/>
        </w:rPr>
        <w:t>&lt;RefProc&gt;</w:t>
      </w:r>
      <w:r w:rsidRPr="00CD3F77">
        <w:t>2024/2079</w:t>
      </w:r>
      <w:r w:rsidRPr="00CD3F77">
        <w:rPr>
          <w:rStyle w:val="HideTWBExt"/>
          <w:rFonts w:eastAsia="Times New Roman"/>
          <w:b w:val="0"/>
        </w:rPr>
        <w:t>&lt;/RefProc&gt;&lt;RefTypeProc&gt;</w:t>
      </w:r>
      <w:r w:rsidRPr="00CD3F77">
        <w:t>(INI)</w:t>
      </w:r>
      <w:r w:rsidRPr="00CD3F77">
        <w:rPr>
          <w:rStyle w:val="HideTWBExt"/>
          <w:rFonts w:eastAsia="Times New Roman"/>
          <w:b w:val="0"/>
        </w:rPr>
        <w:t>&lt;/RefTypeProc&gt;</w:t>
      </w:r>
    </w:p>
    <w:p w:rsidR="008B3AAB" w:rsidRPr="00CD3F77" w:rsidRDefault="003238E6">
      <w:pPr>
        <w:pStyle w:val="CoverDate"/>
      </w:pPr>
      <w:r w:rsidRPr="00CD3F77">
        <w:rPr>
          <w:rStyle w:val="HideTWBExt"/>
        </w:rPr>
        <w:t>&lt;Date&gt;</w:t>
      </w:r>
      <w:r w:rsidRPr="00CD3F77">
        <w:rPr>
          <w:rStyle w:val="HideTWBInt"/>
        </w:rPr>
        <w:t>{03/02/2025}</w:t>
      </w:r>
      <w:r w:rsidRPr="00CD3F77">
        <w:t>3.2.2025</w:t>
      </w:r>
      <w:r w:rsidRPr="00CD3F77">
        <w:rPr>
          <w:rStyle w:val="HideTWBExt"/>
        </w:rPr>
        <w:t>&lt;/Date&gt;</w:t>
      </w:r>
      <w:bookmarkStart w:id="0" w:name="_GoBack"/>
      <w:bookmarkEnd w:id="0"/>
    </w:p>
    <w:p w:rsidR="008B3AAB" w:rsidRPr="00CD3F77" w:rsidRDefault="003238E6">
      <w:pPr>
        <w:pStyle w:val="CoverDocType"/>
      </w:pPr>
      <w:r w:rsidRPr="00CD3F77">
        <w:rPr>
          <w:rStyle w:val="HideTWBExt"/>
          <w:b w:val="0"/>
        </w:rPr>
        <w:t>&lt;TypeAM&gt;</w:t>
      </w:r>
      <w:r w:rsidR="00D50C1F" w:rsidRPr="00CD3F77">
        <w:t>PAKEITIMAI</w:t>
      </w:r>
      <w:r w:rsidRPr="00CD3F77">
        <w:rPr>
          <w:rStyle w:val="HideTWBExt"/>
          <w:b w:val="0"/>
        </w:rPr>
        <w:t>&lt;/TypeAM&gt;</w:t>
      </w:r>
    </w:p>
    <w:p w:rsidR="008B3AAB" w:rsidRPr="00CD3F77" w:rsidRDefault="003238E6">
      <w:pPr>
        <w:pStyle w:val="CoverDocType24a"/>
      </w:pPr>
      <w:r w:rsidRPr="00CD3F77">
        <w:rPr>
          <w:rStyle w:val="HideTWBExt"/>
          <w:rFonts w:eastAsia="Times New Roman"/>
          <w:b w:val="0"/>
        </w:rPr>
        <w:t>&lt;RangeAM&gt;</w:t>
      </w:r>
      <w:r w:rsidRPr="00CD3F77">
        <w:t>1 - 326</w:t>
      </w:r>
      <w:r w:rsidRPr="00CD3F77">
        <w:rPr>
          <w:rStyle w:val="HideTWBExt"/>
          <w:rFonts w:eastAsia="Times New Roman"/>
          <w:b w:val="0"/>
        </w:rPr>
        <w:t>&lt;/RangeAM&gt;</w:t>
      </w:r>
    </w:p>
    <w:p w:rsidR="008B3AAB" w:rsidRPr="00CD3F77" w:rsidRDefault="003238E6">
      <w:pPr>
        <w:pStyle w:val="CoverBold"/>
      </w:pPr>
      <w:r w:rsidRPr="00CD3F77">
        <w:rPr>
          <w:rStyle w:val="HideTWBExt"/>
          <w:b w:val="0"/>
        </w:rPr>
        <w:t>&lt;TitreType&gt;</w:t>
      </w:r>
      <w:r w:rsidR="00D50C1F" w:rsidRPr="00CD3F77">
        <w:t>Pranešimo projektas</w:t>
      </w:r>
      <w:r w:rsidRPr="00CD3F77">
        <w:rPr>
          <w:rStyle w:val="HideTWBExt"/>
          <w:b w:val="0"/>
        </w:rPr>
        <w:t>&lt;/TitreType&gt;</w:t>
      </w:r>
    </w:p>
    <w:p w:rsidR="008B3AAB" w:rsidRPr="00CD3F77" w:rsidRDefault="003238E6">
      <w:pPr>
        <w:pStyle w:val="CoverBold"/>
      </w:pPr>
      <w:r w:rsidRPr="00CD3F77">
        <w:rPr>
          <w:rStyle w:val="HideTWBExt"/>
          <w:b w:val="0"/>
        </w:rPr>
        <w:t>&lt;Rapporteur&gt;</w:t>
      </w:r>
      <w:r w:rsidRPr="00CD3F77">
        <w:t>Lara Wolters</w:t>
      </w:r>
      <w:r w:rsidRPr="00CD3F77">
        <w:rPr>
          <w:rStyle w:val="HideTWBExt"/>
          <w:b w:val="0"/>
        </w:rPr>
        <w:t>&lt;/Rapporteur&gt;</w:t>
      </w:r>
    </w:p>
    <w:p w:rsidR="008B3AAB" w:rsidRPr="00CD3F77" w:rsidRDefault="003238E6">
      <w:pPr>
        <w:pStyle w:val="CoverNormal24a"/>
      </w:pPr>
      <w:r w:rsidRPr="00CD3F77">
        <w:rPr>
          <w:rStyle w:val="HideTWBExt"/>
        </w:rPr>
        <w:t>&lt;DocRefPE&gt;</w:t>
      </w:r>
      <w:r w:rsidRPr="00CD3F77">
        <w:t>(PE765.240v01-00)</w:t>
      </w:r>
      <w:r w:rsidRPr="00CD3F77">
        <w:rPr>
          <w:rStyle w:val="HideTWBExt"/>
        </w:rPr>
        <w:t>&lt;/DocRefPE&gt;</w:t>
      </w:r>
    </w:p>
    <w:p w:rsidR="008B3AAB" w:rsidRPr="00CD3F77" w:rsidRDefault="003238E6">
      <w:pPr>
        <w:pStyle w:val="CoverNormal"/>
      </w:pPr>
      <w:r w:rsidRPr="00CD3F77">
        <w:rPr>
          <w:rStyle w:val="HideTWBExt"/>
        </w:rPr>
        <w:t>&lt;Titre&gt;</w:t>
      </w:r>
      <w:r w:rsidR="00D50C1F" w:rsidRPr="00CD3F77">
        <w:t>Konkurencijos politika. 2024 m. metinė ataskaita</w:t>
      </w:r>
      <w:r w:rsidRPr="00CD3F77">
        <w:rPr>
          <w:rStyle w:val="HideTWBExt"/>
        </w:rPr>
        <w:t>&lt;/Titre&gt;</w:t>
      </w:r>
    </w:p>
    <w:p w:rsidR="008B3AAB" w:rsidRPr="00CD3F77" w:rsidRDefault="003238E6">
      <w:pPr>
        <w:pStyle w:val="CoverNormal24a"/>
      </w:pPr>
      <w:r w:rsidRPr="00CD3F77">
        <w:rPr>
          <w:rStyle w:val="HideTWBExt"/>
        </w:rPr>
        <w:t>&lt;DocRef&gt;</w:t>
      </w:r>
      <w:r w:rsidRPr="00CD3F77">
        <w:t>(2024/2079(INI))</w:t>
      </w:r>
      <w:r w:rsidRPr="00CD3F77">
        <w:rPr>
          <w:rStyle w:val="HideTWBExt"/>
        </w:rPr>
        <w:t>&lt;/DocRef&gt;</w:t>
      </w:r>
    </w:p>
    <w:p w:rsidR="008B3AAB" w:rsidRPr="00CD3F77" w:rsidRDefault="003238E6">
      <w:r w:rsidRPr="00CD3F77">
        <w:br w:type="page"/>
      </w:r>
      <w:r w:rsidRPr="00CD3F77">
        <w:lastRenderedPageBreak/>
        <w:t>AM_Com_NonLegReport</w:t>
      </w:r>
    </w:p>
    <w:p w:rsidR="009517E4" w:rsidRPr="00CD3F77" w:rsidRDefault="003238E6" w:rsidP="009517E4">
      <w:pPr>
        <w:pStyle w:val="AmNumberTabs"/>
      </w:pPr>
      <w:r w:rsidRPr="00CD3F77">
        <w:br w:type="page"/>
      </w:r>
      <w:r w:rsidR="009517E4" w:rsidRPr="00CD3F77">
        <w:rPr>
          <w:rStyle w:val="HideTWBExt"/>
          <w:b w:val="0"/>
        </w:rPr>
        <w:lastRenderedPageBreak/>
        <w:t>&lt;RepeatBlock-Amend&gt;&lt;Amend&gt;</w:t>
      </w:r>
      <w:r w:rsidR="009517E4" w:rsidRPr="00CD3F77">
        <w:t>Pakeitimas</w:t>
      </w:r>
      <w:r w:rsidR="009517E4" w:rsidRPr="00CD3F77">
        <w:tab/>
      </w:r>
      <w:r w:rsidR="009517E4" w:rsidRPr="00CD3F77">
        <w:tab/>
      </w:r>
      <w:r w:rsidR="009517E4" w:rsidRPr="00CD3F77">
        <w:rPr>
          <w:rStyle w:val="HideTWBExt"/>
          <w:b w:val="0"/>
        </w:rPr>
        <w:t>&lt;NumAm&gt;</w:t>
      </w:r>
      <w:r w:rsidR="009517E4" w:rsidRPr="00CD3F77">
        <w:t>1</w:t>
      </w:r>
      <w:r w:rsidR="009517E4"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a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atsižvelgdamas į SESV 11 straipsnį, kuriuo įpareigojama integruoti aplinkos apsaugą į visas ES politikos sritis siekiant skatinti darnų vystymąsi,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a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atsižvelgdamas į 2023 m. vasario mėn. Komisijos komunikatą Nr. 62/2023 „Žaliojo kurso pramonės planas poveikio klimatui neutralizavimo amžiui“,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b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 xml:space="preserve">atsižvelgdamas į 2050 m. poveikio klimatui neutralumo tikslą, nustatytą 2021 m. birželio 30 d. Europos Parlamento ir Tarybos reglamente </w:t>
            </w:r>
            <w:r w:rsidRPr="00CD3F77">
              <w:rPr>
                <w:b/>
                <w:i/>
              </w:rPr>
              <w:lastRenderedPageBreak/>
              <w:t>(ES) 2021/1119, kuriuo nustatoma poveikio klimatui neutralumo pasiekimo sistema ir iš dalies keičiami reglamentai (EB) Nr. 401/2009 ir (ES) 2018/1999,</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b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atsižvelgdamas į 2020 m. kovo mėn. Komisijos komunikatą Nr. 98/2020 „Naujas žiedinės ekonomikos veiksmų planas, kuriuo siekiama švaresnės ir konkurencingesnės Europos“,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c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atsižvelgdamas į 2022 m. balandžio 6 d. Europos Parlamento ir Tarybos sprendimo (ES) 2022/591 dėl bendrosios Sąjungos aplinkosaugos veiksmų programos iki 2030 m. 3 straipsnį, kuriame nustatyta, kad būtina nedelsiant laipsniškai panaikinti aplinkai kenksmingas subsidijas, visų pirma subsidijas iškastiniam kurui,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c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atsižvelgdamas į 2020 m. sausio mėn. Komisijos komunikatą Nr. 21/2020 „Tvarios Europos investicijų planas ir Europos žaliojo kurso investicijų planas“,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atsižvelgdamas į Europos mokslo patariamosios tarybos klimato kaitos klausimais 2024 m. vertinimo ataskaitoje pateiktas pagrindines 4-ąją ir 5-ąją rekomendacijas,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nurodomoji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w:t>
            </w:r>
            <w:r w:rsidRPr="00CD3F77">
              <w:tab/>
              <w:t xml:space="preserve">atsižvelgdamas į 2022 m. rugsėjo 22 d. Europos Sąjungos Teisingumo Teismo sprendimą byloje C-611/22 </w:t>
            </w:r>
            <w:r w:rsidRPr="00CD3F77">
              <w:lastRenderedPageBreak/>
              <w:t>P(</w:t>
            </w:r>
            <w:r w:rsidRPr="00CD3F77">
              <w:rPr>
                <w:i/>
                <w:iCs/>
              </w:rPr>
              <w:t>Illumina prieš Komisiją</w:t>
            </w:r>
            <w:r w:rsidRPr="00CD3F77">
              <w:t>)</w:t>
            </w:r>
            <w:r w:rsidRPr="00CD3F77">
              <w:rPr>
                <w:vertAlign w:val="superscript"/>
              </w:rPr>
              <w:t>2</w:t>
            </w:r>
            <w:r w:rsidRPr="00CD3F77">
              <w:t>, rugsėjo 10 d. sprendimą byloje C-465/20 P (</w:t>
            </w:r>
            <w:r w:rsidRPr="00CD3F77">
              <w:rPr>
                <w:i/>
                <w:iCs/>
              </w:rPr>
              <w:t>Europos Komisija prieš Airiją ir „Apple Sales International“)</w:t>
            </w:r>
            <w:r w:rsidRPr="00CD3F77">
              <w:t>)</w:t>
            </w:r>
            <w:r w:rsidRPr="00CD3F77">
              <w:rPr>
                <w:vertAlign w:val="superscript"/>
              </w:rPr>
              <w:t>3</w:t>
            </w:r>
            <w:r w:rsidRPr="00CD3F77">
              <w:t xml:space="preserve"> ir 2024 m. rugsėjo 10 d. sprendimą byloje C-48/22 P (</w:t>
            </w:r>
            <w:r w:rsidRPr="00CD3F77">
              <w:rPr>
                <w:i/>
                <w:iCs/>
              </w:rPr>
              <w:t>„Google“ ir „Alphabet“ prieš Komisiją</w:t>
            </w:r>
            <w:r w:rsidRPr="00CD3F77">
              <w:t>)</w:t>
            </w:r>
            <w:r w:rsidRPr="00CD3F77">
              <w:rPr>
                <w:vertAlign w:val="superscript"/>
              </w:rPr>
              <w:t>4</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lastRenderedPageBreak/>
              <w:t>–</w:t>
            </w:r>
            <w:r w:rsidRPr="00CD3F77">
              <w:tab/>
              <w:t xml:space="preserve">atsižvelgdamas į 2022 m. rugsėjo 22 d. Europos Sąjungos Teisingumo Teismo sprendimą byloje C-611/22 </w:t>
            </w:r>
            <w:r w:rsidRPr="00CD3F77">
              <w:lastRenderedPageBreak/>
              <w:t>P(</w:t>
            </w:r>
            <w:r w:rsidRPr="00CD3F77">
              <w:rPr>
                <w:i/>
                <w:iCs/>
              </w:rPr>
              <w:t>Illumina prieš Komisiją</w:t>
            </w:r>
            <w:r w:rsidRPr="00CD3F77">
              <w:t>)</w:t>
            </w:r>
            <w:r w:rsidRPr="00CD3F77">
              <w:rPr>
                <w:vertAlign w:val="superscript"/>
              </w:rPr>
              <w:t>2</w:t>
            </w:r>
            <w:r w:rsidRPr="00CD3F77">
              <w:t>, rugsėjo 10 d. sprendimą byloje C-465/20 P (</w:t>
            </w:r>
            <w:r w:rsidRPr="00CD3F77">
              <w:rPr>
                <w:i/>
                <w:iCs/>
              </w:rPr>
              <w:t>Europos Komisija prieš Airiją ir „Apple Sales International“)</w:t>
            </w:r>
            <w:r w:rsidRPr="00CD3F77">
              <w:t>)</w:t>
            </w:r>
            <w:r w:rsidRPr="00CD3F77">
              <w:rPr>
                <w:vertAlign w:val="superscript"/>
              </w:rPr>
              <w:t>3</w:t>
            </w:r>
            <w:r w:rsidRPr="00CD3F77">
              <w:t xml:space="preserve"> ir 2024 m. rugsėjo 10 d. sprendimą byloje C-48/22 P (</w:t>
            </w:r>
            <w:r w:rsidRPr="00CD3F77">
              <w:rPr>
                <w:i/>
                <w:iCs/>
              </w:rPr>
              <w:t>„Google“ ir „Alphabet“ prieš Komisiją</w:t>
            </w:r>
            <w:r w:rsidRPr="00CD3F77">
              <w:t>)</w:t>
            </w:r>
            <w:r w:rsidRPr="00CD3F77">
              <w:rPr>
                <w:vertAlign w:val="superscript"/>
              </w:rPr>
              <w:t>4</w:t>
            </w:r>
            <w:r w:rsidRPr="00CD3F77">
              <w:rPr>
                <w:b/>
                <w:i/>
              </w:rPr>
              <w:t>, taip pat į bylą COMP/M.6166 (Deutsche Börse / NYSE Euronext)</w:t>
            </w:r>
            <w:r w:rsidRPr="00CD3F77">
              <w:rPr>
                <w:b/>
                <w:i/>
                <w:vertAlign w:val="superscript"/>
              </w:rPr>
              <w:t>4a</w:t>
            </w:r>
            <w:r w:rsidRPr="00CD3F77">
              <w:t>,</w:t>
            </w:r>
            <w:r w:rsidRPr="00CD3F77">
              <w:rPr>
                <w:b/>
                <w:i/>
              </w:rPr>
              <w:t> </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lastRenderedPageBreak/>
              <w:t>_________________</w:t>
            </w:r>
          </w:p>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vertAlign w:val="superscript"/>
              </w:rPr>
              <w:t>2</w:t>
            </w:r>
            <w:r w:rsidRPr="00CD3F77">
              <w:t xml:space="preserve"> 2022 m. rugsėjo 22 d. Illumina, Inc. pateiktas apeliacinis skundas dėl 2022 m. liepos 13 d. Bendrojo Teismo priimto sprendimo byloje 62021TJ0227 </w:t>
            </w:r>
            <w:r w:rsidRPr="00CD3F77">
              <w:rPr>
                <w:i/>
                <w:iCs/>
              </w:rPr>
              <w:t>Illumina prieš Komisiją</w:t>
            </w:r>
            <w:r w:rsidRPr="00CD3F77">
              <w:t>, OL C 432, 2022 11 14, p. 13.</w:t>
            </w:r>
          </w:p>
        </w:tc>
        <w:tc>
          <w:tcPr>
            <w:tcW w:w="4876" w:type="dxa"/>
            <w:tcBorders>
              <w:top w:val="nil"/>
              <w:left w:val="nil"/>
              <w:bottom w:val="nil"/>
              <w:right w:val="nil"/>
            </w:tcBorders>
          </w:tcPr>
          <w:p w:rsidR="009517E4" w:rsidRPr="00CD3F77" w:rsidRDefault="009517E4" w:rsidP="009517E4">
            <w:pPr>
              <w:pStyle w:val="Normal6a"/>
            </w:pPr>
            <w:r w:rsidRPr="00CD3F77">
              <w:rPr>
                <w:vertAlign w:val="superscript"/>
              </w:rPr>
              <w:t>2</w:t>
            </w:r>
            <w:r w:rsidRPr="00CD3F77">
              <w:t xml:space="preserve"> 2022 m. rugsėjo 22 d. Illumina, Inc. pateiktas apeliacinis skundas dėl 2022 m. liepos 13 d. Bendrojo Teismo priimto sprendimo byloje 62021TJ0227 </w:t>
            </w:r>
            <w:r w:rsidRPr="00CD3F77">
              <w:rPr>
                <w:i/>
                <w:iCs/>
              </w:rPr>
              <w:t>Illumina prieš Komisiją</w:t>
            </w:r>
            <w:r w:rsidRPr="00CD3F77">
              <w:t>, OL C 432, 2022 11 14, p. 13.</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vertAlign w:val="superscript"/>
              </w:rPr>
              <w:t>3</w:t>
            </w:r>
            <w:r w:rsidRPr="00CD3F77">
              <w:t xml:space="preserve"> 2024 m. rugsėjo 10 d. Bendrojo Teismo sprendimas </w:t>
            </w:r>
            <w:r w:rsidRPr="00CD3F77">
              <w:rPr>
                <w:i/>
                <w:iCs/>
              </w:rPr>
              <w:t>Europos Komisija prieš Airiją ir Apple Sales International</w:t>
            </w:r>
            <w:r w:rsidRPr="00CD3F77">
              <w:t>, 62020CJ0465, ECLI:EU:C:2024:724.</w:t>
            </w:r>
          </w:p>
        </w:tc>
        <w:tc>
          <w:tcPr>
            <w:tcW w:w="4876" w:type="dxa"/>
            <w:tcBorders>
              <w:top w:val="nil"/>
              <w:left w:val="nil"/>
              <w:bottom w:val="nil"/>
              <w:right w:val="nil"/>
            </w:tcBorders>
          </w:tcPr>
          <w:p w:rsidR="009517E4" w:rsidRPr="00CD3F77" w:rsidRDefault="009517E4" w:rsidP="009517E4">
            <w:pPr>
              <w:pStyle w:val="Normal6a"/>
            </w:pPr>
            <w:r w:rsidRPr="00CD3F77">
              <w:rPr>
                <w:vertAlign w:val="superscript"/>
              </w:rPr>
              <w:t>3</w:t>
            </w:r>
            <w:r w:rsidRPr="00CD3F77">
              <w:t xml:space="preserve"> 2024 m. rugsėjo 10 d. Bendrojo Teismo sprendimas </w:t>
            </w:r>
            <w:r w:rsidRPr="00CD3F77">
              <w:rPr>
                <w:i/>
                <w:iCs/>
              </w:rPr>
              <w:t>Europos Komisija prieš Airiją ir Apple Sales International</w:t>
            </w:r>
            <w:r w:rsidRPr="00CD3F77">
              <w:t>, 62020CJ0465, ECLI:EU:C:2024:724.</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vertAlign w:val="superscript"/>
              </w:rPr>
              <w:t>4</w:t>
            </w:r>
            <w:r w:rsidRPr="00CD3F77">
              <w:t xml:space="preserve"> 2024 m. rugsėjo 10 d. Teisingumo Teismo sprendimas </w:t>
            </w:r>
            <w:r w:rsidRPr="00CD3F77">
              <w:rPr>
                <w:i/>
                <w:iCs/>
              </w:rPr>
              <w:t>Google LLC ir Alphabet Inc. prieš Europos Komisiją</w:t>
            </w:r>
            <w:r w:rsidRPr="00CD3F77">
              <w:t>, 62022CJ0048, ECLI:EU:C:2024:726.</w:t>
            </w:r>
          </w:p>
        </w:tc>
        <w:tc>
          <w:tcPr>
            <w:tcW w:w="4876" w:type="dxa"/>
            <w:tcBorders>
              <w:top w:val="nil"/>
              <w:left w:val="nil"/>
              <w:bottom w:val="nil"/>
              <w:right w:val="nil"/>
            </w:tcBorders>
          </w:tcPr>
          <w:p w:rsidR="009517E4" w:rsidRPr="00CD3F77" w:rsidRDefault="009517E4" w:rsidP="009517E4">
            <w:pPr>
              <w:pStyle w:val="Normal6a"/>
            </w:pPr>
            <w:r w:rsidRPr="00CD3F77">
              <w:rPr>
                <w:vertAlign w:val="superscript"/>
              </w:rPr>
              <w:t>4</w:t>
            </w:r>
            <w:r w:rsidRPr="00CD3F77">
              <w:t xml:space="preserve"> 2024 m. rugsėjo 10 d. Teisingumo Teismo sprendimas </w:t>
            </w:r>
            <w:r w:rsidRPr="00CD3F77">
              <w:rPr>
                <w:i/>
                <w:iCs/>
              </w:rPr>
              <w:t>Google LLC ir Alphabet Inc. prieš Europos Komisiją</w:t>
            </w:r>
            <w:r w:rsidRPr="00CD3F77">
              <w:t>, 62022CJ0048, ECLI:EU:C:2024:726.</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4a</w:t>
            </w:r>
            <w:r w:rsidRPr="00CD3F77">
              <w:t xml:space="preserve"> </w:t>
            </w:r>
            <w:r w:rsidRPr="00CD3F77">
              <w:rPr>
                <w:b/>
                <w:bCs/>
                <w:i/>
                <w:iCs/>
              </w:rPr>
              <w:t>2012 m. vasario 1 d. Komisijos sprendimas, skirtas Deutsche Börse ir NYSE Euronext, M.6166</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a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 xml:space="preserve">atsižvelgdamas į Europos Parlamento Struktūrinės ir sanglaudos politikos teminio skyriaus tyrimą „Prekiautojų biržos prekėmis vaidmuo formuojant žemės ūkio rinkas“ (angl. </w:t>
            </w:r>
            <w:r w:rsidRPr="00CD3F77">
              <w:rPr>
                <w:b/>
              </w:rPr>
              <w:t xml:space="preserve">The role of commodity traders in shaping </w:t>
            </w:r>
            <w:r w:rsidRPr="00CD3F77">
              <w:rPr>
                <w:b/>
              </w:rPr>
              <w:lastRenderedPageBreak/>
              <w:t>agricultural markets</w:t>
            </w:r>
            <w:r w:rsidRPr="00CD3F77">
              <w:rPr>
                <w:b/>
                <w:i/>
              </w:rPr>
              <w:t>), paskelbtą 2024 m. lapkričio mėn.,</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b nurodomoji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w:t>
            </w:r>
            <w:r w:rsidRPr="00CD3F77">
              <w:tab/>
            </w:r>
            <w:r w:rsidRPr="00CD3F77">
              <w:rPr>
                <w:b/>
                <w:i/>
              </w:rPr>
              <w:t xml:space="preserve">atsižvelgdamas į Europos Komisijos ataskaitą „Konkurencijos susijungimų apžvalga“ (angl. </w:t>
            </w:r>
            <w:r w:rsidRPr="00CD3F77">
              <w:rPr>
                <w:b/>
              </w:rPr>
              <w:t>Competition merger brief</w:t>
            </w:r>
            <w:r w:rsidRPr="00CD3F77">
              <w:rPr>
                <w:b/>
                <w:i/>
              </w:rPr>
              <w:t>), 4 leidimas, 2024 m. lapkričio mėn.,</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 į Europos konkurencingumą reikia pažvelgti naujai;</w:t>
            </w:r>
          </w:p>
        </w:tc>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w:t>
            </w:r>
            <w:r w:rsidRPr="00CD3F77">
              <w:rPr>
                <w:b/>
                <w:bCs/>
                <w:i/>
                <w:iCs/>
              </w:rPr>
              <w:t>, kurioms būdinga tai, kad ES nėra pakankamai didelių įmonių</w:t>
            </w:r>
            <w:r w:rsidRPr="00CD3F77">
              <w:rPr>
                <w:b/>
                <w:bCs/>
                <w:i/>
                <w:iCs/>
                <w:vertAlign w:val="superscript"/>
              </w:rPr>
              <w:t>1a</w:t>
            </w:r>
            <w:r w:rsidRPr="00CD3F77">
              <w:rPr>
                <w:b/>
                <w:bCs/>
                <w:i/>
                <w:iCs/>
              </w:rPr>
              <w:t>,</w:t>
            </w:r>
            <w:r w:rsidRPr="00CD3F77">
              <w:t xml:space="preserve"> į Europos konkurencingumą reikia pažvelgti naujai;</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bCs/>
                <w:i/>
                <w:iCs/>
                <w:vertAlign w:val="superscript"/>
              </w:rPr>
              <w:t>1a</w:t>
            </w:r>
            <w:r w:rsidRPr="00CD3F77">
              <w:rPr>
                <w:b/>
                <w:bCs/>
                <w:i/>
                <w:iCs/>
              </w:rPr>
              <w:t xml:space="preserve"> Europos konkurencingumo ateitis, B dalis | Nuodugni analizė ir rekomendacijos, 4 skyrius „Konkurencijos peržiūra“ (angl. </w:t>
            </w:r>
            <w:r w:rsidRPr="00CD3F77">
              <w:rPr>
                <w:b/>
                <w:bCs/>
              </w:rPr>
              <w:t xml:space="preserve">The future of European competitiveness Part B | In-depth analysis and recommendations, Chapter 4. </w:t>
            </w:r>
            <w:r w:rsidRPr="00CD3F77">
              <w:rPr>
                <w:b/>
                <w:bCs/>
              </w:rPr>
              <w:lastRenderedPageBreak/>
              <w:t>Revamping competition</w:t>
            </w:r>
            <w:r w:rsidRPr="00CD3F77">
              <w:rPr>
                <w:b/>
                <w:bCs/>
                <w:i/>
                <w:iCs/>
              </w:rPr>
              <w:t>), p. 298.</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A.</w:t>
            </w:r>
            <w:r w:rsidRPr="00CD3F77">
              <w:tab/>
              <w:t xml:space="preserve">kadangi dėl </w:t>
            </w:r>
            <w:r w:rsidRPr="00CD3F77">
              <w:rPr>
                <w:b/>
                <w:i/>
              </w:rPr>
              <w:t>sudėtingų</w:t>
            </w:r>
            <w:r w:rsidRPr="00CD3F77">
              <w:t xml:space="preserve"> geopolitinių aplinkybių į Europos konkurencingumą reikia pažvelgti naujai;</w:t>
            </w:r>
          </w:p>
        </w:tc>
        <w:tc>
          <w:tcPr>
            <w:tcW w:w="4876" w:type="dxa"/>
            <w:tcBorders>
              <w:top w:val="nil"/>
              <w:left w:val="nil"/>
              <w:bottom w:val="nil"/>
              <w:right w:val="nil"/>
            </w:tcBorders>
          </w:tcPr>
          <w:p w:rsidR="009517E4" w:rsidRPr="00CD3F77" w:rsidRDefault="009517E4" w:rsidP="009517E4">
            <w:pPr>
              <w:pStyle w:val="Normal6a"/>
            </w:pPr>
            <w:r w:rsidRPr="00CD3F77">
              <w:t>A.</w:t>
            </w:r>
            <w:r w:rsidRPr="00CD3F77">
              <w:tab/>
              <w:t xml:space="preserve">kadangi dėl </w:t>
            </w:r>
            <w:r w:rsidRPr="00CD3F77">
              <w:rPr>
                <w:b/>
                <w:i/>
              </w:rPr>
              <w:t>dabartinių</w:t>
            </w:r>
            <w:r w:rsidRPr="00CD3F77">
              <w:t xml:space="preserve"> geopolitinių aplinkybių </w:t>
            </w:r>
            <w:r w:rsidRPr="00CD3F77">
              <w:rPr>
                <w:b/>
                <w:i/>
              </w:rPr>
              <w:t>ir tam tikrų Europos lygmeniu priimtų sprendimų, kurie neigiamai paveikė euro zonos ekonomiką,</w:t>
            </w:r>
            <w:r w:rsidRPr="00CD3F77">
              <w:t xml:space="preserve"> į Europos konkurencingumą reikia pažvelgti naujai;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Lídia Pereira, Regina Doherty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 į Europos konkurencingumą reikia pažvelgti naujai;</w:t>
            </w:r>
          </w:p>
        </w:tc>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w:t>
            </w:r>
            <w:r w:rsidRPr="00CD3F77">
              <w:rPr>
                <w:b/>
                <w:bCs/>
                <w:i/>
                <w:iCs/>
              </w:rPr>
              <w:t>, susijusių su netikrumu ir nenuspėjamumu,</w:t>
            </w:r>
            <w:r w:rsidRPr="00CD3F77">
              <w:t xml:space="preserve"> į Europos konkurencingumą reikia pažvelgti naujai </w:t>
            </w:r>
            <w:r w:rsidRPr="00CD3F77">
              <w:rPr>
                <w:b/>
                <w:bCs/>
                <w:i/>
                <w:iCs/>
              </w:rPr>
              <w:t>ir parengti konkrečius strateginius planus ekonomikos augimui skatinti</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 į Europos konkurencingumą reikia pažvelgti naujai;</w:t>
            </w:r>
          </w:p>
        </w:tc>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w:t>
            </w:r>
            <w:r w:rsidRPr="00CD3F77">
              <w:rPr>
                <w:b/>
                <w:bCs/>
                <w:i/>
                <w:iCs/>
              </w:rPr>
              <w:t>, kurioms esant ekonomikos augimas nėra pakankamas ir kurioms būdingas menkas našumas,</w:t>
            </w:r>
            <w:r w:rsidRPr="00CD3F77">
              <w:t xml:space="preserve"> į Europos konkurencingumą reikia pažvelgti naujai;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A.</w:t>
            </w:r>
            <w:r w:rsidRPr="00CD3F77">
              <w:tab/>
              <w:t>kadangi dėl sudėtingų geopolitinių aplinkybių į Europos konkurencingumą reikia pažvelgti naujai;</w:t>
            </w:r>
          </w:p>
        </w:tc>
        <w:tc>
          <w:tcPr>
            <w:tcW w:w="4876" w:type="dxa"/>
            <w:tcBorders>
              <w:top w:val="nil"/>
              <w:left w:val="nil"/>
              <w:bottom w:val="nil"/>
              <w:right w:val="nil"/>
            </w:tcBorders>
          </w:tcPr>
          <w:p w:rsidR="009517E4" w:rsidRPr="00CD3F77" w:rsidRDefault="009517E4" w:rsidP="009517E4">
            <w:pPr>
              <w:pStyle w:val="Normal6a"/>
            </w:pPr>
            <w:r w:rsidRPr="00CD3F77">
              <w:t>A.</w:t>
            </w:r>
            <w:r w:rsidRPr="00CD3F77">
              <w:tab/>
              <w:t xml:space="preserve">kadangi dėl sudėtingų </w:t>
            </w:r>
            <w:r w:rsidRPr="00CD3F77">
              <w:rPr>
                <w:b/>
                <w:bCs/>
                <w:i/>
                <w:iCs/>
              </w:rPr>
              <w:t xml:space="preserve">ekonominių ir </w:t>
            </w:r>
            <w:r w:rsidRPr="00CD3F77">
              <w:t xml:space="preserve">geopolitinių aplinkybių </w:t>
            </w:r>
            <w:r w:rsidRPr="00CD3F77">
              <w:rPr>
                <w:b/>
                <w:bCs/>
                <w:i/>
                <w:iCs/>
              </w:rPr>
              <w:t xml:space="preserve">bei klimato krizės </w:t>
            </w:r>
            <w:r w:rsidRPr="00CD3F77">
              <w:t>į Europos konkurencingumą reikia pažvelgti naujai;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Aa.</w:t>
            </w:r>
            <w:r w:rsidRPr="00CD3F77">
              <w:tab/>
            </w:r>
            <w:r w:rsidRPr="00CD3F77">
              <w:rPr>
                <w:b/>
                <w:i/>
              </w:rPr>
              <w:t>kadangi vienoda ir atvira konkurencija yra esminis elementas siekiant užtikrinti tinkamą vidaus rinkos veikimą, ekonomikos augimą, inovacijas, darbo vietų kūrimą ir vartotojų apsaugą;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A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Aa.</w:t>
            </w:r>
            <w:r w:rsidRPr="00CD3F77">
              <w:tab/>
            </w:r>
            <w:r w:rsidRPr="00CD3F77">
              <w:rPr>
                <w:b/>
                <w:i/>
              </w:rPr>
              <w:t>kadangi dėl didėjančių klimato kaitos iššūkių ir didėjančios biologinės įvairovės rizikos reikia iš esmės pakeisti pramonės politiką ir būdus, kuriais galima stiprinti konkurencingumą;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B.</w:t>
            </w:r>
            <w:r w:rsidRPr="00CD3F77">
              <w:tab/>
              <w:t>kadangi tinkamai užtikrinus ES konkurencijos politikos sistemos vykdymą galima tikėtis mažesnių kainų, geresnės kokybės, spartesnių inovacijų ir atsparesnės ekonomikos;</w:t>
            </w:r>
          </w:p>
        </w:tc>
        <w:tc>
          <w:tcPr>
            <w:tcW w:w="4876" w:type="dxa"/>
            <w:tcBorders>
              <w:top w:val="nil"/>
              <w:left w:val="nil"/>
              <w:bottom w:val="nil"/>
              <w:right w:val="nil"/>
            </w:tcBorders>
          </w:tcPr>
          <w:p w:rsidR="009517E4" w:rsidRPr="00CD3F77" w:rsidRDefault="009517E4" w:rsidP="009517E4">
            <w:pPr>
              <w:pStyle w:val="Normal6a"/>
            </w:pPr>
            <w:r w:rsidRPr="00CD3F77">
              <w:t>B.</w:t>
            </w:r>
            <w:r w:rsidRPr="00CD3F77">
              <w:tab/>
              <w:t xml:space="preserve">kadangi tinkamai užtikrinus ES konkurencijos politikos sistemos vykdymą galima tikėtis mažesnių kainų, geresnės kokybės, spartesnių inovacijų ir atsparesnės ekonomikos; </w:t>
            </w:r>
            <w:r w:rsidRPr="00CD3F77">
              <w:rPr>
                <w:b/>
                <w:i/>
              </w:rPr>
              <w:t>kadangi šie tikslai pasiekiami stiprinant laisvąją rinką, kuri užtikrina veiksmingą konkurenciją šalinant patekimo į rinką kliūtis, skatinant inovacijas ir sudarant sąlygas efektyviai paskirstyti išteklius remiantis pasiūlos ir paklausos ženklais, ir kadangi konkurencijos politikos sistema turėtų apsaugoti vienodas sąlygas rinkoje veikiantiems ekonominės veiklos vykdytojams, kovojant su piktnaudžiavimu dominuojančia padėtimi, monopolijomis ir antikonkurencine veikla, kuri gali iškreipti vidaus rinkos veikimą;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Enikő Győri</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B.</w:t>
            </w:r>
            <w:r w:rsidRPr="00CD3F77">
              <w:tab/>
              <w:t>kadangi tinkamai užtikrinus ES konkurencijos politikos sistemos vykdymą galima tikėtis mažesnių kainų, geresnės kokybės, spartesnių inovacijų ir atsparesnės ekonomikos;</w:t>
            </w:r>
          </w:p>
        </w:tc>
        <w:tc>
          <w:tcPr>
            <w:tcW w:w="4876" w:type="dxa"/>
            <w:tcBorders>
              <w:top w:val="nil"/>
              <w:left w:val="nil"/>
              <w:bottom w:val="nil"/>
              <w:right w:val="nil"/>
            </w:tcBorders>
          </w:tcPr>
          <w:p w:rsidR="009517E4" w:rsidRPr="00CD3F77" w:rsidRDefault="009517E4" w:rsidP="009517E4">
            <w:pPr>
              <w:pStyle w:val="Normal6a"/>
            </w:pPr>
            <w:r w:rsidRPr="00CD3F77">
              <w:t>B.</w:t>
            </w:r>
            <w:r w:rsidRPr="00CD3F77">
              <w:tab/>
              <w:t xml:space="preserve">kadangi tinkamai užtikrinus ES konkurencijos politikos sistemos vykdymą </w:t>
            </w:r>
            <w:r w:rsidRPr="00CD3F77">
              <w:rPr>
                <w:b/>
                <w:i/>
              </w:rPr>
              <w:t>nevalstybinėse srityse</w:t>
            </w:r>
            <w:r w:rsidRPr="00CD3F77">
              <w:t xml:space="preserve"> galima tikėtis mažesnių kainų, geresnės kokybės, spartesnių inovacijų ir atsparesnės ekonomikos</w:t>
            </w:r>
            <w:r w:rsidRPr="00CD3F77">
              <w:rPr>
                <w:b/>
                <w:i/>
              </w:rPr>
              <w:t>, o tai sudaro sąlygas ilgalaikiam pramonės sektorių klestėjimui</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B.</w:t>
            </w:r>
            <w:r w:rsidRPr="00CD3F77">
              <w:tab/>
              <w:t xml:space="preserve">kadangi </w:t>
            </w:r>
            <w:r w:rsidRPr="00CD3F77">
              <w:rPr>
                <w:b/>
                <w:i/>
              </w:rPr>
              <w:t>tinkamai užtikrinus ES konkurencijos politikos sistemos vykdymą galima tikėtis mažesnių kainų, geresnės kokybės, spartesnių inovacijų ir atsparesnės ekonomikos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B.</w:t>
            </w:r>
            <w:r w:rsidRPr="00CD3F77">
              <w:tab/>
              <w:t xml:space="preserve">kadangi </w:t>
            </w:r>
            <w:r w:rsidRPr="00CD3F77">
              <w:rPr>
                <w:b/>
                <w:i/>
              </w:rPr>
              <w:t>Europoje skubiai reikia pramonės sukrėtimo, kad būtų galima pasivyti konkurentus už Europos ribų</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B.</w:t>
            </w:r>
            <w:r w:rsidRPr="00CD3F77">
              <w:tab/>
              <w:t xml:space="preserve">kadangi tinkamai užtikrinus ES </w:t>
            </w:r>
            <w:r w:rsidRPr="00CD3F77">
              <w:lastRenderedPageBreak/>
              <w:t xml:space="preserve">konkurencijos politikos sistemos vykdymą galima tikėtis mažesnių kainų, geresnės kokybės, </w:t>
            </w:r>
            <w:r w:rsidRPr="00CD3F77">
              <w:rPr>
                <w:b/>
                <w:bCs/>
                <w:i/>
                <w:iCs/>
              </w:rPr>
              <w:t>spartesnių</w:t>
            </w:r>
            <w:r w:rsidRPr="00CD3F77">
              <w:t xml:space="preserve"> inovacijų ir atsparesnės ekonomikos;</w:t>
            </w:r>
          </w:p>
        </w:tc>
        <w:tc>
          <w:tcPr>
            <w:tcW w:w="4876" w:type="dxa"/>
            <w:tcBorders>
              <w:top w:val="nil"/>
              <w:left w:val="nil"/>
              <w:bottom w:val="nil"/>
              <w:right w:val="nil"/>
            </w:tcBorders>
          </w:tcPr>
          <w:p w:rsidR="009517E4" w:rsidRPr="00CD3F77" w:rsidRDefault="009517E4" w:rsidP="009517E4">
            <w:pPr>
              <w:pStyle w:val="Normal6a"/>
            </w:pPr>
            <w:r w:rsidRPr="00CD3F77">
              <w:lastRenderedPageBreak/>
              <w:t>B.</w:t>
            </w:r>
            <w:r w:rsidRPr="00CD3F77">
              <w:tab/>
              <w:t xml:space="preserve">kadangi tinkamai užtikrinus ES </w:t>
            </w:r>
            <w:r w:rsidRPr="00CD3F77">
              <w:lastRenderedPageBreak/>
              <w:t xml:space="preserve">konkurencijos politikos sistemos vykdymą galima tikėtis mažesnių kainų, </w:t>
            </w:r>
            <w:r w:rsidRPr="00CD3F77">
              <w:rPr>
                <w:b/>
                <w:bCs/>
                <w:i/>
                <w:iCs/>
              </w:rPr>
              <w:t xml:space="preserve">didesnio darbo užmokesčio, </w:t>
            </w:r>
            <w:r w:rsidRPr="00CD3F77">
              <w:t xml:space="preserve">geresnės kokybės </w:t>
            </w:r>
            <w:r w:rsidRPr="00CD3F77">
              <w:rPr>
                <w:b/>
                <w:bCs/>
                <w:i/>
                <w:iCs/>
              </w:rPr>
              <w:t>prekių ir paslaugų</w:t>
            </w:r>
            <w:r w:rsidRPr="00CD3F77">
              <w:t xml:space="preserve">, </w:t>
            </w:r>
            <w:r w:rsidRPr="00CD3F77">
              <w:rPr>
                <w:b/>
                <w:bCs/>
                <w:i/>
                <w:iCs/>
              </w:rPr>
              <w:t>tobulesnių</w:t>
            </w:r>
            <w:r w:rsidRPr="00CD3F77">
              <w:t xml:space="preserve"> inovacijų ir </w:t>
            </w:r>
            <w:r w:rsidRPr="00CD3F77">
              <w:rPr>
                <w:b/>
                <w:bCs/>
                <w:i/>
                <w:iCs/>
              </w:rPr>
              <w:t xml:space="preserve">teisingesnės bei </w:t>
            </w:r>
            <w:r w:rsidRPr="00CD3F77">
              <w:t>atsparesnės ekonomikos;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konstatuojamoji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B.</w:t>
            </w:r>
            <w:r w:rsidRPr="00CD3F77">
              <w:tab/>
              <w:t>kadangi tinkamai užtikrinus ES konkurencijos politikos sistemos vykdymą galima tikėtis mažesnių kainų, geresnės kokybės, spartesnių inovacijų ir atsparesnės ekonomikos;</w:t>
            </w:r>
          </w:p>
        </w:tc>
        <w:tc>
          <w:tcPr>
            <w:tcW w:w="4876" w:type="dxa"/>
            <w:tcBorders>
              <w:top w:val="nil"/>
              <w:left w:val="nil"/>
              <w:bottom w:val="nil"/>
              <w:right w:val="nil"/>
            </w:tcBorders>
          </w:tcPr>
          <w:p w:rsidR="009517E4" w:rsidRPr="00CD3F77" w:rsidRDefault="009517E4" w:rsidP="009517E4">
            <w:pPr>
              <w:pStyle w:val="Normal6a"/>
            </w:pPr>
            <w:r w:rsidRPr="00CD3F77">
              <w:t>B.</w:t>
            </w:r>
            <w:r w:rsidRPr="00CD3F77">
              <w:tab/>
              <w:t xml:space="preserve">kadangi tinkamai užtikrinus ES konkurencijos politikos sistemos vykdymą galima tikėtis mažesnių kainų, geresnės kokybės, </w:t>
            </w:r>
            <w:r w:rsidRPr="00CD3F77">
              <w:rPr>
                <w:b/>
                <w:bCs/>
                <w:i/>
                <w:iCs/>
              </w:rPr>
              <w:t xml:space="preserve">geresnio pasirinkimo vartotojams, </w:t>
            </w:r>
            <w:r w:rsidRPr="00CD3F77">
              <w:t>spartesnių inovacijų ir atsparesnės ekonomikos;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Ba.</w:t>
            </w:r>
            <w:r w:rsidRPr="00CD3F77">
              <w:tab/>
            </w:r>
            <w:r w:rsidRPr="00CD3F77">
              <w:rPr>
                <w:b/>
                <w:i/>
              </w:rPr>
              <w:t>kadangi nepakankama ES integracija finansų, energetikos ir elektroninių ryšių sektoriuose yra pagrindinė mažėjančio Europos konkurencingumo priežastis</w:t>
            </w:r>
            <w:r w:rsidRPr="00CD3F77">
              <w:rPr>
                <w:b/>
                <w:i/>
                <w:vertAlign w:val="superscript"/>
              </w:rPr>
              <w:t>2a</w:t>
            </w:r>
            <w:r w:rsidRPr="00CD3F77">
              <w:rPr>
                <w:b/>
                <w:i/>
              </w:rPr>
              <w:t xml:space="preserve">; kadangi tinkamai integravus ES bendrąją rinką šiose srityse, konkurencijai svarbi rinka taptų daug didesnė; kadangi didesnė atitinkama rinka suteikia daugiau galimybių bendrovėms plėstis ir </w:t>
            </w:r>
            <w:r w:rsidRPr="00CD3F77">
              <w:rPr>
                <w:b/>
                <w:i/>
              </w:rPr>
              <w:lastRenderedPageBreak/>
              <w:t>konkuruoti pasauliniu mastu, kartu stiprinant konkurenciją bendrojoje rinkoje vartotojų naudai;</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bCs/>
                <w:i/>
                <w:iCs/>
                <w:vertAlign w:val="superscript"/>
              </w:rPr>
              <w:t>2a</w:t>
            </w:r>
            <w:r w:rsidRPr="00CD3F77">
              <w:rPr>
                <w:b/>
                <w:i/>
              </w:rPr>
              <w:t xml:space="preserve"> „Kur kas daugiau nei rinka. Europos ateities vizija (angl. </w:t>
            </w:r>
            <w:r w:rsidRPr="00CD3F77">
              <w:rPr>
                <w:b/>
              </w:rPr>
              <w:t>Much More Than a Market: A vision for Europe's future</w:t>
            </w:r>
            <w:r w:rsidRPr="00CD3F77">
              <w:rPr>
                <w:b/>
                <w:i/>
              </w:rPr>
              <w:t>), Enrico Letta. p. 8.</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Ba.</w:t>
            </w:r>
            <w:r w:rsidRPr="00CD3F77">
              <w:tab/>
            </w:r>
            <w:r w:rsidRPr="00CD3F77">
              <w:rPr>
                <w:b/>
                <w:i/>
              </w:rPr>
              <w:t>kadangi naujosios JAV administracijos įsipareigojimas vėl siekti iškastinės energijos gavybos ir „energijos gausos“ pabrėžia ES žaliosios energetikos pertvarkos, kaip pabrėžė Mario Draghi, būtinumą ir skubumą, kad Europos bendrovės galėtų konkuruoti su Amerikos bendrovėmis;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Ba.</w:t>
            </w:r>
            <w:r w:rsidRPr="00CD3F77">
              <w:tab/>
            </w:r>
            <w:r w:rsidRPr="00CD3F77">
              <w:rPr>
                <w:b/>
                <w:i/>
              </w:rPr>
              <w:t>kadangi Mario Draghi pranešime pabrėž</w:t>
            </w:r>
            <w:r w:rsidR="00D50C1F" w:rsidRPr="00CD3F77">
              <w:rPr>
                <w:b/>
                <w:i/>
              </w:rPr>
              <w:t>iama, kad ES turi plačią ir diver</w:t>
            </w:r>
            <w:r w:rsidRPr="00CD3F77">
              <w:rPr>
                <w:b/>
                <w:i/>
              </w:rPr>
              <w:t xml:space="preserve">sifikuotą pramoninių inovacijų bazę ir didelį santykinį pranašumą žaliųjų </w:t>
            </w:r>
            <w:r w:rsidRPr="00CD3F77">
              <w:rPr>
                <w:b/>
                <w:i/>
              </w:rPr>
              <w:lastRenderedPageBreak/>
              <w:t>technologijų srityje, tačiau siekiant išlaikyti šį pranašumą reikia nuolatinių pastangų;</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Ba.</w:t>
            </w:r>
            <w:r w:rsidRPr="00CD3F77">
              <w:tab/>
            </w:r>
            <w:r w:rsidRPr="00CD3F77">
              <w:rPr>
                <w:b/>
                <w:i/>
              </w:rPr>
              <w:t>kadangi konkurencijos politika galėtų padėti didinti vidaus rinkos atsparumą, taip pat pasiekti Europos žaliojo kurso, skaitmeninės politikos kelrodžio ir konkurencingumo kelrodžio tikslus;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Ba.</w:t>
            </w:r>
            <w:r w:rsidRPr="00CD3F77">
              <w:tab/>
            </w:r>
            <w:r w:rsidRPr="00CD3F77">
              <w:rPr>
                <w:b/>
                <w:i/>
              </w:rPr>
              <w:t>kadangi Europos Komisija ir nacionalinės konkurencijos institucijos turi veikti nešališkai ir objektyviai, kad būtų išsaugotas ES konkurencijos politikos patikimumas;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lastRenderedPageBreak/>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a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Ba.</w:t>
            </w:r>
            <w:r w:rsidRPr="00CD3F77">
              <w:tab/>
            </w:r>
            <w:r w:rsidRPr="00CD3F77">
              <w:rPr>
                <w:b/>
                <w:i/>
              </w:rPr>
              <w:t>kadangi konkurencijos politikos žalinimas – pagrindinis Europos klestėjimo ir ilgalaikio konkurencingumo skatinimo veiksnys;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b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Bb.</w:t>
            </w:r>
            <w:r w:rsidRPr="00CD3F77">
              <w:tab/>
            </w:r>
            <w:r w:rsidRPr="00CD3F77">
              <w:rPr>
                <w:b/>
                <w:i/>
              </w:rPr>
              <w:t>kadangi tarptautiniai mainai ir bendradarbiavimas yra labai svarbūs siekiant pasauliniu mastu užtikrinti vienodas konkurencijos sąlygas ir koordinuotai įveikti dvejopos skaitmeninės ir žaliosios pertvarkos iššūkius;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b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Bb.</w:t>
            </w:r>
            <w:r w:rsidRPr="00CD3F77">
              <w:tab/>
            </w:r>
            <w:r w:rsidRPr="00CD3F77">
              <w:rPr>
                <w:b/>
                <w:i/>
              </w:rPr>
              <w:t>kadangi nacionalinių konkurencijos institucijų politinė nepriklausomybė itin svarbi užtikrinant konkurencijos politikos nešališkumą ir patikimumą;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B b konstatuojamoji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Bb.</w:t>
            </w:r>
            <w:r w:rsidRPr="00CD3F77">
              <w:tab/>
            </w:r>
            <w:r w:rsidRPr="00CD3F77">
              <w:rPr>
                <w:b/>
                <w:i/>
              </w:rPr>
              <w:t>kadangi ilgalaikiam ES konkurencingumui ir atsparumui užtikrinti būtina į ES konkurencijos politikos sistemą įtraukti klimato ir aplinkosaugos aspektus;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a paantraštė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 xml:space="preserve">mano, kad konkurencijos politika atlieka lemiamą vaidmenį plėtojant verslą ir didinant įmonių, visų pirma MVĮ, augimą bendrojoje rinkoje; taip pat primena, kad visapusiška įmonių plėtra priklauso nuo to, ar bus pašalintos kliūtys patekti į rinką, ar bus kovojama su antikonkurencine praktika, pavyzdžiui, monopolijomis ar karteliais, ir ar visiems ekonominės veiklos vykdytojams bus užtikrintos vienodos sąlygos; pabrėžia, kad vykdant veiksmingą konkurencijos politiką turi būti vengiama perteklinio reguliavimo ir neproporcingos administracinės naštos, skatinamos inovacijos ir sudaromos sąlygos įmonėms kuo geriau pasinaudoti laisvosios rinkos </w:t>
            </w:r>
            <w:r w:rsidRPr="00CD3F77">
              <w:rPr>
                <w:b/>
                <w:i/>
              </w:rPr>
              <w:lastRenderedPageBreak/>
              <w:t>teikiama nauda ir galimybėmis;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laikosi nuomonės, kad ES konkurencija apsaugo nuo koncentracijos ir įtakos rinkoje kaupimosi, ir dar kartą patvirtina konkurencijos politikos vaidmenį apsaugant vartotojus;</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laikosi nuomonės, kad ES konkurencija apsaugo nuo koncentracijos ir įtakos rinkoje kaupimosi, ir dar kartą patvirtina konkurencijos politikos vaidmenį apsaugant vartotojus;</w:t>
            </w:r>
            <w:r w:rsidRPr="00CD3F77">
              <w:rPr>
                <w:b/>
                <w:i/>
              </w:rPr>
              <w:t> pabrėžia, kad vartotojų apsauga turi būti užtikrinama kuriant rinką, kuri skatintų naujų konkurentų patekimą į rinką, inovacijas ir ekonominį efektyvumą, vengiant piktnaudžiavimo praktikos, kuria ribojama pasiūla, dirbtinai didinamos kainos arba daroma žala produktų kokybei; pabrėžia, kad vykdant konkurencijos politiką turėtų būti kovojama su antikonkurencine praktika ir vengiama neproporcingo reguliavimo ar intervencinių priemonių, galinčių iškreipti laisvą rinkos veikimą arba trukdyti verslo augimui ir inovacijoms;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w:t>
            </w:r>
            <w:r w:rsidRPr="00CD3F77">
              <w:lastRenderedPageBreak/>
              <w:t>konkurencija apsaugo nuo koncentracijos ir įtakos rinkoje kaupimosi, ir dar kartą patvirtina konkurencijos politikos vaidmenį apsaugant vartotojus;</w:t>
            </w:r>
          </w:p>
        </w:tc>
        <w:tc>
          <w:tcPr>
            <w:tcW w:w="4876" w:type="dxa"/>
            <w:tcBorders>
              <w:top w:val="nil"/>
              <w:left w:val="nil"/>
              <w:bottom w:val="nil"/>
              <w:right w:val="nil"/>
            </w:tcBorders>
          </w:tcPr>
          <w:p w:rsidR="009517E4" w:rsidRPr="00CD3F77" w:rsidRDefault="009517E4" w:rsidP="009517E4">
            <w:pPr>
              <w:pStyle w:val="Normal6a"/>
            </w:pPr>
            <w:r w:rsidRPr="00CD3F77">
              <w:lastRenderedPageBreak/>
              <w:t>1.</w:t>
            </w:r>
            <w:r w:rsidRPr="00CD3F77">
              <w:tab/>
              <w:t xml:space="preserve">laikosi nuomonės, kad ES </w:t>
            </w:r>
            <w:r w:rsidRPr="00CD3F77">
              <w:lastRenderedPageBreak/>
              <w:t>konkurencija apsaugo nuo koncentracijos ir įtakos rinkoje kaupimosi, ir dar kartą patvirtina konkurencijos politikos vaidmenį apsaugant vartotojus</w:t>
            </w:r>
            <w:r w:rsidRPr="00CD3F77">
              <w:rPr>
                <w:b/>
                <w:bCs/>
                <w:i/>
                <w:iCs/>
              </w:rPr>
              <w:t>,</w:t>
            </w:r>
            <w:r w:rsidRPr="00CD3F77">
              <w:t xml:space="preserve"> </w:t>
            </w:r>
            <w:r w:rsidRPr="00CD3F77">
              <w:rPr>
                <w:b/>
                <w:i/>
              </w:rPr>
              <w:t>užtikrinant, kad rinkos išliktų konkurencingos ir veiksmingos, dinamiškos ir inovatyvios, teikiančios aukštos kokybės produktus ir paslaugas sąžiningomis kainomis ir pagrįstomis pelno maržomis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laikosi nuomonės, kad ES konkurencija apsaugo nuo koncentracijos ir įtakos rinkoje kaupimosi, ir dar kartą patvirtina konkurencijos politikos vaidmenį apsaugant vartotojus;</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laikosi nuomonės, kad ES konkurencija apsaugo nuo koncentracijos ir įtakos rinkoje kaupimosi, ir dar kartą patvirtina konkurencijos politikos vaidmenį apsaugant vartotojus</w:t>
            </w:r>
            <w:r w:rsidRPr="00CD3F77">
              <w:rPr>
                <w:b/>
                <w:bCs/>
                <w:i/>
                <w:iCs/>
              </w:rPr>
              <w:t>, skatinant veiksmingumą ir inovacijas, taip pat mažinant kainas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Aleksandar Nikolic, Enikő Győri</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konkurencija apsaugo nuo koncentracijos ir įtakos rinkoje kaupimosi, </w:t>
            </w:r>
            <w:r w:rsidRPr="00CD3F77">
              <w:rPr>
                <w:b/>
                <w:i/>
              </w:rPr>
              <w:t>ir dar kartą patvirtina konkurencijos politikos vaidmenį apsaugant vartotojus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konkurencija apsaugo nuo koncentracijos ir įtakos rinkoje kaupimosi, </w:t>
            </w:r>
            <w:r w:rsidRPr="00CD3F77">
              <w:rPr>
                <w:b/>
                <w:i/>
              </w:rPr>
              <w:t xml:space="preserve">kartu primygtinai reikalaudamas netrukdyti pagrindinių dalyvių, galinčių konkuruoti su už Sąjungos ribų esančiomis jėgomis, </w:t>
            </w:r>
            <w:r w:rsidRPr="00CD3F77">
              <w:rPr>
                <w:b/>
                <w:i/>
              </w:rPr>
              <w:lastRenderedPageBreak/>
              <w:t>veiklai</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laikosi nuomonės, kad ES konkurencija apsaugo nuo koncentracijos ir įtakos rinkoje kaupimosi, ir dar kartą patvirtina konkurencijos politikos vaidmenį apsaugant vartotojus;</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konkurencija apsaugo nuo koncentracijos ir įtakos rinkoje kaupimosi, ir dar kartą patvirtina konkurencijos politikos vaidmenį apsaugant vartotojus </w:t>
            </w:r>
            <w:r w:rsidRPr="00CD3F77">
              <w:rPr>
                <w:b/>
                <w:i/>
              </w:rPr>
              <w:t>ir sudarant vienodas sąlygas vidaus rinkoje</w:t>
            </w:r>
            <w:r w:rsidRPr="00CD3F77">
              <w:rPr>
                <w:b/>
                <w:i/>
                <w:vertAlign w:val="superscript"/>
              </w:rPr>
              <w:t>3a</w:t>
            </w:r>
            <w:r w:rsidRPr="00CD3F77">
              <w:t>;</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bCs/>
                <w:i/>
                <w:iCs/>
                <w:vertAlign w:val="superscript"/>
              </w:rPr>
              <w:t>3a</w:t>
            </w:r>
            <w:r w:rsidRPr="00CD3F77">
              <w:rPr>
                <w:b/>
                <w:i/>
              </w:rPr>
              <w:t xml:space="preserve"> „Kur kas daugiau nei rinka. Europos ateities vizija (angl. </w:t>
            </w:r>
            <w:r w:rsidRPr="00CD3F77">
              <w:rPr>
                <w:b/>
              </w:rPr>
              <w:t>Much More Than a Market: A vision for Europe's future</w:t>
            </w:r>
            <w:r w:rsidRPr="00CD3F77">
              <w:rPr>
                <w:b/>
                <w:i/>
              </w:rPr>
              <w:t xml:space="preserve">), Enrico Letta. p. 8.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w:t>
            </w:r>
            <w:r w:rsidRPr="00CD3F77">
              <w:rPr>
                <w:b/>
                <w:bCs/>
                <w:i/>
                <w:iCs/>
              </w:rPr>
              <w:t>konkurencija</w:t>
            </w:r>
            <w:r w:rsidRPr="00CD3F77">
              <w:t xml:space="preserve"> apsaugo nuo koncentracijos ir įtakos rinkoje kaupimosi, ir dar kartą patvirtina konkurencijos politikos vaidmenį </w:t>
            </w:r>
            <w:r w:rsidRPr="00CD3F77">
              <w:rPr>
                <w:b/>
                <w:bCs/>
                <w:i/>
                <w:iCs/>
              </w:rPr>
              <w:t>apsaugant</w:t>
            </w:r>
            <w:r w:rsidRPr="00CD3F77">
              <w:t xml:space="preserve"> </w:t>
            </w:r>
            <w:r w:rsidRPr="00CD3F77">
              <w:rPr>
                <w:b/>
                <w:bCs/>
                <w:i/>
                <w:iCs/>
              </w:rPr>
              <w:t>vartotojus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w:t>
            </w:r>
            <w:r w:rsidRPr="00CD3F77">
              <w:rPr>
                <w:b/>
                <w:bCs/>
                <w:i/>
                <w:iCs/>
              </w:rPr>
              <w:t>konkurencijos politika</w:t>
            </w:r>
            <w:r w:rsidRPr="00CD3F77">
              <w:t xml:space="preserve"> apsaugo nuo </w:t>
            </w:r>
            <w:r w:rsidRPr="00CD3F77">
              <w:rPr>
                <w:b/>
                <w:bCs/>
                <w:i/>
                <w:iCs/>
              </w:rPr>
              <w:t xml:space="preserve">pernelyg didelio </w:t>
            </w:r>
            <w:r w:rsidRPr="00CD3F77">
              <w:t xml:space="preserve">koncentracijos ir įtakos rinkoje kaupimosi </w:t>
            </w:r>
            <w:r w:rsidRPr="00CD3F77">
              <w:rPr>
                <w:b/>
                <w:bCs/>
                <w:i/>
                <w:iCs/>
              </w:rPr>
              <w:t>lygio</w:t>
            </w:r>
            <w:r w:rsidRPr="00CD3F77">
              <w:t xml:space="preserve">, ir dar kartą patvirtina konkurencijos politikos vaidmenį </w:t>
            </w:r>
            <w:r w:rsidRPr="00CD3F77">
              <w:rPr>
                <w:b/>
                <w:bCs/>
                <w:i/>
                <w:iCs/>
              </w:rPr>
              <w:t>teikiant naudos</w:t>
            </w:r>
            <w:r w:rsidRPr="00CD3F77">
              <w:t xml:space="preserve"> </w:t>
            </w:r>
            <w:r w:rsidRPr="00CD3F77">
              <w:rPr>
                <w:b/>
                <w:bCs/>
                <w:i/>
                <w:iCs/>
              </w:rPr>
              <w:t>vartotojams dėl mažesnių kainų ir platesnio pasirinkimo</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Regina Doherty, Lídia Pereira, Dirk Gotink, Michalis Hadjipantela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w:t>
            </w:r>
            <w:r w:rsidRPr="00CD3F77">
              <w:rPr>
                <w:b/>
                <w:bCs/>
                <w:i/>
                <w:iCs/>
              </w:rPr>
              <w:t>konkurencija apsaugo nuo koncentracijos</w:t>
            </w:r>
            <w:r w:rsidRPr="00CD3F77">
              <w:t xml:space="preserve"> ir įtakos rinkoje </w:t>
            </w:r>
            <w:r w:rsidRPr="00CD3F77">
              <w:rPr>
                <w:b/>
                <w:bCs/>
                <w:i/>
                <w:iCs/>
              </w:rPr>
              <w:t>kaupimosi</w:t>
            </w:r>
            <w:r w:rsidRPr="00CD3F77">
              <w:t>, ir dar kartą patvirtina konkurencijos politikos vaidmenį apsaugant vartotojus;</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w:t>
            </w:r>
            <w:r w:rsidRPr="00CD3F77">
              <w:rPr>
                <w:b/>
                <w:bCs/>
                <w:i/>
                <w:iCs/>
              </w:rPr>
              <w:t>konkurencijos politika</w:t>
            </w:r>
            <w:r w:rsidRPr="00CD3F77">
              <w:rPr>
                <w:b/>
                <w:bCs/>
              </w:rPr>
              <w:t xml:space="preserve"> </w:t>
            </w:r>
            <w:r w:rsidRPr="00CD3F77">
              <w:rPr>
                <w:b/>
                <w:bCs/>
                <w:i/>
                <w:iCs/>
              </w:rPr>
              <w:t>turėtų skatinti inovacijas, dinamiškumą ir augimą bei užkirsti kelią koncentracijai</w:t>
            </w:r>
            <w:r w:rsidRPr="00CD3F77">
              <w:t xml:space="preserve"> ir įtakos rinkoje </w:t>
            </w:r>
            <w:r w:rsidRPr="00CD3F77">
              <w:rPr>
                <w:b/>
                <w:bCs/>
                <w:i/>
                <w:iCs/>
              </w:rPr>
              <w:t>kaupimuisi</w:t>
            </w:r>
            <w:r w:rsidRPr="00CD3F77">
              <w:t>, ir dar kartą patvirtina konkurencijos politikos vaidmenį apsaugant vartotojus;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konkurencija </w:t>
            </w:r>
            <w:r w:rsidRPr="00CD3F77">
              <w:rPr>
                <w:b/>
                <w:bCs/>
                <w:i/>
                <w:iCs/>
              </w:rPr>
              <w:t>apsaugo</w:t>
            </w:r>
            <w:r w:rsidRPr="00CD3F77">
              <w:t xml:space="preserve"> nuo koncentracijos ir įtakos rinkoje kaupimosi, ir dar kartą patvirtina konkurencijos politikos vaidmenį apsaugant vartotojus;</w:t>
            </w:r>
          </w:p>
        </w:tc>
        <w:tc>
          <w:tcPr>
            <w:tcW w:w="4876" w:type="dxa"/>
            <w:tcBorders>
              <w:top w:val="nil"/>
              <w:left w:val="nil"/>
              <w:bottom w:val="nil"/>
              <w:right w:val="nil"/>
            </w:tcBorders>
          </w:tcPr>
          <w:p w:rsidR="009517E4" w:rsidRPr="00CD3F77" w:rsidRDefault="009517E4" w:rsidP="009517E4">
            <w:pPr>
              <w:pStyle w:val="Normal6a"/>
            </w:pPr>
            <w:r w:rsidRPr="00CD3F77">
              <w:t>1.</w:t>
            </w:r>
            <w:r w:rsidRPr="00CD3F77">
              <w:tab/>
              <w:t xml:space="preserve">laikosi nuomonės, kad ES konkurencija </w:t>
            </w:r>
            <w:r w:rsidRPr="00CD3F77">
              <w:rPr>
                <w:b/>
                <w:bCs/>
                <w:i/>
                <w:iCs/>
              </w:rPr>
              <w:t>siekiama apsaugoti</w:t>
            </w:r>
            <w:r w:rsidRPr="00CD3F77">
              <w:t xml:space="preserve"> nuo koncentracijos ir įtakos rinkoje kaupimosi, ir dar kartą patvirtina konkurencijos politikos vaidmenį apsaugant vartotojus;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1a.</w:t>
            </w:r>
            <w:r w:rsidRPr="00CD3F77">
              <w:tab/>
            </w:r>
            <w:r w:rsidRPr="00CD3F77">
              <w:rPr>
                <w:b/>
                <w:i/>
              </w:rPr>
              <w:t>įspėja, kad JAV didžiųjų technologijų bendrovių ir jų vadovų daroma politinė įtaka vyriausybėms ir rinkimams rodo, kokį pavojų demokratinėms valstybėms kelia pernelyg didelė bendrovių galia; ragina vykdyti antimonopolinę politiką, kad būtų pakeista dabartinė didėjančios rinkos koncentracijos, monopolizacijos ir oligopolizacijos tendencija ir kad demokratija ir piliečiai būtų ginami nuo pernelyg didelės įmonių galios padarinių;</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1a.</w:t>
            </w:r>
            <w:r w:rsidRPr="00CD3F77">
              <w:tab/>
            </w:r>
            <w:r w:rsidRPr="00CD3F77">
              <w:rPr>
                <w:b/>
                <w:i/>
              </w:rPr>
              <w:t>pritaria, kad svarbu turėti solidžią ir nuoseklią konkurencijos politiką, kuri skatintų sąžiningą konkurenciją, užkirstų kelią antikonkurencinei praktikai ir užtikrintų veiksmingą ES vidaus rinkos veikimą, kuris būtų naudingas įmonėms ir vartotojams;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1a.</w:t>
            </w:r>
            <w:r w:rsidRPr="00CD3F77">
              <w:tab/>
            </w:r>
            <w:r w:rsidRPr="00CD3F77">
              <w:rPr>
                <w:b/>
                <w:i/>
              </w:rPr>
              <w:t xml:space="preserve">mano, kad neproporcingai naudojant valstybės pagalbą gali būti kenkiama tinkamam bendrosios rinkos </w:t>
            </w:r>
            <w:r w:rsidRPr="00CD3F77">
              <w:rPr>
                <w:b/>
                <w:i/>
              </w:rPr>
              <w:lastRenderedPageBreak/>
              <w:t>veikimui ir Sąjungos ekonomikos plėtrai;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2.</w:t>
            </w:r>
            <w:r w:rsidRPr="00CD3F77">
              <w:tab/>
            </w:r>
            <w:r w:rsidRPr="00CD3F77">
              <w:rPr>
                <w:b/>
                <w:i/>
              </w:rPr>
              <w:t>pakartoja, kad konkurencijos politika turėtų padėti vykdyti visų ES politikos sričių politiką, visų pirma aplinkos ir skaitmeninimo srityse;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w:t>
            </w:r>
            <w:r w:rsidRPr="00CD3F77">
              <w:rPr>
                <w:b/>
                <w:bCs/>
                <w:i/>
                <w:iCs/>
              </w:rPr>
              <w:t>padėti vykdyti visų ES politikos sričių politiką, visų pirma aplinkos ir skaitmeninimo srityse;</w:t>
            </w:r>
            <w:r w:rsidRPr="00CD3F77">
              <w:rPr>
                <w:b/>
                <w:i/>
              </w:rPr>
              <w:t xml:space="preserve"> </w:t>
            </w:r>
            <w:r w:rsidRPr="00CD3F77">
              <w:rPr>
                <w:b/>
                <w:bCs/>
                <w:i/>
                <w:iCs/>
              </w:rPr>
              <w:t>palankiai vertina Komisijos įsipareigojimą parengti naują valstybės pagalbos sistemą, kuri papildytų švarios pramonės kursą</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w:t>
            </w:r>
            <w:r w:rsidRPr="00CD3F77">
              <w:rPr>
                <w:b/>
                <w:bCs/>
                <w:i/>
                <w:iCs/>
              </w:rPr>
              <w:t>būti sutelkta į jos pagrindinį tikslą, nustatytą Sutartyje;</w:t>
            </w:r>
            <w:r w:rsidRPr="00CD3F77">
              <w:rPr>
                <w:b/>
                <w:i/>
              </w:rPr>
              <w:t xml:space="preserve"> </w:t>
            </w:r>
            <w:r w:rsidRPr="00CD3F77">
              <w:rPr>
                <w:b/>
                <w:bCs/>
                <w:i/>
                <w:iCs/>
              </w:rPr>
              <w:t>su dideliu susirūpinimu atkreipia dėmesį į Europos Audito Rūmų išvadas</w:t>
            </w:r>
            <w:r w:rsidRPr="00CD3F77">
              <w:rPr>
                <w:b/>
                <w:bCs/>
                <w:i/>
                <w:iCs/>
                <w:vertAlign w:val="superscript"/>
              </w:rPr>
              <w:t>4a</w:t>
            </w:r>
            <w:r w:rsidRPr="00CD3F77">
              <w:rPr>
                <w:b/>
                <w:bCs/>
                <w:i/>
                <w:iCs/>
              </w:rPr>
              <w:t>, jog yra rizika, kad net ir laikinos išimtys valstybės pagalbos sistemoje gali turėti ilgalaikį poveikį konkurencijai vidaus rinkoje ir „[b]e to, yra rizika, kad valstybės narės gali pasinaudoti sistema krizės ir pereinamojo laikotarpio sąlygomis arba kitomis būsimomis sistemomis, kad pritrauktų investicijas iš valstybių narių, kurios neteikia pagalbos“</w:t>
            </w:r>
            <w:r w:rsidRPr="00CD3F77">
              <w:t xml:space="preserve">; </w:t>
            </w:r>
            <w:r w:rsidRPr="00CD3F77">
              <w:rPr>
                <w:b/>
                <w:i/>
              </w:rPr>
              <w:t xml:space="preserve">ragina </w:t>
            </w:r>
            <w:r w:rsidRPr="00CD3F77">
              <w:rPr>
                <w:b/>
                <w:i/>
              </w:rPr>
              <w:lastRenderedPageBreak/>
              <w:t>Komisiją visiškai atsisakyti krizių ir pereinamojo laikotarpio sistemos, nes ji tinkamai neįvertino nei jos būtinumo, nei vidaus rinkos iškraipymo rizikos, kylančios dėl vis įvairesnių valstybių narių metodų teikiant valstybės pagalbą pagal šią sistemą, taip pakenkiant vienodoms konkurencijos sąlygoms ir konkurencijos politikos veiksmingumui, kurie labai svarbūs siekiant užtikrinti geriausius produktus konkurencingiausiomis kainomis visiems europiečiams;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bCs/>
                <w:i/>
                <w:iCs/>
                <w:vertAlign w:val="superscript"/>
              </w:rPr>
              <w:t>4a</w:t>
            </w:r>
            <w:r w:rsidRPr="00CD3F77">
              <w:rPr>
                <w:b/>
                <w:bCs/>
                <w:i/>
                <w:iCs/>
              </w:rPr>
              <w:t xml:space="preserve"> Specialioji ataskaita Nr. 21/2024:</w:t>
            </w:r>
            <w:r w:rsidRPr="00CD3F77">
              <w:rPr>
                <w:b/>
                <w:i/>
              </w:rPr>
              <w:t xml:space="preserve"> „Valstybės pagalba krizės metu. Greita reakcija, tačiau yra Komisijos vykdomos stebėsenos trūkumų ir ES pramonės politikos tikslų rėmimo sistemos nenuoseklumų“, p. 46–50.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aplinkos </w:t>
            </w:r>
            <w:r w:rsidRPr="00CD3F77">
              <w:rPr>
                <w:b/>
                <w:bCs/>
                <w:i/>
                <w:iCs/>
              </w:rPr>
              <w:t>ir</w:t>
            </w:r>
            <w:r w:rsidRPr="00CD3F77">
              <w:t xml:space="preserve"> skaitmeninimo srityse;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pakartoja, kad konkurencijos politika turėtų padėti vykdyti visų ES politikos sričių politiką, visų pirma aplinkos</w:t>
            </w:r>
            <w:r w:rsidRPr="00CD3F77">
              <w:rPr>
                <w:b/>
                <w:bCs/>
                <w:i/>
                <w:iCs/>
              </w:rPr>
              <w:t>,</w:t>
            </w:r>
            <w:r w:rsidRPr="00CD3F77">
              <w:t xml:space="preserve"> skaitmeninimo</w:t>
            </w:r>
            <w:r w:rsidRPr="00CD3F77">
              <w:rPr>
                <w:b/>
                <w:bCs/>
                <w:i/>
                <w:iCs/>
              </w:rPr>
              <w:t>, gynybos ir žemės ūkio</w:t>
            </w:r>
            <w:r w:rsidRPr="00CD3F77">
              <w:t xml:space="preserve"> srityse; palankiai vertina Komisijos įsipareigojimą parengti naują valstybės pagalbos sistemą, kuri papildytų švarios pramonės kursą</w:t>
            </w:r>
            <w:r w:rsidRPr="00CD3F77">
              <w:rPr>
                <w:b/>
                <w:bCs/>
                <w:i/>
                <w:iCs/>
              </w:rPr>
              <w:t xml:space="preserve">, suteikiant galimybę ES valstybėms narėms teikti valstybės pagalbą, kad būtų sparčiau diegiama atsinaujinančiųjų išteklių energija, mažinama pramonės priklausomybė nuo iškastinio kuro ir užtikrinami pakankami švarių Europoje išvystytų technologijų </w:t>
            </w:r>
            <w:r w:rsidRPr="00CD3F77">
              <w:rPr>
                <w:b/>
                <w:bCs/>
                <w:i/>
                <w:iCs/>
              </w:rPr>
              <w:lastRenderedPageBreak/>
              <w:t>gamybos pajėgumai</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aplinkos ir skaitmeninimo srityse; </w:t>
            </w:r>
            <w:r w:rsidRPr="00CD3F77">
              <w:rPr>
                <w:b/>
                <w:bCs/>
                <w:i/>
                <w:iCs/>
              </w:rPr>
              <w:t>palankiai vertina Komisijos įsipareigojimą</w:t>
            </w:r>
            <w:r w:rsidRPr="00CD3F77">
              <w:t xml:space="preserve"> </w:t>
            </w:r>
            <w:r w:rsidRPr="00CD3F77">
              <w:rPr>
                <w:b/>
                <w:bCs/>
                <w:i/>
                <w:iCs/>
              </w:rPr>
              <w:t>parengti naują</w:t>
            </w:r>
            <w:r w:rsidRPr="00CD3F77">
              <w:t xml:space="preserve"> valstybės pagalbos </w:t>
            </w:r>
            <w:r w:rsidRPr="00CD3F77">
              <w:rPr>
                <w:b/>
                <w:bCs/>
                <w:i/>
                <w:iCs/>
              </w:rPr>
              <w:t>sistemą</w:t>
            </w:r>
            <w:r w:rsidRPr="00CD3F77">
              <w:t>,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aplinkos ir skaitmeninimo srityse; </w:t>
            </w:r>
            <w:r w:rsidRPr="00CD3F77">
              <w:rPr>
                <w:b/>
                <w:bCs/>
                <w:i/>
                <w:iCs/>
              </w:rPr>
              <w:t>pabrėžia, kad naujos</w:t>
            </w:r>
            <w:r w:rsidRPr="00CD3F77">
              <w:t xml:space="preserve"> valstybės pagalbos </w:t>
            </w:r>
            <w:r w:rsidRPr="00CD3F77">
              <w:rPr>
                <w:b/>
                <w:bCs/>
                <w:i/>
                <w:iCs/>
              </w:rPr>
              <w:t>sistemos</w:t>
            </w:r>
            <w:r w:rsidRPr="00CD3F77">
              <w:t>, kuri papildytų švarios pramonės kursą</w:t>
            </w:r>
            <w:r w:rsidRPr="00CD3F77">
              <w:rPr>
                <w:b/>
                <w:bCs/>
                <w:i/>
                <w:iCs/>
              </w:rPr>
              <w:t>, kūrimas turi užtikrinti, kad ji netrukdytų inovacijoms, nepadidintų kainų ir nesumažintų konkurencijos Europos rinkoje</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w:t>
            </w:r>
            <w:r w:rsidRPr="00CD3F77">
              <w:rPr>
                <w:b/>
                <w:bCs/>
                <w:i/>
                <w:iCs/>
              </w:rPr>
              <w:t>visų pirma aplinkos</w:t>
            </w:r>
            <w:r w:rsidRPr="00CD3F77">
              <w:t xml:space="preserve"> ir skaitmeninimo srityse;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w:t>
            </w:r>
            <w:r w:rsidRPr="00CD3F77">
              <w:rPr>
                <w:b/>
                <w:bCs/>
                <w:i/>
                <w:iCs/>
              </w:rPr>
              <w:t>be kita ko, tvarumo, energijos, gynybos</w:t>
            </w:r>
            <w:r w:rsidRPr="00CD3F77">
              <w:t xml:space="preserve"> ir skaitmeninimo srityse; palankiai vertina Komisijos įsipareigojimą parengti naują valstybės pagalbos sistemą, kuri papildytų švarios pramonės kursą; </w:t>
            </w:r>
            <w:r w:rsidRPr="00CD3F77">
              <w:rPr>
                <w:b/>
                <w:i/>
              </w:rPr>
              <w:t xml:space="preserve">pakartoja, kad valstybės pagalba turėtų būti skirta tik labai būtinoms ekonomikos korekcijoms ir neturėtų iškraipyti sąžiningos ir </w:t>
            </w:r>
            <w:r w:rsidRPr="00CD3F77">
              <w:rPr>
                <w:b/>
                <w:i/>
              </w:rPr>
              <w:lastRenderedPageBreak/>
              <w:t>veiksmingos konkurencijos;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49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pakartoja, kad konkurencijos politika turėtų padėti vykdyti visų ES politikos sričių politiką, visų pirma aplinkos ir skaitmeninimo srityse;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pakartoja, kad konkurencijos politika turėtų padėti vykdyti visų ES politikos sričių politiką, visų pirma aplinkos ir skaitmeninimo srityse; palankiai vertina Komisijos įsipareigojimą parengti naują valstybės pagalbos sistemą, kuri papildytų švarios pramonės kursą</w:t>
            </w:r>
            <w:r w:rsidRPr="00CD3F77">
              <w:rPr>
                <w:b/>
                <w:bCs/>
                <w:i/>
                <w:iCs/>
              </w:rPr>
              <w:t>, siekiant sutelkti būtiną viešąją paramą energetikos pertvarkai, kad būtų galima mažinti Europos pramonės priklausomybę nuo iškastinio kuro ir užtikrinti jos konkurencingumą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w:t>
            </w:r>
            <w:r w:rsidRPr="00CD3F77">
              <w:rPr>
                <w:b/>
                <w:i/>
              </w:rPr>
              <w:t>padėti vykdyti visų ES politikos sričių politiką, visų pirma aplinkos ir skaitmeninimo srityse</w:t>
            </w:r>
            <w:r w:rsidRPr="00CD3F77">
              <w:t>;</w:t>
            </w:r>
            <w:r w:rsidRPr="00CD3F77">
              <w:rPr>
                <w:b/>
                <w:i/>
              </w:rPr>
              <w:t xml:space="preserve"> palankiai vertina Komisijos įsipareigojimą parengti naują</w:t>
            </w:r>
            <w:r w:rsidRPr="00CD3F77">
              <w:t xml:space="preserve"> valstybės pagalbos </w:t>
            </w:r>
            <w:r w:rsidRPr="00CD3F77">
              <w:rPr>
                <w:b/>
                <w:i/>
              </w:rPr>
              <w:t>sistemą, kuri papildytų švarios pramonės kursą</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w:t>
            </w:r>
            <w:r w:rsidRPr="00CD3F77">
              <w:rPr>
                <w:b/>
                <w:i/>
              </w:rPr>
              <w:t>išlikti neutrali ir nepriklausoma, orientuota tik į laisvų ir dinamiškų rinkų, skatinančių inovacijas, efektyvumą ir vienodas sąlygas, užtikrinimą</w:t>
            </w:r>
            <w:r w:rsidRPr="00CD3F77">
              <w:t>;</w:t>
            </w:r>
            <w:r w:rsidRPr="00CD3F77">
              <w:rPr>
                <w:b/>
                <w:i/>
              </w:rPr>
              <w:t xml:space="preserve"> mano, kad bet kokia</w:t>
            </w:r>
            <w:r w:rsidRPr="00CD3F77">
              <w:t xml:space="preserve"> valstybės pagalbos </w:t>
            </w:r>
            <w:r w:rsidRPr="00CD3F77">
              <w:rPr>
                <w:b/>
                <w:i/>
              </w:rPr>
              <w:t xml:space="preserve">sistema turėtų būti vengiama konkurencijos iškraipymo, </w:t>
            </w:r>
            <w:r w:rsidRPr="00CD3F77">
              <w:rPr>
                <w:b/>
                <w:i/>
              </w:rPr>
              <w:lastRenderedPageBreak/>
              <w:t>teikiama pirmenybė laisvajai rinkai ir užtikrinama, kad vieniems sektoriams ar įmonėms nebūtų sudaromos palankesnės sąlygos nei kitiems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pakartoja, kad konkurencijos politika turėtų padėti vykdyti visų ES politikos sričių politiką, visų pirma aplinkos ir skaitmeninimo srityse</w:t>
            </w:r>
            <w:r w:rsidRPr="00CD3F77">
              <w:rPr>
                <w:b/>
                <w:bCs/>
                <w:i/>
                <w:iCs/>
              </w:rPr>
              <w:t>;</w:t>
            </w:r>
            <w:r w:rsidRPr="00CD3F77">
              <w:t xml:space="preserve"> </w:t>
            </w:r>
            <w:r w:rsidRPr="00CD3F77">
              <w:rPr>
                <w:b/>
                <w:i/>
              </w:rPr>
              <w:t>palankiai vertina Komisijos įsipareigojimą parengti naują valstybės pagalbos sistemą, kuri papildytų švarios pramonės kursą</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pakartoja, kad konkurencijos politika turėtų padėti vykdyti visų ES politikos sričių politiką, visų pirma aplinkos ir skaitmeninimo srityse;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aplinkos ir skaitmeninimo srityse; </w:t>
            </w:r>
            <w:r w:rsidRPr="00CD3F77">
              <w:rPr>
                <w:b/>
                <w:i/>
              </w:rPr>
              <w:t>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pakartoja, kad konkurencijos politika turėtų padėti vykdyti visų ES politikos sričių politiką, visų pirma aplinkos ir skaitmeninimo srityse;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53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w:t>
            </w:r>
            <w:r w:rsidRPr="00CD3F77">
              <w:rPr>
                <w:b/>
                <w:bCs/>
                <w:i/>
                <w:iCs/>
              </w:rPr>
              <w:t>visų pirma aplinkos ir skaitmeninimo srityse</w:t>
            </w:r>
            <w:r w:rsidRPr="00CD3F77">
              <w:t>;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w:t>
            </w:r>
            <w:r w:rsidRPr="00CD3F77">
              <w:rPr>
                <w:b/>
                <w:bCs/>
                <w:i/>
                <w:iCs/>
              </w:rPr>
              <w:t>ir teikti joms esminę naudą</w:t>
            </w:r>
            <w:r w:rsidRPr="00CD3F77">
              <w:t xml:space="preserve">, </w:t>
            </w:r>
            <w:r w:rsidRPr="00CD3F77">
              <w:rPr>
                <w:b/>
                <w:bCs/>
                <w:i/>
                <w:iCs/>
              </w:rPr>
              <w:t>įgyvendinant veiksmingą ir plataus užmojo aplinkos bei skaitmeninę politiką, kuri būtų sėkmingos konkurencijos politikos pagrindas</w:t>
            </w:r>
            <w:r w:rsidRPr="00CD3F77">
              <w:t>; palankiai vertina Komisijos įsipareigojimą parengti naują valstybės pagalbos sistemą, kuri papildytų švarios pramonės kursą;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w:t>
            </w:r>
            <w:r w:rsidRPr="00CD3F77">
              <w:rPr>
                <w:b/>
                <w:bCs/>
                <w:i/>
                <w:iCs/>
              </w:rPr>
              <w:t>turėtų padėti vykdyti</w:t>
            </w:r>
            <w:r w:rsidRPr="00CD3F77">
              <w:t xml:space="preserve"> visų ES politikos sričių </w:t>
            </w:r>
            <w:r w:rsidRPr="00CD3F77">
              <w:rPr>
                <w:b/>
                <w:bCs/>
                <w:i/>
                <w:iCs/>
              </w:rPr>
              <w:t>politiką</w:t>
            </w:r>
            <w:r w:rsidRPr="00CD3F77">
              <w:t xml:space="preserve">, visų pirma aplinkos ir skaitmeninimo srityse; </w:t>
            </w:r>
            <w:r w:rsidRPr="00CD3F77">
              <w:rPr>
                <w:b/>
                <w:i/>
              </w:rPr>
              <w:t>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w:t>
            </w:r>
            <w:r w:rsidRPr="00CD3F77">
              <w:rPr>
                <w:b/>
                <w:bCs/>
                <w:i/>
                <w:iCs/>
              </w:rPr>
              <w:t xml:space="preserve">yra pagrindinė </w:t>
            </w:r>
            <w:r w:rsidRPr="00CD3F77">
              <w:t xml:space="preserve">visų ES politikos sričių </w:t>
            </w:r>
            <w:r w:rsidRPr="00CD3F77">
              <w:rPr>
                <w:b/>
                <w:bCs/>
                <w:i/>
                <w:iCs/>
              </w:rPr>
              <w:t>politikos priemonė</w:t>
            </w:r>
            <w:r w:rsidRPr="00CD3F77">
              <w:t>, visų pirma aplinkos ir skaitmeninimo srityse;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Lídia Pereira, Regina Doherty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w:t>
            </w:r>
            <w:r w:rsidRPr="00CD3F77">
              <w:rPr>
                <w:b/>
                <w:bCs/>
                <w:i/>
                <w:iCs/>
              </w:rPr>
              <w:t>aplinkos ir skaitmeninimo</w:t>
            </w:r>
            <w:r w:rsidRPr="00CD3F77">
              <w:t xml:space="preserve"> srityse;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w:t>
            </w:r>
            <w:r w:rsidRPr="00CD3F77">
              <w:rPr>
                <w:b/>
                <w:bCs/>
                <w:i/>
                <w:iCs/>
              </w:rPr>
              <w:t>žaliosios ir skaitmeninės pertvarkos bei atnaujinto požiūrio į ES konkurencingumo politiką</w:t>
            </w:r>
            <w:r w:rsidRPr="00CD3F77">
              <w:t xml:space="preserve"> srityse; palankiai vertina Komisijos įsipareigojimą parengti naują valstybės pagalbos sistemą, kuri papildytų švarios pramonės kursą;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Aleksandar Nikolic, Enikő Győri</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aplinkos ir skaitmeninimo srityse; palankiai vertina Komisijos įsipareigojimą parengti naują valstybės pagalbos sistemą, </w:t>
            </w:r>
            <w:r w:rsidRPr="00CD3F77">
              <w:rPr>
                <w:b/>
                <w:i/>
              </w:rPr>
              <w:t>kuri papildytų švarios pramonės kursą</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aplinkos ir skaitmeninimo srityse; palankiai vertina Komisijos įsipareigojimą parengti naują valstybės pagalbos sistemą, </w:t>
            </w:r>
            <w:r w:rsidRPr="00CD3F77">
              <w:rPr>
                <w:b/>
                <w:i/>
              </w:rPr>
              <w:t>kuria būtų padedama Europos įmonėms, susiduriančioms su užsienio konkurencija</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w:t>
            </w:r>
            <w:r w:rsidRPr="00CD3F77">
              <w:rPr>
                <w:b/>
                <w:bCs/>
                <w:i/>
                <w:iCs/>
              </w:rPr>
              <w:t xml:space="preserve">padėti vykdyti visų </w:t>
            </w:r>
            <w:r w:rsidRPr="00CD3F77">
              <w:t xml:space="preserve">ES </w:t>
            </w:r>
            <w:r w:rsidRPr="00CD3F77">
              <w:rPr>
                <w:b/>
                <w:bCs/>
                <w:i/>
                <w:iCs/>
              </w:rPr>
              <w:lastRenderedPageBreak/>
              <w:t>politikos sričių politiką, visų pirma aplinkos ir skaitmeninimo srityse</w:t>
            </w:r>
            <w:r w:rsidRPr="00CD3F77">
              <w:t>;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lastRenderedPageBreak/>
              <w:t>2.</w:t>
            </w:r>
            <w:r w:rsidRPr="00CD3F77">
              <w:tab/>
              <w:t xml:space="preserve">pakartoja, kad konkurencijos politika turėtų </w:t>
            </w:r>
            <w:r w:rsidRPr="00CD3F77">
              <w:rPr>
                <w:b/>
                <w:bCs/>
                <w:i/>
                <w:iCs/>
              </w:rPr>
              <w:t xml:space="preserve">būti suderinta su platesniais </w:t>
            </w:r>
            <w:r w:rsidRPr="00CD3F77">
              <w:lastRenderedPageBreak/>
              <w:t>ES</w:t>
            </w:r>
            <w:r w:rsidRPr="00CD3F77">
              <w:rPr>
                <w:b/>
                <w:bCs/>
                <w:i/>
                <w:iCs/>
              </w:rPr>
              <w:t xml:space="preserve"> politikos pasirinkimais</w:t>
            </w:r>
            <w:r w:rsidRPr="00CD3F77">
              <w:t>; palankiai vertina Komisijos įsipareigojimą parengti naują valstybės pagalbos sistemą, kuri papildytų švarios pramonės kursą;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w:t>
            </w:r>
            <w:r w:rsidRPr="00CD3F77">
              <w:rPr>
                <w:b/>
                <w:i/>
              </w:rPr>
              <w:t>aplinkos</w:t>
            </w:r>
            <w:r w:rsidRPr="00CD3F77">
              <w:t xml:space="preserve"> ir skaitmeninimo srityse; palankiai vertina Komisijos įsipareigojimą parengti naują valstybės pagalbos sistemą, kuri papildytų švarios pramonės kursą;</w:t>
            </w:r>
          </w:p>
        </w:tc>
        <w:tc>
          <w:tcPr>
            <w:tcW w:w="4876" w:type="dxa"/>
            <w:tcBorders>
              <w:top w:val="nil"/>
              <w:left w:val="nil"/>
              <w:bottom w:val="nil"/>
              <w:right w:val="nil"/>
            </w:tcBorders>
          </w:tcPr>
          <w:p w:rsidR="009517E4" w:rsidRPr="00CD3F77" w:rsidRDefault="009517E4" w:rsidP="009517E4">
            <w:pPr>
              <w:pStyle w:val="Normal6a"/>
            </w:pPr>
            <w:r w:rsidRPr="00CD3F77">
              <w:t>2.</w:t>
            </w:r>
            <w:r w:rsidRPr="00CD3F77">
              <w:tab/>
              <w:t xml:space="preserve">pakartoja, kad konkurencijos politika turėtų padėti vykdyti visų ES politikos sričių politiką, visų pirma </w:t>
            </w:r>
            <w:r w:rsidRPr="00CD3F77">
              <w:rPr>
                <w:b/>
                <w:i/>
              </w:rPr>
              <w:t>pramonės</w:t>
            </w:r>
            <w:r w:rsidRPr="00CD3F77">
              <w:t xml:space="preserve"> ir skaitmeninimo srityse; palankiai vertina Komisijos įsipareigojimą parengti naują valstybės pagalbos sistemą, kuri papildytų švarios pramonės kursą;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59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2a.</w:t>
            </w:r>
            <w:r w:rsidRPr="00CD3F77">
              <w:tab/>
            </w:r>
            <w:r w:rsidRPr="00CD3F77">
              <w:rPr>
                <w:b/>
                <w:i/>
              </w:rPr>
              <w:t xml:space="preserve">palankiai vertina Komisijos įsipareigojimą parengti naują valstybės pagalbos sistemą, kuri papildytų švarios pramonės kursą; pabrėžia, kad ji turi padėti įgyvendinti Europos žaliąjį kursą ir užtikrinti, kad priklausomybės nuo iškastinio kuro mažinimas ir konkurencingumas būtų įgyvendinami kartu ir nebūtų remiamas iškastinis </w:t>
            </w:r>
            <w:r w:rsidRPr="00CD3F77">
              <w:rPr>
                <w:b/>
                <w:i/>
              </w:rPr>
              <w:lastRenderedPageBreak/>
              <w:t>kuras;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3.</w:t>
            </w:r>
            <w:r w:rsidRPr="00CD3F77">
              <w:tab/>
            </w:r>
            <w:r w:rsidRPr="00CD3F77">
              <w:rPr>
                <w:b/>
                <w:i/>
              </w:rPr>
              <w:t>pabrėžia, kad ES bendrosios rinkos pasaulinę galią ir svarbą lemia ne tik jos vidaus ir išorės konkurencingumas, bet ir gebėjimas nustatyti bendrus socialinius ir aplinkos apsaugos standartus;</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 bet ir gebėjimas nustatyti bendrus socialinius ir aplinkos apsaugos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bendrus socialinius ir aplinkos apsaugos standartus; </w:t>
            </w:r>
            <w:r w:rsidRPr="00CD3F77">
              <w:rPr>
                <w:b/>
                <w:i/>
              </w:rPr>
              <w:t xml:space="preserve">pabrėžia, kad vidaus ir išorės konkurencingumas turi būti pagrindinis veiksnys, lemiantis bendrosios rinkos stiprumą, skatinantis konkurencingą aplinką, palankią inovacijoms, kliūčių mažinimui ir efektyviam išteklių paskirstymui; dar kartą patvirtina, kad bendri socialiniai ir aplinkos apsaugos standartai yra svarbūs užtikrinant žalingą praktiką, tačiau jie turi būti proporcingi, ne per daug </w:t>
            </w:r>
            <w:r w:rsidRPr="00CD3F77">
              <w:rPr>
                <w:b/>
                <w:i/>
              </w:rPr>
              <w:lastRenderedPageBreak/>
              <w:t>ribojantys ir parengti taip, kad nepakenktų bendrosios rinkos konkurencingumui; taip pat pabrėžia, jog reikia užtikrinti, kad šie standartai būtų pakankamai lankstūs, kad valstybės galėtų juos pritaikyti pagal aplinkybes, neužkraudamos nereikalingos naštos įmonėms;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 bet ir gebėjimas nustatyti bendrus socialinius ir aplinkos apsaugos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 bet ir gebėjimas nustatyti bendrus socialinius ir aplinkos apsaugos standartus</w:t>
            </w:r>
            <w:r w:rsidRPr="00CD3F77">
              <w:rPr>
                <w:b/>
                <w:i/>
              </w:rPr>
              <w:t>, kurie neturėtų neigiamo poveikio Europos įmonių, ypač labai mažų, mažųjų ir vidutinių įmonių, konkurencingumui;</w:t>
            </w:r>
            <w:r w:rsidRPr="00CD3F77">
              <w:t xml:space="preserve"> </w:t>
            </w:r>
            <w:r w:rsidRPr="00CD3F77">
              <w:rPr>
                <w:b/>
                <w:i/>
              </w:rPr>
              <w:t>šiuo atžvilgiu atkreipia dėmesį į didėjančią administracinę naštą įmonėms; ragina supaprastinti ne tik administracinį dubliavimąsi, bet ir suteikti galimybę panaikinti konkurencingumą mažinančius reguliavimo reikalavimus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w:t>
            </w:r>
            <w:r w:rsidRPr="00CD3F77">
              <w:lastRenderedPageBreak/>
              <w:t>pasaulinę galią ir svarbą lemia ne tik jos vidaus ir išorės konkurencingumas, bet ir gebėjimas nustatyti bendrus</w:t>
            </w:r>
            <w:r w:rsidRPr="00CD3F77">
              <w:rPr>
                <w:b/>
                <w:bCs/>
                <w:i/>
                <w:iCs/>
              </w:rPr>
              <w:t xml:space="preserve"> socialinius ir aplinkos apsaugos</w:t>
            </w:r>
            <w:r w:rsidRPr="00CD3F77">
              <w:t xml:space="preserve"> standartus;</w:t>
            </w:r>
          </w:p>
        </w:tc>
        <w:tc>
          <w:tcPr>
            <w:tcW w:w="4876" w:type="dxa"/>
            <w:tcBorders>
              <w:top w:val="nil"/>
              <w:left w:val="nil"/>
              <w:bottom w:val="nil"/>
              <w:right w:val="nil"/>
            </w:tcBorders>
          </w:tcPr>
          <w:p w:rsidR="009517E4" w:rsidRPr="00CD3F77" w:rsidRDefault="009517E4" w:rsidP="009517E4">
            <w:pPr>
              <w:pStyle w:val="Normal6a"/>
            </w:pPr>
            <w:r w:rsidRPr="00CD3F77">
              <w:lastRenderedPageBreak/>
              <w:t>3.</w:t>
            </w:r>
            <w:r w:rsidRPr="00CD3F77">
              <w:tab/>
              <w:t xml:space="preserve">pabrėžia, kad ES bendrosios rinkos </w:t>
            </w:r>
            <w:r w:rsidRPr="00CD3F77">
              <w:lastRenderedPageBreak/>
              <w:t>pasaulinę galią ir svarbą lemia ne tik jos vidaus ir išorės konkurencingumas, bet ir gebėjimas nustatyti bendrus</w:t>
            </w:r>
            <w:r w:rsidRPr="00CD3F77">
              <w:rPr>
                <w:b/>
                <w:bCs/>
                <w:i/>
                <w:iCs/>
              </w:rPr>
              <w:t xml:space="preserve"> </w:t>
            </w:r>
            <w:r w:rsidRPr="00CD3F77">
              <w:t xml:space="preserve">standartus; </w:t>
            </w:r>
            <w:r w:rsidRPr="00CD3F77">
              <w:rPr>
                <w:b/>
                <w:i/>
              </w:rPr>
              <w:t>pabrėžia, kad Komisija turi suderinti žaliojo kurso prioritetus ir pagrindinių konkurencijos principų taikymą, užtikrindama, kad abu tikslai būtų veiksmingai įgyvendinami nepažeidžiant ES bendrosios rinkos vientisumo;</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Enikő Győri, Auke Zijlstra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w:t>
            </w:r>
            <w:r w:rsidRPr="00CD3F77">
              <w:rPr>
                <w:b/>
                <w:i/>
              </w:rPr>
              <w:t>, bet</w:t>
            </w:r>
            <w:r w:rsidRPr="00CD3F77">
              <w:t xml:space="preserve"> ir gebėjimas </w:t>
            </w:r>
            <w:r w:rsidRPr="00CD3F77">
              <w:rPr>
                <w:b/>
                <w:i/>
              </w:rPr>
              <w:t>nustatyti bendrus socialinius ir aplinkos apsaugos</w:t>
            </w:r>
            <w:r w:rsidRPr="00CD3F77">
              <w:t xml:space="preserve">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ir gebėjimas </w:t>
            </w:r>
            <w:r w:rsidRPr="00CD3F77">
              <w:rPr>
                <w:b/>
                <w:i/>
              </w:rPr>
              <w:t>supaprastinus</w:t>
            </w:r>
            <w:r w:rsidRPr="00CD3F77">
              <w:t xml:space="preserve"> standartus </w:t>
            </w:r>
            <w:r w:rsidRPr="00CD3F77">
              <w:rPr>
                <w:b/>
                <w:i/>
              </w:rPr>
              <w:t>skatinti tarpvalstybinę įmonių, ypač MVĮ, veiklą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w:t>
            </w:r>
            <w:r w:rsidRPr="00CD3F77">
              <w:rPr>
                <w:b/>
                <w:bCs/>
                <w:i/>
                <w:iCs/>
              </w:rPr>
              <w:t>bendrus socialinius ir aplinkos apsaugos</w:t>
            </w:r>
            <w:r w:rsidRPr="00CD3F77">
              <w:t xml:space="preserve">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w:t>
            </w:r>
            <w:r w:rsidRPr="00CD3F77">
              <w:rPr>
                <w:b/>
                <w:bCs/>
                <w:i/>
                <w:iCs/>
              </w:rPr>
              <w:t xml:space="preserve">atvirumas bei </w:t>
            </w:r>
            <w:r w:rsidRPr="00CD3F77">
              <w:t xml:space="preserve">gebėjimas nustatyti </w:t>
            </w:r>
            <w:r w:rsidRPr="00CD3F77">
              <w:rPr>
                <w:b/>
                <w:bCs/>
                <w:i/>
                <w:iCs/>
              </w:rPr>
              <w:t>aukštus konkurencijos</w:t>
            </w:r>
            <w:r w:rsidRPr="00CD3F77">
              <w:t xml:space="preserve"> standartus </w:t>
            </w:r>
            <w:r w:rsidRPr="00CD3F77">
              <w:rPr>
                <w:b/>
                <w:bCs/>
                <w:i/>
                <w:iCs/>
              </w:rPr>
              <w:t xml:space="preserve">naujose rinkose, susiformavusiose dėl pasaulinės </w:t>
            </w:r>
            <w:r w:rsidRPr="00CD3F77">
              <w:rPr>
                <w:b/>
                <w:bCs/>
                <w:i/>
                <w:iCs/>
              </w:rPr>
              <w:lastRenderedPageBreak/>
              <w:t>technologijų plėtros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w:t>
            </w:r>
            <w:r w:rsidRPr="00CD3F77">
              <w:rPr>
                <w:b/>
                <w:i/>
              </w:rPr>
              <w:t>ne tik</w:t>
            </w:r>
            <w:r w:rsidRPr="00CD3F77">
              <w:t xml:space="preserve"> jos vidaus ir išorės konkurencingumas</w:t>
            </w:r>
            <w:r w:rsidRPr="00CD3F77">
              <w:rPr>
                <w:b/>
                <w:i/>
              </w:rPr>
              <w:t>, bet ir gebėjimas nustatyti bendrus socialinius ir aplinkos apsaugos standartus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jos vidaus ir išorės konkurencingumas;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w:t>
            </w:r>
            <w:r w:rsidRPr="00CD3F77">
              <w:rPr>
                <w:b/>
                <w:bCs/>
                <w:i/>
                <w:iCs/>
              </w:rPr>
              <w:t>bendrus socialinius</w:t>
            </w:r>
            <w:r w:rsidRPr="00CD3F77">
              <w:t xml:space="preserve"> ir aplinkos apsaugos </w:t>
            </w:r>
            <w:r w:rsidRPr="00CD3F77">
              <w:rPr>
                <w:b/>
                <w:bCs/>
                <w:i/>
                <w:iCs/>
              </w:rPr>
              <w:t>standartus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w:t>
            </w:r>
            <w:r w:rsidRPr="00CD3F77">
              <w:rPr>
                <w:b/>
                <w:bCs/>
                <w:i/>
                <w:iCs/>
              </w:rPr>
              <w:t>konkurencijos taisykles, kurios sudaro sąlygas aukšto lygio bendriems socialiniams</w:t>
            </w:r>
            <w:r w:rsidRPr="00CD3F77">
              <w:t xml:space="preserve"> ir aplinkos apsaugos </w:t>
            </w:r>
            <w:r w:rsidRPr="00CD3F77">
              <w:rPr>
                <w:b/>
                <w:bCs/>
                <w:i/>
                <w:iCs/>
              </w:rPr>
              <w:t>standartams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bendrus socialinius </w:t>
            </w:r>
            <w:r w:rsidRPr="00CD3F77">
              <w:rPr>
                <w:b/>
                <w:bCs/>
                <w:i/>
                <w:iCs/>
              </w:rPr>
              <w:t>ir aplinkos apsaugos</w:t>
            </w:r>
            <w:r w:rsidRPr="00CD3F77">
              <w:t xml:space="preserve">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bendrus socialinius standartus </w:t>
            </w:r>
            <w:r w:rsidRPr="00CD3F77">
              <w:rPr>
                <w:b/>
                <w:bCs/>
                <w:i/>
                <w:iCs/>
              </w:rPr>
              <w:t>bei užtikrinti teritorinę sanglaudą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69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 Kartheiser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 bet ir gebėjimas nustatyti bendrus socialinius ir aplinkos apsaugos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 xml:space="preserve">pabrėžia, kad ES bendrosios rinkos pasaulinę galią ir svarbą lemia ne tik jos vidaus ir išorės konkurencingumas, bet ir gebėjimas nustatyti bendrus </w:t>
            </w:r>
            <w:r w:rsidRPr="00CD3F77">
              <w:rPr>
                <w:b/>
                <w:bCs/>
                <w:i/>
                <w:iCs/>
              </w:rPr>
              <w:t xml:space="preserve">minimalius </w:t>
            </w:r>
            <w:r w:rsidRPr="00CD3F77">
              <w:t>socialinius ir aplinkos apsaugos standartus;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 bet ir gebėjimas nustatyti bendrus</w:t>
            </w:r>
            <w:r w:rsidRPr="00CD3F77">
              <w:rPr>
                <w:b/>
                <w:bCs/>
                <w:i/>
                <w:iCs/>
              </w:rPr>
              <w:t xml:space="preserve"> socialinius ir aplinkos apsaugos</w:t>
            </w:r>
            <w:r w:rsidRPr="00CD3F77">
              <w:t xml:space="preserve"> standartus;</w:t>
            </w:r>
          </w:p>
        </w:tc>
        <w:tc>
          <w:tcPr>
            <w:tcW w:w="4876" w:type="dxa"/>
            <w:tcBorders>
              <w:top w:val="nil"/>
              <w:left w:val="nil"/>
              <w:bottom w:val="nil"/>
              <w:right w:val="nil"/>
            </w:tcBorders>
          </w:tcPr>
          <w:p w:rsidR="009517E4" w:rsidRPr="00CD3F77" w:rsidRDefault="009517E4" w:rsidP="009517E4">
            <w:pPr>
              <w:pStyle w:val="Normal6a"/>
            </w:pPr>
            <w:r w:rsidRPr="00CD3F77">
              <w:t>3.</w:t>
            </w:r>
            <w:r w:rsidRPr="00CD3F77">
              <w:tab/>
              <w:t>pabrėžia, kad ES bendrosios rinkos pasaulinę galią ir svarbą lemia ne tik jos vidaus ir išorės konkurencingumas, bet ir gebėjimas nustatyti bendrus</w:t>
            </w:r>
            <w:r w:rsidRPr="00CD3F77">
              <w:rPr>
                <w:b/>
                <w:bCs/>
                <w:i/>
                <w:iCs/>
              </w:rPr>
              <w:t xml:space="preserve"> </w:t>
            </w:r>
            <w:r w:rsidRPr="00CD3F77">
              <w:t>standartus;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71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atkreipia dėmesį į plačiai paplitusį neigiamą didėjančios rinkos koncentracijos poveikį; remia veiksmingą ir griežtą konkurencijos taisyklių taikymą ir Komisijos įgaliojimų, skirtų kovoti su kenksminga ekonominės galios ir kontrolės koncentracija ES, be kita ko, kapitalo rinkose, nustatymą; pažymi, kad tai turėtų apimti geresnį konkurencijos, prekybos, pramonės, duomenų apsaugos, skaitmeninės, darbo, vartotojų apsaugos ir mokesčių politikos koordinavimą ir nuoseklumą bei veiksmingą susijusių priemonių įgyvendinimą;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pritaria principui, kad viešųjų lėšų naudojimas turėtų apimti viešąją atsakomybę ir viešąją kontrolę; ragina teikti pirmenybę viešosioms investicijoms, kuriomis užtikrinama viešoji atsakomybė ir kontrolė priimant strateginius sprendimus dėl įmonių, pvz., dėl jų uždarymo, gamybos mažinimo ar perkėlimo, o ne subsidijų, pvz., valstybės pagalbos, naudojimui;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pabrėžia, kad vienas iš didžiausių ES pažeidžiamumo veiksnių yra jos priklausomybė nuo importuojamų žaliavų ir energijos; todėl platesnio užmojo žiedinės ekonomikos politika, taip pat pakartotinis esamų medžiagų, visų pirma ypatingos svarbos žaliavų, naudojimas ir įsisavinimas yra Europos konkurencingumo pagrindas;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Billy Kelleher, 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pabrėžia, kad vidaus rinkos konkurencingumas ir augimas negali būti vertinamas vakuume, nes jis labai priklauso nuo ES konkurencingumo pasaulinių konkurentų atžvilgiu; ragina politikos formuotojus tinkamai atsižvelgti į tarptautinius reglamentavimo ir rinkos pokyčius;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lastRenderedPageBreak/>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ragina Europos Komisiją stiprinti konkurencijos užtikrinimo priemones siekiant, kad įmonės laikytųsi konkurencijos taisyklių ir kad už pažeidimus būtų tinkamai baudžiama, o bendroji rinka būtų apsaugota nuo žalingos praktikos;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pabrėžia svarbų Europos konkurencijos tinklo (EKT), kaip Europos konkurencijos institucijų bendradarbiavimo skatinimo forumo, vaidmenį; ragina Komisiją siekti nuolatinio konstruktyvaus dialogo ir bendradarbiavimo tarptautiniu lygmeniu;</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 xml:space="preserve">pabrėžia, kad būtina užtikrinti nacionalinių konkurencijos institucijų politinį nepriklausomumą, kad jos veiktų </w:t>
            </w:r>
            <w:r w:rsidRPr="00CD3F77">
              <w:rPr>
                <w:b/>
                <w:i/>
              </w:rPr>
              <w:lastRenderedPageBreak/>
              <w:t>vadovaudamosi nešališkumo principu ir siekdamos vienintelio tikslo – užtikrinti tinkamą rinkų veikimą;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3a.</w:t>
            </w:r>
            <w:r w:rsidRPr="00CD3F77">
              <w:tab/>
            </w:r>
            <w:r w:rsidRPr="00CD3F77">
              <w:rPr>
                <w:b/>
                <w:i/>
              </w:rPr>
              <w:t>mano, kad siekiant išvengti nesąžiningos konkurencijos tiek ES viduje, tiek išorėje, reikia kovoti su mokesčių vengimo praktika ir bendrovių buveinių migracija į „Europos mokesčių rojus“;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79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3b.</w:t>
            </w:r>
            <w:r w:rsidRPr="00CD3F77">
              <w:tab/>
            </w:r>
            <w:r w:rsidRPr="00CD3F77">
              <w:rPr>
                <w:b/>
                <w:i/>
              </w:rPr>
              <w:t xml:space="preserve">pažymi, kad globalizuotame pasaulyje, siekiant užtikrinti veiksmingą konkurencijos teisės aktų taikymą, labai svarbus tarptautinis bendradarbiavimas; pabrėžia, kad specialūs bendradarbiavimo susitarimai su trečiosiomis šalimis konkurencijos politikos srityje gali prasmingai prisidėti užtikrinant konkurencijos politikos veiksmingumą; ragina Komisiją didinti konkurencijos politikos poveikį pasaulyje, visų pirma stiprinti bendradarbiavimą su trečiosiomis šalimis pagal antrosios kartos bendradarbiavimo susitarimus, kuriais </w:t>
            </w:r>
            <w:r w:rsidRPr="00CD3F77">
              <w:rPr>
                <w:b/>
                <w:i/>
              </w:rPr>
              <w:lastRenderedPageBreak/>
              <w:t>sudaromos sąlygos konkurencijos institucijoms veiksmingiau keistis informacija;</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Billy Kelleher, 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3b.</w:t>
            </w:r>
            <w:r w:rsidRPr="00CD3F77">
              <w:tab/>
            </w:r>
            <w:r w:rsidRPr="00CD3F77">
              <w:rPr>
                <w:b/>
                <w:i/>
              </w:rPr>
              <w:t xml:space="preserve">palankiai vertina Komisijos įsipareigojimą supaprastinti ES </w:t>
            </w:r>
            <w:r w:rsidRPr="00CD3F77">
              <w:rPr>
                <w:b/>
              </w:rPr>
              <w:t>acquis</w:t>
            </w:r>
            <w:r w:rsidRPr="00CD3F77">
              <w:rPr>
                <w:b/>
                <w:i/>
              </w:rPr>
              <w:t xml:space="preserve"> ir sumažinti biurokratizmą, taip pat tai, kad buvo įsteigtos vidaus projektų grupės politiniams prioritetams įgyvendinti; mano, kad tai galėtų labai prisidėti prie ES konkurencingumo didinimo; vis dėlto pabrėžia, kad supaprastinimą turime vykdyti taip, kad nesumažėtų mūsų siekiai klimato kaitos srityje ir nebūtų pakenkta mūsų tarptautiniams įsipareigojimams;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3b.</w:t>
            </w:r>
            <w:r w:rsidRPr="00CD3F77">
              <w:tab/>
            </w:r>
            <w:r w:rsidRPr="00CD3F77">
              <w:rPr>
                <w:b/>
                <w:i/>
              </w:rPr>
              <w:t>primena, kad, siekiant įgyvendinti konkurencijos politiką, kuria įmonėms būtų užtikrinta galimybė konkuruoti vienodomis sąlygomis, reikia apsaugoti Europą nuo ES nepriklausančių valstybių nesąžiningos komercinės veiklos;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tvarų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tvarų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tvarus bei integracinis augimas; </w:t>
            </w:r>
            <w:r w:rsidRPr="00CD3F77">
              <w:rPr>
                <w:b/>
                <w:i/>
              </w:rPr>
              <w:t>nepritaria tam, kad konkurencingumas būtų skatinamas atsižvelgiant į išlaidų konkurencingumą, nes taip praeityje buvo įgyvendinamos socialiniu atžvilgiu kenksmingos reformos, kuriomis mažinama darbuotojų derybinė galia ir su darbo užmokesčiu susiję reikalavimai;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tvarų konkurencingumą; palankiai vertina tai, kad Mario Draghi ataskaitoje daug dėmesio skiriama inovacijoms, investicijoms, rinkos integracijai, priklausomybės nuo iškastinio kuro mažinimui ir atsparumui, o Enrico </w:t>
            </w:r>
            <w:r w:rsidRPr="00CD3F77">
              <w:lastRenderedPageBreak/>
              <w:t>Letta ataskaitoje – integracijai, savarankiškumui ir solidarumui; ragina vykdyti politiką, kuria skatinamos inovacijos ir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lastRenderedPageBreak/>
              <w:t>4.</w:t>
            </w:r>
            <w:r w:rsidRPr="00CD3F77">
              <w:tab/>
            </w:r>
            <w:r w:rsidRPr="00CD3F77">
              <w:rPr>
                <w:b/>
                <w:i/>
              </w:rPr>
              <w:t>pažymi, kad pasauliniu mastu Europa tampa vis mažesnio masto veikėja, o valstybės narės negali atskirai sėkmingai veikti, todėl labai svarbu dėti bendras pastangas ES lygmeniu;</w:t>
            </w:r>
            <w:r w:rsidRPr="00CD3F77">
              <w:t xml:space="preserve"> remia Komisijos įsipareigojimą investuoti į tvarų konkurencingumą; palankiai vertina tai, </w:t>
            </w:r>
            <w:r w:rsidRPr="00CD3F77">
              <w:lastRenderedPageBreak/>
              <w:t>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tvarus bei integracinis augimas;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r>
            <w:r w:rsidRPr="00CD3F77">
              <w:rPr>
                <w:b/>
                <w:i/>
              </w:rPr>
              <w:t>remia Komisijos įsipareigojimą</w:t>
            </w:r>
            <w:r w:rsidRPr="00CD3F77">
              <w:t xml:space="preserve"> investuoti į </w:t>
            </w:r>
            <w:r w:rsidRPr="00CD3F77">
              <w:rPr>
                <w:b/>
                <w:i/>
              </w:rPr>
              <w:t>tvarų</w:t>
            </w:r>
            <w:r w:rsidRPr="00CD3F77">
              <w:t xml:space="preserve"> konkurencingumą; palankiai vertina tai, kad Mario Draghi ataskaitoje daug dėmesio skiriama inovacijoms, investicijoms, </w:t>
            </w:r>
            <w:r w:rsidRPr="00CD3F77">
              <w:rPr>
                <w:b/>
                <w:i/>
              </w:rPr>
              <w:t>rinkos integracijai,</w:t>
            </w:r>
            <w:r w:rsidRPr="00CD3F77">
              <w:t xml:space="preserve"> priklausomybės nuo iškastinio kuro mažinimui ir atsparumui, o Enrico Letta ataskaitoje – integracijai, savarankiškumui ir solidarumui; ragina vykdyti politiką, kuria skatinamos inovacijos ir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r>
            <w:r w:rsidRPr="00CD3F77">
              <w:rPr>
                <w:b/>
                <w:i/>
              </w:rPr>
              <w:t>ragina Komisiją</w:t>
            </w:r>
            <w:r w:rsidRPr="00CD3F77">
              <w:t xml:space="preserve"> investuoti į konkurencingumą; palankiai vertina tai, kad Mario Draghi ataskaitoje daug dėmesio skiriama inovacijoms, investicijoms, priklausomybės nuo iškastinio kuro mažinimui ir atsparumui, o Enrico Letta ataskaitoje – integracijai, savarankiškumui ir solidarumui; ragina vykdyti politiką, kuria skatinamos inovacijos ir tvarus bei integracinis 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tvarų konkurencingumą; </w:t>
            </w:r>
            <w:r w:rsidRPr="00CD3F77">
              <w:lastRenderedPageBreak/>
              <w:t xml:space="preserve">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w:t>
            </w:r>
            <w:r w:rsidRPr="00CD3F77">
              <w:rPr>
                <w:b/>
                <w:bCs/>
                <w:i/>
                <w:iCs/>
              </w:rPr>
              <w:t>ir</w:t>
            </w:r>
            <w:r w:rsidRPr="00CD3F77">
              <w:t xml:space="preserve">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lastRenderedPageBreak/>
              <w:t>4.</w:t>
            </w:r>
            <w:r w:rsidRPr="00CD3F77">
              <w:tab/>
              <w:t xml:space="preserve">remia Komisijos įsipareigojimą investuoti į tvarų konkurencingumą; </w:t>
            </w:r>
            <w:r w:rsidRPr="00CD3F77">
              <w:lastRenderedPageBreak/>
              <w:t>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w:t>
            </w:r>
            <w:r w:rsidRPr="00CD3F77">
              <w:rPr>
                <w:b/>
                <w:bCs/>
                <w:i/>
                <w:iCs/>
              </w:rPr>
              <w:t>, taip pat</w:t>
            </w:r>
            <w:r w:rsidRPr="00CD3F77">
              <w:t xml:space="preserve"> tvarus bei integracinis augimas;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w:t>
            </w:r>
            <w:r w:rsidRPr="00CD3F77">
              <w:rPr>
                <w:b/>
                <w:bCs/>
                <w:i/>
                <w:iCs/>
              </w:rPr>
              <w:t>tvarų</w:t>
            </w:r>
            <w:r w:rsidRPr="00CD3F77">
              <w:t xml:space="preserve"> konkurencingumą; palankiai vertina tai, kad Mario Draghi ataskaitoje daug dėmesio skiriama inovacijoms, investicijoms, rinkos integracijai</w:t>
            </w:r>
            <w:r w:rsidRPr="00CD3F77">
              <w:rPr>
                <w:b/>
                <w:bCs/>
                <w:i/>
                <w:iCs/>
              </w:rPr>
              <w:t>, priklausomybės nuo iškastinio kuro mažinimui</w:t>
            </w:r>
            <w:r w:rsidRPr="00CD3F77">
              <w:t xml:space="preserve"> ir atsparumui, o Enrico Letta ataskaitoje – integracijai, savarankiškumui ir solidarumui; ragina vykdyti politiką, kuria skatinamos inovacijos ir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konkurencingumą; palankiai vertina tai, kad Mario Draghi ataskaitoje daug dėmesio skiriama inovacijoms, investicijoms, rinkos integracijai ir atsparumui, o Enrico Letta ataskaitoje – integracijai, savarankiškumui ir solidarumui; ragina vykdyti politiką, kuria skatinamos inovacijos ir tvarus bei integracinis 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lastRenderedPageBreak/>
              <w:t>4.</w:t>
            </w:r>
            <w:r w:rsidRPr="00CD3F77">
              <w:tab/>
              <w:t xml:space="preserve">remia Komisijos įsipareigojimą </w:t>
            </w:r>
            <w:r w:rsidRPr="00CD3F77">
              <w:rPr>
                <w:b/>
                <w:i/>
              </w:rPr>
              <w:t>investuoti į tvarų</w:t>
            </w:r>
            <w:r w:rsidRPr="00CD3F77">
              <w:t xml:space="preserve"> konkurencingumą; palankiai vertina tai, kad Mario Draghi ataskaitoje </w:t>
            </w:r>
            <w:r w:rsidRPr="00CD3F77">
              <w:rPr>
                <w:b/>
                <w:i/>
              </w:rPr>
              <w:t>daug dėmesio skiriama inovacijoms</w:t>
            </w:r>
            <w:r w:rsidRPr="00CD3F77">
              <w:t xml:space="preserve">, </w:t>
            </w:r>
            <w:r w:rsidRPr="00CD3F77">
              <w:rPr>
                <w:b/>
                <w:i/>
              </w:rPr>
              <w:t>investicijoms</w:t>
            </w:r>
            <w:r w:rsidRPr="00CD3F77">
              <w:t xml:space="preserve">, rinkos </w:t>
            </w:r>
            <w:r w:rsidRPr="00CD3F77">
              <w:rPr>
                <w:b/>
                <w:i/>
              </w:rPr>
              <w:t>integracijai</w:t>
            </w:r>
            <w:r w:rsidRPr="00CD3F77">
              <w:t xml:space="preserve">, priklausomybės nuo iškastinio kuro </w:t>
            </w:r>
            <w:r w:rsidRPr="00CD3F77">
              <w:rPr>
                <w:b/>
                <w:i/>
              </w:rPr>
              <w:t>mažinimui</w:t>
            </w:r>
            <w:r w:rsidRPr="00CD3F77">
              <w:t xml:space="preserve"> ir </w:t>
            </w:r>
            <w:r w:rsidRPr="00CD3F77">
              <w:rPr>
                <w:b/>
                <w:i/>
              </w:rPr>
              <w:t>atsparumui</w:t>
            </w:r>
            <w:r w:rsidRPr="00CD3F77">
              <w:t xml:space="preserve">, o Enrico Letta ataskaitoje – </w:t>
            </w:r>
            <w:r w:rsidRPr="00CD3F77">
              <w:rPr>
                <w:b/>
                <w:i/>
              </w:rPr>
              <w:t>integracijai, savarankiškumui ir solidarumui</w:t>
            </w:r>
            <w:r w:rsidRPr="00CD3F77">
              <w:t xml:space="preserve">; ragina vykdyti politiką, kuria skatinamos inovacijos ir </w:t>
            </w:r>
            <w:r w:rsidRPr="00CD3F77">
              <w:rPr>
                <w:b/>
                <w:i/>
              </w:rPr>
              <w:t>tvarus bei integracinis</w:t>
            </w:r>
            <w:r w:rsidRPr="00CD3F77">
              <w:t xml:space="preserve">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w:t>
            </w:r>
            <w:r w:rsidRPr="00CD3F77">
              <w:rPr>
                <w:b/>
                <w:i/>
              </w:rPr>
              <w:t>didinti Sąjungos</w:t>
            </w:r>
            <w:r w:rsidRPr="00CD3F77">
              <w:t xml:space="preserve"> konkurencingumą; palankiai vertina tai, kad Mario Draghi ataskaitoje </w:t>
            </w:r>
            <w:r w:rsidRPr="00CD3F77">
              <w:rPr>
                <w:b/>
                <w:i/>
              </w:rPr>
              <w:t>pateiktos prognozės dėl inovacijų</w:t>
            </w:r>
            <w:r w:rsidRPr="00CD3F77">
              <w:t xml:space="preserve">, </w:t>
            </w:r>
            <w:r w:rsidRPr="00CD3F77">
              <w:rPr>
                <w:b/>
                <w:i/>
              </w:rPr>
              <w:t>investicijų</w:t>
            </w:r>
            <w:r w:rsidRPr="00CD3F77">
              <w:t xml:space="preserve">, rinkos </w:t>
            </w:r>
            <w:r w:rsidRPr="00CD3F77">
              <w:rPr>
                <w:b/>
                <w:i/>
              </w:rPr>
              <w:t>integracijos</w:t>
            </w:r>
            <w:r w:rsidRPr="00CD3F77">
              <w:t xml:space="preserve">, priklausomybės nuo iškastinio kuro </w:t>
            </w:r>
            <w:r w:rsidRPr="00CD3F77">
              <w:rPr>
                <w:b/>
                <w:i/>
              </w:rPr>
              <w:t>mažinimo</w:t>
            </w:r>
            <w:r w:rsidRPr="00CD3F77">
              <w:t xml:space="preserve"> ir </w:t>
            </w:r>
            <w:r w:rsidRPr="00CD3F77">
              <w:rPr>
                <w:b/>
                <w:i/>
              </w:rPr>
              <w:t>atsparumo</w:t>
            </w:r>
            <w:r w:rsidRPr="00CD3F77">
              <w:t xml:space="preserve">, o Enrico Letta ataskaitoje – </w:t>
            </w:r>
            <w:r w:rsidRPr="00CD3F77">
              <w:rPr>
                <w:b/>
                <w:i/>
              </w:rPr>
              <w:t>dėl rinkos integracijos</w:t>
            </w:r>
            <w:r w:rsidRPr="00CD3F77">
              <w:t xml:space="preserve">; ragina vykdyti politiką, kuria skatinamos inovacijos ir </w:t>
            </w:r>
            <w:r w:rsidRPr="00CD3F77">
              <w:rPr>
                <w:b/>
                <w:i/>
              </w:rPr>
              <w:t>Sąjungos ekonomikos</w:t>
            </w:r>
            <w:r w:rsidRPr="00CD3F77">
              <w:t xml:space="preserve"> 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tvarų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w:t>
            </w:r>
            <w:r w:rsidRPr="00CD3F77">
              <w:rPr>
                <w:b/>
                <w:bCs/>
                <w:i/>
                <w:iCs/>
              </w:rPr>
              <w:t>ir tvarus bei integracinis</w:t>
            </w:r>
            <w:r w:rsidRPr="00CD3F77">
              <w:t xml:space="preserve">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tvarų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w:t>
            </w:r>
            <w:r w:rsidRPr="00CD3F77">
              <w:rPr>
                <w:b/>
                <w:bCs/>
                <w:i/>
                <w:iCs/>
              </w:rPr>
              <w:t xml:space="preserve">, konkurencingumas ir </w:t>
            </w:r>
            <w:r w:rsidRPr="00CD3F77">
              <w:t>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89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tvarų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w:t>
            </w:r>
            <w:r w:rsidRPr="00CD3F77">
              <w:rPr>
                <w:b/>
                <w:i/>
              </w:rPr>
              <w:t>tvarus bei integracinis</w:t>
            </w:r>
            <w:r w:rsidRPr="00CD3F77">
              <w:t xml:space="preserve">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tvarų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 Kartheiser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 xml:space="preserve">remia Komisijos įsipareigojimą investuoti į </w:t>
            </w:r>
            <w:r w:rsidRPr="00CD3F77">
              <w:rPr>
                <w:b/>
                <w:bCs/>
                <w:i/>
                <w:iCs/>
              </w:rPr>
              <w:t>tvarų</w:t>
            </w:r>
            <w:r w:rsidRPr="00CD3F77">
              <w:t xml:space="preserve">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konkurencingumą; palankiai vertina tai, kad Mario Draghi ataskaitoje daug dėmesio skiriama inovacijoms, investicijoms, rinkos integracijai, priklausomybės nuo iškastinio kuro mažinimui ir atsparumui, o Enrico Letta ataskaitoje – integracijai, savarankiškumui ir solidarumui; ragina vykdyti politiką, kuria skatinamos inovacijos ir tvarus bei integracinis 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tvarų konkurencingumą; palankiai vertina tai, kad Mario Draghi ataskaitoje daug dėmesio skiriama inovacijoms, investicijoms, rinkos integracijai</w:t>
            </w:r>
            <w:r w:rsidRPr="00CD3F77">
              <w:rPr>
                <w:b/>
                <w:i/>
              </w:rPr>
              <w:t>, priklausomybės nuo iškastinio kuro mažinimui</w:t>
            </w:r>
            <w:r w:rsidRPr="00CD3F77">
              <w:t xml:space="preserve"> ir atsparumui, o Enrico Letta ataskaitoje – integracijai, savarankiškumui ir solidarumui; ragina vykdyti politiką, kuria skatinamos inovacijos ir tvarus bei integracinis augimas;</w:t>
            </w:r>
          </w:p>
        </w:tc>
        <w:tc>
          <w:tcPr>
            <w:tcW w:w="4876" w:type="dxa"/>
            <w:tcBorders>
              <w:top w:val="nil"/>
              <w:left w:val="nil"/>
              <w:bottom w:val="nil"/>
              <w:right w:val="nil"/>
            </w:tcBorders>
          </w:tcPr>
          <w:p w:rsidR="009517E4" w:rsidRPr="00CD3F77" w:rsidRDefault="009517E4" w:rsidP="009517E4">
            <w:pPr>
              <w:pStyle w:val="Normal6a"/>
            </w:pPr>
            <w:r w:rsidRPr="00CD3F77">
              <w:t>4.</w:t>
            </w:r>
            <w:r w:rsidRPr="00CD3F77">
              <w:tab/>
              <w:t>remia Komisijos įsipareigojimą investuoti į tvarų konkurencingumą; palankiai vertina tai, kad Mario Draghi ataskaitoje daug dėmesio skiriama inovacijoms, investicijoms, rinkos integracijai ir atsparumui, o Enrico Letta ataskaitoje – integracijai, savarankiškumui ir solidarumui; ragina vykdyti politiką, kuria skatinamos inovacijos ir tvarus bei integracinis augimas;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4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4a.</w:t>
            </w:r>
            <w:r w:rsidRPr="00CD3F77">
              <w:tab/>
            </w:r>
            <w:r w:rsidRPr="00CD3F77">
              <w:rPr>
                <w:b/>
                <w:i/>
              </w:rPr>
              <w:t>pabrėžia, kad teisės aktų supaprastinimas ir administracinės naštos sumažinimas yra esminiai konkurencingumo rėmimo etapai;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tai </w:t>
            </w:r>
            <w:r w:rsidRPr="00CD3F77">
              <w:lastRenderedPageBreak/>
              <w:t>nereiškia, jog reikia siekti dominuojančios padėties rinkoje</w:t>
            </w:r>
            <w:r w:rsidRPr="00CD3F77">
              <w:rPr>
                <w:b/>
                <w:bCs/>
                <w:i/>
                <w:iCs/>
              </w:rPr>
              <w:t xml:space="preserve"> ar piktnaudžiauti ja</w:t>
            </w:r>
            <w:r w:rsidRPr="00CD3F77">
              <w:t>, ir įspėja dėl rinkos integracijos per susijungimus;</w:t>
            </w:r>
          </w:p>
        </w:tc>
        <w:tc>
          <w:tcPr>
            <w:tcW w:w="4876" w:type="dxa"/>
            <w:tcBorders>
              <w:top w:val="nil"/>
              <w:left w:val="nil"/>
              <w:bottom w:val="nil"/>
              <w:right w:val="nil"/>
            </w:tcBorders>
          </w:tcPr>
          <w:p w:rsidR="009517E4" w:rsidRPr="00CD3F77" w:rsidRDefault="009517E4" w:rsidP="009517E4">
            <w:pPr>
              <w:pStyle w:val="Normal6a"/>
            </w:pPr>
            <w:r w:rsidRPr="00CD3F77">
              <w:lastRenderedPageBreak/>
              <w:t>5.</w:t>
            </w:r>
            <w:r w:rsidRPr="00CD3F77">
              <w:tab/>
              <w:t xml:space="preserve">pabrėžia, kad pramonės politika turi būti siekiama didinti Europos konkurencingumą </w:t>
            </w:r>
            <w:r w:rsidRPr="00CD3F77">
              <w:rPr>
                <w:b/>
                <w:bCs/>
                <w:i/>
                <w:iCs/>
              </w:rPr>
              <w:t xml:space="preserve">ir sumažinti jos </w:t>
            </w:r>
            <w:r w:rsidRPr="00CD3F77">
              <w:rPr>
                <w:b/>
                <w:bCs/>
                <w:i/>
                <w:iCs/>
              </w:rPr>
              <w:lastRenderedPageBreak/>
              <w:t>priklausomybę nuo iškastinio kuro</w:t>
            </w:r>
            <w:r w:rsidRPr="00CD3F77">
              <w:t>; pažymi, kad tai nereiškia, jog reikia siekti dominuojančios padėties rinkoje</w:t>
            </w:r>
            <w:r w:rsidRPr="00CD3F77">
              <w:rPr>
                <w:b/>
                <w:bCs/>
                <w:i/>
                <w:iCs/>
              </w:rPr>
              <w:t xml:space="preserve"> ar rinkos koncentracijos, kuri sudaro palankesnes sąlygas piktnaudžiavimui dominuojančia padėtimi ir nesąžiningai praktikai</w:t>
            </w:r>
            <w:r w:rsidRPr="00CD3F77">
              <w:t xml:space="preserve">, ir įspėja dėl rinkos integracijos per susijungimus; </w:t>
            </w:r>
            <w:r w:rsidRPr="00CD3F77">
              <w:rPr>
                <w:b/>
                <w:i/>
              </w:rPr>
              <w:t>be to, pabrėžia, kad pramonės politika taip pat turi skatinti viešąjį interesą susiejant viešąjį finansavimą su socialinėmis ir aplinkosaugos sąlygomis, kuriomis užtikrinama darbuotojų apsauga, darbuotojų teisės, tvarumas ir ekonomikos atsparumas; pažymi, kad į šias sąlygas turėtų būti įtrauktos nuostatos dėl lėšų susigrąžinimo ir griežti akcijų išpirkimo ir dividendų mokėjimo apribojimai;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w:t>
            </w:r>
            <w:r w:rsidRPr="00CD3F77">
              <w:rPr>
                <w:b/>
                <w:i/>
              </w:rPr>
              <w:t>, ir</w:t>
            </w:r>
            <w:r w:rsidRPr="00CD3F77">
              <w:t xml:space="preserve"> įspėja dėl rinkos integracijos per susijungimus;</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w:t>
            </w:r>
            <w:r w:rsidRPr="00CD3F77">
              <w:rPr>
                <w:b/>
                <w:i/>
              </w:rPr>
              <w:t>; atkreipia dėmesį į tai, kad dėl šio postūmio neturėtų atsirasti dominuojančios padėties rinkoje ar piktnaudžiavimo ja, ir pabrėžia, kad piktnaudžiavimo atvejais intervencinių priemonių reikėtų imtis tik dėl akivaizdžios antikonkurencinės veiklos, pavyzdžiui, monopolijų ir kartelių;</w:t>
            </w:r>
            <w:r w:rsidRPr="00CD3F77">
              <w:t xml:space="preserve"> įspėja dėl rinkos integracijos per susijungimus </w:t>
            </w:r>
            <w:r w:rsidRPr="00CD3F77">
              <w:rPr>
                <w:b/>
                <w:i/>
              </w:rPr>
              <w:t xml:space="preserve">ir pabrėžia, kad susijungimai turėtų būti vertinami atsižvelgiant į jų faktinį poveikį konkurencijai ir vartotojų gerovei, o ne iš </w:t>
            </w:r>
            <w:r w:rsidRPr="00CD3F77">
              <w:rPr>
                <w:b/>
                <w:i/>
              </w:rPr>
              <w:lastRenderedPageBreak/>
              <w:t>esmės vertinami neigiamai, jei jie nekenkia bendram rinkos konkurencingumui ar vartotojų interesams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w:t>
            </w:r>
            <w:r w:rsidRPr="00CD3F77">
              <w:rPr>
                <w:b/>
                <w:bCs/>
                <w:i/>
                <w:iCs/>
              </w:rPr>
              <w:t>tai nereiškia, jog reikia siekti</w:t>
            </w:r>
            <w:r w:rsidRPr="00CD3F77">
              <w:t xml:space="preserve"> dominuojančios padėties rinkoje ar piktnaudžiauti ja</w:t>
            </w:r>
            <w:r w:rsidRPr="00CD3F77">
              <w:rPr>
                <w:b/>
                <w:bCs/>
                <w:i/>
                <w:iCs/>
              </w:rPr>
              <w:t>, ir įspėja dėl rinkos integracijos per susijungimus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tai </w:t>
            </w:r>
            <w:r w:rsidRPr="00CD3F77">
              <w:rPr>
                <w:b/>
                <w:bCs/>
                <w:i/>
                <w:iCs/>
              </w:rPr>
              <w:t xml:space="preserve">negali būti daroma pakenkiant Europos vartotojams švelninant ES konkurencijos politikoje taikomus </w:t>
            </w:r>
            <w:r w:rsidRPr="00CD3F77">
              <w:t>dominuojančios padėties rinkoje ar piktnaudžiavimo ja</w:t>
            </w:r>
            <w:r w:rsidRPr="00CD3F77">
              <w:rPr>
                <w:b/>
                <w:bCs/>
                <w:i/>
                <w:iCs/>
              </w:rPr>
              <w:t xml:space="preserve"> standartus;</w:t>
            </w:r>
            <w:r w:rsidRPr="00CD3F77">
              <w:rPr>
                <w:b/>
                <w:i/>
              </w:rPr>
              <w:t xml:space="preserve"> </w:t>
            </w:r>
            <w:r w:rsidRPr="00CD3F77">
              <w:rPr>
                <w:b/>
                <w:bCs/>
                <w:i/>
                <w:iCs/>
              </w:rPr>
              <w:t>pakartoja, kad aukščiausius konkurencijos standartus ir būtiną Europos įmonių plėtrą galima paskatinti veiksmingai stiprinant bendrąją rinką, kad ji taptų svarbia rinka visuose sektoriuose</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tai nereiškia, jog reikia siekti dominuojančios padėties rinkoje ar piktnaudžiauti ja, </w:t>
            </w:r>
            <w:r w:rsidRPr="00CD3F77">
              <w:rPr>
                <w:b/>
                <w:bCs/>
                <w:i/>
                <w:iCs/>
              </w:rPr>
              <w:t>ir</w:t>
            </w:r>
            <w:r w:rsidRPr="00CD3F77">
              <w:t xml:space="preserve"> </w:t>
            </w:r>
            <w:r w:rsidRPr="00CD3F77">
              <w:lastRenderedPageBreak/>
              <w:t>įspėja dėl</w:t>
            </w:r>
            <w:r w:rsidRPr="00CD3F77">
              <w:rPr>
                <w:b/>
                <w:bCs/>
                <w:i/>
                <w:iCs/>
              </w:rPr>
              <w:t xml:space="preserve"> rinkos integracijos per susijungimus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lastRenderedPageBreak/>
              <w:t>5.</w:t>
            </w:r>
            <w:r w:rsidRPr="00CD3F77">
              <w:tab/>
              <w:t xml:space="preserve">pabrėžia, kad </w:t>
            </w:r>
            <w:r w:rsidRPr="00CD3F77">
              <w:rPr>
                <w:b/>
                <w:bCs/>
                <w:i/>
                <w:iCs/>
              </w:rPr>
              <w:t xml:space="preserve">koordinuota ir tikslinga </w:t>
            </w:r>
            <w:r w:rsidRPr="00CD3F77">
              <w:t xml:space="preserve">pramonės politika turi būti siekiama didinti Europos konkurencingumą; pažymi, kad tai nereiškia, jog reikia siekti dominuojančios </w:t>
            </w:r>
            <w:r w:rsidRPr="00CD3F77">
              <w:lastRenderedPageBreak/>
              <w:t xml:space="preserve">padėties rinkoje ar piktnaudžiauti ja, </w:t>
            </w:r>
            <w:r w:rsidRPr="00CD3F77">
              <w:rPr>
                <w:b/>
                <w:bCs/>
                <w:i/>
                <w:iCs/>
              </w:rPr>
              <w:t>kainų iškraipymo ar ekonominio neveiksmingumo;</w:t>
            </w:r>
            <w:r w:rsidRPr="00CD3F77">
              <w:t xml:space="preserve"> įspėja dėl </w:t>
            </w:r>
            <w:r w:rsidRPr="00CD3F77">
              <w:rPr>
                <w:b/>
                <w:bCs/>
                <w:i/>
                <w:iCs/>
              </w:rPr>
              <w:t>nekoordinuotos ir išimtinai nacionalinės pramonės politikos</w:t>
            </w:r>
            <w:r w:rsidRPr="00CD3F77">
              <w:t xml:space="preserve">; </w:t>
            </w:r>
            <w:r w:rsidRPr="00CD3F77">
              <w:rPr>
                <w:b/>
                <w:i/>
              </w:rPr>
              <w:t>pabrėžia, kad būtina kovoti su nesąžininga ir nelygiaverte trečiųjų šalių konkurencija;</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w:t>
            </w:r>
            <w:r w:rsidRPr="00CD3F77">
              <w:rPr>
                <w:b/>
                <w:i/>
              </w:rPr>
              <w:t>pramonės politika turi būti siekiama</w:t>
            </w:r>
            <w:r w:rsidRPr="00CD3F77">
              <w:t xml:space="preserve"> didinti Europos konkurencingumą; pažymi, kad tai nereiškia, jog reikia </w:t>
            </w:r>
            <w:r w:rsidRPr="00CD3F77">
              <w:rPr>
                <w:b/>
                <w:i/>
              </w:rPr>
              <w:t>siekti dominuojančios padėties</w:t>
            </w:r>
            <w:r w:rsidRPr="00CD3F77">
              <w:t xml:space="preserve"> rinkoje </w:t>
            </w:r>
            <w:r w:rsidRPr="00CD3F77">
              <w:rPr>
                <w:b/>
                <w:i/>
              </w:rPr>
              <w:t>ar piktnaudžiauti ja</w:t>
            </w:r>
            <w:r w:rsidRPr="00CD3F77">
              <w:t>, ir įspėja dėl rinkos integracijos per susijungimus;</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w:t>
            </w:r>
            <w:r w:rsidRPr="00CD3F77">
              <w:rPr>
                <w:b/>
                <w:i/>
              </w:rPr>
              <w:t>siekiant</w:t>
            </w:r>
            <w:r w:rsidRPr="00CD3F77">
              <w:t xml:space="preserve"> didinti Europos konkurencingumą</w:t>
            </w:r>
            <w:r w:rsidRPr="00CD3F77">
              <w:rPr>
                <w:b/>
                <w:i/>
              </w:rPr>
              <w:t xml:space="preserve"> būtinos nacionalinės pramonės politikos kryptys ir valstybių narių sinergija</w:t>
            </w:r>
            <w:r w:rsidRPr="00CD3F77">
              <w:t xml:space="preserve">; pažymi, kad tai nereiškia, jog reikia </w:t>
            </w:r>
            <w:r w:rsidRPr="00CD3F77">
              <w:rPr>
                <w:b/>
                <w:i/>
              </w:rPr>
              <w:t>piktnaudžiauti dominuojančia padėtimi</w:t>
            </w:r>
            <w:r w:rsidRPr="00CD3F77">
              <w:t xml:space="preserve"> rinkoje, ir įspėja dėl rinkos integracijos per susijungimus;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 ir įspėja dėl rinkos integracijos per susijungimus;</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w:t>
            </w:r>
            <w:r w:rsidRPr="00CD3F77">
              <w:rPr>
                <w:b/>
                <w:bCs/>
                <w:i/>
                <w:iCs/>
              </w:rPr>
              <w:t>, kartu saugant vidaus konkurenciją ir smulkius bendrosios rinkos veikėjus</w:t>
            </w:r>
            <w:r w:rsidRPr="00CD3F77">
              <w:t>; pažymi, kad tai nereiškia, jog reikia siekti dominuojančios padėties rinkoje ar piktnaudžiauti ja, ir įspėja dėl rinkos integracijos per susijungimus;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99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w:t>
            </w:r>
            <w:r w:rsidRPr="00CD3F77">
              <w:rPr>
                <w:b/>
                <w:bCs/>
                <w:i/>
                <w:iCs/>
              </w:rPr>
              <w:t>, ir įspėja dėl rinkos integracijos per susijungimus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w:t>
            </w:r>
            <w:r w:rsidRPr="00CD3F77">
              <w:rPr>
                <w:b/>
                <w:bCs/>
                <w:i/>
                <w:iCs/>
              </w:rPr>
              <w:t>, ir įspėja dėl rinkos integracijos per susijungimus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lastRenderedPageBreak/>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pabrėžia, kad pramonės politika turi būti siekiama didinti Europos konkurencingumą; pažymi, kad tai nereiškia, jog reikia siekti dominuojančios padėties rinkoje ar piktnaudžiauti ja, ir įspėja dėl rinkos integracijos per susijungimus;</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w:t>
            </w:r>
            <w:r w:rsidRPr="00CD3F77">
              <w:rPr>
                <w:b/>
                <w:bCs/>
                <w:i/>
                <w:iCs/>
              </w:rPr>
              <w:t xml:space="preserve">nauja tvari </w:t>
            </w:r>
            <w:r w:rsidRPr="00CD3F77">
              <w:t>pramonės politika turi būti siekiama didinti Europos konkurencingumą; pažymi, kad tai nereiškia, jog reikia siekti dominuojančios padėties rinkoje ar piktnaudžiauti ja, ir įspėja dėl rinkos integracijos per susijungimus;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Jonás Fernández</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w:t>
            </w:r>
            <w:r w:rsidRPr="00CD3F77">
              <w:rPr>
                <w:b/>
                <w:bCs/>
                <w:i/>
                <w:iCs/>
              </w:rPr>
              <w:t>Europos</w:t>
            </w:r>
            <w:r w:rsidRPr="00CD3F77">
              <w:t xml:space="preserve"> konkurencingumą; pažymi, kad tai nereiškia, jog reikia siekti dominuojančios padėties rinkoje ar piktnaudžiauti ja, ir įspėja dėl rinkos integracijos per susijungimus;</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w:t>
            </w:r>
            <w:r w:rsidRPr="00CD3F77">
              <w:rPr>
                <w:b/>
                <w:bCs/>
                <w:i/>
                <w:iCs/>
              </w:rPr>
              <w:t xml:space="preserve">tikrai europietiška </w:t>
            </w:r>
            <w:r w:rsidRPr="00CD3F77">
              <w:t>pramonės politika turi būti siekiama didinti konkurencingumą; pažymi, kad tai nereiškia, jog reikia siekti dominuojančios padėties rinkoje ar piktnaudžiauti ja, ir įspėja dėl rinkos integracijos per susijungimus;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tai nereiškia, jog reikia siekti </w:t>
            </w:r>
            <w:r w:rsidRPr="00CD3F77">
              <w:rPr>
                <w:b/>
                <w:bCs/>
                <w:i/>
                <w:iCs/>
              </w:rPr>
              <w:t xml:space="preserve">dominuojančios padėties </w:t>
            </w:r>
            <w:r w:rsidRPr="00CD3F77">
              <w:t>rinkoje</w:t>
            </w:r>
            <w:r w:rsidRPr="00CD3F77">
              <w:rPr>
                <w:b/>
                <w:bCs/>
                <w:i/>
                <w:iCs/>
              </w:rPr>
              <w:t xml:space="preserve"> ar piktnaudžiauti ja, ir </w:t>
            </w:r>
            <w:r w:rsidRPr="00CD3F77">
              <w:rPr>
                <w:b/>
                <w:bCs/>
                <w:i/>
                <w:iCs/>
              </w:rPr>
              <w:lastRenderedPageBreak/>
              <w:t>įspėja dėl rinkos integracijos per susijungimus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lastRenderedPageBreak/>
              <w:t>5.</w:t>
            </w:r>
            <w:r w:rsidRPr="00CD3F77">
              <w:tab/>
              <w:t xml:space="preserve">pabrėžia, kad pramonės politika turi būti siekiama didinti Europos konkurencingumą; pažymi, kad tai nereiškia, jog reikia siekti </w:t>
            </w:r>
            <w:r w:rsidRPr="00CD3F77">
              <w:rPr>
                <w:b/>
                <w:bCs/>
                <w:i/>
                <w:iCs/>
              </w:rPr>
              <w:t xml:space="preserve">piktnaudžiavimo dominuojančia padėtimis </w:t>
            </w:r>
            <w:r w:rsidRPr="00CD3F77">
              <w:t>rinkoje</w:t>
            </w:r>
            <w:r w:rsidRPr="00CD3F77">
              <w:rPr>
                <w:b/>
                <w:bCs/>
                <w:i/>
                <w:iCs/>
              </w:rPr>
              <w:t>;</w:t>
            </w:r>
            <w:r w:rsidRPr="00CD3F77">
              <w:rPr>
                <w:b/>
                <w:i/>
              </w:rPr>
              <w:t xml:space="preserve"> </w:t>
            </w:r>
            <w:r w:rsidRPr="00CD3F77">
              <w:rPr>
                <w:b/>
                <w:bCs/>
                <w:i/>
                <w:iCs/>
              </w:rPr>
              <w:lastRenderedPageBreak/>
              <w:t>atkreipia dėmesį į tai, kad būtinos veiksmingos susijungimų kontrolės procedūros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tai nereiškia, jog reikia siekti dominuojančios padėties rinkoje ar piktnaudžiauti ja, ir </w:t>
            </w:r>
            <w:r w:rsidRPr="00CD3F77">
              <w:rPr>
                <w:b/>
                <w:bCs/>
                <w:i/>
                <w:iCs/>
              </w:rPr>
              <w:t>įspėja dėl</w:t>
            </w:r>
            <w:r w:rsidRPr="00CD3F77">
              <w:t xml:space="preserve"> rinkos </w:t>
            </w:r>
            <w:r w:rsidRPr="00CD3F77">
              <w:rPr>
                <w:b/>
                <w:bCs/>
                <w:i/>
                <w:iCs/>
              </w:rPr>
              <w:t>integracijos</w:t>
            </w:r>
            <w:r w:rsidRPr="00CD3F77">
              <w:t xml:space="preserve"> per susijungimus;</w:t>
            </w:r>
          </w:p>
        </w:tc>
        <w:tc>
          <w:tcPr>
            <w:tcW w:w="4876" w:type="dxa"/>
            <w:tcBorders>
              <w:top w:val="nil"/>
              <w:left w:val="nil"/>
              <w:bottom w:val="nil"/>
              <w:right w:val="nil"/>
            </w:tcBorders>
          </w:tcPr>
          <w:p w:rsidR="009517E4" w:rsidRPr="00CD3F77" w:rsidRDefault="009517E4" w:rsidP="009517E4">
            <w:pPr>
              <w:pStyle w:val="Normal6a"/>
            </w:pPr>
            <w:r w:rsidRPr="00CD3F77">
              <w:t>5.</w:t>
            </w:r>
            <w:r w:rsidRPr="00CD3F77">
              <w:tab/>
              <w:t xml:space="preserve">pabrėžia, kad pramonės politika turi būti siekiama didinti Europos konkurencingumą; pažymi, kad tai nereiškia, jog reikia siekti dominuojančios padėties rinkoje ar piktnaudžiauti ja, ir </w:t>
            </w:r>
            <w:r w:rsidRPr="00CD3F77">
              <w:rPr>
                <w:b/>
                <w:bCs/>
                <w:i/>
                <w:iCs/>
              </w:rPr>
              <w:t>ragina atidžiai stebėti</w:t>
            </w:r>
            <w:r w:rsidRPr="00CD3F77">
              <w:t xml:space="preserve"> rinkos </w:t>
            </w:r>
            <w:r w:rsidRPr="00CD3F77">
              <w:rPr>
                <w:b/>
                <w:bCs/>
                <w:i/>
                <w:iCs/>
              </w:rPr>
              <w:t>integraciją</w:t>
            </w:r>
            <w:r w:rsidRPr="00CD3F77">
              <w:t xml:space="preserve"> per susijungimus;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5a.</w:t>
            </w:r>
            <w:r w:rsidRPr="00CD3F77">
              <w:tab/>
            </w:r>
            <w:r w:rsidRPr="00CD3F77">
              <w:rPr>
                <w:b/>
                <w:i/>
              </w:rPr>
              <w:t>pabrėžia bendriems Europos interesams svarbių projektų (BEISP) svarbą finansuojant didelius tarpvalstybinius projektus ir siekiant ES strateginių prioritetų, tačiau apgailestauja dėl to, kad pats procesas MVĮ yra pernelyg sudėtingas, o laiko sąnaudos per didelės; ragina Komisiją ir valstybes nares užtikrinti, kad visi pranešimai būtų pateikti ne vėliau kaip per šešis mėnesius;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5a.</w:t>
            </w:r>
            <w:r w:rsidRPr="00CD3F77">
              <w:tab/>
            </w:r>
            <w:r w:rsidRPr="00CD3F77">
              <w:rPr>
                <w:b/>
                <w:i/>
              </w:rPr>
              <w:t>pabrėžia, kad svarbu sumažinti energijos kainas siekiant užtikrinti ES konkurencingumą, skatinant naudotis kitais alternatyviais energijos šaltiniais, kaip antai naujausios kartos branduoline energija;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5b.</w:t>
            </w:r>
            <w:r w:rsidRPr="00CD3F77">
              <w:tab/>
            </w:r>
            <w:r w:rsidRPr="00CD3F77">
              <w:rPr>
                <w:b/>
                <w:i/>
              </w:rPr>
              <w:t>pabrėžia, kad svarbu vykdyti politiką, kuri būtų orientuota į veiksmingesnį energijos naudojimą ES, siekiant padidinti konkurencingumą ir sumažinti per didelę žemyno priklausomybę nuo ES nepriklausančių valstybių, skatinant, su pagrįstais apribojimais, teikti valstybės pagalbą tokiuose strateginiuose sektoriuose kaip šiluminė izoliacija, atsinaujinantieji ištekliai ir gamybos procesų optimizavimas;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lastRenderedPageBreak/>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6.</w:t>
            </w:r>
            <w:r w:rsidRPr="00CD3F77">
              <w:tab/>
            </w:r>
            <w:r w:rsidRPr="00CD3F77">
              <w:rPr>
                <w:b/>
                <w:i/>
              </w:rPr>
              <w:t>atkreipia dėmesį į Komisijos ataskaitą, kurioje teigiama, kad rinkos koncentracija, antkainiai ir pelnas per pastaruosius 25 metus didėjo, tačiau pramonės dinamiškumas mažėjo, nepaisant aktyvaus konkurencijos teisės vykdymo užtikrinimo;</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109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6.</w:t>
            </w:r>
            <w:r w:rsidRPr="00CD3F77">
              <w:tab/>
            </w:r>
            <w:r w:rsidRPr="00CD3F77">
              <w:rPr>
                <w:b/>
                <w:i/>
              </w:rPr>
              <w:t>atkreipia dėmesį į Komisijos ataskaitą, kurioje teigiama, kad rinkos koncentracija, antkainiai ir pelnas per pastaruosius 25 metus didėjo, tačiau pramonės dinamiškumas mažėjo, nepaisant aktyvaus konkurencijos teisės vykdymo užtikrinimo;</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6.</w:t>
            </w:r>
            <w:r w:rsidRPr="00CD3F77">
              <w:tab/>
              <w:t xml:space="preserve">atkreipia dėmesį į Komisijos ataskaitą, kurioje teigiama, kad rinkos koncentracija, antkainiai ir pelnas per pastaruosius 25 metus didėjo, tačiau </w:t>
            </w:r>
            <w:r w:rsidRPr="00CD3F77">
              <w:lastRenderedPageBreak/>
              <w:t>pramonės dinamiškumas mažėjo, nepaisant aktyvaus konkurencijos teisės vykdymo užtikrinimo;</w:t>
            </w:r>
          </w:p>
        </w:tc>
        <w:tc>
          <w:tcPr>
            <w:tcW w:w="4876" w:type="dxa"/>
            <w:tcBorders>
              <w:top w:val="nil"/>
              <w:left w:val="nil"/>
              <w:bottom w:val="nil"/>
              <w:right w:val="nil"/>
            </w:tcBorders>
          </w:tcPr>
          <w:p w:rsidR="009517E4" w:rsidRPr="00CD3F77" w:rsidRDefault="009517E4" w:rsidP="009517E4">
            <w:pPr>
              <w:pStyle w:val="Normal6a"/>
            </w:pPr>
            <w:r w:rsidRPr="00CD3F77">
              <w:lastRenderedPageBreak/>
              <w:t>6.</w:t>
            </w:r>
            <w:r w:rsidRPr="00CD3F77">
              <w:tab/>
              <w:t xml:space="preserve">atkreipia dėmesį į Komisijos ataskaitą, kurioje teigiama, kad rinkos koncentracija, antkainiai ir pelnas per pastaruosius 25 metus didėjo, tačiau </w:t>
            </w:r>
            <w:r w:rsidRPr="00CD3F77">
              <w:lastRenderedPageBreak/>
              <w:t>pramonės dinamiškumas mažėjo, nepaisant aktyvaus konkurencijos teisės vykdymo užtikrinimo;</w:t>
            </w:r>
            <w:r w:rsidRPr="00CD3F77">
              <w:rPr>
                <w:b/>
                <w:i/>
              </w:rPr>
              <w:t> pabrėžia, kad kitose ataskaitose teigiama, jog rinkos koncentracijos, antkainių ir pelno didėjimas nebūtinai rodo netinkamą rinkos veikimą, ir primena, kad tai gali atspindėti įmonių pasiektus efektyvumo, inovacijų ir masto ekonomijos patobulinimus; mano, kad pramonės dinamiškumo mažėjimas gali būti labiau susijęs su pernelyg griežtomis reguliavimo priemonėmis, kuriomis ribojamas įmonių gebėjimas prisitaikyti ir konkuruoti pasaulinėje rinkoje; ragina Komisiją peržiūrėti reguliavimo sistemą, kad būtų skatinama lanksti ir konkurencinga aplinka, leidžianti įmonėms diegti inovacijas ir plėstis be nereikalingų apribojimų ir naštos; primena, kad įgyvendinant konkurencijos teisės aktus daugiausia dėmesio turėtų būti skiriama atviroms, konkurencingoms rinkoms, kuriose nėra antikonkurencinės praktikos, užtikrinti, be reikalo nesikišant į natūralią rinkos dinamiką;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6.</w:t>
            </w:r>
            <w:r w:rsidRPr="00CD3F77">
              <w:tab/>
              <w:t>atkreipia dėmesį į Komisijos ataskaitą, kurioje teigiama, kad rinkos koncentracija, antkainiai ir pelnas per pastaruosius 25 metus didėjo, tačiau pramonės dinamiškumas mažėjo</w:t>
            </w:r>
            <w:r w:rsidRPr="00CD3F77">
              <w:rPr>
                <w:b/>
                <w:bCs/>
                <w:i/>
                <w:iCs/>
              </w:rPr>
              <w:t>, nepaisant aktyvaus konkurencijos teisės vykdymo užtikrinimo</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6.</w:t>
            </w:r>
            <w:r w:rsidRPr="00CD3F77">
              <w:tab/>
              <w:t>atkreipia dėmesį į Komisijos ataskaitą, kurioje teigiama, kad rinkos koncentracija, antkainiai ir pelnas per pastaruosius 25 metus didėjo, tačiau pramonės dinamiškumas mažėjo</w:t>
            </w:r>
            <w:r w:rsidRPr="00CD3F77">
              <w:rPr>
                <w:b/>
                <w:bCs/>
                <w:i/>
                <w:iCs/>
              </w:rPr>
              <w:t>;</w:t>
            </w:r>
            <w:r w:rsidRPr="00CD3F77">
              <w:rPr>
                <w:b/>
                <w:i/>
              </w:rPr>
              <w:t xml:space="preserve"> be to, pažymi, kad pirmaujančių įmonių susijungimai ir įsigijimai greičiausiai prisidėjo prie pastebėto antkainių ir </w:t>
            </w:r>
            <w:r w:rsidRPr="00CD3F77">
              <w:rPr>
                <w:b/>
                <w:i/>
              </w:rPr>
              <w:lastRenderedPageBreak/>
              <w:t>koncentracijos augimo</w:t>
            </w:r>
            <w:r w:rsidRPr="00CD3F77">
              <w:rPr>
                <w:b/>
                <w:bCs/>
              </w:rPr>
              <w:t>;</w:t>
            </w:r>
            <w:r w:rsidRPr="00CD3F77">
              <w:rPr>
                <w:b/>
                <w:i/>
              </w:rPr>
              <w:t xml:space="preserve"> </w:t>
            </w:r>
            <w:r w:rsidRPr="00CD3F77">
              <w:rPr>
                <w:b/>
                <w:bCs/>
                <w:i/>
                <w:iCs/>
              </w:rPr>
              <w:t>taip pat pažymi, kad silpna konkurencija turėjo didelį neigiamą poveikį vartotojams, perkamajai galiai, ES įmonių konkurencingumui ir bendram ekonomikos augimui</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6.</w:t>
            </w:r>
            <w:r w:rsidRPr="00CD3F77">
              <w:tab/>
              <w:t>atkreipia dėmesį į Komisijos ataskaitą, kurioje teigiama, kad rinkos koncentracija, antkainiai ir pelnas per pastaruosius 25 metus didėjo, tačiau pramonės dinamiškumas mažėjo, nepaisant aktyvaus konkurencijos teisės vykdymo užtikrinimo;</w:t>
            </w:r>
          </w:p>
        </w:tc>
        <w:tc>
          <w:tcPr>
            <w:tcW w:w="4876" w:type="dxa"/>
            <w:tcBorders>
              <w:top w:val="nil"/>
              <w:left w:val="nil"/>
              <w:bottom w:val="nil"/>
              <w:right w:val="nil"/>
            </w:tcBorders>
          </w:tcPr>
          <w:p w:rsidR="009517E4" w:rsidRPr="00CD3F77" w:rsidRDefault="009517E4" w:rsidP="009517E4">
            <w:pPr>
              <w:pStyle w:val="Normal6a"/>
            </w:pPr>
            <w:r w:rsidRPr="00CD3F77">
              <w:t>6.</w:t>
            </w:r>
            <w:r w:rsidRPr="00CD3F77">
              <w:tab/>
              <w:t xml:space="preserve">atkreipia dėmesį į Komisijos ataskaitą, kurioje teigiama, kad rinkos koncentracija, antkainiai ir pelnas per pastaruosius 25 metus didėjo, tačiau pramonės dinamiškumas </w:t>
            </w:r>
            <w:r w:rsidRPr="00CD3F77">
              <w:rPr>
                <w:b/>
                <w:i/>
              </w:rPr>
              <w:t>reikšmingai</w:t>
            </w:r>
            <w:r w:rsidRPr="00CD3F77">
              <w:t xml:space="preserve"> mažėjo, nepaisant aktyvaus konkurencijos teisės vykdymo užtikrinimo;</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6.</w:t>
            </w:r>
            <w:r w:rsidRPr="00CD3F77">
              <w:tab/>
            </w:r>
            <w:r w:rsidRPr="00CD3F77">
              <w:rPr>
                <w:b/>
                <w:bCs/>
                <w:i/>
                <w:iCs/>
              </w:rPr>
              <w:t>atkreipia dėmesį į</w:t>
            </w:r>
            <w:r w:rsidRPr="00CD3F77">
              <w:t xml:space="preserve"> Komisijos </w:t>
            </w:r>
            <w:r w:rsidRPr="00CD3F77">
              <w:rPr>
                <w:b/>
                <w:bCs/>
                <w:i/>
                <w:iCs/>
              </w:rPr>
              <w:t>ataskaitą</w:t>
            </w:r>
            <w:r w:rsidRPr="00CD3F77">
              <w:t>, kurioje teigiama, kad rinkos koncentracija, antkainiai ir pelnas per pastaruosius 25 metus didėjo, tačiau pramonės dinamiškumas mažėjo, nepaisant aktyvaus konkurencijos teisės vykdymo užtikrinimo;</w:t>
            </w:r>
          </w:p>
        </w:tc>
        <w:tc>
          <w:tcPr>
            <w:tcW w:w="4876" w:type="dxa"/>
            <w:tcBorders>
              <w:top w:val="nil"/>
              <w:left w:val="nil"/>
              <w:bottom w:val="nil"/>
              <w:right w:val="nil"/>
            </w:tcBorders>
          </w:tcPr>
          <w:p w:rsidR="009517E4" w:rsidRPr="00CD3F77" w:rsidRDefault="009517E4" w:rsidP="009517E4">
            <w:pPr>
              <w:pStyle w:val="Normal6a"/>
            </w:pPr>
            <w:r w:rsidRPr="00CD3F77">
              <w:t>6.</w:t>
            </w:r>
            <w:r w:rsidRPr="00CD3F77">
              <w:tab/>
            </w:r>
            <w:r w:rsidRPr="00CD3F77">
              <w:rPr>
                <w:b/>
                <w:bCs/>
                <w:i/>
                <w:iCs/>
              </w:rPr>
              <w:t>yra labai susirūpinęs dėl</w:t>
            </w:r>
            <w:r w:rsidRPr="00CD3F77">
              <w:t xml:space="preserve"> Komisijos </w:t>
            </w:r>
            <w:r w:rsidRPr="00CD3F77">
              <w:rPr>
                <w:b/>
                <w:bCs/>
                <w:i/>
                <w:iCs/>
              </w:rPr>
              <w:t>ataskaitos</w:t>
            </w:r>
            <w:r w:rsidRPr="00CD3F77">
              <w:t>, kurioje teigiama, kad rinkos koncentracija, antkainiai ir pelnas per pastaruosius 25 metus didėjo, tačiau pramonės dinamiškumas mažėjo, nepaisant aktyvaus konkurencijos teisės vykdymo užtikrinimo;</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114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6a.</w:t>
            </w:r>
            <w:r w:rsidRPr="00CD3F77">
              <w:tab/>
            </w:r>
            <w:r w:rsidRPr="00CD3F77">
              <w:rPr>
                <w:b/>
                <w:i/>
              </w:rPr>
              <w:t>pritaria, kad konkurencijos politikai tenka pagrindinis vaidmuo sprendžiant ir švelninant trikdžius, kurie lemia pragyvenimo išlaidų krizę visoje ES; šiomis aplinkybėmis pabrėžia, kad reaguodamos į dažniau pasitaikančius tiekimo sukrėtimus, kylančius dėl geopolitinės įtampos, klimato ir aplinkosaugos krizių, įmonės koordinuoja kainų didinimą, kad apsaugotų ir net padidintų dėl šių sukrėtimų plintančias pelno maržas; mano, kad, nors pinigų politikos poveikis gali būti ribotesnis, kai susiduriama su tokiais pasiūlos sutrikimais, tikslingas ir koordinuotas antimonopolinių sąlygų užtikrinimas gali būti veiksmingesnis;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6a.</w:t>
            </w:r>
            <w:r w:rsidRPr="00CD3F77">
              <w:tab/>
            </w:r>
            <w:r w:rsidRPr="00CD3F77">
              <w:rPr>
                <w:b/>
                <w:i/>
              </w:rPr>
              <w:t>pabrėžia, kad svarbu užtikrinti geresnę mažųjų ir vidutinių įmonių ir apskritai visų įmonių, pasirengusių padidinti rizikos kapitalą, apsaugą;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116</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6b.</w:t>
            </w:r>
            <w:r w:rsidRPr="00CD3F77">
              <w:tab/>
            </w:r>
            <w:r w:rsidRPr="00CD3F77">
              <w:rPr>
                <w:b/>
                <w:i/>
              </w:rPr>
              <w:t>šiuo atžvilgiu ragina Europos Komisiją įvertinti, kaip antimonopolinės taisyklės taikomos kainų didinimui, kai susidaro kliūtys, ir parengti jų sąlygų užtikrinimo sistemą nesąžiningos kainodaros atveju; primena Komisijos narės T. Riberos įsipareigojimą paskelbti gaires dėl dominuojančių įmonių piktnaudžiavimo vertinimo ir šios problemos sprendimo, kad SESV 102 straipsnio įgyvendinimas būtų veiksmingesnis;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6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6b.</w:t>
            </w:r>
            <w:r w:rsidRPr="00CD3F77">
              <w:tab/>
            </w:r>
            <w:r w:rsidRPr="00CD3F77">
              <w:rPr>
                <w:b/>
                <w:i/>
              </w:rPr>
              <w:t>prašo užtikrinti didesnį skaidrumą ir bendradarbiavimą tarp nacionalinių institucijų ir Europos Komisijos įgyvendinant konkurencijos taisykles, siekiant užtikrinti vienodą ir nuoseklų požiūrį visoje Sąjungos teritorijoje;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 xml:space="preserve"> 6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6c.</w:t>
            </w:r>
            <w:r w:rsidRPr="00CD3F77">
              <w:tab/>
            </w:r>
            <w:r w:rsidRPr="00CD3F77">
              <w:rPr>
                <w:b/>
                <w:i/>
              </w:rPr>
              <w:t>pabrėžia, kad būtina atlikti nuodugnią valstybės pagalbos analizę, visų pirma strateginiuose sektoriuose, tokiuose kaip energetikos, technologijų ir inovacijų sektoriai, veikiančioms įmonėms; atkreipia dėmesį į tai, kad svarbu užtikrinti valstybės pagalbos veiksmingumą žemės ūkio, logistikos ir transporto srityse;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119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7.</w:t>
            </w:r>
            <w:r w:rsidRPr="00CD3F77">
              <w:tab/>
            </w:r>
            <w:r w:rsidRPr="00CD3F77">
              <w:rPr>
                <w:b/>
                <w:i/>
              </w:rPr>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 xml:space="preserve">Isabel Benjumea Benjumea, Fernando Navarrete </w:t>
      </w:r>
      <w:r w:rsidRPr="00CD3F77">
        <w:lastRenderedPageBreak/>
        <w:t>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w:t>
            </w:r>
            <w:r w:rsidRPr="00CD3F77">
              <w:rPr>
                <w:b/>
                <w:i/>
              </w:rPr>
              <w:t>skirtingus valstybių narių fiskalinius pajėgumus ir įspėja, kad suskaidyta</w:t>
            </w:r>
            <w:r w:rsidRPr="00CD3F77">
              <w:t xml:space="preserve"> valstybės pagalba </w:t>
            </w:r>
            <w:r w:rsidRPr="00CD3F77">
              <w:rPr>
                <w:b/>
                <w:i/>
              </w:rPr>
              <w:t>sukuria nevienodas sąlygas</w:t>
            </w:r>
            <w:r w:rsidRPr="00CD3F77">
              <w:t>; ragina Komisiją stebėti šį poveikį;</w:t>
            </w:r>
            <w:r w:rsidRPr="00CD3F77">
              <w:rPr>
                <w:b/>
                <w:i/>
              </w:rPr>
              <w:t xml:space="preserve"> ragina Komisiją</w:t>
            </w:r>
            <w:r w:rsidRPr="00CD3F77">
              <w:t xml:space="preserve"> ir </w:t>
            </w:r>
            <w:r w:rsidRPr="00CD3F77">
              <w:rPr>
                <w:b/>
                <w:i/>
              </w:rPr>
              <w:t>valstybes nares nekonkuruoti</w:t>
            </w:r>
            <w:r w:rsidRPr="00CD3F77">
              <w:t xml:space="preserve"> subsidijų srityje; daro išvadą, kad laikinos valstybės pagalbos sistema nepadėjo užkirsti kelio susiskaidymo didėjimui; ragina griežčiau stebėti, kaip pranešama apie valstybės pagalbą, </w:t>
            </w:r>
            <w:r w:rsidRPr="00CD3F77">
              <w:rPr>
                <w:b/>
                <w:i/>
              </w:rPr>
              <w:t>ir gerinti</w:t>
            </w:r>
            <w:r w:rsidRPr="00CD3F77">
              <w:t xml:space="preserve"> valstybės pagalbos ataskaitų </w:t>
            </w:r>
            <w:r w:rsidRPr="00CD3F77">
              <w:rPr>
                <w:b/>
                <w:i/>
              </w:rPr>
              <w:t>teikimą</w:t>
            </w:r>
            <w:r w:rsidRPr="00CD3F77">
              <w:t xml:space="preserve"> bei </w:t>
            </w:r>
            <w:r w:rsidRPr="00CD3F77">
              <w:rPr>
                <w:b/>
                <w:i/>
              </w:rPr>
              <w:t>skaidrumą</w:t>
            </w:r>
            <w:r w:rsidRPr="00CD3F77">
              <w:t>,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w:t>
            </w:r>
            <w:r w:rsidRPr="00CD3F77">
              <w:rPr>
                <w:b/>
                <w:i/>
              </w:rPr>
              <w:t>mano, kad naudojant valstybės pagalbą pramonės tikslais iškraipoma rinka, nes vieniems sektoriams ar įmonėms sudaromos palankesnės sąlygos nei kitiems, o tai gali lemti neefektyvumą ir atgrasyti nuo inovacijų ir konkurencijos;</w:t>
            </w:r>
            <w:r w:rsidRPr="00CD3F77">
              <w:t xml:space="preserve"> atkreipia dėmesį į </w:t>
            </w:r>
            <w:r w:rsidRPr="00CD3F77">
              <w:rPr>
                <w:b/>
                <w:i/>
              </w:rPr>
              <w:t>tai, kad Sąjungoje teikiama skirtinga</w:t>
            </w:r>
            <w:r w:rsidRPr="00CD3F77">
              <w:t xml:space="preserve"> valstybės pagalba</w:t>
            </w:r>
            <w:r w:rsidRPr="00CD3F77">
              <w:rPr>
                <w:b/>
                <w:i/>
              </w:rPr>
              <w:t>, todėl sukuriamos nevienodos sąlygos ir iškraipoma rinka</w:t>
            </w:r>
            <w:r w:rsidRPr="00CD3F77">
              <w:t xml:space="preserve">; ragina Komisiją stebėti </w:t>
            </w:r>
            <w:r w:rsidRPr="00CD3F77">
              <w:rPr>
                <w:b/>
                <w:i/>
              </w:rPr>
              <w:t>ir ištaisyti</w:t>
            </w:r>
            <w:r w:rsidRPr="00CD3F77">
              <w:t xml:space="preserve"> šį poveikį;</w:t>
            </w:r>
            <w:r w:rsidRPr="00CD3F77">
              <w:rPr>
                <w:b/>
                <w:i/>
              </w:rPr>
              <w:t xml:space="preserve"> siūlo Komisijai</w:t>
            </w:r>
            <w:r w:rsidRPr="00CD3F77">
              <w:t xml:space="preserve"> ir </w:t>
            </w:r>
            <w:r w:rsidRPr="00CD3F77">
              <w:rPr>
                <w:b/>
                <w:i/>
              </w:rPr>
              <w:t>valstybėms narėms ne konkuruoti</w:t>
            </w:r>
            <w:r w:rsidRPr="00CD3F77">
              <w:t xml:space="preserve"> subsidijų srityje</w:t>
            </w:r>
            <w:r w:rsidRPr="00CD3F77">
              <w:rPr>
                <w:b/>
                <w:i/>
              </w:rPr>
              <w:t>, nes taip tik didinami rinkos iškraipymai ir dažnai sudaromos palankesnės sąlygos neefektyviai veikiančioms įmonėms, o pasiūlyti priemonių, kuriomis būtų didinamas bendrosios rinkos konkurencingumas</w:t>
            </w:r>
            <w:r w:rsidRPr="00CD3F77">
              <w:t>; daro išvadą, kad laikinos valstybės pagalbos sistema nepadėjo užkirsti kelio susiskaidymo didėjimui</w:t>
            </w:r>
            <w:r w:rsidRPr="00CD3F77">
              <w:rPr>
                <w:b/>
                <w:i/>
              </w:rPr>
              <w:t>, ir pabrėžia, jog iš to matyti, kad valstybei reikia mažiau kištis į rinką</w:t>
            </w:r>
            <w:r w:rsidRPr="00CD3F77">
              <w:t xml:space="preserve">; ragina griežčiau stebėti, kaip pranešama apie valstybės pagalbą, </w:t>
            </w:r>
            <w:r w:rsidRPr="00CD3F77">
              <w:rPr>
                <w:b/>
                <w:i/>
              </w:rPr>
              <w:t>kad būtų ne tik pagerintas</w:t>
            </w:r>
            <w:r w:rsidRPr="00CD3F77">
              <w:t xml:space="preserve"> valstybės pagalbos ataskaitų </w:t>
            </w:r>
            <w:r w:rsidRPr="00CD3F77">
              <w:rPr>
                <w:b/>
                <w:i/>
              </w:rPr>
              <w:t>teikimas</w:t>
            </w:r>
            <w:r w:rsidRPr="00CD3F77">
              <w:t xml:space="preserve"> bei </w:t>
            </w:r>
            <w:r w:rsidRPr="00CD3F77">
              <w:rPr>
                <w:b/>
                <w:i/>
              </w:rPr>
              <w:t>skaidrumas</w:t>
            </w:r>
            <w:r w:rsidRPr="00CD3F77">
              <w:t>, atsižvelgiant į Europos Audito Rūmų rekomendacijas</w:t>
            </w:r>
            <w:r w:rsidRPr="00CD3F77">
              <w:rPr>
                <w:b/>
                <w:i/>
              </w:rPr>
              <w:t>, bet ir sumažinta įmonių priklausomybė nuo valstybės pagalbos bei skatinama konkurencija bendrojoje rinkoje</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Regina Doherty, Lídia Pereira, Dirk Gotink</w:t>
      </w:r>
      <w:r w:rsidRPr="00CD3F77">
        <w:rPr>
          <w:rStyle w:val="HideTWBExt"/>
          <w:b w:val="0"/>
        </w:rPr>
        <w:t>&lt;/Members&gt;</w:t>
      </w:r>
    </w:p>
    <w:p w:rsidR="009517E4" w:rsidRPr="00CD3F77" w:rsidRDefault="009517E4" w:rsidP="009517E4">
      <w:pPr>
        <w:pStyle w:val="NormalBold"/>
      </w:pPr>
      <w:r w:rsidRPr="00CD3F77">
        <w:rPr>
          <w:rStyle w:val="HideTWBExt"/>
          <w:b w:val="0"/>
        </w:rPr>
        <w:lastRenderedPageBreak/>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w:t>
            </w:r>
            <w:r w:rsidRPr="00CD3F77">
              <w:rPr>
                <w:b/>
                <w:bCs/>
                <w:i/>
                <w:iCs/>
              </w:rPr>
              <w:t>;</w:t>
            </w:r>
            <w:r w:rsidRPr="00CD3F77">
              <w:rPr>
                <w:b/>
                <w:i/>
              </w:rPr>
              <w:t xml:space="preserve"> pabrėžia, kad dėl pastaraisiais metais įvykusio ES valstybės pagalbos taisyklių silpninimo atsirado didžiulis disbalansas bendrojoje rinkoje, visų pirma finansinės valstybės pagalbos srityje; pabrėžia, kad finansinės subsidijos yra brangus ir dažnai neveiksmingas būdas remti stambius rinkos dalyvius daugiausia pakenkiant tikrai konkurencijai ir inovacijoms; </w:t>
            </w:r>
            <w:r w:rsidRPr="00CD3F77">
              <w:rPr>
                <w:b/>
                <w:bCs/>
                <w:i/>
                <w:iCs/>
              </w:rPr>
              <w:t>primena, kad finansinės subsidijos naudingos tik toms valstybėms narėms, kurios turi išteklių didelėms pinigų sumoms išleisti</w:t>
            </w:r>
            <w:r w:rsidRPr="00CD3F77">
              <w:t>;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w:t>
            </w:r>
            <w:r w:rsidRPr="00CD3F77">
              <w:lastRenderedPageBreak/>
              <w:t>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lastRenderedPageBreak/>
              <w:t>7.</w:t>
            </w:r>
            <w:r w:rsidRPr="00CD3F77">
              <w:tab/>
            </w:r>
            <w:r w:rsidRPr="00CD3F77">
              <w:rPr>
                <w:b/>
                <w:bCs/>
                <w:i/>
                <w:iCs/>
              </w:rPr>
              <w:t xml:space="preserve">susirūpinęs </w:t>
            </w:r>
            <w:r w:rsidRPr="00CD3F77">
              <w:t xml:space="preserve">atkreipia dėmesį į tai, </w:t>
            </w:r>
            <w:r w:rsidRPr="00CD3F77">
              <w:lastRenderedPageBreak/>
              <w:t>kad valstybės pagalba vis dažniau naudojama pramonės politikos tikslams remti</w:t>
            </w:r>
            <w:r w:rsidRPr="00CD3F77">
              <w:rPr>
                <w:b/>
                <w:bCs/>
                <w:i/>
                <w:iCs/>
              </w:rPr>
              <w:t>;</w:t>
            </w:r>
            <w:r w:rsidRPr="00CD3F77">
              <w:rPr>
                <w:b/>
                <w:i/>
              </w:rPr>
              <w:t xml:space="preserve"> </w:t>
            </w:r>
            <w:r w:rsidRPr="00CD3F77">
              <w:rPr>
                <w:b/>
                <w:bCs/>
                <w:i/>
                <w:iCs/>
              </w:rPr>
              <w:t>primena, kad tokia pagalba, kurią leidžiama teikti pagal SESV 107 straipsnio 3 dalies c punktą, neturi daryti neigiamo poveikio prekybos sąlygoms ar bendram interesui</w:t>
            </w:r>
            <w:r w:rsidRPr="00CD3F77">
              <w:t>;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w:t>
            </w:r>
            <w:r w:rsidRPr="00CD3F77">
              <w:rPr>
                <w:b/>
                <w:bCs/>
                <w:i/>
                <w:iCs/>
              </w:rPr>
              <w:t xml:space="preserve"> užtikrinti, kad pagalba būtų teikiama iš ES biudžeto, o ne kaip galimai nekoordinuojama nacionalinė valstybės pagalba;</w:t>
            </w:r>
            <w:r w:rsidRPr="00CD3F77">
              <w:rPr>
                <w:b/>
                <w:i/>
              </w:rPr>
              <w:t xml:space="preserve"> susirūpinęs pažymi, kad tik dviem valstybėms narėms teko 77 proc.</w:t>
            </w:r>
            <w:r w:rsidRPr="00CD3F77">
              <w:rPr>
                <w:b/>
                <w:i/>
                <w:vertAlign w:val="superscript"/>
              </w:rPr>
              <w:t>5a</w:t>
            </w:r>
            <w:r w:rsidRPr="00CD3F77">
              <w:rPr>
                <w:b/>
                <w:i/>
              </w:rPr>
              <w:t xml:space="preserve"> valstybės pagalbos, apie kurią pranešta pagal laikinąją krizių valdymo sistemą; </w:t>
            </w:r>
            <w:r w:rsidRPr="00CD3F77">
              <w:rPr>
                <w:b/>
                <w:bCs/>
                <w:i/>
                <w:iCs/>
              </w:rPr>
              <w:t>ragina</w:t>
            </w:r>
            <w:r w:rsidRPr="00CD3F77">
              <w:t xml:space="preserve"> griežčiau stebėti, kaip pranešama apie valstybės pagalbą, ir gerinti valstybės pagalbos ataskaitų teikimą bei skaidrumą, atsižvelgiant į Europos Audito Rūmų rekomendacijas;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5a</w:t>
            </w:r>
            <w:r w:rsidRPr="00CD3F77">
              <w:t xml:space="preserve"> </w:t>
            </w:r>
            <w:r w:rsidRPr="00CD3F77">
              <w:rPr>
                <w:b/>
                <w:bCs/>
                <w:i/>
                <w:iCs/>
              </w:rPr>
              <w:t xml:space="preserve">„Valstybės pagalba po pandemijos, karo ir užsienio subsidijų“ (angl. </w:t>
            </w:r>
            <w:r w:rsidRPr="00CD3F77">
              <w:rPr>
                <w:b/>
                <w:bCs/>
              </w:rPr>
              <w:t>State aid in the wake of the pandemic, war and foreign subsidies</w:t>
            </w:r>
            <w:r w:rsidRPr="00CD3F77">
              <w:rPr>
                <w:b/>
                <w:bCs/>
                <w:i/>
                <w:iCs/>
              </w:rPr>
              <w:t>) – autorius:</w:t>
            </w:r>
            <w:r w:rsidRPr="00CD3F77">
              <w:rPr>
                <w:b/>
                <w:i/>
              </w:rPr>
              <w:t xml:space="preserve"> Marcin Cesluk-Grajewski, Narių mokslinių tyrimų tarnyba PE 747.106 – 2023 m. balandžio mėn.</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Enikő Győri,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w:t>
            </w:r>
            <w:r w:rsidRPr="00CD3F77">
              <w:rPr>
                <w:b/>
                <w:i/>
              </w:rPr>
              <w:t>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w:t>
            </w:r>
            <w:r w:rsidRPr="00CD3F77">
              <w:rPr>
                <w:b/>
                <w:i/>
              </w:rPr>
              <w:t>ir įspėja, kad suskaidyta valstybės pagalba sukuria nevienodas sąlygas; ragina Komisiją stebėti šį poveikį</w:t>
            </w:r>
            <w:r w:rsidRPr="00CD3F77">
              <w:t xml:space="preserve">; ragina Komisiją ir valstybes nares </w:t>
            </w:r>
            <w:r w:rsidRPr="00CD3F77">
              <w:rPr>
                <w:b/>
                <w:i/>
              </w:rPr>
              <w:t>nekonkuruoti subsidijų srityje; daro išvadą, kad laikinos valstybės pagalbos sistema nepadėjo užkirsti kelio susiskaidymo didėjimui</w:t>
            </w:r>
            <w:r w:rsidRPr="00CD3F77">
              <w:t>;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ragina Komisiją ir valstybes nares </w:t>
            </w:r>
            <w:r w:rsidRPr="00CD3F77">
              <w:rPr>
                <w:b/>
                <w:i/>
              </w:rPr>
              <w:t>visais įmanomais būdais remti Europos pramonę</w:t>
            </w:r>
            <w:r w:rsidRPr="00CD3F77">
              <w:t>; ragina griežčiau stebėti, kaip pranešama apie valstybės pagalbą, ir gerinti valstybės pagalbos ataskaitų teikimą bei skaidrumą, atsižvelgiant į Europos Audito Rūmų rekomendacijas;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w:t>
            </w:r>
            <w:r w:rsidRPr="00CD3F77">
              <w:rPr>
                <w:b/>
                <w:i/>
              </w:rPr>
              <w:t>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ir įspėja, kad suskaidyta valstybės pagalba sukuria nevienodas sąlygas; ragina Komisiją </w:t>
            </w:r>
            <w:r w:rsidRPr="00CD3F77">
              <w:rPr>
                <w:b/>
                <w:bCs/>
                <w:i/>
                <w:iCs/>
              </w:rPr>
              <w:t>stebėti šį poveikį</w:t>
            </w:r>
            <w:r w:rsidRPr="00CD3F77">
              <w:t xml:space="preserve">; </w:t>
            </w:r>
            <w:r w:rsidRPr="00CD3F77">
              <w:lastRenderedPageBreak/>
              <w:t>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lastRenderedPageBreak/>
              <w:t>7.</w:t>
            </w:r>
            <w:r w:rsidRPr="00CD3F77">
              <w:tab/>
              <w:t xml:space="preserve">atkreipia dėmesį į tai, kad valstybės pagalba vis dažniau naudojama pramonės politikos tikslams remti; atkreipia dėmesį į skirtingus valstybių narių fiskalinius pajėgumus ir įspėja, kad suskaidyta valstybės pagalba sukuria nevienodas sąlygas </w:t>
            </w:r>
            <w:r w:rsidRPr="00CD3F77">
              <w:rPr>
                <w:b/>
                <w:bCs/>
                <w:i/>
                <w:iCs/>
              </w:rPr>
              <w:t>bendrojoje rinkoje</w:t>
            </w:r>
            <w:r w:rsidRPr="00CD3F77">
              <w:t xml:space="preserve">; ragina </w:t>
            </w:r>
            <w:r w:rsidRPr="00CD3F77">
              <w:lastRenderedPageBreak/>
              <w:t xml:space="preserve">Komisiją </w:t>
            </w:r>
            <w:r w:rsidRPr="00CD3F77">
              <w:rPr>
                <w:b/>
                <w:bCs/>
                <w:i/>
                <w:iCs/>
              </w:rPr>
              <w:t>užtikrinti bendrosios rinkos vientisumą</w:t>
            </w:r>
            <w:r w:rsidRPr="00CD3F77">
              <w:t>;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w:t>
            </w:r>
            <w:r w:rsidRPr="00CD3F77">
              <w:rPr>
                <w:b/>
                <w:i/>
              </w:rPr>
              <w:t>daro išvadą, kad laikinos valstybės pagalbos sistema nepadėjo užkirsti kelio susiskaidymo didėjimui;</w:t>
            </w:r>
            <w:r w:rsidRPr="00CD3F77">
              <w:t xml:space="preserve">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w:t>
            </w:r>
            <w:r w:rsidRPr="00CD3F77">
              <w:rPr>
                <w:b/>
                <w:i/>
              </w:rPr>
              <w:t>; primena, kad neseniai keli valstybės pagalbos skyrimo atvejai baigėsi akivaizdžia nesėkme, ir kaip pavyzdį nurodo įmonės „Northvolt“ Ditmaršene atvejį</w:t>
            </w:r>
            <w:r w:rsidRPr="00CD3F77">
              <w:t>; atkreipia dėmesį į skirtingus valstybių narių fiskalinius pajėgumus ir įspėja, kad suskaidyta valstybės pagalba sukuria nevienodas sąlygas; ragina Komisiją stebėti šį poveikį; ragina Komisiją ir valstybes nares nekonkuruoti subsidijų srityje; ragina griežčiau stebėti, kaip pranešama apie valstybės pagalbą, ir gerinti valstybės pagalbos ataskaitų teikimą bei skaidrumą, atsižvelgiant į Europos Audito Rūmų rekomendacijas;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128</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Jonás Fernández</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atkreipia dėmesį į tai, kad valstybės pagalba vis dažniau naudojama pramonės politikos tikslams remti; atkreipia dėmesį į skirtingus valstybių narių fiskalinius pajėgumus ir įspėja, kad suskaidyta valstybės pagalba sukuria nevienodas sąlygas; ragina Komisiją stebėti šį poveikį</w:t>
            </w:r>
            <w:r w:rsidRPr="00CD3F77">
              <w:rPr>
                <w:b/>
                <w:bCs/>
                <w:i/>
                <w:iCs/>
              </w:rPr>
              <w:t xml:space="preserve"> ir sukurti bendrą Europos pramonės politikos finansavimo priemonę</w:t>
            </w:r>
            <w:r w:rsidRPr="00CD3F77">
              <w:t>;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129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pajėgumus ir įspėja, kad </w:t>
            </w:r>
            <w:r w:rsidRPr="00CD3F77">
              <w:rPr>
                <w:b/>
                <w:bCs/>
                <w:i/>
                <w:iCs/>
              </w:rPr>
              <w:t>suskaidyta</w:t>
            </w:r>
            <w:r w:rsidRPr="00CD3F77">
              <w:t xml:space="preserve"> valstybės </w:t>
            </w:r>
            <w:r w:rsidRPr="00CD3F77">
              <w:rPr>
                <w:b/>
                <w:bCs/>
                <w:i/>
                <w:iCs/>
              </w:rPr>
              <w:t>pagalba</w:t>
            </w:r>
            <w:r w:rsidRPr="00CD3F77">
              <w:t xml:space="preserve"> </w:t>
            </w:r>
            <w:r w:rsidRPr="00CD3F77">
              <w:rPr>
                <w:b/>
                <w:bCs/>
                <w:i/>
                <w:iCs/>
              </w:rPr>
              <w:t>sukuria</w:t>
            </w:r>
            <w:r w:rsidRPr="00CD3F77">
              <w:t xml:space="preserve"> nevienodas sąlygas; ragina Komisiją stebėti šį poveikį; ragina Komisiją ir valstybes nares nekonkuruoti subsidijų srityje;</w:t>
            </w:r>
            <w:r w:rsidRPr="00CD3F77">
              <w:rPr>
                <w:b/>
                <w:i/>
              </w:rPr>
              <w:t xml:space="preserve"> daro išvadą, kad laikinos valstybės pagalbos sistema nepadėjo užkirsti kelio susiskaidymo </w:t>
            </w:r>
            <w:r w:rsidRPr="00CD3F77">
              <w:rPr>
                <w:b/>
                <w:i/>
              </w:rPr>
              <w:lastRenderedPageBreak/>
              <w:t>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lastRenderedPageBreak/>
              <w:t>7.</w:t>
            </w:r>
            <w:r w:rsidRPr="00CD3F77">
              <w:tab/>
              <w:t>atkreipia dėmesį į tai, kad valstybės pagalba vis dažniau naudojama pramonės politikos tikslams remti; atkreipia dėmesį į skirtingus valstybių narių fiskalinius pajėgumus ir įspėja, kad</w:t>
            </w:r>
            <w:r w:rsidRPr="00CD3F77">
              <w:rPr>
                <w:b/>
                <w:bCs/>
                <w:i/>
                <w:iCs/>
              </w:rPr>
              <w:t xml:space="preserve"> nevienodas požiūrį į</w:t>
            </w:r>
            <w:r w:rsidRPr="00CD3F77">
              <w:t xml:space="preserve"> valstybės</w:t>
            </w:r>
            <w:r w:rsidRPr="00CD3F77">
              <w:rPr>
                <w:b/>
                <w:bCs/>
                <w:i/>
                <w:iCs/>
              </w:rPr>
              <w:t xml:space="preserve"> pagalbos teikimą gali sukurti</w:t>
            </w:r>
            <w:r w:rsidRPr="00CD3F77">
              <w:t xml:space="preserve"> nevienodas sąlygas </w:t>
            </w:r>
            <w:r w:rsidRPr="00CD3F77">
              <w:rPr>
                <w:b/>
                <w:bCs/>
                <w:i/>
                <w:iCs/>
              </w:rPr>
              <w:t>bendrojoje rinkoje</w:t>
            </w:r>
            <w:r w:rsidRPr="00CD3F77">
              <w:t>; ragina Komisiją stebėti šį poveikį; ragina Komisiją ir valstybes nares nekonkuruoti subsidijų srityje;</w:t>
            </w:r>
            <w:r w:rsidRPr="00CD3F77">
              <w:rPr>
                <w:b/>
                <w:i/>
              </w:rPr>
              <w:t>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w:t>
            </w:r>
            <w:r w:rsidRPr="00CD3F77">
              <w:rPr>
                <w:b/>
                <w:bCs/>
                <w:i/>
                <w:iCs/>
              </w:rPr>
              <w:t>pajėgumus</w:t>
            </w:r>
            <w:r w:rsidRPr="00CD3F77">
              <w:t xml:space="preserve">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c>
          <w:tcPr>
            <w:tcW w:w="4876" w:type="dxa"/>
            <w:tcBorders>
              <w:top w:val="nil"/>
              <w:left w:val="nil"/>
              <w:bottom w:val="nil"/>
              <w:right w:val="nil"/>
            </w:tcBorders>
          </w:tcPr>
          <w:p w:rsidR="009517E4" w:rsidRPr="00CD3F77" w:rsidRDefault="009517E4" w:rsidP="009517E4">
            <w:pPr>
              <w:pStyle w:val="Normal6a"/>
            </w:pPr>
            <w:r w:rsidRPr="00CD3F77">
              <w:t>7.</w:t>
            </w:r>
            <w:r w:rsidRPr="00CD3F77">
              <w:tab/>
              <w:t xml:space="preserve">atkreipia dėmesį į tai, kad valstybės pagalba vis dažniau naudojama pramonės politikos tikslams remti; atkreipia dėmesį į skirtingus valstybių narių fiskalinius </w:t>
            </w:r>
            <w:r w:rsidRPr="00CD3F77">
              <w:rPr>
                <w:b/>
                <w:bCs/>
                <w:i/>
                <w:iCs/>
              </w:rPr>
              <w:t>gebėjimus</w:t>
            </w:r>
            <w:r w:rsidRPr="00CD3F77">
              <w:t xml:space="preserve"> ir įspėja, kad suskaidyta valstybės pagalba sukuria nevienodas sąlygas; ragina Komisiją stebėti šį poveikį; ragina Komisiją ir valstybes nares nekonkuruoti subsidijų srityje; daro išvadą, kad laikinos valstybės pagalbos sistema nepadėjo užkirsti kelio susiskaidymo didėjimui; ragina griežčiau stebėti, kaip pranešama apie valstybės pagalbą, ir gerinti valstybės pagalbos ataskaitų teikimą bei skaidrumą, atsižvelgiant į Europos Audito Rūmų rekomendacijas;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7a.</w:t>
            </w:r>
            <w:r w:rsidRPr="00CD3F77">
              <w:tab/>
            </w:r>
            <w:r w:rsidRPr="00CD3F77">
              <w:rPr>
                <w:b/>
                <w:i/>
              </w:rPr>
              <w:t xml:space="preserve">pabrėžia, kad konkurencijos politika neturėtų būti kliūtis siekiant </w:t>
            </w:r>
            <w:r w:rsidRPr="00CD3F77">
              <w:rPr>
                <w:b/>
                <w:i/>
              </w:rPr>
              <w:lastRenderedPageBreak/>
              <w:t>įgyvendinti aktyvią pramonės strategiją; ragina valstybes nares ir Europos Sąjungą taikyti aktyvią pramonės politiką, paremtą didelėmis viešosiomis investicijomis, siekiant kovoti su socialine ir regionine nelygybe, mažinti pramonės priklausomybę nuo iškastinio kuro ir didinti pagrindinių ekonomikos sektorių savarankiškumą, kartu visame pasaulyje prisidedant prie tolygaus ir tvaraus ekonomikos vystymosi; ragina koordinuotai padidinti valstybės pagalbos taisyklių lankstumą ir sukurti specialius nuolatinius Europos solidarumo fondus, kad būtų galima atsverti nevienodą paramą pramonei ir jos vystymąsi valstybėse narėse;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7a.</w:t>
            </w:r>
            <w:r w:rsidRPr="00CD3F77">
              <w:tab/>
            </w:r>
            <w:r w:rsidRPr="00CD3F77">
              <w:rPr>
                <w:b/>
                <w:i/>
              </w:rPr>
              <w:t xml:space="preserve">atkreipia dėmesį į tai, kad valstybės pagalbos politika ir toliau remiamas iškastinis kuras; primena 8-ąjį aplinkosaugos veiksmų planą, kuriuo siekiama laipsniškai atsisakyti aplinkai kenksmingų subsidijų, visų pirma subsidijų iškastiniam kurui; atkreipia dėmesį į Europos mokslo patariamosios tarybos klimato kaitos klausimais 2024 m. vertinimo ataskaitoje pateiktas pagrindines 4-ąją ir 5-ąją rekomendacijas, visų pirma į rekomendaciją užtikrinti, kad ES taisyklės, darančios įtaką bendrovėms teikiamai valstybės pagalbai, turėtų labiau atitikti ES klimato tikslus; ragina labiau siekti, kad tiesioginė ir netiesioginė </w:t>
            </w:r>
            <w:r w:rsidRPr="00CD3F77">
              <w:rPr>
                <w:b/>
                <w:i/>
              </w:rPr>
              <w:lastRenderedPageBreak/>
              <w:t>finansinė parama iškastiniam kurui nebūtų teikiama pagal valstybės pagalbos politiką;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Evelyn Regner, Irene Tinagli, Lara Wolters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7a.</w:t>
            </w:r>
            <w:r w:rsidRPr="00CD3F77">
              <w:tab/>
            </w:r>
            <w:r w:rsidRPr="00CD3F77">
              <w:rPr>
                <w:b/>
                <w:i/>
              </w:rPr>
              <w:t>pabrėžia, kad dabartine valstybės pagalbos sistema dažnai ribojamos viešosios intervencijos į būsto rinką, taip apribojant valstybių narių galimybes tiesiogiai finansuoti socialinio ir įperkamo būsto projektus; pabrėžia, kad valstybės pagalbos sistema turi būti pritaikyta taip, kad atspindėtų įperkamo būsto teikiamą viešąją naudą ir sudarytų sąlygas tikslingiau investuoti į socialinį ir įperkamą būstą; tokie pokyčiai suteiktų valstybėms narėms galimybę geriau spręsti vietos ir regioninio būsto trūkumo problemą ir palengvintų ilgalaikį būsto įperkamumą;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7a.</w:t>
            </w:r>
            <w:r w:rsidRPr="00CD3F77">
              <w:tab/>
            </w:r>
            <w:r w:rsidRPr="00CD3F77">
              <w:rPr>
                <w:b/>
                <w:i/>
              </w:rPr>
              <w:t xml:space="preserve">pabrėžia, kad valstybės pagalba yra svarbi priemonė mažinti ekonominį atotrūkį tarp labiausiai išsivysčiusių ES regionų ir salų teritorijų, vidaus teritorijų, atokiausiųjų regionų, ekonominio </w:t>
            </w:r>
            <w:r w:rsidRPr="00CD3F77">
              <w:rPr>
                <w:b/>
                <w:i/>
              </w:rPr>
              <w:lastRenderedPageBreak/>
              <w:t>nuosmukio paveiktų teritorijų ir visų ES dalių, kurių padėtis mažiau palanki dėl gamtinių veiksnių; prašo suteikti daugiau lankstumo ir mažiau varžyti valstybės pagalbą ES salų regionams ir pažeidžiamiausiems regionams;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7a.</w:t>
            </w:r>
            <w:r w:rsidRPr="00CD3F77">
              <w:tab/>
            </w:r>
            <w:r w:rsidRPr="00CD3F77">
              <w:rPr>
                <w:b/>
                <w:i/>
              </w:rPr>
              <w:t>palankiai vertina vienodų sąlygų Europos rinkose ir Europos bendrovių bei jų darbuotojų apsaugą taikant antidempingo priemones, kuriomis koreguojama iškraipanti užsienio valstybės pagalba; įspėja, kad importo muitai turėtų būti padidinti ne daugiau nei subsidijos ir kad būtų užkirstas kelias atsakomiesiems veiksmams ir vadinamiesiems tarifų karams;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7b.</w:t>
            </w:r>
            <w:r w:rsidRPr="00CD3F77">
              <w:tab/>
            </w:r>
            <w:r w:rsidRPr="00CD3F77">
              <w:rPr>
                <w:b/>
                <w:i/>
              </w:rPr>
              <w:t xml:space="preserve">mano, kad ilgalaikiam ES konkurencingumui ir atsparumui užtikrinti būtina į ES konkurencijos politikos sistemą įtraukti klimato ir aplinkosaugos aspektus; pabrėžia, kad į </w:t>
            </w:r>
            <w:r w:rsidRPr="00CD3F77">
              <w:rPr>
                <w:b/>
                <w:i/>
              </w:rPr>
              <w:lastRenderedPageBreak/>
              <w:t>valstybės pagalbos politiką reikia įtraukti aplinkosaugos aspektus, įtraukiant klimato ir aplinkosaugos sąlygas; pritaria, kad tokios sąlygos turėtų sistemingai apimti prasmingą reikšmingos žalos nedarymo principo įgyvendinimą, siekiant apsisaugoti nuo galimo neigiamo bet kokios pagalbos poveikio klimatui ir aplinkai;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7b.</w:t>
            </w:r>
            <w:r w:rsidRPr="00CD3F77">
              <w:tab/>
            </w:r>
            <w:r w:rsidRPr="00CD3F77">
              <w:rPr>
                <w:b/>
                <w:i/>
              </w:rPr>
              <w:t>mano, kad bet kokia suteikta valstybės pagalba turėtų būti suderinta su ES politikos tikslais, pvz., Žaliojo kurso ir socialinių teisių ramsčios tikslais; ragina neleisti įmonėms, kurios vengia mokesčių naudodamosi trečiųjų šalių mokesčių rojais, dalyvauti viešųjų pirkimų procedūrose ir gauti valstybės pagalbą, nes šios įmonės nesąžiningomis sąlygomis konkuruoja su įmonėmis, įsisteigusiomis ne mokesčių rojuose; ragina Komisiją ištirti, ar valstybėse narėse trūksta lėšų susigrąžinimo mechanizmų suderinimo;</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7b.</w:t>
            </w:r>
            <w:r w:rsidRPr="00CD3F77">
              <w:tab/>
            </w:r>
            <w:r w:rsidRPr="00CD3F77">
              <w:rPr>
                <w:b/>
                <w:i/>
              </w:rPr>
              <w:t>prašo periodiškai peržiūrėti ES konkurencijos politiką siekiant užtikrinti, kad ji visada atitiktų pasaulinės rinkos iššūkius, naująsias technologijas ir vartotojų poreikius, taip pat siekiant padidinti priimamų priemonių veiksmingumą;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139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7c.</w:t>
            </w:r>
            <w:r w:rsidRPr="00CD3F77">
              <w:tab/>
            </w:r>
            <w:r w:rsidRPr="00CD3F77">
              <w:rPr>
                <w:b/>
                <w:i/>
              </w:rPr>
              <w:t>pabrėžia bendriems Europos interesams svarbių projektų (BEISP) svarbą finansuojant tarpvalstybinį aspektą turinčius projektus Sąjungoje; pabrėžia, kad BEISP turėtų turėti tikrą Europos pridėtinę vertę, t. y. jie turėtų turėti teigiamą poveikį daugiau nei vienai valstybei narei;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7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7c.</w:t>
            </w:r>
            <w:r w:rsidRPr="00CD3F77">
              <w:tab/>
            </w:r>
            <w:r w:rsidRPr="00CD3F77">
              <w:rPr>
                <w:b/>
                <w:i/>
              </w:rPr>
              <w:t>rekomenduoja geriau koordinuoti nacionalinių konkurencijos institucijų darbą, kad jis taptų veiksmingesnis ir būtų užtikrintas vienodas konkurencijos teisės aktų taikymas visoje Sąjungoje;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8.</w:t>
            </w:r>
            <w:r w:rsidRPr="00CD3F77">
              <w:tab/>
            </w:r>
            <w:r w:rsidRPr="00CD3F77">
              <w:rPr>
                <w:b/>
                <w:i/>
              </w:rPr>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8.</w:t>
            </w:r>
            <w:r w:rsidRPr="00CD3F77">
              <w:tab/>
            </w:r>
            <w:r w:rsidRPr="00CD3F77">
              <w:rPr>
                <w:b/>
                <w:i/>
              </w:rPr>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lastRenderedPageBreak/>
              <w:t>8.</w:t>
            </w:r>
            <w:r w:rsidRPr="00CD3F77">
              <w:tab/>
              <w:t>atkreipia dėmesį į Mario Draghi vertinimą, kad</w:t>
            </w:r>
            <w:r w:rsidRPr="00CD3F77">
              <w:rPr>
                <w:b/>
                <w:i/>
              </w:rPr>
              <w:t>, siekiant apsaugoti ES konkurencingumą, reikia papildomų</w:t>
            </w:r>
            <w:r w:rsidRPr="00CD3F77">
              <w:t xml:space="preserve"> 800 mlrd. EUR </w:t>
            </w:r>
            <w:r w:rsidRPr="00CD3F77">
              <w:rPr>
                <w:b/>
                <w:i/>
              </w:rPr>
              <w:t>per metus</w:t>
            </w:r>
            <w:r w:rsidRPr="00CD3F77">
              <w:t xml:space="preserve">; </w:t>
            </w:r>
            <w:r w:rsidRPr="00CD3F77">
              <w:rPr>
                <w:b/>
                <w:i/>
              </w:rPr>
              <w:t>šiame kontekste pripažįsta</w:t>
            </w:r>
            <w:r w:rsidRPr="00CD3F77">
              <w:t xml:space="preserve"> viešųjų investicijų </w:t>
            </w:r>
            <w:r w:rsidRPr="00CD3F77">
              <w:rPr>
                <w:b/>
                <w:i/>
              </w:rPr>
              <w:t>svarbą</w:t>
            </w:r>
            <w:r w:rsidRPr="00CD3F77">
              <w:t xml:space="preserve">; </w:t>
            </w:r>
            <w:r w:rsidRPr="00CD3F77">
              <w:rPr>
                <w:b/>
                <w:i/>
              </w:rPr>
              <w:t>yra įsitikinęs</w:t>
            </w:r>
            <w:r w:rsidRPr="00CD3F77">
              <w:t xml:space="preserve">, kad </w:t>
            </w:r>
            <w:r w:rsidRPr="00CD3F77">
              <w:rPr>
                <w:b/>
                <w:i/>
              </w:rPr>
              <w:t>būtina sukurti nuolatinius ES investavimo pajėgumus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w:t>
            </w:r>
            <w:r w:rsidRPr="00CD3F77">
              <w:rPr>
                <w:b/>
                <w:i/>
              </w:rPr>
              <w:t>per metus gali reikėti maždaug</w:t>
            </w:r>
            <w:r w:rsidRPr="00CD3F77">
              <w:t xml:space="preserve"> 800 mlrd. EUR </w:t>
            </w:r>
            <w:r w:rsidRPr="00CD3F77">
              <w:rPr>
                <w:b/>
                <w:i/>
              </w:rPr>
              <w:t>daugiau lėšų</w:t>
            </w:r>
            <w:r w:rsidRPr="00CD3F77">
              <w:t xml:space="preserve">; </w:t>
            </w:r>
            <w:r w:rsidRPr="00CD3F77">
              <w:rPr>
                <w:b/>
                <w:i/>
              </w:rPr>
              <w:t>mano, kad konkurencingumas turėtų priklausyti ne nuo didesnių viešųjų investicijų, o nuo konkurencingos ir reguliavimo aplinkos, kuria skatinamas rinkos efektyvumas ir įmonėms sudaromos sąlygos laisvai diegti inovacijas bei konkuruoti; pabrėžia, kad privatusis sektorius yra pagrindinė investicijų ir ekonomikos augimo varomoji jėga ir kad</w:t>
            </w:r>
            <w:r w:rsidRPr="00CD3F77">
              <w:t xml:space="preserve"> viešųjų investicijų </w:t>
            </w:r>
            <w:r w:rsidRPr="00CD3F77">
              <w:rPr>
                <w:b/>
                <w:i/>
              </w:rPr>
              <w:t>plėtra gali lemti neefektyvumą ir trukdyti konkurencijai; pripažįsta, kad viešosios investicijos gali atlikti papildomą vaidmenį, tačiau primygtinai ragina užtikrinti, kad valstybės intervencinės priemonės būtų ribotos ir nepakeistų privačiųjų investicijų</w:t>
            </w:r>
            <w:r w:rsidRPr="00CD3F77">
              <w:t xml:space="preserve">; </w:t>
            </w:r>
            <w:r w:rsidRPr="00CD3F77">
              <w:rPr>
                <w:b/>
                <w:i/>
              </w:rPr>
              <w:t>mano</w:t>
            </w:r>
            <w:r w:rsidRPr="00CD3F77">
              <w:t xml:space="preserve">, kad </w:t>
            </w:r>
            <w:r w:rsidRPr="00CD3F77">
              <w:rPr>
                <w:b/>
                <w:i/>
              </w:rPr>
              <w:t>kapitalo rinkų sąjungos sukūrimas yra labai svarbus siekiant užtikrinti būtinas privačiąsias investicijas</w:t>
            </w:r>
            <w:r w:rsidRPr="00CD3F77">
              <w:t xml:space="preserve">; </w:t>
            </w:r>
            <w:r w:rsidRPr="00CD3F77">
              <w:rPr>
                <w:b/>
                <w:i/>
              </w:rPr>
              <w:t>pasisako už politiką, kurioje daugiausia dėmesio skiriama reguliavimo kliūčių mažinimui, rinkos liberalizavimo skatinimui ir iniciatyvesniam privačiojo sektoriaus vaidmeniui investavimo srityje;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w:t>
            </w:r>
            <w:r w:rsidRPr="00CD3F77">
              <w:rPr>
                <w:b/>
                <w:bCs/>
                <w:i/>
                <w:iCs/>
              </w:rPr>
              <w:t xml:space="preserve"> </w:t>
            </w:r>
            <w:r w:rsidRPr="00CD3F77">
              <w:t xml:space="preserve">reikia </w:t>
            </w:r>
            <w:r w:rsidRPr="00CD3F77">
              <w:rPr>
                <w:b/>
                <w:bCs/>
                <w:i/>
                <w:iCs/>
              </w:rPr>
              <w:t>papildomų 800 mlrd. EUR per metus</w:t>
            </w:r>
            <w:r w:rsidRPr="00CD3F77">
              <w:t xml:space="preserve">; </w:t>
            </w:r>
            <w:r w:rsidRPr="00CD3F77">
              <w:rPr>
                <w:i/>
                <w:iCs/>
              </w:rPr>
              <w:t>šiame kontekste</w:t>
            </w:r>
            <w:r w:rsidRPr="00CD3F77">
              <w:t xml:space="preserve"> pripažįsta </w:t>
            </w:r>
            <w:r w:rsidRPr="00CD3F77">
              <w:rPr>
                <w:b/>
                <w:bCs/>
                <w:i/>
                <w:iCs/>
              </w:rPr>
              <w:t>viešųjų investicijų svarbą;</w:t>
            </w:r>
            <w:r w:rsidRPr="00CD3F77">
              <w:rPr>
                <w:b/>
                <w:i/>
              </w:rPr>
              <w:t xml:space="preserve"> </w:t>
            </w:r>
            <w:r w:rsidRPr="00CD3F77">
              <w:rPr>
                <w:b/>
                <w:bCs/>
                <w:i/>
                <w:iCs/>
              </w:rPr>
              <w:t>yra įsitikinęs, kad būtina sukurti nuolatinius ES investavimo pajėgumus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w:t>
            </w:r>
            <w:r w:rsidRPr="00CD3F77">
              <w:rPr>
                <w:b/>
                <w:bCs/>
                <w:i/>
                <w:iCs/>
              </w:rPr>
              <w:t xml:space="preserve"> </w:t>
            </w:r>
            <w:r w:rsidRPr="00CD3F77">
              <w:t xml:space="preserve">apsaugoti ES konkurencingumą, reikia </w:t>
            </w:r>
            <w:r w:rsidRPr="00CD3F77">
              <w:rPr>
                <w:b/>
                <w:bCs/>
                <w:i/>
                <w:iCs/>
              </w:rPr>
              <w:t>skubiai padidinti našumą ir finansinius pajėgumus</w:t>
            </w:r>
            <w:r w:rsidRPr="00CD3F77">
              <w:t>; pripažįsta</w:t>
            </w:r>
            <w:r w:rsidRPr="00CD3F77">
              <w:rPr>
                <w:b/>
                <w:bCs/>
                <w:i/>
                <w:iCs/>
              </w:rPr>
              <w:t xml:space="preserve">, kad reikia skubiai vykdyti reformas ir veiksmingai įgyvendinti veiksmus trimis Mario Draghi ataskaitoje </w:t>
            </w:r>
            <w:r w:rsidRPr="00CD3F77">
              <w:rPr>
                <w:b/>
                <w:bCs/>
                <w:i/>
                <w:iCs/>
              </w:rPr>
              <w:lastRenderedPageBreak/>
              <w:t>nurodytomis kryptimis:</w:t>
            </w:r>
            <w:r w:rsidRPr="00CD3F77">
              <w:rPr>
                <w:b/>
                <w:i/>
              </w:rPr>
              <w:t xml:space="preserve"> i)</w:t>
            </w:r>
            <w:r w:rsidRPr="00CD3F77">
              <w:rPr>
                <w:b/>
                <w:i/>
              </w:rPr>
              <w:tab/>
              <w:t>atotrūkio nuo JAV ir Kinijos inovacijų srityje mažinimo; ii)</w:t>
            </w:r>
            <w:r w:rsidRPr="00CD3F77">
              <w:rPr>
                <w:b/>
                <w:i/>
              </w:rPr>
              <w:tab/>
              <w:t xml:space="preserve">bendros priklausomybės nuo iškastinio kuro mažinimo ir konkurencingumo plano, kuriuo siekiama paspartinti pertvarką ir sumažinti energijos kaštus, įgyvendinimo; ir iii) saugumo didinimo bei priklausomybės mažinimo. </w:t>
            </w:r>
            <w:r w:rsidRPr="00CD3F77">
              <w:rPr>
                <w:b/>
                <w:bCs/>
                <w:i/>
                <w:iCs/>
              </w:rPr>
              <w:t>Pažanga šiomis kryptimis taip pat priklausys nuo horizontaliųjų tarpusavyje susijusių konkurencingumo ir integracinio augimo veiksnių – bendrosios rinkos stiprinimo, supaprastinimo, įgūdžių ugdymo ir kokybiškų darbo vietų kūrimo, investicijų finansavimo ir koordinavimo gerinimo</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Billy Kelleher, 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šiame kontekste pripažįsta </w:t>
            </w:r>
            <w:r w:rsidRPr="00CD3F77">
              <w:rPr>
                <w:b/>
                <w:bCs/>
                <w:i/>
                <w:iCs/>
              </w:rPr>
              <w:t>reikšmingą</w:t>
            </w:r>
            <w:r w:rsidRPr="00CD3F77">
              <w:t xml:space="preserve"> viešųjų </w:t>
            </w:r>
            <w:r w:rsidRPr="00CD3F77">
              <w:rPr>
                <w:b/>
                <w:bCs/>
                <w:i/>
                <w:iCs/>
              </w:rPr>
              <w:t xml:space="preserve">ir privačiųjų </w:t>
            </w:r>
            <w:r w:rsidRPr="00CD3F77">
              <w:t xml:space="preserve">investicijų svarbą; yra įsitikinęs, kad būtina sukurti nuolatinius ES investavimo pajėgumus; </w:t>
            </w:r>
            <w:r w:rsidRPr="00CD3F77">
              <w:rPr>
                <w:b/>
                <w:i/>
              </w:rPr>
              <w:t>mano, kad Komisijos labai laukiama Santaupų ir investicijų sąjungos strategija, taip pat mažmeninių investicijų strategija yra labai svarbios privačiojo sektoriaus investicijoms skatinti ir sutelkti, ir primygtinai ragina teisės aktų leidėjus išlikti ambicingiems ir sparčiai daryti pažangą įgyvendinant šias iniciatyvas;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šiame kontekste pripažįsta viešųjų </w:t>
            </w:r>
            <w:r w:rsidRPr="00CD3F77">
              <w:rPr>
                <w:b/>
                <w:bCs/>
                <w:i/>
                <w:iCs/>
              </w:rPr>
              <w:t>ir privačiųjų</w:t>
            </w:r>
            <w:r w:rsidRPr="00CD3F77">
              <w:t xml:space="preserve"> investicijų svarbą; </w:t>
            </w:r>
            <w:r w:rsidRPr="00CD3F77">
              <w:rPr>
                <w:b/>
                <w:bCs/>
                <w:i/>
                <w:iCs/>
              </w:rPr>
              <w:t>pabrėžia, kad siekiant sudaryti sąlygas panaudoti privačiojo sektoriaus investicijas tinkamu mastu, reikės gerokai sumažinti privataus kapitalo sąnaudas, o tai gali padėti pasiekti mokesčių paskatos ir geresnis kapitalo rinkos veiksmingumas</w:t>
            </w:r>
            <w:r w:rsidRPr="00CD3F77">
              <w:rPr>
                <w:b/>
                <w:bCs/>
                <w:i/>
                <w:iCs/>
                <w:vertAlign w:val="superscript"/>
              </w:rPr>
              <w:t>6a</w:t>
            </w:r>
            <w:r w:rsidRPr="00CD3F77">
              <w:rPr>
                <w:b/>
                <w:bCs/>
                <w:i/>
                <w:iCs/>
              </w:rPr>
              <w:t xml:space="preserve">; </w:t>
            </w:r>
            <w:r w:rsidRPr="00CD3F77">
              <w:t>yra įsitikinęs, kad būtina sukurti nuolatinius ES investavimo pajėgumus;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6a</w:t>
            </w:r>
            <w:r w:rsidRPr="00CD3F77">
              <w:t xml:space="preserve"> </w:t>
            </w:r>
            <w:r w:rsidRPr="00CD3F77">
              <w:rPr>
                <w:b/>
                <w:bCs/>
                <w:i/>
                <w:iCs/>
              </w:rPr>
              <w:t xml:space="preserve">Europos konkurencingumo ateitis, B dalis | Nuodugni analizė ir rekomendacijos, 3 skyrius „Investicijų išlaikymas“ (angl. </w:t>
            </w:r>
            <w:r w:rsidRPr="00CD3F77">
              <w:rPr>
                <w:b/>
                <w:bCs/>
              </w:rPr>
              <w:t>The future of European competitiveness Part B | In-depth analysis and recommendations, Chapter 3. Sustaining Investment</w:t>
            </w:r>
            <w:r w:rsidRPr="00CD3F77">
              <w:rPr>
                <w:b/>
                <w:bCs/>
                <w:i/>
                <w:iCs/>
              </w:rPr>
              <w:t>), p. 283.</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w:t>
            </w:r>
            <w:r w:rsidRPr="00CD3F77">
              <w:lastRenderedPageBreak/>
              <w:t>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lastRenderedPageBreak/>
              <w:t>8.</w:t>
            </w:r>
            <w:r w:rsidRPr="00CD3F77">
              <w:tab/>
              <w:t xml:space="preserve">atkreipia dėmesį į Mario Draghi </w:t>
            </w:r>
            <w:r w:rsidRPr="00CD3F77">
              <w:lastRenderedPageBreak/>
              <w:t>vertinimą, kad, siekiant apsaugoti ES konkurencingumą, reikia papildomų 800 mlrd. EUR per metus; šiame kontekste pripažįsta viešųjų investicijų svarbą; yra įsitikinęs, kad būtina sukurti nuolatinius ES investavimo pajėgumus;</w:t>
            </w:r>
            <w:r w:rsidRPr="00CD3F77">
              <w:rPr>
                <w:b/>
                <w:i/>
              </w:rPr>
              <w:t> yra įsitikinęs, kad Komisija ir valstybės narės privalo tiksliai nurodyti, kaip būtų galima patenkinti tokį ypatingą finansinį poreikį ir kokie turėtų būti valstybių narių įnašai;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Lídia Pereira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šiame kontekste pripažįsta </w:t>
            </w:r>
            <w:r w:rsidRPr="00CD3F77">
              <w:rPr>
                <w:b/>
                <w:bCs/>
                <w:i/>
                <w:iCs/>
              </w:rPr>
              <w:t xml:space="preserve">tvarių </w:t>
            </w:r>
            <w:r w:rsidRPr="00CD3F77">
              <w:t xml:space="preserve">viešųjų investicijų svarbą; yra įsitikinęs, kad būtina sukurti nuolatinius ES investavimo pajėgumus; </w:t>
            </w:r>
            <w:r w:rsidRPr="00CD3F77">
              <w:rPr>
                <w:b/>
                <w:i/>
              </w:rPr>
              <w:t>pabrėžia, kokios svarbios privačiosios investicijos konkurencingumui didinti ir mano, kad būtina skubiai pradėti kurti santaupų ir investicijų sąjungą, taip pat baigti kurti kapitalo rinkų sąjungą;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149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lastRenderedPageBreak/>
              <w:t>8.</w:t>
            </w:r>
            <w:r w:rsidRPr="00CD3F77">
              <w:tab/>
              <w:t xml:space="preserve">atkreipia dėmesį į Mario Draghi vertinimą, kad, siekiant apsaugoti ES konkurencingumą, reikia papildomų 800 mlrd. EUR per metus; šiame kontekste pripažįsta viešųjų investicijų svarbą; </w:t>
            </w:r>
            <w:r w:rsidRPr="00CD3F77">
              <w:rPr>
                <w:b/>
                <w:bCs/>
                <w:i/>
                <w:iCs/>
              </w:rPr>
              <w:t>yra įsitikinęs</w:t>
            </w:r>
            <w:r w:rsidRPr="00CD3F77">
              <w:t xml:space="preserve">, kad </w:t>
            </w:r>
            <w:r w:rsidRPr="00CD3F77">
              <w:rPr>
                <w:b/>
                <w:bCs/>
                <w:i/>
                <w:iCs/>
              </w:rPr>
              <w:t xml:space="preserve">būtina sukurti nuolatinius </w:t>
            </w:r>
            <w:r w:rsidRPr="00CD3F77">
              <w:t xml:space="preserve">ES </w:t>
            </w:r>
            <w:r w:rsidRPr="00CD3F77">
              <w:rPr>
                <w:b/>
                <w:bCs/>
                <w:i/>
                <w:iCs/>
              </w:rPr>
              <w:t>investavimo pajėgumus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w:t>
            </w:r>
            <w:r w:rsidR="00D50C1F" w:rsidRPr="00CD3F77">
              <w:t>domų 800 mlrd. EUR per metus; š</w:t>
            </w:r>
            <w:r w:rsidRPr="00CD3F77">
              <w:t xml:space="preserve">iame kontekste pripažįsta viešųjų </w:t>
            </w:r>
            <w:r w:rsidRPr="00CD3F77">
              <w:rPr>
                <w:b/>
                <w:bCs/>
                <w:i/>
                <w:iCs/>
              </w:rPr>
              <w:t>ir privačiųjų</w:t>
            </w:r>
            <w:r w:rsidRPr="00CD3F77">
              <w:t xml:space="preserve"> investicijų svarbą; </w:t>
            </w:r>
            <w:r w:rsidRPr="00CD3F77">
              <w:rPr>
                <w:b/>
                <w:bCs/>
                <w:i/>
                <w:iCs/>
              </w:rPr>
              <w:t>pabrėžia</w:t>
            </w:r>
            <w:r w:rsidRPr="00CD3F77">
              <w:t xml:space="preserve">, kad </w:t>
            </w:r>
            <w:r w:rsidRPr="00CD3F77">
              <w:rPr>
                <w:b/>
                <w:bCs/>
                <w:i/>
                <w:iCs/>
              </w:rPr>
              <w:t xml:space="preserve">reikės papildomų viešųjų ir privačiųjų investicijų, kad būtų galima spręsti vidaus rinkos susiskaidymo problemą, remti </w:t>
            </w:r>
            <w:r w:rsidRPr="00CD3F77">
              <w:t xml:space="preserve">ES </w:t>
            </w:r>
            <w:r w:rsidRPr="00CD3F77">
              <w:rPr>
                <w:b/>
                <w:bCs/>
                <w:i/>
                <w:iCs/>
              </w:rPr>
              <w:t>pramonės strategiją, mažinti pavojingą jos priklausomybę ir užtikrinti atvirą strateginį savarankiškumą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Anouk Van Brug, Stéphanie Yon-Courtin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šiame kontekste pripažįsta viešųjų investicijų svarbą; </w:t>
            </w:r>
            <w:r w:rsidRPr="00CD3F77">
              <w:rPr>
                <w:b/>
                <w:bCs/>
                <w:i/>
                <w:iCs/>
              </w:rPr>
              <w:t>yra įsitikinęs, kad būtina sukurti nuolatinius ES investavimo pajėgumus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šiame kontekste pripažįsta </w:t>
            </w:r>
            <w:r w:rsidRPr="00CD3F77">
              <w:rPr>
                <w:b/>
                <w:bCs/>
                <w:i/>
                <w:iCs/>
              </w:rPr>
              <w:t xml:space="preserve">ir </w:t>
            </w:r>
            <w:r w:rsidRPr="00CD3F77">
              <w:t>viešųjų</w:t>
            </w:r>
            <w:r w:rsidRPr="00CD3F77">
              <w:rPr>
                <w:b/>
                <w:bCs/>
                <w:i/>
                <w:iCs/>
              </w:rPr>
              <w:t>, ir privačiųjų</w:t>
            </w:r>
            <w:r w:rsidRPr="00CD3F77">
              <w:rPr>
                <w:i/>
                <w:iCs/>
              </w:rPr>
              <w:t xml:space="preserve"> </w:t>
            </w:r>
            <w:r w:rsidRPr="00CD3F77">
              <w:t xml:space="preserve">investicijų svarbą; </w:t>
            </w:r>
            <w:r w:rsidRPr="00CD3F77">
              <w:rPr>
                <w:b/>
                <w:bCs/>
                <w:i/>
                <w:iCs/>
              </w:rPr>
              <w:t>pabrėžia, kad kapitalo rinkų sąjungos sukūrimas yra esminis dalykas siekiant atverti privataus kapitalo galimybes šioje srityje</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Enikő Győri,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w:t>
            </w:r>
            <w:r w:rsidRPr="00CD3F77">
              <w:lastRenderedPageBreak/>
              <w:t xml:space="preserve">konkurencingumą, reikia papildomų 800 mlrd. EUR per metus; šiame kontekste pripažįsta viešųjų investicijų svarbą; </w:t>
            </w:r>
            <w:r w:rsidRPr="00CD3F77">
              <w:rPr>
                <w:b/>
                <w:i/>
              </w:rPr>
              <w:t>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lastRenderedPageBreak/>
              <w:t>8.</w:t>
            </w:r>
            <w:r w:rsidRPr="00CD3F77">
              <w:tab/>
              <w:t xml:space="preserve">atkreipia dėmesį į Mario Draghi vertinimą, kad, siekiant apsaugoti ES </w:t>
            </w:r>
            <w:r w:rsidRPr="00CD3F77">
              <w:lastRenderedPageBreak/>
              <w:t>konkurencingumą, reikia papildomų 800 mlrd. EUR per metus; šiame kontekste pripažįsta viešųjų investicijų svarbą;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r w:rsidRPr="00CD3F77">
              <w:rPr>
                <w:b/>
                <w:bCs/>
                <w:i/>
                <w:iCs/>
              </w:rPr>
              <w:t xml:space="preserve"> siekiant baigti įgyvendinti dvejopą žaliąją ir skaitmeninę pertvarką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Aleksandar Nikolic, Enikő Győri</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šiame kontekste pripažįsta viešųjų </w:t>
            </w:r>
            <w:r w:rsidRPr="00CD3F77">
              <w:rPr>
                <w:b/>
                <w:i/>
              </w:rPr>
              <w:t>ir privačių</w:t>
            </w:r>
            <w:r w:rsidRPr="00CD3F77">
              <w:t xml:space="preserve"> investicijų </w:t>
            </w:r>
            <w:r w:rsidRPr="00CD3F77">
              <w:rPr>
                <w:b/>
                <w:i/>
              </w:rPr>
              <w:t>sinergijos poreikio</w:t>
            </w:r>
            <w:r w:rsidRPr="00CD3F77">
              <w:t xml:space="preserve"> svarbą; yra įsitikinęs, kad būtina sukurti nuolatinius ES </w:t>
            </w:r>
            <w:r w:rsidRPr="00CD3F77">
              <w:lastRenderedPageBreak/>
              <w:t>investavimo pajėgumus;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atkreipia dėmesį į Mario Draghi vertinimą, kad, siekiant apsaugoti ES konkurencingumą, reikia papildomų 800 mlrd. EUR per metus; šiame kontekste pripažįsta viešųjų investicijų svarbą; yra įsitikinęs, kad būtina sukurti nuolatinius ES investavimo pajėgumus</w:t>
            </w:r>
            <w:r w:rsidRPr="00CD3F77">
              <w:rPr>
                <w:b/>
                <w:i/>
              </w:rPr>
              <w:t>, kuriuos kontroliuotų valstybės narės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w:t>
            </w:r>
            <w:r w:rsidRPr="00CD3F77">
              <w:rPr>
                <w:b/>
                <w:bCs/>
                <w:i/>
                <w:iCs/>
              </w:rPr>
              <w:t>šiame kontekste pripažįsta viešųjų investicijų</w:t>
            </w:r>
            <w:r w:rsidRPr="00CD3F77">
              <w:t xml:space="preserve"> </w:t>
            </w:r>
            <w:r w:rsidRPr="00CD3F77">
              <w:rPr>
                <w:b/>
                <w:i/>
              </w:rPr>
              <w:t>svarbą; yra įsitikinęs, kad būtina sukurti nuolatinius ES investavimo pajėgumus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8.</w:t>
            </w:r>
            <w:r w:rsidRPr="00CD3F77">
              <w:tab/>
              <w:t xml:space="preserve">atkreipia dėmesį į Mario Draghi vertinimą, kad, siekiant apsaugoti ES konkurencingumą, reikia papildomų 800 mlrd. EUR per metus; </w:t>
            </w:r>
            <w:r w:rsidRPr="00CD3F77">
              <w:rPr>
                <w:b/>
                <w:bCs/>
                <w:i/>
                <w:iCs/>
              </w:rPr>
              <w:t>atkreipia dėmesį į tai, kad šias investicijas</w:t>
            </w:r>
            <w:r w:rsidRPr="00CD3F77">
              <w:t xml:space="preserve"> </w:t>
            </w:r>
            <w:r w:rsidRPr="00CD3F77">
              <w:rPr>
                <w:b/>
                <w:bCs/>
                <w:i/>
                <w:iCs/>
              </w:rPr>
              <w:t>visų pirma turėtų finansuoti privatūs asmenys ir jos dar turėtų būti papildomos viešosiomis investicijomis, ypač į infrastruktūrą ir švietimą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156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Regina Doherty, Lídia Pereira, Dirk Gotink, Michalis Hadjipantela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8a.</w:t>
            </w:r>
            <w:r w:rsidRPr="00CD3F77">
              <w:tab/>
            </w:r>
            <w:r w:rsidRPr="00CD3F77">
              <w:rPr>
                <w:b/>
                <w:i/>
              </w:rPr>
              <w:t>pabrėžia, kad konkurencingumas nėra iššūkis, kuris bus išspręstas vien naudojant naujas lėšas; pabrėžia, jog ES negali išlaidauti, kad būtų išspręstos santykinio nuosmukio problemos; ragina Komisiją ir visas valstybes nares imtis veiksmų ir įgyvendinti teisines ir administracines reformas, kuriomis būtų didinamas konkurencingumas, skatinamos inovacijos ir dinamiškumas, racionalizuojama biurokratija, mažinamos išlaidos ir reglamentavimo našta novatoriams, supaprastinami ataskaitų teikimo reikalavimai, sukuriamos investicijoms palankios sąlygos Europoje, didinamos prekybos su trečiosiomis šalimis galimybės, sprendžiama perteklinio reglamentavimo problema ir gerinamas valstybių narių bendradarbiavimas priežiūros srityje; nepritaria jokiam ES protekcionizmo didinimui;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8a.</w:t>
            </w:r>
            <w:r w:rsidRPr="00CD3F77">
              <w:tab/>
            </w:r>
            <w:r w:rsidRPr="00CD3F77">
              <w:rPr>
                <w:b/>
                <w:i/>
              </w:rPr>
              <w:t xml:space="preserve">pažymi, kad sprendžiant dėl atitinkamos rinkos apibrėžties konkurencijos ir įmonių susijungimo kontrolės atvejais būtina atidžiai išanalizuoti tarptautinės aplinkos </w:t>
            </w:r>
            <w:r w:rsidRPr="00CD3F77">
              <w:rPr>
                <w:b/>
                <w:i/>
              </w:rPr>
              <w:lastRenderedPageBreak/>
              <w:t>poreikius; apgailestauja, kad praeityje Komisija kartais taikė pernelyg siaurą požiūrį į atitinkamą rinką, taip atimdama Europos įmonėms galimybę veiksmingai konkuruoti globaliame pasaulyje;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8a.</w:t>
            </w:r>
            <w:r w:rsidRPr="00CD3F77">
              <w:tab/>
            </w:r>
            <w:r w:rsidRPr="00CD3F77">
              <w:rPr>
                <w:b/>
                <w:i/>
              </w:rPr>
              <w:t>ragina Komisiją baigti statyti tarpvalstybines transeuropinio transporto tinklo (TEN-T) atkarpas siekiant padidinti ES bendrosios rinkos junglumą;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159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8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8a.</w:t>
            </w:r>
            <w:r w:rsidRPr="00CD3F77">
              <w:tab/>
            </w:r>
            <w:r w:rsidRPr="00CD3F77">
              <w:rPr>
                <w:b/>
                <w:i/>
              </w:rPr>
              <w:t>atkreipia dėmesį į verslo praktikos pokyčius, pabrėždamas, kad kartelių atvejų mažėja ir kartu pereinama prie naujų žalingo elgesio formų, pvz., tylių susitarimų ir algoritminių susitarimų, ir pabrėžia, kad reikia suderinti vykdymo užtikrinimo prioritetus su šia kintančia aplinka;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160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a pastraipa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ragina Komisiją baigti kurti ir įgyvendinti bendrą Europos patentų sistemą ir Bendro Europos patentų teismo jurisdikciją;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3 b pastraipa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pabrėžia, kad svarbu priimti ES teisės aktus dėl amatininkų ir pramonės gaminių geografinių nuorodų pripažinimo;</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9.</w:t>
            </w:r>
            <w:r w:rsidRPr="00CD3F77">
              <w:tab/>
            </w:r>
            <w:r w:rsidRPr="00CD3F77">
              <w:rPr>
                <w:b/>
                <w:i/>
              </w:rPr>
              <w:t xml:space="preserve">palankiai vertina Mario Draghi pasiūlymą dėl naujos konkurencijos priemonės, kaip lanksčios rinkos tyrimo priemonės, skirtos struktūrinėms konkurencijos problemoms spręsti mažinant patekimo į rinką kliūtis konkurentams, siekiant didinti </w:t>
            </w:r>
            <w:r w:rsidRPr="00CD3F77">
              <w:rPr>
                <w:b/>
                <w:i/>
              </w:rPr>
              <w:lastRenderedPageBreak/>
              <w:t>konkurencingumą, skatinti inovacijas ir apsaugoti pažeidžiamus vartotojus;</w:t>
            </w:r>
          </w:p>
        </w:tc>
        <w:tc>
          <w:tcPr>
            <w:tcW w:w="4876" w:type="dxa"/>
            <w:tcBorders>
              <w:top w:val="nil"/>
              <w:left w:val="nil"/>
              <w:bottom w:val="nil"/>
              <w:right w:val="nil"/>
            </w:tcBorders>
          </w:tcPr>
          <w:p w:rsidR="009517E4" w:rsidRPr="00CD3F77" w:rsidRDefault="009517E4" w:rsidP="009517E4">
            <w:pPr>
              <w:pStyle w:val="Normal6a"/>
            </w:pPr>
            <w:r w:rsidRPr="00CD3F77">
              <w:rPr>
                <w:b/>
                <w:i/>
              </w:rPr>
              <w:lastRenderedPageBreak/>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9.</w:t>
            </w:r>
            <w:r w:rsidRPr="00CD3F77">
              <w:tab/>
            </w:r>
            <w:r w:rsidRPr="00CD3F77">
              <w:rPr>
                <w:b/>
                <w:i/>
              </w:rPr>
              <w:t>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 ir apsaugoti pažeidžiamus vartotojus;</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9.</w:t>
            </w:r>
            <w:r w:rsidRPr="00CD3F77">
              <w:tab/>
              <w:t>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 ir apsaugoti pažeidžiamus vartotojus;</w:t>
            </w:r>
          </w:p>
        </w:tc>
        <w:tc>
          <w:tcPr>
            <w:tcW w:w="4876" w:type="dxa"/>
            <w:tcBorders>
              <w:top w:val="nil"/>
              <w:left w:val="nil"/>
              <w:bottom w:val="nil"/>
              <w:right w:val="nil"/>
            </w:tcBorders>
          </w:tcPr>
          <w:p w:rsidR="009517E4" w:rsidRPr="00CD3F77" w:rsidRDefault="009517E4" w:rsidP="009517E4">
            <w:pPr>
              <w:pStyle w:val="Normal6a"/>
            </w:pPr>
            <w:r w:rsidRPr="00CD3F77">
              <w:t>9.</w:t>
            </w:r>
            <w:r w:rsidRPr="00CD3F77">
              <w:tab/>
              <w:t xml:space="preserve">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 ir apsaugoti pažeidžiamus vartotojus; </w:t>
            </w:r>
            <w:r w:rsidRPr="00CD3F77">
              <w:rPr>
                <w:b/>
                <w:i/>
              </w:rPr>
              <w:t xml:space="preserve">be to, pabrėžia, kad šiuolaikinėje duomenimis grindžiamoje ekonomikoje sąveikumas, </w:t>
            </w:r>
            <w:r w:rsidRPr="00CD3F77">
              <w:rPr>
                <w:b/>
                <w:i/>
              </w:rPr>
              <w:lastRenderedPageBreak/>
              <w:t>duomenų perkeliamumas ir sąžiningos galimybės naudotis pagrindiniais duomenų ištekliais yra būtini siekiant spręsti stipraus tinklo poveikio ir išskirtinės duomenų kontrolės problemas, sudarant sąlygas plačiau dalyvauti visais rinkos lygmenimis</w:t>
            </w:r>
            <w:r w:rsidRPr="00CD3F77">
              <w:rPr>
                <w:b/>
                <w:i/>
                <w:vertAlign w:val="superscript"/>
              </w:rPr>
              <w:t>7a</w:t>
            </w:r>
            <w:r w:rsidRPr="00CD3F77">
              <w:rPr>
                <w:b/>
                <w:i/>
              </w:rPr>
              <w:t>;</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7a</w:t>
            </w:r>
            <w:r w:rsidRPr="00CD3F77">
              <w:t xml:space="preserve"> </w:t>
            </w:r>
            <w:r w:rsidRPr="00CD3F77">
              <w:rPr>
                <w:b/>
                <w:bCs/>
                <w:i/>
                <w:iCs/>
              </w:rPr>
              <w:t xml:space="preserve">Europos konkurencingumo ateitis, B dalis | Nuodugni analizė ir rekomendacijos, 3 skyrius „Investicijų išlaikymas“ (angl. </w:t>
            </w:r>
            <w:r w:rsidRPr="00CD3F77">
              <w:rPr>
                <w:b/>
                <w:bCs/>
              </w:rPr>
              <w:t>The future of European competitiveness Part B | In-depth analysis and recommendations, Chapter 3. Sustaining Investment</w:t>
            </w:r>
            <w:r w:rsidRPr="00CD3F77">
              <w:rPr>
                <w:b/>
                <w:bCs/>
                <w:i/>
                <w:iCs/>
              </w:rPr>
              <w:t>), p. 283.</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9.</w:t>
            </w:r>
            <w:r w:rsidRPr="00CD3F77">
              <w:tab/>
              <w:t xml:space="preserve">palankiai vertina Mario Draghi pasiūlymą dėl naujos konkurencijos priemonės, kaip lanksčios rinkos tyrimo priemonės, skirtos </w:t>
            </w:r>
            <w:r w:rsidRPr="00CD3F77">
              <w:rPr>
                <w:b/>
                <w:bCs/>
                <w:i/>
                <w:iCs/>
              </w:rPr>
              <w:t>struktūrinėms</w:t>
            </w:r>
            <w:r w:rsidRPr="00CD3F77">
              <w:t xml:space="preserve"> konkurencijos problemoms spręsti mažinant patekimo į rinką kliūtis konkurentams, siekiant didinti konkurencingumą, skatinti inovacijas ir apsaugoti pažeidžiamus vartotojus;</w:t>
            </w:r>
          </w:p>
        </w:tc>
        <w:tc>
          <w:tcPr>
            <w:tcW w:w="4876" w:type="dxa"/>
            <w:tcBorders>
              <w:top w:val="nil"/>
              <w:left w:val="nil"/>
              <w:bottom w:val="nil"/>
              <w:right w:val="nil"/>
            </w:tcBorders>
          </w:tcPr>
          <w:p w:rsidR="009517E4" w:rsidRPr="00CD3F77" w:rsidRDefault="009517E4" w:rsidP="009517E4">
            <w:pPr>
              <w:pStyle w:val="Normal6a"/>
            </w:pPr>
            <w:r w:rsidRPr="00CD3F77">
              <w:t>9.</w:t>
            </w:r>
            <w:r w:rsidRPr="00CD3F77">
              <w:tab/>
              <w:t>palankiai vertina Mario Draghi pasiūlymą dėl naujos konkurencijos priemonės, kaip lanksčios rinkos tyrimo priemonės, skirtos konkurencijos problemoms</w:t>
            </w:r>
            <w:r w:rsidRPr="00CD3F77">
              <w:rPr>
                <w:b/>
                <w:bCs/>
                <w:i/>
                <w:iCs/>
              </w:rPr>
              <w:t xml:space="preserve">, kurios nėra antikonkurencinių susitarimų ar piktnaudžiavimo dominuojančia padėtimi pasekmė, </w:t>
            </w:r>
            <w:r w:rsidRPr="00CD3F77">
              <w:t>spręsti</w:t>
            </w:r>
            <w:r w:rsidRPr="00CD3F77">
              <w:rPr>
                <w:b/>
                <w:bCs/>
                <w:i/>
                <w:iCs/>
              </w:rPr>
              <w:t>, ir nustatyti visos rinkos mastu į ateitį orientuotas struktūrines ar elgesio taisomąsias priemones, be kita ko,</w:t>
            </w:r>
            <w:r w:rsidRPr="00CD3F77">
              <w:t xml:space="preserve"> mažinant patekimo į rinką kliūtis konkurentams </w:t>
            </w:r>
            <w:r w:rsidRPr="00CD3F77">
              <w:rPr>
                <w:b/>
                <w:bCs/>
                <w:i/>
                <w:iCs/>
              </w:rPr>
              <w:t>ir turto perleidėjams</w:t>
            </w:r>
            <w:r w:rsidRPr="00CD3F77">
              <w:t xml:space="preserve">, siekiant didinti konkurencingumą, skatinti inovacijas ir apsaugoti pažeidžiamus vartotojus; </w:t>
            </w:r>
            <w:r w:rsidRPr="00CD3F77">
              <w:rPr>
                <w:b/>
                <w:i/>
              </w:rPr>
              <w:t>mano, kad ši priemonė turėtų būti taikoma visuose sektoriuose;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9.</w:t>
            </w:r>
            <w:r w:rsidRPr="00CD3F77">
              <w:tab/>
              <w:t>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 ir apsaugoti pažeidžiamus vartotojus;</w:t>
            </w:r>
          </w:p>
        </w:tc>
        <w:tc>
          <w:tcPr>
            <w:tcW w:w="4876" w:type="dxa"/>
            <w:tcBorders>
              <w:top w:val="nil"/>
              <w:left w:val="nil"/>
              <w:bottom w:val="nil"/>
              <w:right w:val="nil"/>
            </w:tcBorders>
          </w:tcPr>
          <w:p w:rsidR="009517E4" w:rsidRPr="00CD3F77" w:rsidRDefault="009517E4" w:rsidP="009517E4">
            <w:pPr>
              <w:pStyle w:val="Normal6a"/>
            </w:pPr>
            <w:r w:rsidRPr="00CD3F77">
              <w:t>9.</w:t>
            </w:r>
            <w:r w:rsidRPr="00CD3F77">
              <w:tab/>
              <w:t xml:space="preserve">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 ir apsaugoti pažeidžiamus vartotojus; </w:t>
            </w:r>
            <w:r w:rsidRPr="00CD3F77">
              <w:rPr>
                <w:b/>
                <w:i/>
              </w:rPr>
              <w:t>ragina Europos Komisiją išanalizuoti, kaip Mario Draghi „naujoji konkurencijos priemonė“ dera su esama sektorių tyrimų sistema;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9.</w:t>
            </w:r>
            <w:r w:rsidRPr="00CD3F77">
              <w:tab/>
              <w:t>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 ir apsaugoti pažeidžiamus vartotojus;</w:t>
            </w:r>
          </w:p>
        </w:tc>
        <w:tc>
          <w:tcPr>
            <w:tcW w:w="4876" w:type="dxa"/>
            <w:tcBorders>
              <w:top w:val="nil"/>
              <w:left w:val="nil"/>
              <w:bottom w:val="nil"/>
              <w:right w:val="nil"/>
            </w:tcBorders>
          </w:tcPr>
          <w:p w:rsidR="009517E4" w:rsidRPr="00CD3F77" w:rsidRDefault="009517E4" w:rsidP="009517E4">
            <w:pPr>
              <w:pStyle w:val="Normal6a"/>
            </w:pPr>
            <w:r w:rsidRPr="00CD3F77">
              <w:t>9.</w:t>
            </w:r>
            <w:r w:rsidRPr="00CD3F77">
              <w:tab/>
              <w:t>palankiai vertina Mario Draghi pasiūlymą dėl naujos konkurencijos priemonės, kaip lanksčios rinkos tyrimo priemonės, skirtos struktūrinėms konkurencijos problemoms spręsti mažinant patekimo į rinką kliūtis konkurentams, siekiant didinti konkurencingumą, skatinti inovacijas</w:t>
            </w:r>
            <w:r w:rsidRPr="00CD3F77">
              <w:rPr>
                <w:b/>
                <w:bCs/>
                <w:i/>
                <w:iCs/>
              </w:rPr>
              <w:t>, apriboti nepageidaujamą rinkos koncentraciją</w:t>
            </w:r>
            <w:r w:rsidRPr="00CD3F77">
              <w:t xml:space="preserve"> ir apsaugoti pažeidžiamus </w:t>
            </w:r>
            <w:r w:rsidRPr="00CD3F77">
              <w:lastRenderedPageBreak/>
              <w:t>vartotojus;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9a.</w:t>
            </w:r>
            <w:r w:rsidRPr="00CD3F77">
              <w:tab/>
            </w:r>
            <w:r w:rsidRPr="00CD3F77">
              <w:rPr>
                <w:b/>
                <w:i/>
              </w:rPr>
              <w:t>yra įsitikinęs, kad būtina nuodugniau išnagrinėti tokios tyrimo priemonės savybes ir naudojimo sąlygas, aiškiai apibrėžti jos taikymo kriterijus ir nustatyti, ar ja remiantis galima siūlyti antikonkurencinės veiklos prevencijos priemones;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169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9a.</w:t>
            </w:r>
            <w:r w:rsidRPr="00CD3F77">
              <w:tab/>
            </w:r>
            <w:r w:rsidRPr="00CD3F77">
              <w:rPr>
                <w:b/>
                <w:i/>
              </w:rPr>
              <w:t>ragina Komisiją nustatyti muitus trečiosioms valstybėms, kurios nesilaiko ES kokybės, aplinkos ir darbuotojų apsaugos standartų;</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9b.</w:t>
            </w:r>
            <w:r w:rsidRPr="00CD3F77">
              <w:tab/>
            </w:r>
            <w:r w:rsidRPr="00CD3F77">
              <w:rPr>
                <w:b/>
                <w:i/>
              </w:rPr>
              <w:t>primena, kad kai kuriose valstybėse narėse nacionalinės teisės aktų leidėjai, siekdami išspręsti struktūrines problemas, kurios būdingos tam tikroms rinkoms net ir nesant konkrečių antimonopolinių veiksmų, iš dalies pakeisdami galiojančius nacionalinius konkurencijos įstatymus, įdiegė naują tyrimo priemonę, suteikiančią nacionalinėms konkurencijos institucijoms teisę imtis struktūrinių ir elgesio taisomųjų priemonių, kai atlikus rinkos tyrimus nustatoma, kad esama reikšmingų ir nuolatinių tinkamo tiriamų rinkų veikimo iškraipymų;</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9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9b.</w:t>
            </w:r>
            <w:r w:rsidRPr="00CD3F77">
              <w:tab/>
            </w:r>
            <w:r w:rsidRPr="00CD3F77">
              <w:rPr>
                <w:b/>
                <w:i/>
              </w:rPr>
              <w:t>ragina Komisiją užbaigti Europos muitinės kodekso reformą, siekiant suderinti valstybių savitarpio patikrinimus ir intensyviau kovoti su klastojimu bei sukčiavimu;</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10.</w:t>
            </w:r>
            <w:r w:rsidRPr="00CD3F77">
              <w:tab/>
            </w:r>
            <w:r w:rsidRPr="00CD3F77">
              <w:rPr>
                <w:b/>
                <w:i/>
              </w:rPr>
              <w:t xml:space="preserve">primena, kad pagal Sutartį </w:t>
            </w:r>
            <w:r w:rsidRPr="00CD3F77">
              <w:rPr>
                <w:b/>
                <w:i/>
              </w:rPr>
              <w:lastRenderedPageBreak/>
              <w:t>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lastRenderedPageBreak/>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10.</w:t>
            </w:r>
            <w:r w:rsidRPr="00CD3F77">
              <w:tab/>
            </w:r>
            <w:r w:rsidRPr="00CD3F77">
              <w:rPr>
                <w:b/>
                <w:i/>
              </w:rPr>
              <w:t>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10.</w:t>
            </w:r>
            <w:r w:rsidRPr="00CD3F77">
              <w:tab/>
            </w:r>
            <w:r w:rsidRPr="00CD3F77">
              <w:rPr>
                <w:b/>
                <w:i/>
              </w:rPr>
              <w:t>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w:t>
            </w:r>
            <w:r w:rsidRPr="00CD3F77">
              <w:rPr>
                <w:b/>
                <w:i/>
              </w:rPr>
              <w:t>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t>10.</w:t>
            </w:r>
            <w:r w:rsidRPr="00CD3F77">
              <w:tab/>
              <w:t>primena, kad pagal Sutartį Komisija turi įgaliojimus spręsti išnaudotojiško piktnaudžiavimo problemą;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lastRenderedPageBreak/>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10.</w:t>
            </w:r>
            <w:r w:rsidRPr="00CD3F77">
              <w:tab/>
              <w:t>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 </w:t>
            </w:r>
            <w:r w:rsidRPr="00CD3F77">
              <w:rPr>
                <w:b/>
                <w:i/>
              </w:rPr>
              <w:t>smerkia šį įmonių, kurios naudojasi gobšumu grindžiama infliacija, piktnaudžiavimą įtaka rinkoje, dėl kurio padidėja infliacija ir paaštrėja pragyvenimo išlaidų krizė; ragina valstybes nares ir Komisiją nustatyti nuolatinius ir bendruosius nenumatyto pelno mokesčius ir reformuoti konkurencijos teisę, kad konkurencijos institucijos galėtų tirti ir sistemingai imtis veiksmų sektorių lygmeniu tuo atveju, jei įvyktų nesąžiningas kainų šuolis;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tvirtina, kad prioritetinis išnaudotojiško piktnaudžiavimo vartotojų atžvilgiu problemos sprendimas galėtų padėti </w:t>
            </w:r>
            <w:r w:rsidRPr="00CD3F77">
              <w:lastRenderedPageBreak/>
              <w:t xml:space="preserve">tiesiogiai mažinti kainų šuolių, kuriuos lemia pelnu </w:t>
            </w:r>
            <w:r w:rsidRPr="00CD3F77">
              <w:rPr>
                <w:b/>
                <w:i/>
              </w:rPr>
              <w:t>(arba gobšumu)</w:t>
            </w:r>
            <w:r w:rsidRPr="00CD3F77">
              <w:t xml:space="preserve"> grindžiama infliacija, problemą; </w:t>
            </w:r>
            <w:r w:rsidRPr="00CD3F77">
              <w:rPr>
                <w:b/>
                <w:i/>
              </w:rPr>
              <w:t>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lastRenderedPageBreak/>
              <w:t>10.</w:t>
            </w:r>
            <w:r w:rsidRPr="00CD3F77">
              <w:tab/>
              <w:t xml:space="preserve">primena, kad pagal Sutartį Komisija turi įgaliojimus spręsti išnaudotojiško piktnaudžiavimo problemą; tvirtina, kad prioritetinis išnaudotojiško piktnaudžiavimo vartotojų atžvilgiu problemos sprendimas galėtų padėti </w:t>
            </w:r>
            <w:r w:rsidRPr="00CD3F77">
              <w:lastRenderedPageBreak/>
              <w:t>tiesiogiai mažinti kainų šuolių, kuriuos lemia pelnu grindžiama infliacija, problemą;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10.</w:t>
            </w:r>
            <w:r w:rsidRPr="00CD3F77">
              <w:tab/>
              <w:t>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w:t>
            </w:r>
            <w:r w:rsidRPr="00CD3F77">
              <w:rPr>
                <w:b/>
                <w:bCs/>
                <w:i/>
                <w:iCs/>
              </w:rPr>
              <w:t xml:space="preserve"> tinkamai atsižvelgiant į vartotojų pažeidžiamumą</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tvirtina, kad prioritetinis išnaudotojiško piktnaudžiavimo vartotojų atžvilgiu problemos sprendimas galėtų padėti tiesiogiai mažinti </w:t>
            </w:r>
            <w:r w:rsidRPr="00CD3F77">
              <w:rPr>
                <w:b/>
                <w:bCs/>
                <w:i/>
                <w:iCs/>
              </w:rPr>
              <w:t xml:space="preserve">diskriminacinės praktikos arba </w:t>
            </w:r>
            <w:r w:rsidRPr="00CD3F77">
              <w:t>kainų šuolių, kuriuos lemia pelnu (arba gobšumu) grindžiama infliacija, problemą; apgailestauja, kad Komisija retai nagrinėja išnaudojimo atvejus, ir prašo atnaujinti susijusias gaires</w:t>
            </w:r>
            <w:r w:rsidRPr="00CD3F77">
              <w:rPr>
                <w:b/>
                <w:bCs/>
                <w:i/>
                <w:iCs/>
              </w:rPr>
              <w:t xml:space="preserve"> atsižvelgiant į neigiamą tokios praktikos poveikį įmonėms, vartotojams ir viešajam interesui</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179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lastRenderedPageBreak/>
              <w:t>10.</w:t>
            </w:r>
            <w:r w:rsidRPr="00CD3F77">
              <w:tab/>
              <w:t>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t>10.</w:t>
            </w:r>
            <w:r w:rsidRPr="00CD3F77">
              <w:tab/>
              <w:t>primena, kad pagal Sutartį Komisija turi įgaliojimus spręsti išnaudotojiško piktnaudžiavimo problemą; tvirtina, kad prioritetinis išnaudotojiško piktnaudžiavimo vartotojų atžvilgiu</w:t>
            </w:r>
            <w:r w:rsidRPr="00CD3F77">
              <w:rPr>
                <w:b/>
                <w:bCs/>
                <w:i/>
                <w:iCs/>
              </w:rPr>
              <w:t>, kurį visų pirma pasitelkia subjektai, turintys dominuojančią padėtį,</w:t>
            </w:r>
            <w:r w:rsidRPr="00CD3F77">
              <w:t xml:space="preserve"> problemos sprendimas galėtų padėti tiesiogiai mažinti kainų šuolių, kuriuos lemia pelnu (arba gobšumu) grindžiama infliacija, problemą; apgailestauja, kad Komisija retai nagrinėja išnaudojimo atvejus, ir prašo atnaujinti susijusias gaires tinkamai atsižvelgiant į vartotojų pažeidžiamumą;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w:t>
            </w:r>
            <w:r w:rsidRPr="00CD3F77">
              <w:rPr>
                <w:b/>
                <w:bCs/>
                <w:i/>
                <w:iCs/>
              </w:rPr>
              <w:t>apgailestauja, kad Komisija retai nagrinėja išnaudojimo atvejus, ir</w:t>
            </w:r>
            <w:r w:rsidRPr="00CD3F77">
              <w:t xml:space="preserve">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t>10.</w:t>
            </w:r>
            <w:r w:rsidRPr="00CD3F77">
              <w:tab/>
              <w:t>primena, kad pagal Sutartį Komisija turi įgaliojimus spręsti išnaudotojiško piktnaudžiavimo problemą; tvirtina, kad prioritetinis išnaudotojiško piktnaudžiavimo vartotojų atžvilgiu problemos sprendimas galėtų padėti tiesiogiai mažinti kainų šuolių, kuriuos lemia pelnu (arba gobšumu) grindžiama infliacija, problemą; prašo atnaujinti susijusias gaires tinkamai atsižvelgiant į vartotojų pažeidžiamumą;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lastRenderedPageBreak/>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w:t>
            </w:r>
            <w:r w:rsidRPr="00CD3F77">
              <w:rPr>
                <w:b/>
                <w:bCs/>
                <w:i/>
                <w:iCs/>
              </w:rPr>
              <w:t>tvirtina, kad prioritetinis išnaudotojiško piktnaudžiavimo vartotojų atžvilgiu problemos sprendimas galėtų padėti tiesiogiai mažinti kainų šuolių, kuriuos lemia pelnu (arba gobšumu) grindžiama infliacija, problemą</w:t>
            </w:r>
            <w:r w:rsidRPr="00CD3F77">
              <w:t>; apgailestauja, kad Komisija retai nagrinėja išnaudojimo atvejus, ir prašo atnaujinti susijusias gaires tinkamai atsižvelgiant į vartotojų pažeidžiamumą;</w:t>
            </w:r>
          </w:p>
        </w:tc>
        <w:tc>
          <w:tcPr>
            <w:tcW w:w="4876" w:type="dxa"/>
            <w:tcBorders>
              <w:top w:val="nil"/>
              <w:left w:val="nil"/>
              <w:bottom w:val="nil"/>
              <w:right w:val="nil"/>
            </w:tcBorders>
          </w:tcPr>
          <w:p w:rsidR="009517E4" w:rsidRPr="00CD3F77" w:rsidRDefault="009517E4" w:rsidP="009517E4">
            <w:pPr>
              <w:pStyle w:val="Normal6a"/>
            </w:pPr>
            <w:r w:rsidRPr="00CD3F77">
              <w:t>10.</w:t>
            </w:r>
            <w:r w:rsidRPr="00CD3F77">
              <w:tab/>
              <w:t xml:space="preserve">primena, kad pagal Sutartį Komisija turi įgaliojimus spręsti išnaudotojiško piktnaudžiavimo problemą; </w:t>
            </w:r>
            <w:r w:rsidRPr="00CD3F77">
              <w:rPr>
                <w:b/>
                <w:bCs/>
                <w:i/>
                <w:iCs/>
              </w:rPr>
              <w:t>ragina Komisiją kartu su nacionalinėmis konkurencijos institucijomis atidžiai stebėti antikonkurencinio elgesio pasekmes ir jo vaidmenį infliacijos raidai</w:t>
            </w:r>
            <w:r w:rsidRPr="00CD3F77">
              <w:t>; apgailestauja, kad Komisija retai nagrinėja išnaudojimo atvejus, ir prašo atnaujinti susijusias gaires tinkamai atsižvelgiant į vartotojų pažeidžiamumą;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10a.</w:t>
            </w:r>
            <w:r w:rsidRPr="00CD3F77">
              <w:tab/>
            </w:r>
            <w:r w:rsidRPr="00CD3F77">
              <w:rPr>
                <w:b/>
                <w:i/>
              </w:rPr>
              <w:t xml:space="preserve">atkreipia dėmesį į preliminarias tyrimo AT.40670 „Google reklamos technologijos ir su duomenimis susijusi praktika“ (angl. </w:t>
            </w:r>
            <w:r w:rsidRPr="00CD3F77">
              <w:rPr>
                <w:b/>
              </w:rPr>
              <w:t>Google – Adtech and Data-related practices</w:t>
            </w:r>
            <w:r w:rsidRPr="00CD3F77">
              <w:rPr>
                <w:b/>
                <w:i/>
              </w:rPr>
              <w:t>) išvadas ir palankiai vertina tai, jog nustatyta, kad privalomas turto perleidimas yra proporcinga ir veiksminga priemonė, kuria siekiama išspręsti Google reklamos technologijų verslui būdingą interesų konfliktą;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183</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10b.</w:t>
            </w:r>
            <w:r w:rsidRPr="00CD3F77">
              <w:tab/>
            </w:r>
            <w:r w:rsidRPr="00CD3F77">
              <w:rPr>
                <w:b/>
                <w:i/>
              </w:rPr>
              <w:t>pabrėžia, kad Skaitmeninių rinkų aktai ir Skaitmeninių paslaugų aktas yra esminiai žingsniai siekiant suderintos, sąžiningos ir konkurencingos bendrosios skaitmeninės rinkos; prašo Komisijos užtikrinti, kad šie aktai būtų visapusiškai įgyvendinami ir kad šiai užduočiai atlikti būtų skirta pakankamai Komisijos darbuotojų ir išteklių;</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10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10c.</w:t>
            </w:r>
            <w:r w:rsidRPr="00CD3F77">
              <w:tab/>
            </w:r>
            <w:r w:rsidRPr="00CD3F77">
              <w:rPr>
                <w:b/>
                <w:i/>
              </w:rPr>
              <w:t>pripažįsta, kad emitentai, investuotojai ir pensijų kaupėjai patiria žalą dėl to, kad kapitalo rinkų infrastruktūroje naudojamasi rinkos galia ir trūksta konkurencijos, o tai mažina bendrą veiksmingumą ir didina sąnaudas;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11.</w:t>
            </w:r>
            <w:r w:rsidRPr="00CD3F77">
              <w:tab/>
            </w:r>
            <w:r w:rsidRPr="00CD3F77">
              <w:rPr>
                <w:b/>
                <w:i/>
              </w:rPr>
              <w:t>pripažįsta, kad yra nustatytas struktūrinių taisomųjų priemonių, skirtų kovai su piktnaudžiavimu dominuojančia padėtimi rinkoje, teisinis pagrindas; apgailestauja dėl Komisijos nenoro spręsti dominavimo rinkoje problemą struktūrinėmis taisomosiomis priemonėmis; pakartoja savo raginimą geriau naudotis struktūrinėmis taisomosiomis priemonėmis ir nebeteikti pirmenybės elgesio taisomosioms priemonėms;</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Enikő Győri, Auke Zijlstra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11.</w:t>
            </w:r>
            <w:r w:rsidRPr="00CD3F77">
              <w:tab/>
            </w:r>
            <w:r w:rsidRPr="00CD3F77">
              <w:rPr>
                <w:b/>
                <w:i/>
              </w:rPr>
              <w:t>pripažįsta, kad yra nustatytas struktūrinių taisomųjų priemonių, skirtų kovai su piktnaudžiavimu dominuojančia padėtimi rinkoje, teisinis pagrindas; apgailestauja dėl Komisijos nenoro spręsti dominavimo rinkoje problemą struktūrinėmis taisomosiomis priemonėmis; pakartoja savo raginimą geriau naudotis struktūrinėmis taisomosiomis priemonėmis ir nebeteikti pirmenybės elgesio taisomosioms priemonėms;</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11.</w:t>
            </w:r>
            <w:r w:rsidRPr="00CD3F77">
              <w:tab/>
              <w:t>pripažįsta, kad yra nustatytas struktūrinių taisomųjų priemonių, skirtų kovai su piktnaudžiavimu dominuojančia padėtimi rinkoje, teisinis pagrindas; apgailestauja dėl Komisijos nenoro spręsti dominavimo rinkoje problemą struktūrinėmis taisomosiomis priemonėmis; pakartoja savo raginimą geriau naudotis struktūrinėmis taisomosiomis priemonėmis ir nebeteikti pirmenybės elgesio taisomosioms priemonėms;</w:t>
            </w:r>
          </w:p>
        </w:tc>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struktūrinių taisomųjų priemonių, skirtų kovai su piktnaudžiavimu dominuojančia padėtimi rinkoje, teisinis pagrindas; apgailestauja dėl Komisijos nenoro spręsti dominavimo rinkoje problemą struktūrinėmis taisomosiomis priemonėmis </w:t>
            </w:r>
            <w:r w:rsidRPr="00CD3F77">
              <w:rPr>
                <w:b/>
                <w:i/>
              </w:rPr>
              <w:t>ir tikisi didesnio jos ryžtingumo</w:t>
            </w:r>
            <w:r w:rsidRPr="00CD3F77">
              <w:t xml:space="preserve">; pakartoja savo raginimą geriau naudotis struktūrinėmis taisomosiomis priemonėmis ir nebeteikti pirmenybės elgesio taisomosioms priemonėms; </w:t>
            </w:r>
            <w:r w:rsidRPr="00CD3F77">
              <w:rPr>
                <w:b/>
                <w:i/>
              </w:rPr>
              <w:t>ragina Komisiją tokiais atvejais pirmenybę teikti struktūrinėms priemonėms, o ne trumpalaikėms elgesio taisomosioms priemonėms, taip užtikrinant didesnį konkurencijos teisės aktų veiksmingumą;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188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struktūrinių taisomųjų priemonių, skirtų kovai su piktnaudžiavimu dominuojančia padėtimi rinkoje, teisinis pagrindas; </w:t>
            </w:r>
            <w:r w:rsidRPr="00CD3F77">
              <w:rPr>
                <w:b/>
                <w:i/>
              </w:rPr>
              <w:t>apgailestauja dėl Komisijos nenoro spręsti dominavimo rinkoje problemą struktūrinėmis taisomosiomis priemonėmis; pakartoja savo raginimą geriau naudotis struktūrinėmis taisomosiomis priemonėmis ir nebeteikti pirmenybės elgesio taisomosioms priemonėms;</w:t>
            </w:r>
          </w:p>
        </w:tc>
        <w:tc>
          <w:tcPr>
            <w:tcW w:w="4876" w:type="dxa"/>
            <w:tcBorders>
              <w:top w:val="nil"/>
              <w:left w:val="nil"/>
              <w:bottom w:val="nil"/>
              <w:right w:val="nil"/>
            </w:tcBorders>
          </w:tcPr>
          <w:p w:rsidR="009517E4" w:rsidRPr="00CD3F77" w:rsidRDefault="009517E4" w:rsidP="009517E4">
            <w:pPr>
              <w:pStyle w:val="Normal6a"/>
            </w:pPr>
            <w:r w:rsidRPr="00CD3F77">
              <w:t>11.</w:t>
            </w:r>
            <w:r w:rsidRPr="00CD3F77">
              <w:tab/>
              <w:t>pripažįsta, kad yra nustatytas struktūrinių taisomųjų priemonių, skirtų kovai su piktnaudžiavimu dominuojančia padėtimi rinkoje, teisinis pagrindas;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189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struktūrinių taisomųjų priemonių, skirtų kovai su piktnaudžiavimu dominuojančia padėtimi rinkoje, teisinis pagrindas; </w:t>
            </w:r>
            <w:r w:rsidRPr="00CD3F77">
              <w:rPr>
                <w:b/>
                <w:bCs/>
                <w:i/>
                <w:iCs/>
              </w:rPr>
              <w:t>apgailestauja dėl Komisijos nenoro spręsti dominavimo rinkoje problemą struktūrinėmis taisomosiomis priemonėmis;</w:t>
            </w:r>
            <w:r w:rsidRPr="00CD3F77">
              <w:rPr>
                <w:b/>
                <w:i/>
              </w:rPr>
              <w:t xml:space="preserve"> </w:t>
            </w:r>
            <w:r w:rsidRPr="00CD3F77">
              <w:rPr>
                <w:b/>
                <w:bCs/>
                <w:i/>
                <w:iCs/>
              </w:rPr>
              <w:t>pakartoja savo raginimą geriau naudotis struktūrinėmis taisomosiomis priemonėmis ir nebeteikti pirmenybės elgesio taisomosioms priemonėms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struktūrinių taisomųjų priemonių, skirtų kovai su piktnaudžiavimu dominuojančia padėtimi rinkoje, teisinis pagrindas; </w:t>
            </w:r>
            <w:r w:rsidRPr="00CD3F77">
              <w:rPr>
                <w:b/>
                <w:bCs/>
                <w:i/>
                <w:iCs/>
              </w:rPr>
              <w:t>palankiai vertina pastarojo meto pokyčius, kai Komisija, esant tam tikroms sąlygoms, apsvarstė struktūrines taisomąsias priemones, kuriomis siekiama kovoti su pasikartojančia antikonkurencine praktika, ir ragina toliau dėti pastangas, kad prireikus būtų sustiprintas jų taikymas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struktūrinių taisomųjų priemonių, skirtų kovai su piktnaudžiavimu dominuojančia padėtimi rinkoje, teisinis pagrindas; </w:t>
            </w:r>
            <w:r w:rsidRPr="00CD3F77">
              <w:rPr>
                <w:b/>
                <w:i/>
              </w:rPr>
              <w:t xml:space="preserve">apgailestauja dėl Komisijos nenoro spręsti dominavimo rinkoje problemą struktūrinėmis taisomosiomis priemonėmis; </w:t>
            </w:r>
            <w:r w:rsidRPr="00CD3F77">
              <w:rPr>
                <w:b/>
                <w:bCs/>
                <w:i/>
                <w:iCs/>
              </w:rPr>
              <w:t>pakartoja savo raginimą geriau naudotis struktūrinėmis taisomosiomis priemonėmis ir nebeteikti pirmenybės elgesio taisomosioms priemonėms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struktūrinių taisomųjų priemonių, skirtų kovai su piktnaudžiavimu dominuojančia padėtimi rinkoje, teisinis pagrindas; </w:t>
            </w:r>
            <w:r w:rsidRPr="00CD3F77">
              <w:rPr>
                <w:b/>
                <w:bCs/>
                <w:i/>
                <w:iCs/>
              </w:rPr>
              <w:t>pabrėžia, kad struktūrinės priemonės turėtų būti taikomos tik kaip kraštutinė priemonė ir tik tuo atveju, jei elgesio taisomosios priemonės pasirodė esančios neveiksmingos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w:t>
            </w:r>
            <w:r w:rsidRPr="00CD3F77">
              <w:rPr>
                <w:b/>
                <w:bCs/>
                <w:i/>
                <w:iCs/>
              </w:rPr>
              <w:t>struktūrinių</w:t>
            </w:r>
            <w:r w:rsidRPr="00CD3F77">
              <w:t xml:space="preserve"> taisomųjų priemonių, skirtų kovai su piktnaudžiavimu dominuojančia padėtimi rinkoje, teisinis pagrindas; apgailestauja dėl Komisijos nenoro spręsti dominavimo rinkoje problemą </w:t>
            </w:r>
            <w:r w:rsidRPr="00CD3F77">
              <w:rPr>
                <w:b/>
                <w:bCs/>
                <w:i/>
                <w:iCs/>
              </w:rPr>
              <w:t>struktūrinėmis</w:t>
            </w:r>
            <w:r w:rsidRPr="00CD3F77">
              <w:t xml:space="preserve"> taisomosiomis priemonėmis; pakartoja savo raginimą geriau naudotis struktūrinėmis taisomosiomis priemonėmis ir nebeteikti pirmenybės elgesio taisomosioms priemonėms;</w:t>
            </w:r>
          </w:p>
        </w:tc>
        <w:tc>
          <w:tcPr>
            <w:tcW w:w="4876" w:type="dxa"/>
            <w:tcBorders>
              <w:top w:val="nil"/>
              <w:left w:val="nil"/>
              <w:bottom w:val="nil"/>
              <w:right w:val="nil"/>
            </w:tcBorders>
          </w:tcPr>
          <w:p w:rsidR="009517E4" w:rsidRPr="00CD3F77" w:rsidRDefault="009517E4" w:rsidP="009517E4">
            <w:pPr>
              <w:pStyle w:val="Normal6a"/>
            </w:pPr>
            <w:r w:rsidRPr="00CD3F77">
              <w:t>11.</w:t>
            </w:r>
            <w:r w:rsidRPr="00CD3F77">
              <w:tab/>
              <w:t xml:space="preserve">pripažįsta, kad yra nustatytas </w:t>
            </w:r>
            <w:r w:rsidRPr="00CD3F77">
              <w:rPr>
                <w:b/>
                <w:bCs/>
                <w:i/>
                <w:iCs/>
              </w:rPr>
              <w:t>elgesio</w:t>
            </w:r>
            <w:r w:rsidRPr="00CD3F77">
              <w:t xml:space="preserve"> taisomųjų priemonių, skirtų kovai su piktnaudžiavimu dominuojančia padėtimi rinkoje, teisinis pagrindas; apgailestauja dėl Komisijos nenoro spręsti dominavimo rinkoje problemą </w:t>
            </w:r>
            <w:r w:rsidRPr="00CD3F77">
              <w:rPr>
                <w:b/>
                <w:bCs/>
                <w:i/>
                <w:iCs/>
              </w:rPr>
              <w:t>atskiroms valstybėms narėms skirtomis elgesio</w:t>
            </w:r>
            <w:r w:rsidRPr="00CD3F77">
              <w:t xml:space="preserve"> taisomosiomis priemonėmis; pakartoja savo raginimą geriau naudotis struktūrinėmis taisomosiomis priemonėmis ir nebeteikti pirmenybės elgesio taisomosioms priemonėms;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11a.</w:t>
            </w:r>
            <w:r w:rsidRPr="00CD3F77">
              <w:tab/>
            </w:r>
            <w:r w:rsidRPr="00CD3F77">
              <w:rPr>
                <w:b/>
                <w:i/>
              </w:rPr>
              <w:t xml:space="preserve">pabrėžia svarbų Europos konkurencijos tinklo (EKT) vaidmenį; ragina Komisiją siekti nuolatinio konstruktyvaus dialogo ir bendradarbiavimo tarptautiniu lygmeniu; pabrėžia, kad reikia stiprinti antimonopolinių taisyklių ir kitų sektorių reguliavimo institucijų, pvz., institucijų, sprendžiančių duomenų privatumo klausimus, bendradarbiavimą, kad būtų kontroliuojamas netinkamas įmonių naudojimasis duomenimis ir neleidžiama įmonėms naudotis vartotojų duomenimis </w:t>
            </w:r>
            <w:r w:rsidRPr="00CD3F77">
              <w:rPr>
                <w:b/>
                <w:i/>
              </w:rPr>
              <w:lastRenderedPageBreak/>
              <w:t>siekiant įgyti nesąžiningą konkurencinį pranašumą;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11a.</w:t>
            </w:r>
            <w:r w:rsidRPr="00CD3F77">
              <w:tab/>
            </w:r>
            <w:r w:rsidRPr="00CD3F77">
              <w:rPr>
                <w:b/>
                <w:i/>
              </w:rPr>
              <w:t>ragina Komisiją plačiau taikyti laikinąsias priemones, kad būtų sustabdyta bet kokia praktika, galinti daryti didelę žalą konkurencijai, visų pirma kiek tai susiję su dinamiškomis ir sparčiai besivystančiomis rinkomis, pvz., skaitmeninėmis rinkomis;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11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11b.</w:t>
            </w:r>
            <w:r w:rsidRPr="00CD3F77">
              <w:tab/>
            </w:r>
            <w:r w:rsidRPr="00CD3F77">
              <w:rPr>
                <w:b/>
                <w:i/>
              </w:rPr>
              <w:t>ragina Komisiją daugiau naudotis papildomomis įrodinėjimo priemonėmis, pvz., įžvalgomis apie elgseną ir finansine analize, ir labiau pasitelkti duomenų, kompiuterių ir dirbtinio intelekto mokslininkus ir elgsenos ekonomistus konkurencijos teisės aktų taikymo užtikrinimo srityje;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195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12.</w:t>
            </w:r>
            <w:r w:rsidRPr="00CD3F77">
              <w:tab/>
            </w:r>
            <w:r w:rsidRPr="00CD3F77">
              <w:rPr>
                <w:b/>
                <w:i/>
              </w:rPr>
              <w:t>palankiai vertina tai, kad naujoji Komisija pirmenybę teikia būstui; ragina Komisiją įvertinti, kokį poveikį ES konkurencijos principai daro visuotinės ekonominės svarbos paslaugų teikimui; ragina persvarstyti visuotinės ekonominės svarbos paslaugų taikymo sritį, kad išimtis įperkamam būstui būtų taikoma ir vidutines pajamas gaunantiems namų ūkiams; ragina Komisiją įvertinti visuotinės svarbos socialinių paslaugų padėtį;</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12.</w:t>
            </w:r>
            <w:r w:rsidRPr="00CD3F77">
              <w:tab/>
              <w:t>palankiai vertina tai, kad naujoji Komisija pirmenybę teikia būstui</w:t>
            </w:r>
            <w:r w:rsidRPr="00CD3F77">
              <w:rPr>
                <w:b/>
                <w:i/>
              </w:rPr>
              <w:t>; ragina Komisiją įvertinti, kokį poveikį ES konkurencijos principai daro visuotinės ekonominės svarbos paslaugų teikimui; ragina persvarstyti visuotinės ekonominės svarbos paslaugų taikymo sritį, kad išimtis įperkamam būstui būtų taikoma ir vidutines pajamas gaunantiems namų ūkiams; ragina Komisiją įvertinti visuotinės svarbos socialinių paslaugų padėtį</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12.</w:t>
            </w:r>
            <w:r w:rsidRPr="00CD3F77">
              <w:tab/>
              <w:t>palankiai vertina tai, kad naujoji Komisija pirmenybę teikia būstui</w:t>
            </w:r>
            <w:r w:rsidRPr="00CD3F77">
              <w:rPr>
                <w:b/>
                <w:bCs/>
                <w:i/>
                <w:iCs/>
              </w:rPr>
              <w:t>, bet atsižvelgdamas į tai primena apie subsidiarumo principą ir tai, kad būtina paisyti valstybių narių, regionų, miestų ir savivaldybių kompetencijos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197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12.</w:t>
            </w:r>
            <w:r w:rsidRPr="00CD3F77">
              <w:tab/>
              <w:t xml:space="preserve">palankiai vertina tai, kad naujoji Komisija pirmenybę teikia būstui; ragina Komisiją įvertinti, kokį poveikį ES konkurencijos principai daro </w:t>
            </w:r>
            <w:r w:rsidRPr="00CD3F77">
              <w:rPr>
                <w:b/>
                <w:bCs/>
                <w:i/>
                <w:iCs/>
              </w:rPr>
              <w:t xml:space="preserve">visuotinės ekonominės svarbos </w:t>
            </w:r>
            <w:r w:rsidRPr="00CD3F77">
              <w:t>paslaugų teikimui</w:t>
            </w:r>
            <w:r w:rsidRPr="00CD3F77">
              <w:rPr>
                <w:b/>
                <w:bCs/>
                <w:i/>
                <w:iCs/>
              </w:rPr>
              <w:t>;</w:t>
            </w:r>
            <w:r w:rsidRPr="00CD3F77">
              <w:rPr>
                <w:b/>
                <w:i/>
              </w:rPr>
              <w:t xml:space="preserve"> </w:t>
            </w:r>
            <w:r w:rsidRPr="00CD3F77">
              <w:rPr>
                <w:b/>
                <w:bCs/>
                <w:i/>
                <w:iCs/>
              </w:rPr>
              <w:t>ragina persvarstyti visuotinės ekonominės svarbos paslaugų taikymo sritį, kad išimtis įperkamam būstui būtų taikoma ir vidutines pajamas gaunantiems namų ūkiams</w:t>
            </w:r>
            <w:r w:rsidRPr="00CD3F77">
              <w:t xml:space="preserve">; </w:t>
            </w:r>
            <w:r w:rsidRPr="00CD3F77">
              <w:rPr>
                <w:b/>
                <w:i/>
              </w:rPr>
              <w:t>ragina Komisiją įvertinti visuotinės svarbos socialinių paslaugų padėtį;</w:t>
            </w:r>
          </w:p>
        </w:tc>
        <w:tc>
          <w:tcPr>
            <w:tcW w:w="4876" w:type="dxa"/>
            <w:tcBorders>
              <w:top w:val="nil"/>
              <w:left w:val="nil"/>
              <w:bottom w:val="nil"/>
              <w:right w:val="nil"/>
            </w:tcBorders>
          </w:tcPr>
          <w:p w:rsidR="009517E4" w:rsidRPr="00CD3F77" w:rsidRDefault="009517E4" w:rsidP="009517E4">
            <w:pPr>
              <w:pStyle w:val="Normal6a"/>
            </w:pPr>
            <w:r w:rsidRPr="00CD3F77">
              <w:t>12.</w:t>
            </w:r>
            <w:r w:rsidRPr="00CD3F77">
              <w:tab/>
              <w:t xml:space="preserve">palankiai vertina tai, kad naujoji Komisija pirmenybę teikia būstui; ragina Komisiją įvertinti, kokį poveikį ES konkurencijos principai daro </w:t>
            </w:r>
            <w:r w:rsidRPr="00CD3F77">
              <w:rPr>
                <w:b/>
                <w:bCs/>
                <w:i/>
                <w:iCs/>
              </w:rPr>
              <w:t>būsto</w:t>
            </w:r>
            <w:r w:rsidRPr="00CD3F77">
              <w:t xml:space="preserve"> paslaugų teikimui;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12.</w:t>
            </w:r>
            <w:r w:rsidRPr="00CD3F77">
              <w:tab/>
              <w:t xml:space="preserve">palankiai vertina tai, kad naujoji Komisija pirmenybę teikia būstui; ragina Komisiją įvertinti, kokį poveikį ES konkurencijos principai daro visuotinės ekonominės svarbos paslaugų teikimui; </w:t>
            </w:r>
            <w:r w:rsidRPr="00CD3F77">
              <w:rPr>
                <w:b/>
                <w:i/>
              </w:rPr>
              <w:t>ragina persvarstyti visuotinės ekonominės svarbos paslaugų taikymo sritį, kad išimtis įperkamam būstui būtų taikoma ir vidutines pajamas gaunantiems namų ūkiams; ragina Komisiją įvertinti visuotinės svarbos socialinių paslaugų padėtį;</w:t>
            </w:r>
          </w:p>
        </w:tc>
        <w:tc>
          <w:tcPr>
            <w:tcW w:w="4876" w:type="dxa"/>
            <w:tcBorders>
              <w:top w:val="nil"/>
              <w:left w:val="nil"/>
              <w:bottom w:val="nil"/>
              <w:right w:val="nil"/>
            </w:tcBorders>
          </w:tcPr>
          <w:p w:rsidR="009517E4" w:rsidRPr="00CD3F77" w:rsidRDefault="009517E4" w:rsidP="009517E4">
            <w:pPr>
              <w:pStyle w:val="Normal6a"/>
            </w:pPr>
            <w:r w:rsidRPr="00CD3F77">
              <w:t>12.</w:t>
            </w:r>
            <w:r w:rsidRPr="00CD3F77">
              <w:tab/>
              <w:t>palankiai vertina tai, kad naujoji Komisija pirmenybę teikia būstui; ragina Komisiją įvertinti, kokį poveikį ES konkurencijos principai daro visuotinės ekonominės svarbos paslaugų teikimui;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199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12.</w:t>
            </w:r>
            <w:r w:rsidRPr="00CD3F77">
              <w:tab/>
              <w:t xml:space="preserve">palankiai vertina tai, kad naujoji Komisija pirmenybę teikia būstui; ragina Komisiją įvertinti, kokį poveikį ES konkurencijos principai daro visuotinės ekonominės svarbos paslaugų teikimui; ragina </w:t>
            </w:r>
            <w:r w:rsidRPr="00CD3F77">
              <w:rPr>
                <w:b/>
                <w:bCs/>
                <w:i/>
                <w:iCs/>
              </w:rPr>
              <w:t>persvarstyti visuotinės ekonominės svarbos paslaugų taikymo sritį, kad išimtis įperkamam būstui būtų taikoma ir vidutines pajamas gaunantiems namų ūkiams;</w:t>
            </w:r>
            <w:r w:rsidRPr="00CD3F77">
              <w:rPr>
                <w:b/>
                <w:i/>
              </w:rPr>
              <w:t xml:space="preserve"> </w:t>
            </w:r>
            <w:r w:rsidRPr="00CD3F77">
              <w:rPr>
                <w:b/>
                <w:bCs/>
                <w:i/>
                <w:iCs/>
              </w:rPr>
              <w:t>ragina</w:t>
            </w:r>
            <w:r w:rsidRPr="00CD3F77">
              <w:t xml:space="preserve"> Komisiją įvertinti visuotinės svarbos socialinių paslaugų padėtį;</w:t>
            </w:r>
          </w:p>
        </w:tc>
        <w:tc>
          <w:tcPr>
            <w:tcW w:w="4876" w:type="dxa"/>
            <w:tcBorders>
              <w:top w:val="nil"/>
              <w:left w:val="nil"/>
              <w:bottom w:val="nil"/>
              <w:right w:val="nil"/>
            </w:tcBorders>
          </w:tcPr>
          <w:p w:rsidR="009517E4" w:rsidRPr="00CD3F77" w:rsidRDefault="009517E4" w:rsidP="009517E4">
            <w:pPr>
              <w:pStyle w:val="Normal6a"/>
            </w:pPr>
            <w:r w:rsidRPr="00CD3F77">
              <w:t>12.</w:t>
            </w:r>
            <w:r w:rsidRPr="00CD3F77">
              <w:tab/>
              <w:t>palankiai vertina tai, kad naujoji Komisija pirmenybę teikia būstui; ragina Komisiją įvertinti, kokį poveikį ES konkurencijos principai daro visuotinės ekonominės svarbos paslaugų teikimui; ragina Komisiją įvertinti visuotinės svarbos socialinių paslaugų padėtį;</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12.</w:t>
            </w:r>
            <w:r w:rsidRPr="00CD3F77">
              <w:tab/>
              <w:t xml:space="preserve">palankiai vertina tai, kad naujoji Komisija pirmenybę teikia būstui; ragina Komisiją įvertinti, kokį poveikį ES konkurencijos principai daro visuotinės ekonominės svarbos paslaugų teikimui; ragina </w:t>
            </w:r>
            <w:r w:rsidRPr="00CD3F77">
              <w:rPr>
                <w:b/>
                <w:bCs/>
                <w:i/>
                <w:iCs/>
              </w:rPr>
              <w:t>persvarstyti visuotinės ekonominės svarbos paslaugų taikymo sritį, kad išimtis įperkamam būstui būtų taikoma ir vidutines pajamas gaunantiems namų ūkiams;</w:t>
            </w:r>
            <w:r w:rsidRPr="00CD3F77">
              <w:rPr>
                <w:b/>
                <w:i/>
              </w:rPr>
              <w:t xml:space="preserve"> </w:t>
            </w:r>
            <w:r w:rsidRPr="00CD3F77">
              <w:rPr>
                <w:b/>
                <w:bCs/>
                <w:i/>
                <w:iCs/>
              </w:rPr>
              <w:t>ragina</w:t>
            </w:r>
            <w:r w:rsidRPr="00CD3F77">
              <w:t xml:space="preserve"> Komisiją įvertinti visuotinės svarbos socialinių paslaugų padėtį;</w:t>
            </w:r>
          </w:p>
        </w:tc>
        <w:tc>
          <w:tcPr>
            <w:tcW w:w="4876" w:type="dxa"/>
            <w:tcBorders>
              <w:top w:val="nil"/>
              <w:left w:val="nil"/>
              <w:bottom w:val="nil"/>
              <w:right w:val="nil"/>
            </w:tcBorders>
          </w:tcPr>
          <w:p w:rsidR="009517E4" w:rsidRPr="00CD3F77" w:rsidRDefault="009517E4" w:rsidP="009517E4">
            <w:pPr>
              <w:pStyle w:val="Normal6a"/>
            </w:pPr>
            <w:r w:rsidRPr="00CD3F77">
              <w:t>12.</w:t>
            </w:r>
            <w:r w:rsidRPr="00CD3F77">
              <w:tab/>
              <w:t xml:space="preserve">palankiai vertina tai, kad naujoji Komisija pirmenybę teikia būstui; ragina Komisiją įvertinti, kokį poveikį ES konkurencijos principai daro visuotinės ekonominės svarbos paslaugų teikimui; ragina Komisiją įvertinti padėtį visuotinės svarbos socialinių paslaugų srityje </w:t>
            </w:r>
            <w:r w:rsidRPr="00CD3F77">
              <w:rPr>
                <w:b/>
                <w:bCs/>
                <w:i/>
                <w:iCs/>
              </w:rPr>
              <w:t>ir galimą VESP persvarstymą įperkamo būsto atžvilgiu</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Regina Doherty, Lídia Pereira, Dirk Gotink, Michalis Hadjipantela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12a.</w:t>
            </w:r>
            <w:r w:rsidRPr="00CD3F77">
              <w:tab/>
            </w:r>
            <w:r w:rsidRPr="00CD3F77">
              <w:rPr>
                <w:b/>
                <w:i/>
              </w:rPr>
              <w:t>palankiai vertina tai, kad Europos Komisija teikia pirmenybę siekiui 25 proc. sumažinti įmonėms tenkančią naštą, susijusią su teisės aktais nustatytais ataskaitų teikimo reikalavimais, o MVĮ – 35 proc.; ragina šį prioritetą įgyvendinti visuose sektoriuose; ragina visus naujus Komisijos pasiūlymus vertinti atsižvelgiant į tai, ar jais didinamas ES konkurencingumas, taip pat atlikti patikimus poveikio vertinimus;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12a.</w:t>
            </w:r>
            <w:r w:rsidRPr="00CD3F77">
              <w:tab/>
            </w:r>
            <w:r w:rsidRPr="00CD3F77">
              <w:rPr>
                <w:b/>
                <w:i/>
              </w:rPr>
              <w:t>primena, kad leidimas teikti valstybės pagalbą visuotinės ekonominės svarbos paslaugų (VESP) srityje tebėra labai svarbus kelių Europos bendruomenių išlikimui, visų pirma teikiant valstybės paramą, skirtą susisiekimo ir kitų pagrindinių paslaugų teikimui bendruomenėms, gyvenančioms izoliuotuose, atokiuose ar periferiniuose Sąjungos regionuose;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203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12a.</w:t>
            </w:r>
            <w:r w:rsidRPr="00CD3F77">
              <w:tab/>
            </w:r>
            <w:r w:rsidRPr="00CD3F77">
              <w:rPr>
                <w:b/>
                <w:i/>
              </w:rPr>
              <w:t>palankiai vertina būsimą Viešųjų pirkimų direktyvos persvarstymą; ragina Komisiją modernizuoti viešojo pirkimo taisykles, kad jomis būtų padedama skatinti žaliąją ir skaitmeninę pramonę; ragina Komisiją atsižvelgti į viešojo pirkimo taisyklių tvarumo ir suverenumo kriterijus, kad būtų skatinama Europoje pagamintų prekių gamyba;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12a.</w:t>
            </w:r>
            <w:r w:rsidRPr="00CD3F77">
              <w:tab/>
            </w:r>
            <w:r w:rsidRPr="00CD3F77">
              <w:rPr>
                <w:b/>
                <w:i/>
              </w:rPr>
              <w:t>ragina pripažinti valstybių narių ir Sąjungos ekonominių interesų viršenybę prieš norminius reikalavimus tais atvejais, kai dėl jų prieštaravimo vienas kitam kyla rimtas pavojus valstybių narių ir Sąjungos ekonominiams interesams, kaip matyti iš dabartinės mūsų automobilių pramonės krizės;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lastRenderedPageBreak/>
        <w:t>&lt;Article&gt;</w:t>
      </w:r>
      <w:r w:rsidRPr="00CD3F77">
        <w:t>12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12a.</w:t>
            </w:r>
            <w:r w:rsidRPr="00CD3F77">
              <w:tab/>
            </w:r>
            <w:r w:rsidRPr="00CD3F77">
              <w:rPr>
                <w:b/>
                <w:i/>
              </w:rPr>
              <w:t>ragina Komisiją paskelbti aiškias viešas gaires, kaip įmonės gali bendradarbiauti ir dalyvauti bendruose viešuosiuose pirkimuose nepažeisdamos konkurencijos taisyklių, visų pirma dėl bendradarbiavimo siekiant aplinkosaugos ir tvarumo tikslų;</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12a.</w:t>
            </w:r>
            <w:r w:rsidRPr="00CD3F77">
              <w:tab/>
            </w:r>
            <w:r w:rsidRPr="00CD3F77">
              <w:rPr>
                <w:b/>
                <w:i/>
              </w:rPr>
              <w:t>pabrėžia, kad valstybės pagalba neturėtų būti valstybės turto perdavimas privatiems akcininkams; ragina uždrausti valstybės pagalbą gaunančiose įmonėse mokėti dividendus akcininkams ir premijas vyresniajai vadovybei;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12b.</w:t>
            </w:r>
            <w:r w:rsidRPr="00CD3F77">
              <w:tab/>
            </w:r>
            <w:r w:rsidRPr="00CD3F77">
              <w:rPr>
                <w:b/>
                <w:i/>
              </w:rPr>
              <w:t xml:space="preserve">pabrėžia, kad valstybės pagalbos tikslas – ne tenkinti privačius įmonių interesus, o remti ir nukreipti tvarią pramonės plėtrą viešojo intereso labui; ragina valstybes nares valstybės pagalbos teikimą susieti su socialinėmis sąlygomis, </w:t>
            </w:r>
            <w:r w:rsidRPr="00CD3F77">
              <w:rPr>
                <w:b/>
                <w:i/>
              </w:rPr>
              <w:lastRenderedPageBreak/>
              <w:t>kad būtų skatinamos geros darbo sąlygos ir geras darbo užmokestis, dalyvavimas darbo rinkoje ir teisės į kolektyvines derybas, taip pat naujų darbo vietų išsaugojimas ir kūrimas bei pameistrystė;</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12b.</w:t>
            </w:r>
            <w:r w:rsidRPr="00CD3F77">
              <w:tab/>
            </w:r>
            <w:r w:rsidRPr="00CD3F77">
              <w:rPr>
                <w:b/>
                <w:i/>
              </w:rPr>
              <w:t>atkreipia dėmesį į neseniai priimtą Europos Sąjungos Teisingumo Teismo sprendimą, kuriame konstatuojama, kad Estija neperkėlė EKT+ direktyvos į nacionalinę teisę; ragina Estiją visiškai perkelti EKT+ direktyvą į nacionalinę teisę; ragina visas valstybes nares užtikrinti tinkamą šios direktyvos įgyvendinimą;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209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12c.</w:t>
            </w:r>
            <w:r w:rsidRPr="00CD3F77">
              <w:tab/>
            </w:r>
            <w:r w:rsidRPr="00CD3F77">
              <w:rPr>
                <w:b/>
                <w:i/>
              </w:rPr>
              <w:t>ragina valstybes nares valstybės pagalbos teikimą susieti su aplinkos apsaugos sąlygomis, kad būtų skatinama nulinio išmetamųjų teršalų kiekio ekonomika be atliekų bei biologinės įvairovės išsaugojimas;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12 d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12d.</w:t>
            </w:r>
            <w:r w:rsidRPr="00CD3F77">
              <w:tab/>
            </w:r>
            <w:r w:rsidRPr="00CD3F77">
              <w:rPr>
                <w:b/>
                <w:i/>
              </w:rPr>
              <w:t>apgailestauja dėl Komisijos nuodugnaus valstybės pagalbos taisyklių tyrimo, kurį ji atliko viešųjų krovinių vežimo geležinkeliais operatorių „Fret SNCF“ ir „DB Cargo“ atveju; apgailestauja dėl to, kad atliekant tyrimus daromas spaudimas operatoriams įgyvendinti restruktūrizavimo planus, kurie reiškia veiklos apimties ir sąnaudų mažinimą, kad būtų laikomasi rinkos logikos, nors krovinių vežimas turėtų būti viešoji paslauga; apgailestauja dėl to, kad atlikus restruktūrizavimą Vokietijoje ir Prancūzijoje buvo prarasta šimtai darbo vietų; ragina Komisiją konsultuotis su profesinėmis sąjungomis ir tokiais atvejais užtikrinti darbuotojų teises; primena Komisijai tikslus, nustatytus Darnaus ir išmanaus judumo strategijoje pagal Europos žaliąjį kursą, kuria siekiama iki 2050 m. padvigubinti krovinių vežimą geležinkeliais ir 90 proc. sumažinti bendrą transporto sektoriaus išmetamų teršalų kiekį; pabrėžia, kad konkurencijos politika neturėtų riboti pažangos pereinant prie žaliosios ekonomikos, kuriai krovinių vežimas geležinkeliais yra labai svarbus; dėl šių priežasčių ragina reformuoti konkurencijos taisykles;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lastRenderedPageBreak/>
        <w:t>&lt;Article&gt;</w:t>
      </w:r>
      <w:r w:rsidRPr="00CD3F77">
        <w:t>13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13.</w:t>
            </w:r>
            <w:r w:rsidRPr="00CD3F77">
              <w:tab/>
            </w:r>
            <w:r w:rsidRPr="00CD3F77">
              <w:rPr>
                <w:b/>
                <w:i/>
              </w:rPr>
              <w:t>susirūpinęs atkreipia dėmesį į Bendrojo Teismo pateiktą EB susijungimų reglamento 22 straipsnio aiškinimą byloje C-611/22 P (</w:t>
            </w:r>
            <w:r w:rsidRPr="00CD3F77">
              <w:rPr>
                <w:b/>
              </w:rPr>
              <w:t>Illumina prieš Komisiją</w:t>
            </w:r>
            <w:r w:rsidRPr="00CD3F77">
              <w:rPr>
                <w:b/>
                <w:i/>
              </w:rPr>
              <w:t>), kuriuo panaikinamas Komisijos sprendimas priimti prašymus patikrinti sandorius, apie kuriuos nereikia pranešti; pripažįsta, kad pagal EB susijungimų reglamentą Komisija neturi pakankamai priemonių destrukcinių įsigijimų problemai spręsti; yra tvirtai įsitikinęs, kad dėl susijungimų sprendimų poveikio bendrajai rinkai į EB susijungimų reglamentą reikia įtraukti bendrosios rinkos teisinį pagrindą, kad būtų visapusiškai įtraukti teisės aktų leidėjai, panašiai kaip ir Skaitmeninių rinkų akto atveju; ragina Komisiją paraginti valstybes nares, kurios turi atitinkamą jurisdikciją arba gali jos reikalauti, peržiūrėti galimus destrukcinius įsigijimus, vadovaujantis savo nacionaliniais susijungimų kontrolės įstatymais, ir toliau teikti prašymus tikrinti šiuos susitarimus pagal EB susijungimų reglamento 22 straipsnį;</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13.</w:t>
            </w:r>
            <w:r w:rsidRPr="00CD3F77">
              <w:tab/>
              <w:t xml:space="preserve">susirūpinęs atkreipia dėmesį į Bendrojo Teismo pateiktą EB susijungimų reglamento 22 straipsnio aiškinimą byloje C-611/22 P (Illumina prieš Komisiją), kuriuo panaikinamas Komisijos sprendimas priimti prašymus patikrinti </w:t>
            </w:r>
            <w:r w:rsidRPr="00CD3F77">
              <w:lastRenderedPageBreak/>
              <w:t>sandorius, apie kuriuos nereikia pranešti; pripažįsta, kad pagal EB susijungimų reglamentą Komisija neturi pakankamai priemonių destrukcinių įsigijimų problemai spręsti; yra tvirtai įsitikinęs, kad dėl susijungimų sprendimų poveikio bendrajai rinkai į EB susijungimų reglamentą reikia įtraukti bendrosios rinkos teisinį pagrindą, kad būtų visapusiškai įtraukti teisės aktų leidėjai, panašiai kaip ir Skaitmeninių rinkų akto atveju; ragina Komisiją paraginti valstybes nares, kurios turi atitinkamą jurisdikciją arba gali jos reikalauti, peržiūrėti galimus destrukcinius įsigijimus, vadovaujantis savo nacionaliniais susijungimų kontrolės įstatymais, ir toliau teikti prašymus tikrinti šiuos susitarimus pagal EB susijungimų reglamento 22 straipsnį;</w:t>
            </w:r>
          </w:p>
        </w:tc>
        <w:tc>
          <w:tcPr>
            <w:tcW w:w="4876" w:type="dxa"/>
            <w:tcBorders>
              <w:top w:val="nil"/>
              <w:left w:val="nil"/>
              <w:bottom w:val="nil"/>
              <w:right w:val="nil"/>
            </w:tcBorders>
          </w:tcPr>
          <w:p w:rsidR="009517E4" w:rsidRPr="00CD3F77" w:rsidRDefault="009517E4" w:rsidP="009517E4">
            <w:pPr>
              <w:pStyle w:val="Normal6a"/>
            </w:pPr>
            <w:r w:rsidRPr="00CD3F77">
              <w:lastRenderedPageBreak/>
              <w:t>13.</w:t>
            </w:r>
            <w:r w:rsidRPr="00CD3F77">
              <w:tab/>
              <w:t xml:space="preserve">susirūpinęs atkreipia dėmesį į Bendrojo Teismo pateiktą EB susijungimų reglamento 22 straipsnio aiškinimą byloje C-611/22 P (Illumina prieš Komisiją), kuriuo panaikinamas Komisijos sprendimas priimti prašymus patikrinti </w:t>
            </w:r>
            <w:r w:rsidRPr="00CD3F77">
              <w:lastRenderedPageBreak/>
              <w:t xml:space="preserve">sandorius, apie kuriuos nereikia pranešti; pripažįsta, kad pagal EB susijungimų reglamentą Komisija neturi pakankamai priemonių destrukcinių įsigijimų problemai spręsti; yra tvirtai įsitikinęs, kad dėl susijungimų sprendimų poveikio bendrajai rinkai į EB susijungimų reglamentą reikia įtraukti bendrosios rinkos teisinį pagrindą, kad būtų visapusiškai įtraukti teisės aktų leidėjai, panašiai kaip ir Skaitmeninių rinkų akto atveju; ragina Komisiją paraginti valstybes nares, kurios turi atitinkamą jurisdikciją arba gali jos reikalauti, peržiūrėti galimus destrukcinius įsigijimus, vadovaujantis savo nacionaliniais susijungimų kontrolės įstatymais, ir toliau teikti prašymus tikrinti šiuos susitarimus pagal EB susijungimų reglamento 22 straipsnį; </w:t>
            </w:r>
            <w:r w:rsidRPr="00CD3F77">
              <w:rPr>
                <w:b/>
                <w:i/>
              </w:rPr>
              <w:t>ragina Komisiją išnagrinėti galimybę persvarstyti Reglamentą Nr. 139/2004, kad būtų galima nagrinėti susijungimus, kurie neperžengia ES ar nacionalinių ribų, neatsižvelgiant į susijusius sektorius;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13.</w:t>
            </w:r>
            <w:r w:rsidRPr="00CD3F77">
              <w:tab/>
            </w:r>
            <w:r w:rsidRPr="00CD3F77">
              <w:rPr>
                <w:b/>
                <w:bCs/>
                <w:i/>
                <w:iCs/>
              </w:rPr>
              <w:t>susirūpinęs</w:t>
            </w:r>
            <w:r w:rsidRPr="00CD3F77">
              <w:t xml:space="preserve"> atkreipia dėmesį į Bendrojo Teismo pateiktą EB susijungimų reglamento 22 straipsnio aiškinimą byloje C-611/22 P (</w:t>
            </w:r>
            <w:r w:rsidRPr="00CD3F77">
              <w:rPr>
                <w:i/>
                <w:iCs/>
              </w:rPr>
              <w:t>Illumina prieš Komisiją</w:t>
            </w:r>
            <w:r w:rsidRPr="00CD3F77">
              <w:t xml:space="preserve">), kuriuo panaikinamas Komisijos sprendimas priimti prašymus patikrinti sandorius, apie kuriuos nereikia pranešti; </w:t>
            </w:r>
            <w:r w:rsidRPr="00CD3F77">
              <w:rPr>
                <w:b/>
                <w:bCs/>
                <w:i/>
                <w:iCs/>
              </w:rPr>
              <w:t xml:space="preserve">pripažįsta, kad pagal EB susijungimų reglamentą Komisija neturi pakankamai priemonių destrukcinių įsigijimų </w:t>
            </w:r>
            <w:r w:rsidRPr="00CD3F77">
              <w:rPr>
                <w:b/>
                <w:bCs/>
                <w:i/>
                <w:iCs/>
              </w:rPr>
              <w:lastRenderedPageBreak/>
              <w:t>problemai spręsti;</w:t>
            </w:r>
            <w:r w:rsidRPr="00CD3F77">
              <w:rPr>
                <w:b/>
                <w:i/>
              </w:rPr>
              <w:t xml:space="preserve"> </w:t>
            </w:r>
            <w:r w:rsidRPr="00CD3F77">
              <w:rPr>
                <w:b/>
                <w:bCs/>
                <w:i/>
                <w:iCs/>
              </w:rPr>
              <w:t>yra tvirtai įsitikinęs, kad dėl susijungimų sprendimų poveikio bendrajai rinkai į EB susijungimų reglamentą reikia įtraukti bendrosios rinkos teisinį pagrindą, kad būtų visapusiškai įtraukti teisės aktų leidėjai, panašiai kaip ir Skaitmeninių rinkų akto atveju</w:t>
            </w:r>
            <w:r w:rsidRPr="00CD3F77">
              <w:t>; ragina Komisiją paraginti valstybes nares, kurios turi atitinkamą jurisdikciją arba gali jos reikalauti, peržiūrėti galimus destrukcinius įsigijimus, vadovaujantis savo nacionaliniais susijungimų kontrolės įstatymais</w:t>
            </w:r>
            <w:r w:rsidRPr="00CD3F77">
              <w:rPr>
                <w:b/>
                <w:bCs/>
                <w:i/>
                <w:iCs/>
              </w:rPr>
              <w:t>, ir toliau teikti prašymus tikrinti šiuos susitarimus pagal EB susijungimų reglamento 22 straipsnį</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lastRenderedPageBreak/>
              <w:t>13.</w:t>
            </w:r>
            <w:r w:rsidRPr="00CD3F77">
              <w:tab/>
              <w:t>atkreipia dėmesį į Bendrojo Teismo pateiktą EB susijungimų reglamento 22 straipsnio aiškinimą byloje C-611/22 P (</w:t>
            </w:r>
            <w:r w:rsidRPr="00CD3F77">
              <w:rPr>
                <w:i/>
                <w:iCs/>
              </w:rPr>
              <w:t>Illumina prieš Komisiją</w:t>
            </w:r>
            <w:r w:rsidRPr="00CD3F77">
              <w:t xml:space="preserve">), kuriuo panaikinamas Komisijos sprendimas priimti prašymus patikrinti sandorius, apie kuriuos nereikia pranešti; </w:t>
            </w:r>
            <w:r w:rsidRPr="00CD3F77">
              <w:rPr>
                <w:b/>
                <w:bCs/>
                <w:i/>
                <w:iCs/>
              </w:rPr>
              <w:t xml:space="preserve">pabrėžia, kad Komisija visada turėtų laikytis teisminių išaiškinimų, pateiktų konkurencijos bylose priimtuose sprendimuose, kad </w:t>
            </w:r>
            <w:r w:rsidRPr="00CD3F77">
              <w:rPr>
                <w:b/>
                <w:bCs/>
                <w:i/>
                <w:iCs/>
              </w:rPr>
              <w:lastRenderedPageBreak/>
              <w:t>nebūtų dar labiau pakenkta veiksmingumui, nuspėjamumui ir teisiniam saugumui, kurie turi būti užtikrinti koncentracijos šalims, siekiant užtikrinti tinkamą ES vidaus rinkos veikimą</w:t>
            </w:r>
            <w:r w:rsidRPr="00CD3F77">
              <w:rPr>
                <w:b/>
                <w:bCs/>
                <w:i/>
                <w:iCs/>
                <w:vertAlign w:val="superscript"/>
              </w:rPr>
              <w:t>8a</w:t>
            </w:r>
            <w:r w:rsidRPr="00CD3F77">
              <w:t>; ragina Komisiją paraginti valstybes nares, kurios turi atitinkamą jurisdikciją arba gali jos reikalauti, peržiūrėti galimus destrukcinius įsigijimus, vadovaujantis savo nacionaliniais susijungimų kontrolės įstatymais;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8a</w:t>
            </w:r>
            <w:r w:rsidRPr="00CD3F77">
              <w:t xml:space="preserve"> </w:t>
            </w:r>
            <w:r w:rsidRPr="00CD3F77">
              <w:rPr>
                <w:b/>
                <w:i/>
              </w:rPr>
              <w:t xml:space="preserve">BYLA C-611/22, 206 punktas.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13.</w:t>
            </w:r>
            <w:r w:rsidRPr="00CD3F77">
              <w:tab/>
              <w:t xml:space="preserve">susirūpinęs atkreipia dėmesį į Bendrojo Teismo pateiktą EB susijungimų reglamento 22 straipsnio aiškinimą byloje C-611/22 P (Illumina prieš Komisiją), kuriuo panaikinamas Komisijos sprendimas priimti prašymus patikrinti sandorius, apie kuriuos nereikia pranešti; pripažįsta, kad pagal EB susijungimų reglamentą </w:t>
            </w:r>
            <w:r w:rsidRPr="00CD3F77">
              <w:rPr>
                <w:b/>
                <w:bCs/>
                <w:i/>
                <w:iCs/>
              </w:rPr>
              <w:t>Komisija</w:t>
            </w:r>
            <w:r w:rsidRPr="00CD3F77">
              <w:t xml:space="preserve"> </w:t>
            </w:r>
            <w:r w:rsidRPr="00CD3F77">
              <w:rPr>
                <w:b/>
                <w:bCs/>
                <w:i/>
                <w:iCs/>
              </w:rPr>
              <w:t xml:space="preserve">neturi </w:t>
            </w:r>
            <w:r w:rsidRPr="00CD3F77">
              <w:t xml:space="preserve">pakankamai priemonių destrukcinių įsigijimų problemai spręsti; yra tvirtai įsitikinęs, kad dėl susijungimų sprendimų poveikio </w:t>
            </w:r>
            <w:r w:rsidRPr="00CD3F77">
              <w:rPr>
                <w:b/>
                <w:bCs/>
                <w:i/>
                <w:iCs/>
              </w:rPr>
              <w:t>bendrajai</w:t>
            </w:r>
            <w:r w:rsidRPr="00CD3F77">
              <w:t xml:space="preserve"> rinkai į EB susijungimų reglamentą</w:t>
            </w:r>
            <w:r w:rsidRPr="00CD3F77">
              <w:rPr>
                <w:b/>
                <w:bCs/>
                <w:i/>
                <w:iCs/>
              </w:rPr>
              <w:t xml:space="preserve"> reikia </w:t>
            </w:r>
            <w:r w:rsidRPr="00CD3F77">
              <w:t xml:space="preserve">įtraukti </w:t>
            </w:r>
            <w:r w:rsidRPr="00CD3F77">
              <w:rPr>
                <w:b/>
                <w:bCs/>
                <w:i/>
                <w:iCs/>
              </w:rPr>
              <w:t>bendrosios</w:t>
            </w:r>
            <w:r w:rsidRPr="00CD3F77">
              <w:t xml:space="preserve"> rinkos teisinį pagrindą</w:t>
            </w:r>
            <w:r w:rsidRPr="00CD3F77">
              <w:rPr>
                <w:b/>
                <w:bCs/>
                <w:i/>
                <w:iCs/>
              </w:rPr>
              <w:t>, kad būtų visapusiškai įtraukti teisės aktų leidėjai, panašiai kaip ir Skaitmeninių rinkų akto atveju</w:t>
            </w:r>
            <w:r w:rsidRPr="00CD3F77">
              <w:t>;</w:t>
            </w:r>
            <w:r w:rsidRPr="00CD3F77">
              <w:rPr>
                <w:b/>
                <w:i/>
              </w:rPr>
              <w:t xml:space="preserve"> </w:t>
            </w:r>
            <w:r w:rsidRPr="00CD3F77">
              <w:t xml:space="preserve">ragina Komisiją </w:t>
            </w:r>
            <w:r w:rsidRPr="00CD3F77">
              <w:rPr>
                <w:b/>
                <w:bCs/>
                <w:i/>
                <w:iCs/>
              </w:rPr>
              <w:lastRenderedPageBreak/>
              <w:t>paraginti</w:t>
            </w:r>
            <w:r w:rsidRPr="00CD3F77">
              <w:t xml:space="preserve"> </w:t>
            </w:r>
            <w:r w:rsidRPr="00CD3F77">
              <w:rPr>
                <w:b/>
                <w:bCs/>
                <w:i/>
                <w:iCs/>
              </w:rPr>
              <w:t>valstybes nares</w:t>
            </w:r>
            <w:r w:rsidRPr="00CD3F77">
              <w:t xml:space="preserve">, kurios turi atitinkamą </w:t>
            </w:r>
            <w:r w:rsidRPr="00CD3F77">
              <w:rPr>
                <w:b/>
                <w:bCs/>
                <w:i/>
                <w:iCs/>
              </w:rPr>
              <w:t>jurisdikciją</w:t>
            </w:r>
            <w:r w:rsidRPr="00CD3F77">
              <w:t xml:space="preserve"> arba gali jos reikalauti, </w:t>
            </w:r>
            <w:r w:rsidRPr="00CD3F77">
              <w:rPr>
                <w:b/>
                <w:bCs/>
                <w:i/>
                <w:iCs/>
              </w:rPr>
              <w:t>peržiūrėti</w:t>
            </w:r>
            <w:r w:rsidRPr="00CD3F77">
              <w:t xml:space="preserve"> galimus destrukcinius įsigijimus, vadovaujantis savo nacionaliniais susijungimų kontrolės įstatymais, ir toliau teikti prašymus tikrinti </w:t>
            </w:r>
            <w:r w:rsidRPr="00CD3F77">
              <w:rPr>
                <w:b/>
                <w:bCs/>
                <w:i/>
                <w:iCs/>
              </w:rPr>
              <w:t>šiuos</w:t>
            </w:r>
            <w:r w:rsidRPr="00CD3F77">
              <w:t xml:space="preserve"> susitarimus pagal EB susijungimų reglamento 22 straipsnį;</w:t>
            </w:r>
          </w:p>
        </w:tc>
        <w:tc>
          <w:tcPr>
            <w:tcW w:w="4876" w:type="dxa"/>
            <w:tcBorders>
              <w:top w:val="nil"/>
              <w:left w:val="nil"/>
              <w:bottom w:val="nil"/>
              <w:right w:val="nil"/>
            </w:tcBorders>
          </w:tcPr>
          <w:p w:rsidR="009517E4" w:rsidRPr="00CD3F77" w:rsidRDefault="009517E4" w:rsidP="009517E4">
            <w:pPr>
              <w:pStyle w:val="Normal6a"/>
            </w:pPr>
            <w:r w:rsidRPr="00CD3F77">
              <w:lastRenderedPageBreak/>
              <w:t>13.</w:t>
            </w:r>
            <w:r w:rsidRPr="00CD3F77">
              <w:tab/>
              <w:t xml:space="preserve">susirūpinęs atkreipia dėmesį į Bendrojo Teismo pateiktą EB susijungimų reglamento 22 straipsnio aiškinimą byloje C-611/22 P (Illumina prieš Komisiją), kuriuo panaikinamas Komisijos sprendimas priimti prašymus patikrinti sandorius, apie kuriuos nereikia pranešti; pripažįsta, kad pagal EB susijungimų reglamentą </w:t>
            </w:r>
            <w:r w:rsidRPr="00CD3F77">
              <w:rPr>
                <w:b/>
                <w:bCs/>
                <w:i/>
                <w:iCs/>
              </w:rPr>
              <w:t>Komisijai nėra suteikiama</w:t>
            </w:r>
            <w:r w:rsidRPr="00CD3F77">
              <w:t xml:space="preserve"> pakankamai priemonių destrukcinių įsigijimų problemai spręsti; yra tvirtai įsitikinęs, kad dėl susijungimų sprendimų poveikio </w:t>
            </w:r>
            <w:r w:rsidRPr="00CD3F77">
              <w:rPr>
                <w:b/>
                <w:bCs/>
                <w:i/>
                <w:iCs/>
              </w:rPr>
              <w:t>vidaus</w:t>
            </w:r>
            <w:r w:rsidRPr="00CD3F77">
              <w:t xml:space="preserve"> rinkai į EB susijungimų reglamentą</w:t>
            </w:r>
            <w:r w:rsidRPr="00CD3F77">
              <w:rPr>
                <w:b/>
                <w:bCs/>
                <w:i/>
                <w:iCs/>
              </w:rPr>
              <w:t xml:space="preserve"> yra pagrįsta </w:t>
            </w:r>
            <w:r w:rsidRPr="00CD3F77">
              <w:t xml:space="preserve">įtraukti </w:t>
            </w:r>
            <w:r w:rsidRPr="00CD3F77">
              <w:rPr>
                <w:b/>
                <w:bCs/>
                <w:i/>
                <w:iCs/>
              </w:rPr>
              <w:t>vidaus</w:t>
            </w:r>
            <w:r w:rsidRPr="00CD3F77">
              <w:t xml:space="preserve"> rinkos teisinį pagrindą;</w:t>
            </w:r>
            <w:r w:rsidRPr="00CD3F77">
              <w:rPr>
                <w:b/>
                <w:i/>
              </w:rPr>
              <w:t xml:space="preserve"> </w:t>
            </w:r>
            <w:r w:rsidRPr="00CD3F77">
              <w:t xml:space="preserve">ragina Komisiją </w:t>
            </w:r>
            <w:r w:rsidRPr="00CD3F77">
              <w:rPr>
                <w:b/>
                <w:bCs/>
                <w:i/>
                <w:iCs/>
              </w:rPr>
              <w:t>reikalauti valstybių narių</w:t>
            </w:r>
            <w:r w:rsidRPr="00CD3F77">
              <w:t xml:space="preserve">, kurios turi atitinkamą </w:t>
            </w:r>
            <w:r w:rsidRPr="00CD3F77">
              <w:rPr>
                <w:b/>
                <w:bCs/>
                <w:i/>
                <w:iCs/>
              </w:rPr>
              <w:t>kompetenciją</w:t>
            </w:r>
            <w:r w:rsidRPr="00CD3F77">
              <w:t xml:space="preserve"> arba gali jos </w:t>
            </w:r>
            <w:r w:rsidRPr="00CD3F77">
              <w:lastRenderedPageBreak/>
              <w:t xml:space="preserve">reikalauti, </w:t>
            </w:r>
            <w:r w:rsidRPr="00CD3F77">
              <w:rPr>
                <w:b/>
                <w:bCs/>
                <w:i/>
                <w:iCs/>
              </w:rPr>
              <w:t>išnagrinėti</w:t>
            </w:r>
            <w:r w:rsidRPr="00CD3F77">
              <w:t xml:space="preserve"> galimus destrukcinius įsigijimus, vadovaujantis savo nacionaliniais susijungimų kontrolės įstatymais, ir toliau teikti prašymus tikrinti </w:t>
            </w:r>
            <w:r w:rsidRPr="00CD3F77">
              <w:rPr>
                <w:b/>
                <w:bCs/>
                <w:i/>
                <w:iCs/>
              </w:rPr>
              <w:t>tokius</w:t>
            </w:r>
            <w:r w:rsidRPr="00CD3F77">
              <w:t xml:space="preserve"> susitarimus pagal EB susijungimų reglamento 22 straipsnį;</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13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13.</w:t>
            </w:r>
            <w:r w:rsidRPr="00CD3F77">
              <w:tab/>
              <w:t xml:space="preserve">susirūpinęs atkreipia dėmesį į </w:t>
            </w:r>
            <w:r w:rsidRPr="00CD3F77">
              <w:rPr>
                <w:b/>
                <w:bCs/>
                <w:i/>
                <w:iCs/>
              </w:rPr>
              <w:t>Bendrojo Teismo</w:t>
            </w:r>
            <w:r w:rsidRPr="00CD3F77">
              <w:t xml:space="preserve"> pateiktą EB susijungimų reglamento 22 straipsnio aiškinimą byloje C-611/22 P (</w:t>
            </w:r>
            <w:r w:rsidRPr="00CD3F77">
              <w:rPr>
                <w:i/>
                <w:iCs/>
              </w:rPr>
              <w:t>Illumina prieš Komisiją</w:t>
            </w:r>
            <w:r w:rsidRPr="00CD3F77">
              <w:t>), kuriuo panaikinamas Komisijos sprendimas priimti prašymus patikrinti sandorius, apie kuriuos nereikia pranešti; pripažįsta, kad pagal EB susijungimų reglamentą Komisija neturi pakankamai priemonių destrukcinių įsigijimų problemai spręsti; yra tvirtai įsitikinęs, kad dėl susijungimų sprendimų poveikio bendrajai rinkai į EB susijungimų reglamentą reikia įtraukti bendrosios rinkos teisinį pagrindą, kad būtų visapusiškai įtraukti teisės aktų leidėjai, panašiai kaip ir Skaitmeninių rinkų akto atveju; ragina Komisiją paraginti valstybes nares, kurios turi atitinkamą jurisdikciją arba gali jos reikalauti, peržiūrėti galimus destrukcinius įsigijimus, vadovaujantis savo nacionaliniais susijungimų kontrolės įstatymais, ir toliau teikti prašymus tikrinti šiuos susitarimus pagal EB susijungimų reglamento 22 straipsnį;</w:t>
            </w:r>
          </w:p>
        </w:tc>
        <w:tc>
          <w:tcPr>
            <w:tcW w:w="4876" w:type="dxa"/>
            <w:tcBorders>
              <w:top w:val="nil"/>
              <w:left w:val="nil"/>
              <w:bottom w:val="nil"/>
              <w:right w:val="nil"/>
            </w:tcBorders>
          </w:tcPr>
          <w:p w:rsidR="009517E4" w:rsidRPr="00CD3F77" w:rsidRDefault="009517E4" w:rsidP="009517E4">
            <w:pPr>
              <w:pStyle w:val="Normal6a"/>
            </w:pPr>
            <w:r w:rsidRPr="00CD3F77">
              <w:t>13.</w:t>
            </w:r>
            <w:r w:rsidRPr="00CD3F77">
              <w:tab/>
              <w:t xml:space="preserve">susirūpinęs atkreipia dėmesį į </w:t>
            </w:r>
            <w:r w:rsidRPr="00CD3F77">
              <w:rPr>
                <w:b/>
                <w:bCs/>
                <w:i/>
                <w:iCs/>
              </w:rPr>
              <w:t>Teisingumo Teismo</w:t>
            </w:r>
            <w:r w:rsidRPr="00CD3F77">
              <w:t xml:space="preserve"> pateiktą EB susijungimų reglamento 22 straipsnio aiškinimą byloje C-611/22 P (</w:t>
            </w:r>
            <w:r w:rsidRPr="00CD3F77">
              <w:rPr>
                <w:i/>
                <w:iCs/>
              </w:rPr>
              <w:t>Illumina prieš Komisiją</w:t>
            </w:r>
            <w:r w:rsidRPr="00CD3F77">
              <w:t>), kuriuo panaikinamas Komisijos sprendimas priimti prašymus patikrinti sandorius, apie kuriuos nereikia pranešti; pripažįsta, kad pagal EB susijungimų reglamentą Komisija neturi pakankamai priemonių destrukcinių įsigijimų problemai spręsti; yra tvirtai įsitikinęs, kad dėl susijungimų sprendimų poveikio bendrajai rinkai į EB susijungimų reglamentą reikia įtraukti bendrosios rinkos teisinį pagrindą, kad būtų visapusiškai įtraukti teisės aktų leidėjai, panašiai kaip ir Skaitmeninių rinkų akto atveju; ragina Komisiją paraginti valstybes nares, kurios turi atitinkamą jurisdikciją arba gali jos reikalauti, peržiūrėti galimus destrukcinius įsigijimus, vadovaujantis savo nacionaliniais susijungimų kontrolės įstatymais, ir toliau teikti prašymus tikrinti šiuos susitarimus pagal EB susijungimų reglamento 22 straipsnį;</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13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13a.</w:t>
            </w:r>
            <w:r w:rsidRPr="00CD3F77">
              <w:tab/>
            </w:r>
            <w:r w:rsidRPr="00CD3F77">
              <w:rPr>
                <w:b/>
                <w:i/>
              </w:rPr>
              <w:t>pažymi, kad, nepaisant didelio atgarsio sulaukusių tyrimų, konkurencijos politikos vykdymo užtikrinimas ir visų pirma koncentracijų peržiūros buvo mažiau veiksmingi; susirūpinęs pažymi, kad nuo 2004 m. Susijungimų reglamento įsigaliojimo tik 0,7 proc. susijungimų, apie kuriuos buvo pranešta, buvo po tyrimo Komisijos užblokuoti arba panaikinti, nors didelių įmonių įsigijimai greičiausiai prisidėjo prie rinkos koncentracijos ir antkainių didėjimo;</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be to, ragina, nagrinėjant koncentracijos poveikį vidaus rinkai, atsižvelgti į </w:t>
            </w:r>
            <w:r w:rsidRPr="00CD3F77">
              <w:rPr>
                <w:b/>
                <w:i/>
              </w:rPr>
              <w:t>viešojo intereso klausimus, pvz., klimato apsaugą, tvarumą ir poveikį darbuotojams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w:t>
            </w:r>
            <w:r w:rsidRPr="00CD3F77">
              <w:rPr>
                <w:b/>
                <w:i/>
              </w:rPr>
              <w:t>, nes supranta, kad inovacijos yra pagrindinė ekonomikos augimo varomoji jėga, ir mano, kad tinkamai išnagrinėta įmonių koncentracija gali teigiamai prisidėti prie inovacijų diegimo ir konkurencingumo didinimo, derinant išteklius ir pajėgumus, kad būtų galima pasiūlyti geresnių produktų ir paslaugų</w:t>
            </w:r>
            <w:r w:rsidRPr="00CD3F77">
              <w:t xml:space="preserve">; be to, ragina, </w:t>
            </w:r>
            <w:r w:rsidRPr="00CD3F77">
              <w:lastRenderedPageBreak/>
              <w:t xml:space="preserve">nagrinėjant koncentracijos poveikį vidaus rinkai, atsižvelgti į </w:t>
            </w:r>
            <w:r w:rsidRPr="00CD3F77">
              <w:rPr>
                <w:b/>
                <w:i/>
              </w:rPr>
              <w:t>rinkos efektyvumą</w:t>
            </w:r>
            <w:r w:rsidRPr="00CD3F77">
              <w:t>;</w:t>
            </w:r>
            <w:r w:rsidRPr="00CD3F77">
              <w:rPr>
                <w:b/>
                <w:i/>
              </w:rPr>
              <w:t> primygtinai ragina užtikrinti, kad nagrinėjant koncentraciją vidaus rinkoje nebūtų remiamasi su ekonominiais rezultatais ir veiksminga konkurencija nesusijusiais argumentais, ir teigia, kad valstybės kišimasis turėtų būti minimalus ir apsiriboti tik tais atvejais, kai yra aiški rizika, kad koncentracija trukdys veiksmingai konkurencijai arba dėl jos bus piktnaudžiaujama įtaka rinkoje ir daroma žala vartotojams;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w:t>
            </w:r>
            <w:r w:rsidRPr="00CD3F77">
              <w:rPr>
                <w:b/>
                <w:i/>
              </w:rPr>
              <w:t>be to, ragina, nagrinėjant koncentracijos poveikį vidaus rinkai, atsižvelgti į viešojo intereso klausimus, pvz., klimato apsaugą, tvarumą ir poveikį darbuotojams;</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219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r>
            <w:r w:rsidRPr="00CD3F77">
              <w:rPr>
                <w:b/>
                <w:bCs/>
                <w:i/>
                <w:iCs/>
              </w:rPr>
              <w:t>palankiai vertina</w:t>
            </w:r>
            <w:r w:rsidRPr="00CD3F77">
              <w:t xml:space="preserve"> Mario Draghi pasiūlymą dėl „inovacijų gynybos“; be to, </w:t>
            </w:r>
            <w:r w:rsidRPr="00CD3F77">
              <w:lastRenderedPageBreak/>
              <w:t>ragina, nagrinėjant koncentracijos poveikį vidaus rinkai, atsižvelgti į viešojo intereso klausimus, pvz., klimato apsaugą, tvarumą ir poveikį darbuotojams;</w:t>
            </w:r>
          </w:p>
        </w:tc>
        <w:tc>
          <w:tcPr>
            <w:tcW w:w="4876" w:type="dxa"/>
            <w:tcBorders>
              <w:top w:val="nil"/>
              <w:left w:val="nil"/>
              <w:bottom w:val="nil"/>
              <w:right w:val="nil"/>
            </w:tcBorders>
          </w:tcPr>
          <w:p w:rsidR="009517E4" w:rsidRPr="00CD3F77" w:rsidRDefault="009517E4" w:rsidP="009517E4">
            <w:pPr>
              <w:pStyle w:val="Normal6a"/>
            </w:pPr>
            <w:r w:rsidRPr="00CD3F77">
              <w:lastRenderedPageBreak/>
              <w:t>14.</w:t>
            </w:r>
            <w:r w:rsidRPr="00CD3F77">
              <w:tab/>
            </w:r>
            <w:r w:rsidRPr="00CD3F77">
              <w:rPr>
                <w:b/>
                <w:bCs/>
                <w:i/>
                <w:iCs/>
              </w:rPr>
              <w:t>atkreipia dėmesį į</w:t>
            </w:r>
            <w:r w:rsidRPr="00CD3F77">
              <w:t xml:space="preserve"> Mario Draghi pasiūlymą dėl „inovacijų gynybos“; be to, </w:t>
            </w:r>
            <w:r w:rsidRPr="00CD3F77">
              <w:lastRenderedPageBreak/>
              <w:t xml:space="preserve">ragina, nagrinėjant koncentracijos poveikį vidaus rinkai </w:t>
            </w:r>
            <w:r w:rsidRPr="00CD3F77">
              <w:rPr>
                <w:b/>
                <w:bCs/>
                <w:i/>
                <w:iCs/>
              </w:rPr>
              <w:t>ir antikonkurencinės praktikos buvimą pagal SESV 101 ir 102 straipsnius</w:t>
            </w:r>
            <w:r w:rsidRPr="00CD3F77">
              <w:t>, atsižvelgti į viešojo intereso klausimus, pvz., klimato apsaugą, tvarumą ir poveikį darbuotojams</w:t>
            </w:r>
            <w:r w:rsidRPr="00CD3F77">
              <w:rPr>
                <w:b/>
                <w:bCs/>
                <w:i/>
                <w:iCs/>
              </w:rPr>
              <w:t>, žiniasklaidos pliuralizmui ir privatumui</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 Kartheiser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be to, ragina, nagrinėjant koncentracijos poveikį vidaus rinkai, atsižvelgti į viešojo intereso klausimus, pvz., klimato apsaugą, tvarumą </w:t>
            </w:r>
            <w:r w:rsidRPr="00CD3F77">
              <w:rPr>
                <w:b/>
                <w:bCs/>
                <w:i/>
                <w:iCs/>
              </w:rPr>
              <w:t>ir</w:t>
            </w:r>
            <w:r w:rsidRPr="00CD3F77">
              <w:t xml:space="preserve"> poveikį darbuotojams;</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be to, ragina, nagrinėjant koncentracijos poveikį vidaus rinkai, atsižvelgti į viešojo intereso klausimus, pvz., klimato apsaugą, tvarumą</w:t>
            </w:r>
            <w:r w:rsidRPr="00CD3F77">
              <w:rPr>
                <w:b/>
                <w:bCs/>
                <w:i/>
                <w:iCs/>
              </w:rPr>
              <w:t>,</w:t>
            </w:r>
            <w:r w:rsidRPr="00CD3F77">
              <w:t xml:space="preserve"> poveikį darbuotojams</w:t>
            </w:r>
            <w:r w:rsidRPr="00CD3F77">
              <w:rPr>
                <w:b/>
                <w:bCs/>
                <w:i/>
                <w:iCs/>
              </w:rPr>
              <w:t>, ES rinkų konkurencingumą ir ES pramonės, visų pirma energetikos sektoriaus, savarankiškumą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be to, ragina, nagrinėjant koncentracijos poveikį vidaus rinkai, atsižvelgti į viešojo intereso klausimus</w:t>
            </w:r>
            <w:r w:rsidRPr="00CD3F77">
              <w:rPr>
                <w:b/>
                <w:bCs/>
                <w:i/>
                <w:iCs/>
              </w:rPr>
              <w:t>, pvz., klimato apsaugą, tvarumą ir poveikį darbuotojams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be to, ragina, nagrinėjant koncentracijos poveikį vidaus rinkai, atsižvelgti į viešojo intereso klausimus;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w:t>
            </w:r>
            <w:r w:rsidRPr="00CD3F77">
              <w:rPr>
                <w:b/>
                <w:bCs/>
                <w:i/>
                <w:iCs/>
              </w:rPr>
              <w:t>;</w:t>
            </w:r>
            <w:r w:rsidRPr="00CD3F77">
              <w:rPr>
                <w:b/>
                <w:i/>
              </w:rPr>
              <w:t xml:space="preserve"> </w:t>
            </w:r>
            <w:r w:rsidRPr="00CD3F77">
              <w:rPr>
                <w:b/>
                <w:bCs/>
                <w:i/>
                <w:iCs/>
              </w:rPr>
              <w:t>be to, ragina, nagrinėjant koncentracijos poveikį vidaus rinkai, atsižvelgti į viešojo intereso klausimus, pvz., klimato apsaugą, tvarumą ir poveikį darbuotojams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r>
            <w:r w:rsidR="00D50C1F" w:rsidRPr="00CD3F77">
              <w:t>p</w:t>
            </w:r>
            <w:r w:rsidRPr="00CD3F77">
              <w:t xml:space="preserve">alankiai vertina Mario Draghi pasiūlymą dėl „inovacijų gynybos“ </w:t>
            </w:r>
            <w:r w:rsidRPr="00CD3F77">
              <w:rPr>
                <w:b/>
                <w:bCs/>
                <w:i/>
                <w:iCs/>
              </w:rPr>
              <w:t>tais atvejais, kai susijungimas padidina gebėjimą ir paskatas diegti inovacijas;</w:t>
            </w:r>
            <w:r w:rsidRPr="00CD3F77">
              <w:rPr>
                <w:b/>
                <w:i/>
              </w:rPr>
              <w:t xml:space="preserve"> </w:t>
            </w:r>
            <w:r w:rsidRPr="00CD3F77">
              <w:rPr>
                <w:b/>
                <w:bCs/>
                <w:i/>
                <w:iCs/>
              </w:rPr>
              <w:t>ragina Europos Komisiją išanalizuoti ir toliau plėtoti šią koncepciją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be to, ragina, nagrinėjant koncentracijos poveikį vidaus rinkai, atsižvelgti į viešojo intereso klausimus, pvz., klimato apsaugą, tvarumą ir poveikį darbuotojams;</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be to, ragina, nagrinėjant koncentracijos poveikį vidaus rinkai, atsižvelgti į viešojo intereso klausimus, pvz., klimato apsaugą, tvarumą</w:t>
            </w:r>
            <w:r w:rsidRPr="00CD3F77">
              <w:rPr>
                <w:b/>
                <w:bCs/>
                <w:i/>
                <w:iCs/>
              </w:rPr>
              <w:t>, paslaugų teikimo užtikrinimą</w:t>
            </w:r>
            <w:r w:rsidRPr="00CD3F77">
              <w:t xml:space="preserve"> ir poveikį darbuotojams;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be to, ragina, </w:t>
            </w:r>
            <w:r w:rsidRPr="00CD3F77">
              <w:rPr>
                <w:b/>
                <w:bCs/>
                <w:i/>
                <w:iCs/>
              </w:rPr>
              <w:t>nagrinėjant koncentracijos poveikį vidaus rinkai</w:t>
            </w:r>
            <w:r w:rsidRPr="00CD3F77">
              <w:t>, atsižvelgti į</w:t>
            </w:r>
            <w:r w:rsidRPr="00CD3F77">
              <w:rPr>
                <w:b/>
                <w:bCs/>
                <w:i/>
                <w:iCs/>
              </w:rPr>
              <w:t xml:space="preserve"> viešojo intereso klausimus, pvz., klimato apsaugą, tvarumą ir poveikį darbuotojams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be to, ragina, </w:t>
            </w:r>
            <w:r w:rsidRPr="00CD3F77">
              <w:rPr>
                <w:b/>
                <w:bCs/>
                <w:i/>
                <w:iCs/>
              </w:rPr>
              <w:t>atliekant Konkurencijos GD vertinimus</w:t>
            </w:r>
            <w:r w:rsidRPr="00CD3F77">
              <w:t>, atsižvelgti į</w:t>
            </w:r>
            <w:r w:rsidRPr="00CD3F77">
              <w:rPr>
                <w:b/>
                <w:bCs/>
                <w:i/>
                <w:iCs/>
              </w:rPr>
              <w:t xml:space="preserve"> trikdžių riziką ES ekonomikai</w:t>
            </w:r>
            <w:r w:rsidRPr="00CD3F77">
              <w:rPr>
                <w:b/>
                <w:bCs/>
                <w:i/>
                <w:iCs/>
                <w:vertAlign w:val="superscript"/>
              </w:rPr>
              <w:t>9a</w:t>
            </w:r>
            <w:r w:rsidRPr="00CD3F77">
              <w:t>;</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bCs/>
                <w:i/>
                <w:iCs/>
                <w:vertAlign w:val="superscript"/>
              </w:rPr>
              <w:t>9a</w:t>
            </w:r>
            <w:r w:rsidRPr="00CD3F77">
              <w:rPr>
                <w:b/>
                <w:bCs/>
                <w:i/>
                <w:iCs/>
              </w:rPr>
              <w:t xml:space="preserve"> Europos konkurencingumo ateitis, B dalis | Nuodugni analizė ir rekomendacijos, 4 skyrius „Konkurencijos peržiūra“ (angl. </w:t>
            </w:r>
            <w:r w:rsidRPr="00CD3F77">
              <w:rPr>
                <w:b/>
                <w:bCs/>
              </w:rPr>
              <w:t>The future of European competitiveness Part B | In-depth analysis and recommendations, Chapter 4. Revamping competition</w:t>
            </w:r>
            <w:r w:rsidRPr="00CD3F77">
              <w:rPr>
                <w:b/>
                <w:bCs/>
                <w:i/>
                <w:iCs/>
              </w:rPr>
              <w:t>), p. 300.</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w:t>
            </w:r>
            <w:r w:rsidRPr="00CD3F77">
              <w:rPr>
                <w:b/>
                <w:i/>
              </w:rPr>
              <w:t>be to,</w:t>
            </w:r>
            <w:r w:rsidRPr="00CD3F77">
              <w:t xml:space="preserve"> ragina, nagrinėjant koncentracijos poveikį vidaus rinkai, atsižvelgti į </w:t>
            </w:r>
            <w:r w:rsidRPr="00CD3F77">
              <w:rPr>
                <w:b/>
                <w:i/>
              </w:rPr>
              <w:t>viešojo intereso klausimus, pvz., klimato apsaugą, tvarumą ir poveikį darbuotojams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w:t>
            </w:r>
            <w:r w:rsidRPr="00CD3F77">
              <w:rPr>
                <w:b/>
                <w:i/>
              </w:rPr>
              <w:t>todėl</w:t>
            </w:r>
            <w:r w:rsidRPr="00CD3F77">
              <w:t xml:space="preserve"> ragina, nagrinėjant koncentracijos poveikį vidaus rinkai, atsižvelgti </w:t>
            </w:r>
            <w:r w:rsidRPr="00CD3F77">
              <w:rPr>
                <w:b/>
                <w:i/>
              </w:rPr>
              <w:t>į gebėjimą būti inovacijų šaltiniu</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14.</w:t>
            </w:r>
            <w:r w:rsidRPr="00CD3F77">
              <w:tab/>
              <w:t xml:space="preserve">palankiai vertina Mario Draghi pasiūlymą dėl „inovacijų gynybos“; be to, ragina, nagrinėjant koncentracijos poveikį vidaus rinkai, atsižvelgti į viešojo intereso klausimus, pvz., </w:t>
            </w:r>
            <w:r w:rsidRPr="00CD3F77">
              <w:rPr>
                <w:b/>
                <w:i/>
              </w:rPr>
              <w:t>klimato apsaugą, tvarumą ir</w:t>
            </w:r>
            <w:r w:rsidRPr="00CD3F77">
              <w:t xml:space="preserve"> poveikį darbuotojams;</w:t>
            </w:r>
          </w:p>
        </w:tc>
        <w:tc>
          <w:tcPr>
            <w:tcW w:w="4876" w:type="dxa"/>
            <w:tcBorders>
              <w:top w:val="nil"/>
              <w:left w:val="nil"/>
              <w:bottom w:val="nil"/>
              <w:right w:val="nil"/>
            </w:tcBorders>
          </w:tcPr>
          <w:p w:rsidR="009517E4" w:rsidRPr="00CD3F77" w:rsidRDefault="009517E4" w:rsidP="009517E4">
            <w:pPr>
              <w:pStyle w:val="Normal6a"/>
            </w:pPr>
            <w:r w:rsidRPr="00CD3F77">
              <w:t>14.</w:t>
            </w:r>
            <w:r w:rsidRPr="00CD3F77">
              <w:tab/>
              <w:t>palankiai vertina Mario Draghi pasiūlymą dėl „inovacijų gynybos“; be to, ragina, nagrinėjant koncentracijos poveikį vidaus rinkai, atsižvelgti į viešojo intereso klausimus, pvz., poveikį darbuotojams</w:t>
            </w:r>
            <w:r w:rsidRPr="00CD3F77">
              <w:rPr>
                <w:b/>
                <w:i/>
              </w:rPr>
              <w:t xml:space="preserve"> arba Europos strateginę nepriklausomybę</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14a.</w:t>
            </w:r>
            <w:r w:rsidRPr="00CD3F77">
              <w:tab/>
            </w:r>
            <w:r w:rsidRPr="00CD3F77">
              <w:rPr>
                <w:b/>
                <w:i/>
              </w:rPr>
              <w:t>ragina Komisiją laikytis į ateitį orientuoto požiūrio į konsolidavimą ES, kaip siūloma ir Mario Draghi ir Enrico Letta ataskaitose, atsižvelgiant į strateginę masto ir palankių investavimo sąlygų tam tikruose sektoriuose svarbą ir poveikį konkurencijai skatinant inovacijas ir ilgalaikę konkurenciją;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14a.</w:t>
            </w:r>
            <w:r w:rsidRPr="00CD3F77">
              <w:tab/>
            </w:r>
            <w:r w:rsidRPr="00CD3F77">
              <w:rPr>
                <w:b/>
                <w:i/>
              </w:rPr>
              <w:t xml:space="preserve">atkreipia dėmesį į Mario Draghi ataskaitoje pateiktą pasiūlymą dėl </w:t>
            </w:r>
            <w:r w:rsidRPr="00CD3F77">
              <w:rPr>
                <w:b/>
              </w:rPr>
              <w:t xml:space="preserve">ex post </w:t>
            </w:r>
            <w:r w:rsidRPr="00CD3F77">
              <w:rPr>
                <w:b/>
                <w:i/>
              </w:rPr>
              <w:t xml:space="preserve">susijungimų taisomųjų priemonių; palankiai vertina tai, kad svarstomos </w:t>
            </w:r>
            <w:r w:rsidRPr="00CD3F77">
              <w:rPr>
                <w:b/>
                <w:i/>
              </w:rPr>
              <w:lastRenderedPageBreak/>
              <w:t xml:space="preserve">struktūrinės taisomosios priemonės, tačiau pažymi, kad </w:t>
            </w:r>
            <w:r w:rsidRPr="00CD3F77">
              <w:rPr>
                <w:b/>
              </w:rPr>
              <w:t>ex post</w:t>
            </w:r>
            <w:r w:rsidRPr="00CD3F77">
              <w:rPr>
                <w:b/>
                <w:i/>
              </w:rPr>
              <w:t xml:space="preserve"> susijungimų kontrolė nėra tobula </w:t>
            </w:r>
            <w:r w:rsidRPr="00CD3F77">
              <w:rPr>
                <w:b/>
              </w:rPr>
              <w:t>ex ante</w:t>
            </w:r>
            <w:r w:rsidRPr="00CD3F77">
              <w:rPr>
                <w:b/>
                <w:i/>
              </w:rPr>
              <w:t xml:space="preserve"> susijungimų kontrolės alternatyva, nes (dalinis) įmonių integracijos panaikinimas gali sukelti praktinių sunkumų;</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229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Jonás Fernández</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14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14a.</w:t>
            </w:r>
            <w:r w:rsidRPr="00CD3F77">
              <w:tab/>
            </w:r>
            <w:r w:rsidRPr="00CD3F77">
              <w:rPr>
                <w:b/>
                <w:i/>
              </w:rPr>
              <w:t>prašo Komisijos nustatyti nacionalines kliūtis, kurios gali trukdyti analizuojant susijungimus Europos rinką laikyti svarbia rinka; ragina Komisiją pateikti pasiūlymą dėl teisėkūros procedūra priimamo akto dėl šių kliūčių pašalinimo;</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15.</w:t>
            </w:r>
            <w:r w:rsidRPr="00CD3F77">
              <w:tab/>
              <w:t xml:space="preserve">ragina atnaujinti susijungimų vertinimo sistemas, kad jos atspindėtų skaitmeninės ekonomikos realijas, kai įtaka rinkoje gali būti daroma ne tik tradiciškai užimant rinkos dalį; pritaria tam, kad būtų kuriama </w:t>
            </w:r>
            <w:r w:rsidRPr="00CD3F77">
              <w:rPr>
                <w:b/>
                <w:bCs/>
                <w:i/>
                <w:iCs/>
              </w:rPr>
              <w:t>naujo</w:t>
            </w:r>
            <w:r w:rsidRPr="00CD3F77">
              <w:t xml:space="preserve"> pobūdžio metodika, skirta duomenimis grindžiamo dominavimo ir tinklo poveikiui analizuoti;</w:t>
            </w:r>
          </w:p>
        </w:tc>
        <w:tc>
          <w:tcPr>
            <w:tcW w:w="4876" w:type="dxa"/>
            <w:tcBorders>
              <w:top w:val="nil"/>
              <w:left w:val="nil"/>
              <w:bottom w:val="nil"/>
              <w:right w:val="nil"/>
            </w:tcBorders>
          </w:tcPr>
          <w:p w:rsidR="009517E4" w:rsidRPr="00CD3F77" w:rsidRDefault="009517E4" w:rsidP="009517E4">
            <w:pPr>
              <w:pStyle w:val="Normal6a"/>
            </w:pPr>
            <w:r w:rsidRPr="00CD3F77">
              <w:t>15.</w:t>
            </w:r>
            <w:r w:rsidRPr="00CD3F77">
              <w:tab/>
              <w:t xml:space="preserve">ragina atnaujinti susijungimų vertinimo sistemas, kad jos atspindėtų skaitmeninės ekonomikos realijas, kai įtaka rinkoje gali būti daroma ne tik tradiciškai užimant rinkos dalį; pritaria tam, kad būtų kuriama </w:t>
            </w:r>
            <w:r w:rsidRPr="00CD3F77">
              <w:rPr>
                <w:b/>
                <w:bCs/>
                <w:i/>
                <w:iCs/>
              </w:rPr>
              <w:t>pažangaus</w:t>
            </w:r>
            <w:r w:rsidRPr="00CD3F77">
              <w:t xml:space="preserve"> pobūdžio metodika, skirta duomenimis grindžiamo dominavimo ir tinklo poveikiui analizuoti</w:t>
            </w:r>
            <w:r w:rsidRPr="00CD3F77">
              <w:rPr>
                <w:b/>
                <w:bCs/>
                <w:i/>
                <w:iCs/>
              </w:rPr>
              <w:t xml:space="preserve">, pabrėžiant lemiamą vartotojų pasirinkimo vaidmenį renkantis skaitmenines </w:t>
            </w:r>
            <w:r w:rsidRPr="00CD3F77">
              <w:rPr>
                <w:b/>
                <w:bCs/>
                <w:i/>
                <w:iCs/>
              </w:rPr>
              <w:lastRenderedPageBreak/>
              <w:t>paslaugas ir įrenginius</w:t>
            </w:r>
            <w:r w:rsidRPr="00CD3F77">
              <w:t xml:space="preserve">; </w:t>
            </w:r>
            <w:r w:rsidRPr="00CD3F77">
              <w:rPr>
                <w:b/>
                <w:i/>
              </w:rPr>
              <w:t>ragina Komisiją tobulinti mechanizmus, kurie suteiktų galimybę užtikrinti paslaugų ir įrenginių sąveiką, skatinant inovacijas ir konkurenciją skaitmeninėje ekosistemoje;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15.</w:t>
            </w:r>
            <w:r w:rsidRPr="00CD3F77">
              <w:tab/>
              <w:t>ragina atnaujinti susijungimų vertinimo sistemas, kad jos atspindėtų skaitmeninės ekonomikos realijas, kai įtaka rinkoje gali būti daroma ne tik tradiciškai užimant rinkos dalį; pritaria tam, kad būtų kuriama naujo pobūdžio metodika, skirta duomenimis grindžiamo dominavimo ir tinklo poveikiui analizuoti;</w:t>
            </w:r>
          </w:p>
        </w:tc>
        <w:tc>
          <w:tcPr>
            <w:tcW w:w="4876" w:type="dxa"/>
            <w:tcBorders>
              <w:top w:val="nil"/>
              <w:left w:val="nil"/>
              <w:bottom w:val="nil"/>
              <w:right w:val="nil"/>
            </w:tcBorders>
          </w:tcPr>
          <w:p w:rsidR="009517E4" w:rsidRPr="00CD3F77" w:rsidRDefault="009517E4" w:rsidP="009517E4">
            <w:pPr>
              <w:pStyle w:val="Normal6a"/>
            </w:pPr>
            <w:r w:rsidRPr="00CD3F77">
              <w:t>15.</w:t>
            </w:r>
            <w:r w:rsidRPr="00CD3F77">
              <w:tab/>
              <w:t xml:space="preserve">ragina atnaujinti susijungimų vertinimo sistemas, kad jos atspindėtų skaitmeninės ekonomikos realijas, kai įtaka rinkoje gali būti daroma ne tik tradiciškai užimant rinkos dalį; pritaria tam, kad būtų kuriama naujo pobūdžio metodika, skirta duomenimis grindžiamo dominavimo ir tinklo poveikiui analizuoti; </w:t>
            </w:r>
            <w:r w:rsidRPr="00CD3F77">
              <w:rPr>
                <w:b/>
                <w:i/>
              </w:rPr>
              <w:t>pritaria tam, kad Komisija, vertindama susijungimus, kai plėtra į gretimąsias rinkas dar labiau sustiprintų dominuojančią padėtį įsigyjančios įmonės pagrindinėje rinkoje, labiau atsižvelgtų į galimą žalą konkurencijai;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15.</w:t>
            </w:r>
            <w:r w:rsidRPr="00CD3F77">
              <w:tab/>
              <w:t xml:space="preserve">ragina atnaujinti susijungimų vertinimo sistemas, kad jos atspindėtų </w:t>
            </w:r>
            <w:r w:rsidRPr="00CD3F77">
              <w:lastRenderedPageBreak/>
              <w:t>skaitmeninės ekonomikos realijas, kai įtaka rinkoje gali būti daroma ne tik tradiciškai užimant rinkos dalį; pritaria tam, kad būtų kuriama naujo pobūdžio metodika, skirta duomenimis grindžiamo dominavimo ir tinklo poveikiui analizuoti;</w:t>
            </w:r>
          </w:p>
        </w:tc>
        <w:tc>
          <w:tcPr>
            <w:tcW w:w="4876" w:type="dxa"/>
            <w:tcBorders>
              <w:top w:val="nil"/>
              <w:left w:val="nil"/>
              <w:bottom w:val="nil"/>
              <w:right w:val="nil"/>
            </w:tcBorders>
          </w:tcPr>
          <w:p w:rsidR="009517E4" w:rsidRPr="00CD3F77" w:rsidRDefault="009517E4" w:rsidP="009517E4">
            <w:pPr>
              <w:pStyle w:val="Normal6a"/>
            </w:pPr>
            <w:r w:rsidRPr="00CD3F77">
              <w:lastRenderedPageBreak/>
              <w:t>15.</w:t>
            </w:r>
            <w:r w:rsidRPr="00CD3F77">
              <w:tab/>
              <w:t xml:space="preserve">ragina atnaujinti susijungimų vertinimo sistemas, kad jos atspindėtų </w:t>
            </w:r>
            <w:r w:rsidRPr="00CD3F77">
              <w:lastRenderedPageBreak/>
              <w:t>skaitmeninės ekonomikos realijas, kai įtaka rinkoje gali būti daroma ne tik tradiciškai užimant rinkos dalį; pritaria tam, kad būtų kuriama naujo pobūdžio metodika, skirta duomenimis grindžiamo dominavimo ir tinklo poveikiui analizuoti</w:t>
            </w:r>
            <w:r w:rsidRPr="00CD3F77">
              <w:rPr>
                <w:b/>
                <w:bCs/>
                <w:i/>
                <w:iCs/>
              </w:rPr>
              <w:t>, įskaitant sistemingesnį standartinės apskaitos ir finansinės analizės naudojimą</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15.</w:t>
            </w:r>
            <w:r w:rsidRPr="00CD3F77">
              <w:tab/>
              <w:t>ragina atnaujinti susijungimų vertinimo sistemas, kad jos atspindėtų skaitmeninės ekonomikos realijas, kai įtaka rinkoje gali būti daroma ne tik tradiciškai užimant rinkos dalį; pritaria tam, kad būtų kuriama naujo pobūdžio metodika, skirta duomenimis grindžiamo dominavimo ir tinklo poveikiui analizuoti;</w:t>
            </w:r>
          </w:p>
        </w:tc>
        <w:tc>
          <w:tcPr>
            <w:tcW w:w="4876" w:type="dxa"/>
            <w:tcBorders>
              <w:top w:val="nil"/>
              <w:left w:val="nil"/>
              <w:bottom w:val="nil"/>
              <w:right w:val="nil"/>
            </w:tcBorders>
          </w:tcPr>
          <w:p w:rsidR="009517E4" w:rsidRPr="00CD3F77" w:rsidRDefault="009517E4" w:rsidP="009517E4">
            <w:pPr>
              <w:pStyle w:val="Normal6a"/>
            </w:pPr>
            <w:r w:rsidRPr="00CD3F77">
              <w:t>15.</w:t>
            </w:r>
            <w:r w:rsidRPr="00CD3F77">
              <w:tab/>
              <w:t xml:space="preserve">ragina atnaujinti susijungimų vertinimo sistemas, kad jos atspindėtų skaitmeninės ekonomikos realijas, kai įtaka rinkoje gali būti daroma ne tik tradiciškai užimant rinkos dalį </w:t>
            </w:r>
            <w:r w:rsidRPr="00CD3F77">
              <w:rPr>
                <w:b/>
                <w:bCs/>
                <w:i/>
                <w:iCs/>
              </w:rPr>
              <w:t>aiškiai apibrėžtose rinkose</w:t>
            </w:r>
            <w:r w:rsidRPr="00CD3F77">
              <w:t xml:space="preserve">; pritaria tam, kad būtų kuriama naujo pobūdžio metodika, skirta duomenimis grindžiamo </w:t>
            </w:r>
            <w:r w:rsidRPr="00CD3F77">
              <w:rPr>
                <w:b/>
                <w:bCs/>
                <w:i/>
                <w:iCs/>
              </w:rPr>
              <w:t xml:space="preserve">ir infrastruktūrinio </w:t>
            </w:r>
            <w:r w:rsidRPr="00CD3F77">
              <w:t>dominavimo ir tinklo poveikiui analizuoti;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15.</w:t>
            </w:r>
            <w:r w:rsidRPr="00CD3F77">
              <w:tab/>
            </w:r>
            <w:r w:rsidRPr="00CD3F77">
              <w:rPr>
                <w:b/>
                <w:i/>
              </w:rPr>
              <w:t>ragina</w:t>
            </w:r>
            <w:r w:rsidRPr="00CD3F77">
              <w:t xml:space="preserve"> atnaujinti susijungimų vertinimo sistemas, kad jos atspindėtų skaitmeninės ekonomikos realijas, kai įtaka rinkoje gali būti daroma ne tik tradiciškai </w:t>
            </w:r>
            <w:r w:rsidRPr="00CD3F77">
              <w:lastRenderedPageBreak/>
              <w:t>užimant rinkos dalį; pritaria tam, kad būtų kuriama naujo pobūdžio metodika, skirta duomenimis grindžiamo dominavimo ir tinklo poveikiui analizuoti;</w:t>
            </w:r>
          </w:p>
        </w:tc>
        <w:tc>
          <w:tcPr>
            <w:tcW w:w="4876" w:type="dxa"/>
            <w:tcBorders>
              <w:top w:val="nil"/>
              <w:left w:val="nil"/>
              <w:bottom w:val="nil"/>
              <w:right w:val="nil"/>
            </w:tcBorders>
          </w:tcPr>
          <w:p w:rsidR="009517E4" w:rsidRPr="00CD3F77" w:rsidRDefault="009517E4" w:rsidP="009517E4">
            <w:pPr>
              <w:pStyle w:val="Normal6a"/>
            </w:pPr>
            <w:r w:rsidRPr="00CD3F77">
              <w:lastRenderedPageBreak/>
              <w:t>15.</w:t>
            </w:r>
            <w:r w:rsidRPr="00CD3F77">
              <w:tab/>
            </w:r>
            <w:r w:rsidRPr="00CD3F77">
              <w:rPr>
                <w:b/>
                <w:i/>
              </w:rPr>
              <w:t>siūlo</w:t>
            </w:r>
            <w:r w:rsidRPr="00CD3F77">
              <w:t xml:space="preserve"> atnaujinti susijungimų vertinimo sistemas, kad jos atspindėtų skaitmeninės ekonomikos realijas, kai įtaka rinkoje gali būti daroma ne tik tradiciškai </w:t>
            </w:r>
            <w:r w:rsidRPr="00CD3F77">
              <w:lastRenderedPageBreak/>
              <w:t>užimant rinkos dalį; pritaria tam, kad būtų kuriama naujo pobūdžio metodika, skirta duomenimis grindžiamo dominavimo ir tinklo poveikiui analizuoti;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15a.</w:t>
            </w:r>
            <w:r w:rsidRPr="00CD3F77">
              <w:tab/>
            </w:r>
            <w:r w:rsidRPr="00CD3F77">
              <w:rPr>
                <w:b/>
                <w:i/>
              </w:rPr>
              <w:t>atkreipia dėmesį į būsimus ES junglumo poreikius infrastruktūros ir investicijų aspektais; ragina Komisiją peržiūrėti susijungimų gaires, kad būtų priimtas išsamesnis susijungimų kontrolės ir bendradarbiavimo veiksmingumo vertinimas; pažymi, kad vertinant horizontalųjį bendradarbiavimą taip pat reikėtų pripažinti bendradarbiavimo svarbą rinkose, kuriose dominuoja prieigos valdytojai;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15a.</w:t>
            </w:r>
            <w:r w:rsidRPr="00CD3F77">
              <w:tab/>
            </w:r>
            <w:r w:rsidRPr="00CD3F77">
              <w:rPr>
                <w:b/>
                <w:i/>
              </w:rPr>
              <w:t xml:space="preserve">ragina periodiškai persvarstyti ES susijungimų reglamente nustatytas kiekybines jurisdikcijos ribas, kad būtų atsižvelgta į naujus rinkos pokyčius; ypač pažymi, kad vien tik Susijungimų reglamente nustatytų apyvartos ribų gali nepakakti visiems atvejams, kuriuos </w:t>
            </w:r>
            <w:r w:rsidRPr="00CD3F77">
              <w:rPr>
                <w:b/>
                <w:i/>
              </w:rPr>
              <w:lastRenderedPageBreak/>
              <w:t>turėtų peržiūrėti konkurencijos institucijos, nustatyti;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15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15a.</w:t>
            </w:r>
            <w:r w:rsidRPr="00CD3F77">
              <w:tab/>
            </w:r>
            <w:r w:rsidRPr="00CD3F77">
              <w:rPr>
                <w:b/>
                <w:i/>
              </w:rPr>
              <w:t>ragina ES susijungimų kontrolę vykdyti atsižvelgiant į dominuojančių įmonių taikomą praktiką siekiant išvengti oficialių tyrimų, pvz., vis dažniau naudojamas „partnerystes“ dirbtinio intelekto sektoriuje; prireikus tai turėtų apimti EB susijungimų reglamento ir susijusių pranešimų bei gairių atnaujinimą;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16.</w:t>
            </w:r>
            <w:r w:rsidRPr="00CD3F77">
              <w:tab/>
              <w:t>ragina Komisiją spręsti pernelyg ilgų antimonopolinių tyrimų, per kuriuos įmonės ir toliau gali pelnytis iš savo antikonkurencinės praktikos, klausimą;</w:t>
            </w:r>
          </w:p>
        </w:tc>
        <w:tc>
          <w:tcPr>
            <w:tcW w:w="4876" w:type="dxa"/>
            <w:tcBorders>
              <w:top w:val="nil"/>
              <w:left w:val="nil"/>
              <w:bottom w:val="nil"/>
              <w:right w:val="nil"/>
            </w:tcBorders>
          </w:tcPr>
          <w:p w:rsidR="009517E4" w:rsidRPr="00CD3F77" w:rsidRDefault="009517E4" w:rsidP="009517E4">
            <w:pPr>
              <w:pStyle w:val="Normal6a"/>
            </w:pPr>
            <w:r w:rsidRPr="00CD3F77">
              <w:t>16.</w:t>
            </w:r>
            <w:r w:rsidRPr="00CD3F77">
              <w:tab/>
              <w:t xml:space="preserve">ragina Komisiją spręsti pernelyg ilgų antimonopolinių tyrimų, per kuriuos įmonės ir toliau gali pelnytis iš savo antikonkurencinės praktikos, klausimą; </w:t>
            </w:r>
            <w:r w:rsidRPr="00CD3F77">
              <w:rPr>
                <w:b/>
                <w:i/>
              </w:rPr>
              <w:t xml:space="preserve">ragina Komisiją nustatyti antimonopolinių bylų nagrinėjimo terminą, kad būtų užtikrintas ES taisyklių veiksmingumas; ragina Komisiją patvirtinti papildomas laikinąsias priemones, kuriomis būtų sustabdyta bet </w:t>
            </w:r>
            <w:r w:rsidRPr="00CD3F77">
              <w:rPr>
                <w:b/>
                <w:i/>
              </w:rPr>
              <w:lastRenderedPageBreak/>
              <w:t>kokia praktika, galinti daryti didelę žalą konkurencijai, visų pirma kiek tai susiję su dinamiškomis ir sparčiai besivystančiomis rinkomis, pvz., skaitmeninėmis rinkomis;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239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16.</w:t>
            </w:r>
            <w:r w:rsidRPr="00CD3F77">
              <w:tab/>
              <w:t xml:space="preserve">ragina Komisiją spręsti pernelyg ilgų antimonopolinių tyrimų, per kuriuos įmonės </w:t>
            </w:r>
            <w:r w:rsidRPr="00CD3F77">
              <w:rPr>
                <w:b/>
                <w:i/>
              </w:rPr>
              <w:t>ir toliau gali pelnytis iš savo antikonkurencinės praktikos</w:t>
            </w:r>
            <w:r w:rsidRPr="00CD3F77">
              <w:t>, klausimą;</w:t>
            </w:r>
          </w:p>
        </w:tc>
        <w:tc>
          <w:tcPr>
            <w:tcW w:w="4876" w:type="dxa"/>
            <w:tcBorders>
              <w:top w:val="nil"/>
              <w:left w:val="nil"/>
              <w:bottom w:val="nil"/>
              <w:right w:val="nil"/>
            </w:tcBorders>
          </w:tcPr>
          <w:p w:rsidR="009517E4" w:rsidRPr="00CD3F77" w:rsidRDefault="009517E4" w:rsidP="009517E4">
            <w:pPr>
              <w:pStyle w:val="Normal6a"/>
            </w:pPr>
            <w:r w:rsidRPr="00CD3F77">
              <w:t>16.</w:t>
            </w:r>
            <w:r w:rsidRPr="00CD3F77">
              <w:tab/>
              <w:t xml:space="preserve">ragina Komisiją spręsti pernelyg ilgų antimonopolinių tyrimų, per kuriuos įmonės </w:t>
            </w:r>
            <w:r w:rsidRPr="00CD3F77">
              <w:rPr>
                <w:b/>
                <w:i/>
              </w:rPr>
              <w:t>gali susidurti su ilgalaikiu netikrumu, trukdančiu joms konkuruoti ir diegti inovacijas</w:t>
            </w:r>
            <w:r w:rsidRPr="00CD3F77">
              <w:t>, klausimą;</w:t>
            </w:r>
            <w:r w:rsidRPr="00CD3F77">
              <w:rPr>
                <w:b/>
                <w:i/>
              </w:rPr>
              <w:t xml:space="preserve"> primena, kad dėl pernelyg ilgų tyrimų gali atsirasti nereikalingų išlaidų, o tai atgraso nuo investicijų ir trukdo užtikrinti dinamiškumą;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16.</w:t>
            </w:r>
            <w:r w:rsidRPr="00CD3F77">
              <w:tab/>
              <w:t>ragina Komisiją spręsti pernelyg ilgų antimonopolinių tyrimų, per kuriuos įmonės ir toliau gali pelnytis iš savo antikonkurencinės praktikos, klausimą;</w:t>
            </w:r>
          </w:p>
        </w:tc>
        <w:tc>
          <w:tcPr>
            <w:tcW w:w="4876" w:type="dxa"/>
            <w:tcBorders>
              <w:top w:val="nil"/>
              <w:left w:val="nil"/>
              <w:bottom w:val="nil"/>
              <w:right w:val="nil"/>
            </w:tcBorders>
          </w:tcPr>
          <w:p w:rsidR="009517E4" w:rsidRPr="00CD3F77" w:rsidRDefault="009517E4" w:rsidP="009517E4">
            <w:pPr>
              <w:pStyle w:val="Normal6a"/>
            </w:pPr>
            <w:r w:rsidRPr="00CD3F77">
              <w:t>16.</w:t>
            </w:r>
            <w:r w:rsidRPr="00CD3F77">
              <w:tab/>
              <w:t>ragina Komisiją spręsti pernelyg ilgų antimonopolinių tyrimų, per kuriuos įmonės ir toliau gali pelnytis iš savo antikonkurencinės praktikos, klausimą</w:t>
            </w:r>
            <w:r w:rsidRPr="00CD3F77">
              <w:rPr>
                <w:b/>
                <w:bCs/>
                <w:i/>
                <w:iCs/>
              </w:rPr>
              <w:t>,</w:t>
            </w:r>
            <w:r w:rsidRPr="00CD3F77">
              <w:t xml:space="preserve"> </w:t>
            </w:r>
            <w:r w:rsidRPr="00CD3F77">
              <w:rPr>
                <w:b/>
                <w:bCs/>
                <w:i/>
                <w:iCs/>
              </w:rPr>
              <w:t xml:space="preserve">ir visapusiškai pasinaudoti savo įgaliojimais, pvz., dažniau taikyti </w:t>
            </w:r>
            <w:r w:rsidRPr="00CD3F77">
              <w:rPr>
                <w:b/>
                <w:bCs/>
                <w:i/>
                <w:iCs/>
              </w:rPr>
              <w:lastRenderedPageBreak/>
              <w:t>laikinąsias priemones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16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16.</w:t>
            </w:r>
            <w:r w:rsidRPr="00CD3F77">
              <w:tab/>
              <w:t xml:space="preserve">ragina Komisiją spręsti </w:t>
            </w:r>
            <w:r w:rsidRPr="00CD3F77">
              <w:rPr>
                <w:b/>
                <w:bCs/>
                <w:i/>
                <w:iCs/>
              </w:rPr>
              <w:t>pernelyg ilgų</w:t>
            </w:r>
            <w:r w:rsidRPr="00CD3F77">
              <w:t xml:space="preserve"> </w:t>
            </w:r>
            <w:r w:rsidRPr="00CD3F77">
              <w:rPr>
                <w:b/>
                <w:bCs/>
                <w:i/>
                <w:iCs/>
              </w:rPr>
              <w:t xml:space="preserve">antimonopolinių tyrimų, per kuriuos įmonės </w:t>
            </w:r>
            <w:r w:rsidRPr="00CD3F77">
              <w:t xml:space="preserve">ir </w:t>
            </w:r>
            <w:r w:rsidRPr="00CD3F77">
              <w:rPr>
                <w:b/>
                <w:bCs/>
                <w:i/>
                <w:iCs/>
              </w:rPr>
              <w:t>toliau gali pelnytis iš savo antikonkurencinės praktikos, klausimą</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16.</w:t>
            </w:r>
            <w:r w:rsidRPr="00CD3F77">
              <w:tab/>
              <w:t>ragina Komisiją</w:t>
            </w:r>
            <w:r w:rsidRPr="00CD3F77">
              <w:rPr>
                <w:b/>
                <w:bCs/>
                <w:i/>
                <w:iCs/>
              </w:rPr>
              <w:t xml:space="preserve"> paspartinti antimonopolines procedūras, nustatyti tinkamus terminus procedūroms </w:t>
            </w:r>
            <w:r w:rsidRPr="00CD3F77">
              <w:t xml:space="preserve">ir </w:t>
            </w:r>
            <w:r w:rsidRPr="00CD3F77">
              <w:rPr>
                <w:b/>
                <w:bCs/>
                <w:i/>
                <w:iCs/>
              </w:rPr>
              <w:t>užtikrinti, kad būtų veiksmingai įgyvendinti priimti sprendimai</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16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16a.</w:t>
            </w:r>
            <w:r w:rsidRPr="00CD3F77">
              <w:tab/>
            </w:r>
            <w:r w:rsidRPr="00CD3F77">
              <w:rPr>
                <w:b/>
                <w:i/>
              </w:rPr>
              <w:t>ragina Komisiją skubiai pasinaudoti turimomis prekybos priemonėmis, kad būtų užkirstas kelias nesąžiningai konkurencijai vidaus rinkoje, t. y. tokiomis priemonėmis kaip „Tarptautinių viešųjų pirkimų priemonė“ ir „Užsienio subsidijų reglamentas“, ir išsaugoti vienodas sąlygas užsienio bendrovėms, kurioms skiriamos didelės valstybės subsidijos; priduria, kad socialinio ir aplinkosauginio dempingo klausimas taip pat turėtų būti sprendžiamas taikant konkurencijos taisykles;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16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16a.</w:t>
            </w:r>
            <w:r w:rsidRPr="00CD3F77">
              <w:tab/>
            </w:r>
            <w:r w:rsidRPr="00CD3F77">
              <w:rPr>
                <w:b/>
                <w:i/>
              </w:rPr>
              <w:t>ragina užtikrinti, kad priimant sprendimus dėl susijungimų ir įsigijimų su darbuotojais būtų privalomai konsultuojamasi ir jie turėtų dalyvavimo teisę;</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5 a paantraštė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prašo papildomo dėmesio skaitmeniniam sektoriui, užtikrinant, kad didžiosios internetinės platformos ir technologijų gigantai nepiktnaudžiautų savo dominuojančia padėtimi; pabrėžia, kad svarbu taikyti specialias taisykles siekiant išvengti konkurencijos iškraipymo šioje srityje, skatinant ES ir atskiras valstybes nares netgi taikyti specialias apmokestinimo formas;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lastRenderedPageBreak/>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r>
            <w:r w:rsidRPr="00CD3F77">
              <w:rPr>
                <w:b/>
                <w:bCs/>
                <w:i/>
                <w:iCs/>
              </w:rPr>
              <w:t>palankiai vertina dvi</w:t>
            </w:r>
            <w:r w:rsidRPr="00CD3F77">
              <w:t xml:space="preserve"> </w:t>
            </w:r>
            <w:r w:rsidRPr="00CD3F77">
              <w:rPr>
                <w:b/>
                <w:bCs/>
                <w:i/>
                <w:iCs/>
              </w:rPr>
              <w:t>svarbias</w:t>
            </w:r>
            <w:r w:rsidRPr="00CD3F77">
              <w:t xml:space="preserve"> neseniai </w:t>
            </w:r>
            <w:r w:rsidRPr="00CD3F77">
              <w:rPr>
                <w:b/>
                <w:bCs/>
                <w:i/>
                <w:iCs/>
              </w:rPr>
              <w:t>išnagrinėtas</w:t>
            </w:r>
            <w:r w:rsidRPr="00CD3F77">
              <w:t xml:space="preserve"> </w:t>
            </w:r>
            <w:r w:rsidRPr="00CD3F77">
              <w:rPr>
                <w:b/>
                <w:bCs/>
                <w:i/>
                <w:iCs/>
              </w:rPr>
              <w:t>bylas</w:t>
            </w:r>
            <w:r w:rsidRPr="00CD3F77">
              <w:t xml:space="preserve">, </w:t>
            </w:r>
            <w:r w:rsidRPr="00CD3F77">
              <w:rPr>
                <w:b/>
                <w:bCs/>
                <w:i/>
                <w:iCs/>
              </w:rPr>
              <w:t>patvirtinančias</w:t>
            </w:r>
            <w:r w:rsidRPr="00CD3F77">
              <w:t xml:space="preserve"> Komisijos teiginį, kad Airijos mokesčių susitarimas su „Apple“ </w:t>
            </w:r>
            <w:r w:rsidRPr="00CD3F77">
              <w:rPr>
                <w:b/>
                <w:bCs/>
                <w:i/>
                <w:iCs/>
              </w:rPr>
              <w:t>ir „Google“ yra antikonkurencinė praktika</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17.</w:t>
            </w:r>
            <w:r w:rsidRPr="00CD3F77">
              <w:tab/>
            </w:r>
            <w:r w:rsidRPr="00CD3F77">
              <w:rPr>
                <w:b/>
                <w:bCs/>
                <w:i/>
                <w:iCs/>
              </w:rPr>
              <w:t xml:space="preserve">atkreipia dėmesį į svarbią </w:t>
            </w:r>
            <w:r w:rsidRPr="00CD3F77">
              <w:t xml:space="preserve">neseniai </w:t>
            </w:r>
            <w:r w:rsidRPr="00CD3F77">
              <w:rPr>
                <w:b/>
                <w:bCs/>
                <w:i/>
                <w:iCs/>
              </w:rPr>
              <w:t>išnagrinėtą</w:t>
            </w:r>
            <w:r w:rsidRPr="00CD3F77">
              <w:t xml:space="preserve"> </w:t>
            </w:r>
            <w:r w:rsidRPr="00CD3F77">
              <w:rPr>
                <w:b/>
                <w:bCs/>
                <w:i/>
                <w:iCs/>
              </w:rPr>
              <w:t>bylą</w:t>
            </w:r>
            <w:r w:rsidRPr="00CD3F77">
              <w:t xml:space="preserve">, </w:t>
            </w:r>
            <w:r w:rsidRPr="00CD3F77">
              <w:rPr>
                <w:b/>
                <w:bCs/>
                <w:i/>
                <w:iCs/>
              </w:rPr>
              <w:t>patvirtinančią</w:t>
            </w:r>
            <w:r w:rsidRPr="00CD3F77">
              <w:t xml:space="preserve"> Komisijos teiginį, kad </w:t>
            </w:r>
            <w:r w:rsidRPr="00CD3F77">
              <w:rPr>
                <w:b/>
                <w:bCs/>
                <w:i/>
                <w:iCs/>
              </w:rPr>
              <w:t xml:space="preserve">istorinis </w:t>
            </w:r>
            <w:r w:rsidRPr="00CD3F77">
              <w:t>Airijos mokesčių susitarimas su „Apple“</w:t>
            </w:r>
            <w:r w:rsidRPr="00CD3F77">
              <w:rPr>
                <w:b/>
                <w:bCs/>
                <w:i/>
                <w:iCs/>
              </w:rPr>
              <w:t>, galiojęs</w:t>
            </w:r>
            <w:r w:rsidRPr="00CD3F77">
              <w:t xml:space="preserve"> </w:t>
            </w:r>
            <w:r w:rsidRPr="00CD3F77">
              <w:rPr>
                <w:b/>
                <w:bCs/>
                <w:i/>
                <w:iCs/>
              </w:rPr>
              <w:t>nuo 2003 m. iki 2014 m., neatitiko ES valstybės pagalbos teisės aktų;</w:t>
            </w:r>
            <w:r w:rsidRPr="00CD3F77">
              <w:rPr>
                <w:b/>
                <w:i/>
              </w:rPr>
              <w:t xml:space="preserve"> </w:t>
            </w:r>
            <w:r w:rsidRPr="00CD3F77">
              <w:rPr>
                <w:b/>
                <w:bCs/>
                <w:i/>
                <w:iCs/>
              </w:rPr>
              <w:t>pripažįsta, kad nuo to laiko Airijos teisinė sistema pasikeitė ir mokesčių susitarimas nebetaikomas</w:t>
            </w:r>
            <w:r w:rsidRPr="00CD3F77">
              <w:t xml:space="preserve">; </w:t>
            </w:r>
            <w:r w:rsidRPr="00CD3F77">
              <w:rPr>
                <w:b/>
                <w:i/>
              </w:rPr>
              <w:t>taip pat atkreipia dėmesį į neseniai priimtą ESTT sprendimą, kad „Google“ praktika, susijusi su kainų palyginimo paslauga, neatitiko ES konkurencijos teisės;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r>
            <w:r w:rsidRPr="00CD3F77">
              <w:rPr>
                <w:b/>
                <w:i/>
              </w:rPr>
              <w:t>palankiai vertina</w:t>
            </w:r>
            <w:r w:rsidRPr="00CD3F77">
              <w:t xml:space="preserve"> dvi svarbias neseniai išnagrinėtas bylas, patvirtinančias Komisijos teiginį, kad Airijos mokesčių susitarimas su „Apple“ ir „Google“ yra antikonkurencinė praktika;</w:t>
            </w:r>
          </w:p>
        </w:tc>
        <w:tc>
          <w:tcPr>
            <w:tcW w:w="4876" w:type="dxa"/>
            <w:tcBorders>
              <w:top w:val="nil"/>
              <w:left w:val="nil"/>
              <w:bottom w:val="nil"/>
              <w:right w:val="nil"/>
            </w:tcBorders>
          </w:tcPr>
          <w:p w:rsidR="009517E4" w:rsidRPr="00CD3F77" w:rsidRDefault="009517E4" w:rsidP="009517E4">
            <w:pPr>
              <w:pStyle w:val="Normal6a"/>
            </w:pPr>
            <w:r w:rsidRPr="00CD3F77">
              <w:t>17.</w:t>
            </w:r>
            <w:r w:rsidRPr="00CD3F77">
              <w:tab/>
            </w:r>
            <w:r w:rsidRPr="00CD3F77">
              <w:rPr>
                <w:b/>
                <w:i/>
              </w:rPr>
              <w:t>atkreipia dėmesį į</w:t>
            </w:r>
            <w:r w:rsidRPr="00CD3F77">
              <w:t xml:space="preserve"> dvi svarbias neseniai išnagrinėtas bylas, patvirtinančias Komisijos teiginį, kad Airijos mokesčių susitarimas su „Apple“ ir „Google“ yra antikonkurencinė praktika;</w:t>
            </w:r>
            <w:r w:rsidRPr="00CD3F77">
              <w:rPr>
                <w:b/>
                <w:i/>
              </w:rPr>
              <w:t> primena, kad, nors būtina taisyti laisvajai rinkai žalingą praktiką, Komisija turi užtikrinti, kad rinkos išliktų atviros, ir kartu laikytis fiskalinės politikos subsidiarumo principo; primena, kad valstybės turi išlaikyti savo savarankiškumą vykdydamos fiskalinę politiką, kuria būtų skatinamas ekonomikos augimas, investicijos ir konkurencingumas atitinkamoje jų ekonomikos srityje;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247</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t xml:space="preserve">palankiai vertina </w:t>
            </w:r>
            <w:r w:rsidRPr="00CD3F77">
              <w:rPr>
                <w:b/>
                <w:bCs/>
                <w:i/>
                <w:iCs/>
              </w:rPr>
              <w:t>dvi svarbias</w:t>
            </w:r>
            <w:r w:rsidRPr="00CD3F77">
              <w:t xml:space="preserve"> neseniai</w:t>
            </w:r>
            <w:r w:rsidRPr="00CD3F77">
              <w:rPr>
                <w:b/>
                <w:bCs/>
                <w:i/>
                <w:iCs/>
              </w:rPr>
              <w:t xml:space="preserve"> išnagrinėtas bylas</w:t>
            </w:r>
            <w:r w:rsidRPr="00CD3F77">
              <w:t xml:space="preserve">, </w:t>
            </w:r>
            <w:r w:rsidRPr="00CD3F77">
              <w:rPr>
                <w:b/>
                <w:bCs/>
                <w:i/>
                <w:iCs/>
              </w:rPr>
              <w:t>patvirtinančias</w:t>
            </w:r>
            <w:r w:rsidRPr="00CD3F77">
              <w:t xml:space="preserve"> Komisijos teiginį, kad Airijos mokesčių susitarimas su „Apple“ </w:t>
            </w:r>
            <w:r w:rsidRPr="00CD3F77">
              <w:rPr>
                <w:b/>
                <w:bCs/>
                <w:i/>
                <w:iCs/>
              </w:rPr>
              <w:t xml:space="preserve">ir „Google“ </w:t>
            </w:r>
            <w:r w:rsidRPr="00CD3F77">
              <w:t xml:space="preserve">yra </w:t>
            </w:r>
            <w:r w:rsidRPr="00CD3F77">
              <w:rPr>
                <w:b/>
                <w:bCs/>
                <w:i/>
                <w:iCs/>
              </w:rPr>
              <w:t>antikonkurencinė praktika</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17.</w:t>
            </w:r>
            <w:r w:rsidRPr="00CD3F77">
              <w:tab/>
              <w:t xml:space="preserve">palankiai vertina </w:t>
            </w:r>
            <w:r w:rsidRPr="00CD3F77">
              <w:rPr>
                <w:b/>
                <w:bCs/>
                <w:i/>
                <w:iCs/>
              </w:rPr>
              <w:t>du svarbius</w:t>
            </w:r>
            <w:r w:rsidRPr="00CD3F77">
              <w:t xml:space="preserve"> neseniai</w:t>
            </w:r>
            <w:r w:rsidRPr="00CD3F77">
              <w:rPr>
                <w:b/>
                <w:bCs/>
                <w:i/>
                <w:iCs/>
              </w:rPr>
              <w:t xml:space="preserve"> priimtus teismo sprendimus</w:t>
            </w:r>
            <w:r w:rsidRPr="00CD3F77">
              <w:t xml:space="preserve">, </w:t>
            </w:r>
            <w:r w:rsidRPr="00CD3F77">
              <w:rPr>
                <w:b/>
                <w:bCs/>
                <w:i/>
                <w:iCs/>
              </w:rPr>
              <w:t>patvirtinančius</w:t>
            </w:r>
            <w:r w:rsidRPr="00CD3F77">
              <w:t xml:space="preserve"> Komisijos teiginį, kad Airijos mokesčių susitarimas su „Apple“ </w:t>
            </w:r>
            <w:r w:rsidRPr="00CD3F77">
              <w:rPr>
                <w:b/>
                <w:bCs/>
                <w:i/>
                <w:iCs/>
              </w:rPr>
              <w:t>yra neteisėta valstybės pagalba ir kad „Google“ piktnaudžiavo dominuojančia padėtimi, pažeisdama Sutartis</w:t>
            </w:r>
            <w:r w:rsidRPr="00CD3F77">
              <w:t xml:space="preserve">; </w:t>
            </w:r>
            <w:r w:rsidRPr="00CD3F77">
              <w:rPr>
                <w:b/>
                <w:i/>
              </w:rPr>
              <w:t>ragina Komisiją toliau kovoti su piktnaudžiavimu valstybės pagalba, susijusiu su atrankinėmis mokesčių lengvatomis bendrovėms;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Sirpa Pietikäinen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t>palankiai vertina dvi svarbias neseniai išnagrinėtas bylas, patvirtinančias Komisijos teiginį, kad Airijos mokesčių susitarimas su „Apple“ ir „Google“ yra antikonkurencinė praktika;</w:t>
            </w:r>
          </w:p>
        </w:tc>
        <w:tc>
          <w:tcPr>
            <w:tcW w:w="4876" w:type="dxa"/>
            <w:tcBorders>
              <w:top w:val="nil"/>
              <w:left w:val="nil"/>
              <w:bottom w:val="nil"/>
              <w:right w:val="nil"/>
            </w:tcBorders>
          </w:tcPr>
          <w:p w:rsidR="009517E4" w:rsidRPr="00CD3F77" w:rsidRDefault="009517E4" w:rsidP="009517E4">
            <w:pPr>
              <w:pStyle w:val="Normal6a"/>
            </w:pPr>
            <w:r w:rsidRPr="00CD3F77">
              <w:t>17.</w:t>
            </w:r>
            <w:r w:rsidRPr="00CD3F77">
              <w:tab/>
              <w:t xml:space="preserve">palankiai vertina dvi svarbias neseniai išnagrinėtas bylas, patvirtinančias Komisijos teiginį, kad Airijos mokesčių susitarimas su „Apple“ ir „Google“ yra antikonkurencinė praktika; </w:t>
            </w:r>
            <w:r w:rsidRPr="00CD3F77">
              <w:rPr>
                <w:b/>
                <w:i/>
              </w:rPr>
              <w:t>prašo Komisijos patikslinti galiojančius teisės aktus, kad konkurenciją iškraipančios mokesčių lengvatos būtų laikomos neteisėtomis;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249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lastRenderedPageBreak/>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t>palankiai vertina dvi svarbias neseniai išnagrinėtas bylas, patvirtinančias Komisijos teiginį, kad Airijos mokesčių susitarimas su „Apple“ ir „Google“ yra antikonkurencinė praktika;</w:t>
            </w:r>
          </w:p>
        </w:tc>
        <w:tc>
          <w:tcPr>
            <w:tcW w:w="4876" w:type="dxa"/>
            <w:tcBorders>
              <w:top w:val="nil"/>
              <w:left w:val="nil"/>
              <w:bottom w:val="nil"/>
              <w:right w:val="nil"/>
            </w:tcBorders>
          </w:tcPr>
          <w:p w:rsidR="009517E4" w:rsidRPr="00CD3F77" w:rsidRDefault="009517E4" w:rsidP="009517E4">
            <w:pPr>
              <w:pStyle w:val="Normal6a"/>
            </w:pPr>
            <w:r w:rsidRPr="00CD3F77">
              <w:t>17.</w:t>
            </w:r>
            <w:r w:rsidRPr="00CD3F77">
              <w:tab/>
              <w:t xml:space="preserve">palankiai vertina dvi svarbias neseniai išnagrinėtas bylas, patvirtinančias Komisijos teiginį, kad Airijos mokesčių susitarimas su „Apple“ ir „Google“ yra antikonkurencinė praktika </w:t>
            </w:r>
            <w:r w:rsidRPr="00CD3F77">
              <w:rPr>
                <w:b/>
                <w:bCs/>
                <w:i/>
                <w:iCs/>
              </w:rPr>
              <w:t>dėl neteisėtos valstybės pagalbos teikimo</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Regina Doherty, Lídia Pereira, 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r>
            <w:r w:rsidRPr="00CD3F77">
              <w:rPr>
                <w:b/>
                <w:bCs/>
                <w:i/>
                <w:iCs/>
              </w:rPr>
              <w:t xml:space="preserve">palankiai vertina </w:t>
            </w:r>
            <w:r w:rsidRPr="00CD3F77">
              <w:t xml:space="preserve">dvi </w:t>
            </w:r>
            <w:r w:rsidRPr="00CD3F77">
              <w:rPr>
                <w:b/>
                <w:bCs/>
                <w:i/>
                <w:iCs/>
              </w:rPr>
              <w:t xml:space="preserve">svarbias </w:t>
            </w:r>
            <w:r w:rsidRPr="00CD3F77">
              <w:t xml:space="preserve">neseniai išnagrinėtas bylas, </w:t>
            </w:r>
            <w:r w:rsidRPr="00CD3F77">
              <w:rPr>
                <w:b/>
                <w:bCs/>
                <w:i/>
                <w:iCs/>
              </w:rPr>
              <w:t xml:space="preserve">patvirtinančias Komisijos teiginį, kad Airijos mokesčių susitarimas su </w:t>
            </w:r>
            <w:r w:rsidRPr="00CD3F77">
              <w:t xml:space="preserve">„Apple“ ir „Google“ </w:t>
            </w:r>
            <w:r w:rsidRPr="00CD3F77">
              <w:rPr>
                <w:b/>
                <w:bCs/>
                <w:i/>
                <w:iCs/>
              </w:rPr>
              <w:t>yra antikonkurencinė praktika</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17.</w:t>
            </w:r>
            <w:r w:rsidRPr="00CD3F77">
              <w:tab/>
            </w:r>
            <w:r w:rsidRPr="00CD3F77">
              <w:rPr>
                <w:b/>
                <w:bCs/>
                <w:i/>
                <w:iCs/>
              </w:rPr>
              <w:t xml:space="preserve">atkreipia dėmesį į </w:t>
            </w:r>
            <w:r w:rsidRPr="00CD3F77">
              <w:t xml:space="preserve">dvi neseniai </w:t>
            </w:r>
            <w:r w:rsidRPr="00CD3F77">
              <w:rPr>
                <w:b/>
                <w:bCs/>
                <w:i/>
                <w:iCs/>
              </w:rPr>
              <w:t xml:space="preserve">ESTT </w:t>
            </w:r>
            <w:r w:rsidRPr="00CD3F77">
              <w:t>išnagrinėtas bylas,</w:t>
            </w:r>
            <w:r w:rsidRPr="00CD3F77">
              <w:rPr>
                <w:b/>
                <w:bCs/>
                <w:i/>
                <w:iCs/>
              </w:rPr>
              <w:t xml:space="preserve"> susijusias atitinkamai su </w:t>
            </w:r>
            <w:r w:rsidRPr="00CD3F77">
              <w:t xml:space="preserve">„Apple“ </w:t>
            </w:r>
            <w:r w:rsidRPr="00CD3F77">
              <w:rPr>
                <w:b/>
                <w:bCs/>
                <w:i/>
                <w:iCs/>
              </w:rPr>
              <w:t xml:space="preserve">sumokėtais mokesčiais pagal ankstesnes, iki 2007 m. galiojusias apmokestinimo taisykles, kurios šiuo metu yra neteisėtos, </w:t>
            </w:r>
            <w:r w:rsidRPr="00CD3F77">
              <w:t xml:space="preserve">ir </w:t>
            </w:r>
            <w:r w:rsidRPr="00CD3F77">
              <w:rPr>
                <w:b/>
                <w:bCs/>
                <w:i/>
                <w:iCs/>
              </w:rPr>
              <w:t xml:space="preserve">su </w:t>
            </w:r>
            <w:r w:rsidRPr="00CD3F77">
              <w:t xml:space="preserve">„Google“ </w:t>
            </w:r>
            <w:r w:rsidRPr="00CD3F77">
              <w:rPr>
                <w:b/>
                <w:bCs/>
                <w:i/>
                <w:iCs/>
              </w:rPr>
              <w:t>veikla, kuri laikoma antikonkurencine</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 Kartheiser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17.</w:t>
            </w:r>
            <w:r w:rsidRPr="00CD3F77">
              <w:tab/>
              <w:t xml:space="preserve">palankiai vertina dvi svarbias neseniai išnagrinėtas bylas, patvirtinančias Komisijos teiginį, kad Airijos </w:t>
            </w:r>
            <w:r w:rsidRPr="00CD3F77">
              <w:rPr>
                <w:b/>
                <w:bCs/>
                <w:i/>
                <w:iCs/>
              </w:rPr>
              <w:t>mokesčių</w:t>
            </w:r>
            <w:r w:rsidRPr="00CD3F77">
              <w:t xml:space="preserve"> </w:t>
            </w:r>
            <w:r w:rsidRPr="00CD3F77">
              <w:lastRenderedPageBreak/>
              <w:t xml:space="preserve">susitarimas </w:t>
            </w:r>
            <w:r w:rsidRPr="00CD3F77">
              <w:rPr>
                <w:b/>
                <w:bCs/>
                <w:i/>
                <w:iCs/>
              </w:rPr>
              <w:t>su</w:t>
            </w:r>
            <w:r w:rsidRPr="00CD3F77">
              <w:t xml:space="preserve"> „Apple“ ir „Google“ yra antikonkurencinė praktika;</w:t>
            </w:r>
          </w:p>
        </w:tc>
        <w:tc>
          <w:tcPr>
            <w:tcW w:w="4876" w:type="dxa"/>
            <w:tcBorders>
              <w:top w:val="nil"/>
              <w:left w:val="nil"/>
              <w:bottom w:val="nil"/>
              <w:right w:val="nil"/>
            </w:tcBorders>
          </w:tcPr>
          <w:p w:rsidR="009517E4" w:rsidRPr="00CD3F77" w:rsidRDefault="009517E4" w:rsidP="009517E4">
            <w:pPr>
              <w:pStyle w:val="Normal6a"/>
            </w:pPr>
            <w:r w:rsidRPr="00CD3F77">
              <w:lastRenderedPageBreak/>
              <w:t>17.</w:t>
            </w:r>
            <w:r w:rsidRPr="00CD3F77">
              <w:tab/>
              <w:t xml:space="preserve">palankiai vertina dvi svarbias neseniai išnagrinėtas bylas, patvirtinančias Komisijos teiginį, kad Airijos susitarimas </w:t>
            </w:r>
            <w:r w:rsidRPr="00CD3F77">
              <w:rPr>
                <w:b/>
                <w:bCs/>
                <w:i/>
                <w:iCs/>
              </w:rPr>
              <w:lastRenderedPageBreak/>
              <w:t>dėl valstybės pagalbos teikimo</w:t>
            </w:r>
            <w:r w:rsidRPr="00CD3F77">
              <w:t xml:space="preserve"> „Apple“ ir „Google“ yra antikonkurencinė praktika;</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17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17a.</w:t>
            </w:r>
            <w:r w:rsidRPr="00CD3F77">
              <w:tab/>
            </w:r>
            <w:r w:rsidRPr="00CD3F77">
              <w:rPr>
                <w:b/>
                <w:i/>
              </w:rPr>
              <w:t>labai apgailestauja dėl JAV prezidento vykdomojo įsakymo, kuriame teigiama, kad EBPO visuotinis susitarimas dėl mokesčių „neturi jokios galios ar poveikio Jungtinėse Amerikos Valstijose“, iš esmės pašalinant JAV iš derybų; pabrėžia, koks svarbus daugiašališkumas siekiant užtikrinti, kad tarptautinės įmonės mokėtų teisingą mokesčių dalį ten, kur sukuriama vertė; pabrėžia, kad EBPO pasaulinio susitarimo dėl mokesčių II ramsčiu nustatomos žalingos mokesčių konkurencijos ribos, taip sustabdant įmonių lenktynes dėl kuo žemesnių mokesčių dydžių, dėl kurių sumažėjo mokestinės pajamos, teisingumas ir padidėjo nelygybė pasaulyje; mano, kad ES turėtų visapusiškai laikytis II ramsčio direktyvos, kad būtų užkirstas kelias grįžimui prie nevaržomos mokesčių konkurencijos, kuri būtų vykdoma pakenkiant viešosioms pajamoms;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lastRenderedPageBreak/>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r>
            <w:r w:rsidRPr="00CD3F77">
              <w:rPr>
                <w:b/>
                <w:i/>
              </w:rPr>
              <w:t>pabrėžia nerimą keliančią</w:t>
            </w:r>
            <w:r w:rsidRPr="00CD3F77">
              <w:t xml:space="preserve">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r>
            <w:r w:rsidRPr="00CD3F77">
              <w:rPr>
                <w:b/>
                <w:i/>
              </w:rPr>
              <w:t>atkreipia dėmesį į</w:t>
            </w:r>
            <w:r w:rsidRPr="00CD3F77">
              <w:t xml:space="preserve"> rinkos koncentraciją įvairiose skaitmeninėse rinkose, pvz., socialinės žiniasklaidos, paieškos sistemų, dirbtinio intelekto, debesijos paslaugų ir internetinės reklamos rinkose; </w:t>
            </w:r>
            <w:r w:rsidRPr="00CD3F77">
              <w:rPr>
                <w:b/>
                <w:i/>
              </w:rPr>
              <w:t>pripažįsta, kad tokia koncentracija neturėtų būti automatiškai aiškinama kaip antikonkurencinė veikla, o gali atspindėti sektoriuose dominuojančių įmonių efektyvumą ir pajėgumus inovacijų srityje;</w:t>
            </w:r>
            <w:r w:rsidRPr="00CD3F77">
              <w:t xml:space="preserv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w:t>
            </w:r>
            <w:r w:rsidRPr="00CD3F77">
              <w:rPr>
                <w:b/>
                <w:bCs/>
                <w:i/>
                <w:iCs/>
              </w:rPr>
              <w:t>primygtinai</w:t>
            </w:r>
            <w:r w:rsidRPr="00CD3F77">
              <w:t xml:space="preserve"> ragina Komisiją </w:t>
            </w:r>
            <w:r w:rsidRPr="00CD3F77">
              <w:rPr>
                <w:b/>
                <w:bCs/>
                <w:i/>
                <w:iCs/>
              </w:rPr>
              <w:t>spręsti</w:t>
            </w:r>
            <w:r w:rsidRPr="00CD3F77">
              <w:t xml:space="preserve"> technologijų rinkai būdingus klausimus, įskaitant infrastruktūros galią, vertikaliąją koncentraciją ir rinkos svertą </w:t>
            </w:r>
            <w:r w:rsidRPr="00CD3F77">
              <w:lastRenderedPageBreak/>
              <w:t>skaitmeninėse rinkose;</w:t>
            </w:r>
          </w:p>
        </w:tc>
        <w:tc>
          <w:tcPr>
            <w:tcW w:w="4876" w:type="dxa"/>
            <w:tcBorders>
              <w:top w:val="nil"/>
              <w:left w:val="nil"/>
              <w:bottom w:val="nil"/>
              <w:right w:val="nil"/>
            </w:tcBorders>
          </w:tcPr>
          <w:p w:rsidR="009517E4" w:rsidRPr="00CD3F77" w:rsidRDefault="009517E4" w:rsidP="009517E4">
            <w:pPr>
              <w:pStyle w:val="Normal6a"/>
            </w:pPr>
            <w:r w:rsidRPr="00CD3F77">
              <w:lastRenderedPageBreak/>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ragina Komisiją </w:t>
            </w:r>
            <w:r w:rsidRPr="00CD3F77">
              <w:rPr>
                <w:b/>
                <w:bCs/>
                <w:i/>
                <w:iCs/>
              </w:rPr>
              <w:t>dėti daugiau pastangų sprendžiant</w:t>
            </w:r>
            <w:r w:rsidRPr="00CD3F77">
              <w:t xml:space="preserve"> technologijų rinkai būdingus klausimus, įskaitant infrastruktūros galią, vertikaliąją koncentraciją ir rinkos svertą </w:t>
            </w:r>
            <w:r w:rsidRPr="00CD3F77">
              <w:lastRenderedPageBreak/>
              <w:t>skaitmeninėse rinkose</w:t>
            </w:r>
            <w:r w:rsidRPr="00CD3F77">
              <w:rPr>
                <w:b/>
                <w:bCs/>
                <w:i/>
                <w:iCs/>
              </w:rPr>
              <w:t>, kaip rodo pažanga, pasiekta įgyvendinant Skaitmeninių rinkų aktą</w:t>
            </w:r>
            <w:r w:rsidRPr="00CD3F77">
              <w:t>;</w:t>
            </w:r>
            <w:r w:rsidRPr="00CD3F77">
              <w:rPr>
                <w:b/>
                <w:i/>
              </w:rPr>
              <w:t xml:space="preserve"> </w:t>
            </w:r>
            <w:r w:rsidRPr="00CD3F77">
              <w:rPr>
                <w:b/>
                <w:bCs/>
                <w:i/>
                <w:iCs/>
              </w:rPr>
              <w:t>be to, ragina pradėti naujus tyrimus debesijos sektoriuje siekiant toliau užtikrinti sąžiningą konkurenciją ir inovacijas</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 </w:t>
            </w:r>
            <w:r w:rsidRPr="00CD3F77">
              <w:rPr>
                <w:b/>
                <w:i/>
              </w:rPr>
              <w:t>primygtinai ragina Komisiją spręsti didėjančios vertikalios dominuojančių reklamos vertės grandinės dalyvių koncentracijos problemą, kuri kelia pavojų Europos internetinės reklamos sektoriui;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w:t>
            </w:r>
            <w:r w:rsidRPr="00CD3F77">
              <w:rPr>
                <w:b/>
                <w:bCs/>
                <w:i/>
                <w:iCs/>
              </w:rPr>
              <w:t xml:space="preserve"> ir </w:t>
            </w:r>
            <w:r w:rsidRPr="00CD3F77">
              <w:t xml:space="preserve">rinkos </w:t>
            </w:r>
            <w:r w:rsidRPr="00CD3F77">
              <w:rPr>
                <w:b/>
                <w:bCs/>
                <w:i/>
                <w:iCs/>
              </w:rPr>
              <w:t>svertą</w:t>
            </w:r>
            <w:r w:rsidRPr="00CD3F77">
              <w:t xml:space="preserve">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w:t>
            </w:r>
            <w:r w:rsidRPr="00CD3F77">
              <w:rPr>
                <w:b/>
                <w:bCs/>
                <w:i/>
                <w:iCs/>
              </w:rPr>
              <w:t>techninės įrangos ir debesijos kompiuterijos sluoksniuose</w:t>
            </w:r>
            <w:r w:rsidRPr="00CD3F77">
              <w:t>, vertikaliąją koncentraciją</w:t>
            </w:r>
            <w:r w:rsidRPr="00CD3F77">
              <w:rPr>
                <w:b/>
                <w:bCs/>
                <w:i/>
                <w:iCs/>
              </w:rPr>
              <w:t xml:space="preserve">, struktūrinę įtaką tarpusavyje susijusių papildinių ekosistemai, kurią daro stambūs įsitvirtinę </w:t>
            </w:r>
            <w:r w:rsidRPr="00CD3F77">
              <w:t xml:space="preserve">rinkos </w:t>
            </w:r>
            <w:r w:rsidRPr="00CD3F77">
              <w:rPr>
                <w:b/>
                <w:bCs/>
                <w:i/>
                <w:iCs/>
              </w:rPr>
              <w:t xml:space="preserve">dalyviai, ir </w:t>
            </w:r>
            <w:r w:rsidRPr="00CD3F77">
              <w:t>skaitmeninėse rinkose</w:t>
            </w:r>
            <w:r w:rsidRPr="00CD3F77">
              <w:rPr>
                <w:b/>
                <w:bCs/>
                <w:i/>
                <w:iCs/>
              </w:rPr>
              <w:t xml:space="preserve"> paplitusį tarpusavio svertų naudojimą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w:t>
            </w:r>
            <w:r w:rsidRPr="00CD3F77">
              <w:rPr>
                <w:b/>
                <w:bCs/>
                <w:i/>
                <w:iCs/>
              </w:rPr>
              <w:t>, lustų</w:t>
            </w:r>
            <w:r w:rsidRPr="00CD3F77">
              <w:t xml:space="preserve"> ir internetinės reklamos rinkose; pabrėžia faktinį ir galimą neigiamą poveikį Europos konkurencingumui</w:t>
            </w:r>
            <w:r w:rsidRPr="00CD3F77">
              <w:rPr>
                <w:b/>
                <w:bCs/>
                <w:i/>
                <w:iCs/>
              </w:rPr>
              <w:t>, tiekimo grandinių atsparumui</w:t>
            </w:r>
            <w:r w:rsidRPr="00CD3F77">
              <w:t>, duomenų apsaugai, visuomenei ir demokratijai; primygtinai ragina Komisiją spręsti technologijų rinkai būdingus klausimus, įskaitant infrastruktūros galią, vertikaliąją koncentraciją</w:t>
            </w:r>
            <w:r w:rsidRPr="00CD3F77">
              <w:rPr>
                <w:b/>
                <w:bCs/>
                <w:i/>
                <w:iCs/>
              </w:rPr>
              <w:t xml:space="preserve">, algoritminę manipuliaciją </w:t>
            </w:r>
            <w:r w:rsidRPr="00CD3F77">
              <w:rPr>
                <w:b/>
                <w:bCs/>
                <w:i/>
                <w:iCs/>
              </w:rPr>
              <w:lastRenderedPageBreak/>
              <w:t>skaitmenine viešąja sritimi</w:t>
            </w:r>
            <w:r w:rsidRPr="00CD3F77">
              <w:t xml:space="preserve"> ir rinkos svertą skaitmeninėse rinkose;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w:t>
            </w:r>
            <w:r w:rsidRPr="00CD3F77">
              <w:rPr>
                <w:b/>
                <w:bCs/>
                <w:i/>
                <w:iCs/>
              </w:rPr>
              <w:t>dėl tam tikrų rinkos dalyvių piktnaudžiavimo dominuojančia padėtimi</w:t>
            </w:r>
            <w:r w:rsidRPr="00CD3F77">
              <w:t>; primygtinai ragina Komisiją spręsti technologijų rinkai būdingus klausimus, įskaitant infrastruktūros galią, vertikaliąją koncentraciją ir rinkos svertą skaitmeninėse rinkose;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259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w:t>
            </w:r>
            <w:r w:rsidRPr="00CD3F77">
              <w:lastRenderedPageBreak/>
              <w:t>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lastRenderedPageBreak/>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w:t>
            </w:r>
            <w:r w:rsidRPr="00CD3F77">
              <w:lastRenderedPageBreak/>
              <w:t>poveikį Europos konkurencingumui, duomenų apsaugai, visuomenei ir demokratijai; primygtinai ragina Komisiją spręsti technologijų rinkai būdingus klausimus, įskaitant infrastruktūros galią, vertikaliąją koncentraciją ir rinkos svertą skaitmeninėse rinkose</w:t>
            </w:r>
            <w:r w:rsidRPr="00CD3F77">
              <w:rPr>
                <w:b/>
                <w:bCs/>
                <w:i/>
                <w:iCs/>
              </w:rPr>
              <w:t>, priverstinai taikant Skaitmeninių rinkų aktą</w:t>
            </w:r>
            <w:r w:rsidRPr="00CD3F77">
              <w:t>;</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w:t>
            </w:r>
            <w:r w:rsidRPr="00CD3F77">
              <w:rPr>
                <w:b/>
                <w:bCs/>
                <w:i/>
                <w:iCs/>
              </w:rPr>
              <w:t>, būtiną apmokestinimą</w:t>
            </w:r>
            <w:r w:rsidRPr="00CD3F77">
              <w:t xml:space="preserve"> ir rinkos svertą skaitmeninėse rinkose;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lastRenderedPageBreak/>
              <w:t>18.</w:t>
            </w:r>
            <w:r w:rsidRPr="00CD3F77">
              <w:tab/>
              <w:t xml:space="preserve">pabrėžia </w:t>
            </w:r>
            <w:r w:rsidRPr="00CD3F77">
              <w:rPr>
                <w:b/>
                <w:bCs/>
                <w:i/>
                <w:iCs/>
              </w:rPr>
              <w:t>nerimą keliančią</w:t>
            </w:r>
            <w:r w:rsidRPr="00CD3F77">
              <w:t xml:space="preserve"> rinkos koncentraciją įvairiose skaitmeninėse rinkose, pvz., socialinės žiniasklaidos, paieškos sistemų, dirbtinio intelekto, debesijos paslaugų ir internetinės reklamos rinkose; pabrėžia faktinį ir galimą neigiamą poveikį Europos konkurencingumui</w:t>
            </w:r>
            <w:r w:rsidRPr="00CD3F77">
              <w:rPr>
                <w:b/>
                <w:bCs/>
                <w:i/>
                <w:iCs/>
              </w:rPr>
              <w:t>, duomenų apsaugai, visuomenei ir demokratijai</w:t>
            </w:r>
            <w:r w:rsidRPr="00CD3F77">
              <w:t>; primygtinai ragina Komisiją spręsti technologijų rinkai būdingus klausimus</w:t>
            </w:r>
            <w:r w:rsidRPr="00CD3F77">
              <w:rPr>
                <w:b/>
                <w:bCs/>
                <w:i/>
                <w:iCs/>
              </w:rPr>
              <w:t>, įskaitant infrastruktūros galią, vertikaliąją koncentraciją ir rinkos svertą skaitmeninėse rinkose</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rinkos koncentraciją įvairiose skaitmeninėse rinkose, pvz., socialinės žiniasklaidos, paieškos sistemų, dirbtinio intelekto, debesijos paslaugų ir internetinės reklamos rinkose; pabrėžia faktinį ir galimą neigiamą poveikį Europos konkurencingumui; primygtinai ragina Komisiją spręsti technologijų rinkai būdingus klausimus</w:t>
            </w:r>
            <w:r w:rsidRPr="00CD3F77">
              <w:rPr>
                <w:b/>
                <w:bCs/>
                <w:i/>
                <w:iCs/>
              </w:rPr>
              <w:t>,</w:t>
            </w:r>
            <w:r w:rsidRPr="00CD3F77">
              <w:t xml:space="preserve"> </w:t>
            </w:r>
            <w:r w:rsidRPr="00CD3F77">
              <w:rPr>
                <w:b/>
                <w:bCs/>
                <w:i/>
                <w:iCs/>
              </w:rPr>
              <w:t>savo vertinimuose atsižvelgiant į būsimą inovacijų potencialą, nepaisant jo neapibrėžtumo</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Dirk Gotink</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w:t>
            </w:r>
            <w:r w:rsidRPr="00CD3F77">
              <w:rPr>
                <w:b/>
                <w:bCs/>
                <w:i/>
                <w:iCs/>
              </w:rPr>
              <w:t>, elektroninės prekybos</w:t>
            </w:r>
            <w:r w:rsidRPr="00CD3F77">
              <w:t xml:space="preserve"> ir internetinės reklamos rinkose; pabrėžia faktinį ir galimą neigiamą poveikį Europos konkurencingumui, duomenų apsaugai, visuomenei ir demokratijai; primygtinai ragina Komisiją spręsti technologijų rinkai būdingus klausimus, įskaitant infrastruktūros galią, vertikaliąją koncentraciją ir rinkos svertą skaitmeninėse rinkose;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lastRenderedPageBreak/>
        <w:t>&lt;Article&gt;</w:t>
      </w:r>
      <w:r w:rsidRPr="00CD3F77">
        <w:t>18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18.</w:t>
            </w:r>
            <w:r w:rsidRPr="00CD3F77">
              <w:tab/>
              <w:t>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w:t>
            </w:r>
            <w:r w:rsidRPr="00CD3F77">
              <w:rPr>
                <w:b/>
                <w:i/>
              </w:rPr>
              <w:t>,</w:t>
            </w:r>
            <w:r w:rsidRPr="00CD3F77">
              <w:t xml:space="preserve"> duomenų apsaugai</w:t>
            </w:r>
            <w:r w:rsidRPr="00CD3F77">
              <w:rPr>
                <w:b/>
                <w:i/>
              </w:rPr>
              <w:t>, visuomenei ir demokratijai</w:t>
            </w:r>
            <w:r w:rsidRPr="00CD3F77">
              <w:t>; primygtinai ragina Komisiją spręsti technologijų rinkai būdingus klausimus, įskaitant infrastruktūros galią, vertikaliąją koncentraciją ir rinkos svertą skaitmeninėse rinkose;</w:t>
            </w:r>
          </w:p>
        </w:tc>
        <w:tc>
          <w:tcPr>
            <w:tcW w:w="4876" w:type="dxa"/>
            <w:tcBorders>
              <w:top w:val="nil"/>
              <w:left w:val="nil"/>
              <w:bottom w:val="nil"/>
              <w:right w:val="nil"/>
            </w:tcBorders>
          </w:tcPr>
          <w:p w:rsidR="009517E4" w:rsidRPr="00CD3F77" w:rsidRDefault="009517E4" w:rsidP="009517E4">
            <w:pPr>
              <w:pStyle w:val="Normal6a"/>
            </w:pPr>
            <w:r w:rsidRPr="00CD3F77">
              <w:t>18.</w:t>
            </w:r>
            <w:r w:rsidRPr="00CD3F77">
              <w:tab/>
              <w:t xml:space="preserve">pabrėžia nerimą keliančią rinkos koncentraciją įvairiose skaitmeninėse rinkose, pvz., socialinės žiniasklaidos, paieškos sistemų, dirbtinio intelekto, debesijos paslaugų ir internetinės reklamos rinkose; pabrėžia faktinį ir galimą neigiamą poveikį Europos konkurencingumui </w:t>
            </w:r>
            <w:r w:rsidRPr="00CD3F77">
              <w:rPr>
                <w:b/>
                <w:i/>
              </w:rPr>
              <w:t>ir</w:t>
            </w:r>
            <w:r w:rsidRPr="00CD3F77">
              <w:t xml:space="preserve"> duomenų apsaugai; primygtinai ragina Komisiją spręsti technologijų rinkai būdingus klausimus, įskaitant infrastruktūros galią, vertikaliąją koncentraciją ir rinkos svertą skaitmeninėse rinkose;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18a.</w:t>
            </w:r>
            <w:r w:rsidRPr="00CD3F77">
              <w:tab/>
            </w:r>
            <w:r w:rsidRPr="00CD3F77">
              <w:rPr>
                <w:b/>
                <w:i/>
              </w:rPr>
              <w:t xml:space="preserve">pažymi, kad stambūs skaitmeniniai rinkos dalyviai naudojasi savo įtaka rinkoje, galia vartotojų atžvilgiu, finansiniais ištekliais ir duomenų koncentracija vienoje rinkoje tam, kad darytų įtaką kitai rinkai; pabrėžia, kad smulkūs veikėjai negali konkuruoti su minėtais veiksniais, dėl kurių ES piliečiai tampa dar labiau priklausomi nuo to paties mažo ne ES įmonių skaičiaus ir kyla pavojus strateginiam savarankiškumui; ragina atidžiau tikrinti dominuojančios padėties skaitmeniniuose sektoriuose perkėlimą į kitus sektorius ir ES strateginį savarankiškumą, persvarstant susijungimų gaires, kad būtų galima veiksmingiau tikrinti rinkos sverto </w:t>
            </w:r>
            <w:r w:rsidRPr="00CD3F77">
              <w:rPr>
                <w:b/>
                <w:i/>
              </w:rPr>
              <w:lastRenderedPageBreak/>
              <w:t>panaudojimą;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18a.</w:t>
            </w:r>
            <w:r w:rsidRPr="00CD3F77">
              <w:tab/>
            </w:r>
            <w:r w:rsidRPr="00CD3F77">
              <w:rPr>
                <w:b/>
                <w:i/>
              </w:rPr>
              <w:t>yra susirūpinęs dėl rinkos koncentracijos lygio debesijos kompiuterijos sektoriuje ir dėl antikonkurencinės praktikos, susijusios su sudėtingomis ir neskaidriomis licencijavimo sąlygomis arba priverstiniu susiejimu, dėl kurių klientams vis sunkiau pakeisti debesijos kompiuterijos paslaugų teikėją, pabrėždamas, kad siekiant skatinti konkurenciją reikia įvairių paslaugų teikėjų; ragina konkurencijos institucijas atkreipti ypatingą dėmesį į tokią praktiką, kuri gali pakenkti konkurencijai ir apriboti klientų pasirinkimą;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18b.</w:t>
            </w:r>
            <w:r w:rsidRPr="00CD3F77">
              <w:tab/>
            </w:r>
            <w:r w:rsidRPr="00CD3F77">
              <w:rPr>
                <w:b/>
                <w:i/>
              </w:rPr>
              <w:t xml:space="preserve">pabrėžia itin svarbų sąveikumo vaidmenį rinkų konkurencingumui mažinant keitimo išlaidas skaitmeninėse rinkose ir didinant vartotojų gerovę dėl vartotojų pasirinkimo, įskaitant privatumui palankesnių, tvaresnių ar socialinių alternatyvų pasirinkimą; ragina </w:t>
            </w:r>
            <w:r w:rsidRPr="00CD3F77">
              <w:rPr>
                <w:b/>
                <w:i/>
              </w:rPr>
              <w:lastRenderedPageBreak/>
              <w:t>Komisiją skubiai siekti pažangos įgyvendinant esamus pranešimų perdavimo paslaugų sąveikumo įpareigojimus pagal Skaitmeninių rinkų aktą, esamus debesijos paslaugų teikėjų sąveikumo įpareigojimus pagal Duomenų aktą ir 2026 m. gegužės mėn. pradėti peržiūrą; ragina Komisiją išplėsti Skaitmeninių rinkų akte numatytus sąveikumo įpareigojimus, kad jie būtų taikomi ir internetinių socialinių tinklų paslaugoms; ragina Komisiją persvarstyti, ar debesijos paslaugų teikėjams taikomi sąveikumo ir duomenų perkeliamumo įpareigojimai praktiškai yra pakankamai veiksmingi ir prieinami, kad būtų galima lengvai pereiti prie kitų paslaugų teikėjų ir taip skatinti sąžiningą konkurenciją debesijos paslaugų rinkose bei galimybes Europos MVĮ; pabrėžia, kad Komisija į Skaitmeninių rinkų akto taikymo sritį turi įtraukti dirbtinio intelekto vertės grandinės prieigos valdytojus;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18b.</w:t>
            </w:r>
            <w:r w:rsidRPr="00CD3F77">
              <w:tab/>
            </w:r>
            <w:r w:rsidRPr="00CD3F77">
              <w:rPr>
                <w:b/>
                <w:i/>
              </w:rPr>
              <w:t xml:space="preserve">be to, yra susirūpinęs dėl sparčios dirbtinio intelekto paslaugų plėtros, kuri gali sukelti rinkos koncentraciją; pabrėžia, kad Skaitmeninių rinkų akte yra keletas nuostatų, kuriomis reikia naudotis, kad būtų užkirstas kelias prieigos valdytojams riboti naujų dirbtinio intelekto kūrėjų veiklą, pvz., sąžiningo reitingavimo, reklamos skaidrumo arba prieigos prie duomenų; ragina Komisiją atidžiai stebėti dirbtinio intelekto paslaugas pagal Skaitmeninių rinkų aktą, </w:t>
            </w:r>
            <w:r w:rsidRPr="00CD3F77">
              <w:rPr>
                <w:b/>
                <w:i/>
              </w:rPr>
              <w:lastRenderedPageBreak/>
              <w:t>apsvarstyti galimybę papildomai priskirti paslaugas pagrindinėms platformos paslaugoms ir skubiai imtis veiksmų, kad būtų pašalinta rizika, jog vartotojai bus priversti naudotis iš anksto nustatytomis dirbtinio intelekto paslaugomis savo mobiliuosiuose įrenginiuose, užtikrinant, kad dirbtinio intelekto sistemos išliktų pasirenkamos vartotojo ir skaidrios, taip apsaugant konkurenciją ir vartotojų pasirinkimą;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18c.</w:t>
            </w:r>
            <w:r w:rsidRPr="00CD3F77">
              <w:tab/>
            </w:r>
            <w:r w:rsidRPr="00CD3F77">
              <w:rPr>
                <w:b/>
                <w:i/>
              </w:rPr>
              <w:t xml:space="preserve">ragina Komisiją pasinaudoti visomis turimomis priemonėmis, kad būtų kovojama su vadinamaisiais „destrukciniais įsigijimais“, kuriuos vykdo dominuojantys dalyviai ir kurie gali turėti įtakos bendrosios skaitmeninės rinkos konkurencingumui ir sąžiningumui bei daryti neigiamą poveikį vartotojų pasirinkimui; atkreipia dėmesį į duomenų, duomenų analizės priemonių svarbą kaip į vieną iš skaitmeninės rinkos koncentraciją ir įsigijimus skaitmeniniame sektoriuje atgrasančių veiksnių; ragina Europos duomenų apsaugos valdybą, kai koncentracija susijusi su vienu ar keliais skaitmeninių sektorių operatoriais, pateikti privalomą nuomonę apie duomenų rinkinių tinkamumą numatomai koncentracijai, tiksliniams gavimo procesams reikalingus asmens duomenis ir galimą numatomos koncentracijos poveikį teisėms į privatumą ir duomenų apsaugą; ragina </w:t>
            </w:r>
            <w:r w:rsidRPr="00CD3F77">
              <w:rPr>
                <w:b/>
                <w:i/>
              </w:rPr>
              <w:lastRenderedPageBreak/>
              <w:t>Komisiją kovoti su dalijimusi duomenimis be sutikimo tarp paslaugų teikėjų, kuriuo pažeidžiamos vartotojų teisės į duomenų apsaugą, stiprinama duomenų galios koncentracija ir mažinamos vartotojų galimybės kontroliuoti savo duomenis; pabrėžia, kad tai, jog Airijoje neužtikrinamas BDAR vykdymas yra naudinga nedaugeliui didelių skaitmeninių platformų konkurencijos požiūriu, nes yra toleruojami duomenų rinkimo privatumo pažeidimai ir taip didinama duomenų koncentracija;</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269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18c.</w:t>
            </w:r>
            <w:r w:rsidRPr="00CD3F77">
              <w:tab/>
            </w:r>
            <w:r w:rsidRPr="00CD3F77">
              <w:rPr>
                <w:b/>
                <w:i/>
              </w:rPr>
              <w:t xml:space="preserve">pabrėžia svarbų Europos konkurencijos tinklo (EKT) vaidmenį; ragina Komisiją teikti pirmenybę nuolatiniam konstruktyviam dialogui ir bendradarbiavimui tarptautiniu lygmeniu; pabrėžia, kad būtina stiprinti antimonopolinių taisyklių ir kitų sektorių reguliavimo institucijų, pvz., institucijų, prižiūrinčių duomenų privatumą, bendradarbiavimą, kad būtų veiksmingai kontroliuojamas netinkamas įmonių naudojimasis duomenimis ir neleidžiama įmonėms naudotis vartotojų duomenimis siekiant įgyti nesąžiningą konkurencinį pranašumą; palankiai vertina reikšmingą nacionalinių konkurencijos institucijų (NKI) vaidmenį užtikrinant Skaitmeninių rinkų akto taisyklių ir nacionalinių teisėkūros iniciatyvų, kurios diegiamos siekiant kovoti su antikonkurenciniu didelių interneto platformų elgesiu skaitmeniniame sektoriuje, taikymą; </w:t>
            </w:r>
            <w:r w:rsidRPr="00CD3F77">
              <w:rPr>
                <w:b/>
                <w:i/>
              </w:rPr>
              <w:lastRenderedPageBreak/>
              <w:t>atsižvelgdamas į tai pabrėžia, kokie svarbūs suderinti ir vienodi veiksmai, kurie nekenktų, viena vertus, Skaitmeninių rinkų akto ir, kita vertus, nacionalinių konkurencijos taisyklių taikymui skaitmeniniame sektoriuje, kaip numatyta Skaitmeninių rinkų akto 1 straipsnio 6 dalyje;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d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18d.</w:t>
            </w:r>
            <w:r w:rsidRPr="00CD3F77">
              <w:tab/>
            </w:r>
            <w:r w:rsidRPr="00CD3F77">
              <w:rPr>
                <w:b/>
                <w:i/>
              </w:rPr>
              <w:t>atkreipia dėmesį į skaitmeninių rinkų ypatumus, pvz., duomenų kaupimą ir naudojimą, daugiašales rinkas, tiesioginį ir netiesioginį tinklo poveikį, daugiaadresiškumą, kitas nei kainodara nepinigines keitimo išlaidas, pvz., tinklo naudotojų, mokymosi išlaidas ir naudotojų platformos reputaciją ar reitingus; pabrėžia, kad galią vartotojų atžvilgiu skaitmeninio sektoriaus dalyviams lemia duomenų vaidmuo ir tiesioginis bei netiesioginis tinklo poveikis; palankiai vertina pranešimo dėl rinkos apibrėžties peržiūrą, kad būtų galima geriau įvertinti skaitmenines rinkas, ir primygtinai ragina Komisiją, apibrėžiant skaitmenines rinkas, atsižvelgti į nepiniginius veiksnius, pvz., į pirmiau minėtus veiksnius, o vertinant rinkos galią – į galios pozicijas tokiose rinkose, pvz., į kitas nei kainodara keitimo išlaidas;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271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e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18e.</w:t>
            </w:r>
            <w:r w:rsidRPr="00CD3F77">
              <w:tab/>
            </w:r>
            <w:r w:rsidRPr="00CD3F77">
              <w:rPr>
                <w:b/>
                <w:i/>
              </w:rPr>
              <w:t>pabrėžia, kad galios koncentracijos skaitmeninėse rinkose poveikis yra ne tik trukdymas konkuruoti su kitomis įmonėmis, bet ir toks poveikis, kaip galia vartotojų atžvilgiu, galimas poveikis pagrindinėms teisėms, privatumui ir duomenų apsaugai, taip pat galimas poveikis žiniasklaidos laisvei, visuomenei ir demokratijai;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f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18f.</w:t>
            </w:r>
            <w:r w:rsidRPr="00CD3F77">
              <w:tab/>
            </w:r>
            <w:r w:rsidRPr="00CD3F77">
              <w:rPr>
                <w:b/>
                <w:i/>
              </w:rPr>
              <w:t>atkreipia dėmesį į vertikaliai integruotas dirbtinio intelekto sektoriaus ekosistemas, įgytas kontroliuojant techninę įrangą, duomenis, dirbtinio intelekto modelius ir platinimą; primena 2024 m. Komisijos raginimą prisidėti ir ištirti rinkos dinamiką dirbtinio intelekto sektoriuje, taip pat Komisijos pripažinimą, kad Sąjunga negali pakartoti tų pačių klaidų, kurios buvo padarytos su socialine žiniasklaida ir skaitmenine ekonomika; ragina Komisiją laikytis ekosisteminio požiūrio į šį sektorių, be kita ko, kuriant ir taikant naujas žalos teorijas, kad būtų galima spręsti tolesnio įsitvirtinimo šiame sektoriuje problemą;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18 g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18g.</w:t>
            </w:r>
            <w:r w:rsidRPr="00CD3F77">
              <w:tab/>
            </w:r>
            <w:r w:rsidRPr="00CD3F77">
              <w:rPr>
                <w:b/>
                <w:i/>
              </w:rPr>
              <w:t>yra susirūpinęs dėl visoje Sąjungoje vis dažniau taikomų dinaminės kainodaros mechanizmų, visų pirma dominuojančią padėtį užimančioms bendrovėms; mano, kad dinamiška kainodara rinkose, kuriose paklausa yra neelastinga, kelia pavojų rinkos teisingumui, vartotojų apsaugai ir rinkos vientisumui; ragina Komisiją ištirti reguliavimo priemones, kuriomis būtų užkirstas kelias labai prisitaikantiems ir neskaidriems kainodaros metodams, taikomiems produktams, kurių paklausa yra neelastinga, dėl kurių gali būti nustatomos pernelyg didelės ir diskriminacinės kainos;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 Kartheiser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įskaitant Užsienio subsidijų reglamentą ir Skaitmeninių rinkų aktą,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 xml:space="preserve">ragina aktyviai užtikrinti visų konkurencijos taisyklių, įskaitant Užsienio subsidijų reglamentą ir Skaitmeninių rinkų aktą, vykdymą, siekiant spręsti prieigos valdytojų praktikos problemą ir skatinti atviras konkurencijai rinkas bei sąžiningą konkurenciją; </w:t>
            </w:r>
            <w:r w:rsidRPr="00CD3F77">
              <w:rPr>
                <w:b/>
                <w:i/>
              </w:rPr>
              <w:t xml:space="preserve">ragina Komisiją užtikrinti </w:t>
            </w:r>
            <w:r w:rsidRPr="00CD3F77">
              <w:rPr>
                <w:b/>
                <w:i/>
              </w:rPr>
              <w:lastRenderedPageBreak/>
              <w:t>tolesnį galiojančių teisės aktų įgyvendinimą ir vykdymą bei griežtą jų veiksmingumo įvertinimą prieš priimant naujus teisės aktus;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įskaitant Užsienio subsidijų reglamentą ir Skaitmeninių rinkų aktą,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 xml:space="preserve">ragina aktyviai užtikrinti visų konkurencijos taisyklių, įskaitant Užsienio subsidijų reglamentą ir Skaitmeninių rinkų aktą, vykdymą, siekiant spręsti prieigos valdytojų praktikos problemą ir skatinti atviras konkurencijai rinkas bei sąžiningą konkurenciją; </w:t>
            </w:r>
            <w:r w:rsidRPr="00CD3F77">
              <w:rPr>
                <w:b/>
                <w:i/>
              </w:rPr>
              <w:t>ragina Komisiją įmonėms, kurios pagal Skaitmeninių rinkų akto 3 straipsnį šiuo metu laikomos prieigos valdytojais, uždrausti bet kokį susijungimą ar įsigijimą;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įskaitant Užsienio subsidijų reglamentą ir Skaitmeninių rinkų aktą,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 xml:space="preserve">ragina aktyviai užtikrinti visų konkurencijos taisyklių, įskaitant Užsienio subsidijų reglamentą ir Skaitmeninių rinkų aktą, vykdymą, siekiant spręsti prieigos valdytojų praktikos problemą ir skatinti atviras konkurencijai rinkas bei sąžiningą konkurenciją; </w:t>
            </w:r>
            <w:r w:rsidRPr="00CD3F77">
              <w:rPr>
                <w:b/>
                <w:i/>
              </w:rPr>
              <w:t xml:space="preserve">kovoti su didelių interneto platformų vykdomu konkurencijos </w:t>
            </w:r>
            <w:r w:rsidRPr="00CD3F77">
              <w:rPr>
                <w:b/>
                <w:i/>
              </w:rPr>
              <w:lastRenderedPageBreak/>
              <w:t>mechanizmų iškraipymu;</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įskaitant Užsienio subsidijų reglamentą ir Skaitmeninių rinkų aktą,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įskaitant Užsienio subsidijų reglamentą ir Skaitmeninių rinkų aktą, vykdymą, siekiant spręsti prieigos valdytojų praktikos problemą ir skatinti atviras konkurencijai rinkas bei sąžiningą konkurenciją</w:t>
            </w:r>
            <w:r w:rsidRPr="00CD3F77">
              <w:rPr>
                <w:b/>
                <w:bCs/>
                <w:i/>
                <w:iCs/>
              </w:rPr>
              <w:t>,</w:t>
            </w:r>
            <w:r w:rsidRPr="00CD3F77">
              <w:t xml:space="preserve"> </w:t>
            </w:r>
            <w:r w:rsidRPr="00CD3F77">
              <w:rPr>
                <w:b/>
                <w:bCs/>
                <w:i/>
                <w:iCs/>
              </w:rPr>
              <w:t>ir pabrėžia, kad Komisija turėtų turėti pakankamai darbuotojų, kurie užtikrintų vykdymą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278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w:t>
            </w:r>
            <w:r w:rsidRPr="00CD3F77">
              <w:rPr>
                <w:b/>
                <w:i/>
              </w:rPr>
              <w:t>, įskaitant Užsienio subsidijų reglamentą ir Skaitmeninių rinkų aktą,</w:t>
            </w:r>
            <w:r w:rsidRPr="00CD3F77">
              <w:t xml:space="preserve">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vykdymą, siekiant spręsti prieigos valdytojų praktikos problemą ir skatinti atviras konkurencijai rinkas bei sąžiningą konkurenciją;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279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w:t>
            </w:r>
            <w:r w:rsidRPr="00CD3F77">
              <w:rPr>
                <w:b/>
                <w:bCs/>
                <w:i/>
                <w:iCs/>
              </w:rPr>
              <w:t>, įskaitant Užsienio subsidijų reglamentą ir Skaitmeninių rinkų aktą,</w:t>
            </w:r>
            <w:r w:rsidRPr="00CD3F77">
              <w:t xml:space="preserve">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vykdymą, siekiant spręsti prieigos valdytojų praktikos problemą ir skatinti atviras konkurencijai rinkas bei sąžiningą konkurenciją;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19.</w:t>
            </w:r>
            <w:r w:rsidRPr="00CD3F77">
              <w:tab/>
              <w:t>ragina aktyviai užtikrinti visų konkurencijos taisyklių, įskaitant Užsienio subsidijų reglamentą ir Skaitmeninių rinkų aktą, vykdymą, siekiant spręsti prieigos valdytojų praktikos problemą ir skatinti atviras konkurencijai rinkas bei sąžiningą konkurenciją;</w:t>
            </w:r>
          </w:p>
        </w:tc>
        <w:tc>
          <w:tcPr>
            <w:tcW w:w="4876" w:type="dxa"/>
            <w:tcBorders>
              <w:top w:val="nil"/>
              <w:left w:val="nil"/>
              <w:bottom w:val="nil"/>
              <w:right w:val="nil"/>
            </w:tcBorders>
          </w:tcPr>
          <w:p w:rsidR="009517E4" w:rsidRPr="00CD3F77" w:rsidRDefault="009517E4" w:rsidP="009517E4">
            <w:pPr>
              <w:pStyle w:val="Normal6a"/>
            </w:pPr>
            <w:r w:rsidRPr="00CD3F77">
              <w:t>19.</w:t>
            </w:r>
            <w:r w:rsidRPr="00CD3F77">
              <w:tab/>
              <w:t xml:space="preserve">ragina </w:t>
            </w:r>
            <w:r w:rsidRPr="00CD3F77">
              <w:rPr>
                <w:b/>
                <w:bCs/>
                <w:i/>
                <w:iCs/>
              </w:rPr>
              <w:t xml:space="preserve">Komisiją </w:t>
            </w:r>
            <w:r w:rsidRPr="00CD3F77">
              <w:t xml:space="preserve">aktyviai </w:t>
            </w:r>
            <w:r w:rsidRPr="00CD3F77">
              <w:rPr>
                <w:b/>
                <w:bCs/>
                <w:i/>
                <w:iCs/>
              </w:rPr>
              <w:t xml:space="preserve">ir veiksmingai </w:t>
            </w:r>
            <w:r w:rsidRPr="00CD3F77">
              <w:t>užtikrinti visų konkurencijos taisyklių, įskaitant Užsienio subsidijų reglamentą ir Skaitmeninių rinkų aktą, vykdymą, siekiant spręsti prieigos valdytojų praktikos problemą ir skatinti atviras konkurencijai rinkas bei sąžiningą konkurenciją;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19a.</w:t>
            </w:r>
            <w:r w:rsidRPr="00CD3F77">
              <w:tab/>
            </w:r>
            <w:r w:rsidRPr="00CD3F77">
              <w:rPr>
                <w:b/>
                <w:i/>
              </w:rPr>
              <w:t>pabrėžia, kad kyla rizika, jog prieigos valdytojai, pasinaudodami savo privilegijuota prieiga prie esminių dirbtinio intelekto išteklių, tokių kaip duomenys, kompiuterijos infrastruktūra, debesija, nustatys nesąžiningas sąlygas arba taikys antikonkurencinę praktiką savo konkurentams, kad užvaldytų dirbtinio intelekto rinką; pabrėžia, kad reikia atidžiai vertinti prieigos valdytojų, kurie taip pat yra dirbtinio intelekto paslaugų teikėjai ir startuoliai, bendradarbiavimo susitarimus ir susijungimus, kad būtų išvengta bet kokios monopolijos rizikos sparčiai besivystančiame dirbtinio intelekto technologijų sektoriuje; ragina Komisiją išnagrinėti galimybę įtraukti generatyvinį dirbtinį intelektą kaip naują pagrindinę platformos paslaugą pagal Skaitmeninių rinkų aktą;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19a.</w:t>
            </w:r>
            <w:r w:rsidRPr="00CD3F77">
              <w:tab/>
            </w:r>
            <w:r w:rsidRPr="00CD3F77">
              <w:rPr>
                <w:b/>
                <w:i/>
              </w:rPr>
              <w:t>pabrėžia, jog svarbu, kad bendriems Europos interesams svarbūs projektai (BEISP) būtų tvirtinami atsižvelgiant į jų galimą indėlį į netiesioginį ekonominį poveikį ES, kokybiškų darbo vietų kūrimą ir teigiamą poveikį žaliajai ir skaitmeninei pertvarkai Sąjungoje;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283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Francesco Ventola, Denis Nesci, Giovanni Crosetto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19a.</w:t>
            </w:r>
            <w:r w:rsidRPr="00CD3F77">
              <w:tab/>
            </w:r>
            <w:r w:rsidRPr="00CD3F77">
              <w:rPr>
                <w:b/>
                <w:i/>
              </w:rPr>
              <w:t>ragina imtis veiksmų tarptautinio apmokestinimo srityje, pradėti taikyti visuotinį minimalų mokestį ir patvirtinti pirmąjį mokesčių bazės erozijos ir pelno perkėlimo (BEPS) projekto ramstį arba juo grindžiamas priemones;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19a.</w:t>
            </w:r>
            <w:r w:rsidRPr="00CD3F77">
              <w:tab/>
            </w:r>
            <w:r w:rsidRPr="00CD3F77">
              <w:rPr>
                <w:b/>
                <w:i/>
              </w:rPr>
              <w:t>ragina skubiai išplėsti Skaitmeninių rinkų akto taikymo sritį, įtraukiant antikonkurencinę praktiką dirbtinio intelekto ir debesijos kompiuterijos sektoriuose, be kita ko, prireikus atnaujinant teisės aktus;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19b.</w:t>
            </w:r>
            <w:r w:rsidRPr="00CD3F77">
              <w:tab/>
            </w:r>
            <w:r w:rsidRPr="00CD3F77">
              <w:rPr>
                <w:b/>
                <w:i/>
              </w:rPr>
              <w:t xml:space="preserve">palankiai vertina Komisijos </w:t>
            </w:r>
            <w:r w:rsidRPr="00CD3F77">
              <w:rPr>
                <w:b/>
                <w:i/>
              </w:rPr>
              <w:lastRenderedPageBreak/>
              <w:t>įsipareigojimą tinkamai užtikrinti Skaitmeninių rinkų akto vykdymą ir atkreipia dėmesį į šešias reikalavimų nesilaikymo procedūras, pradėtas prieš kai kuriuos paslaugų teikėjus, kuriems suteiktas prieigos valdytojo statusas; yra labai susirūpinęs dėl galimo vėlavimo atliekant itin svarbius tyrimus ir dėl Komisijos gebėjimo laikytis savo įsipareigojimų dėti visas pastangas ir per 12 mėnesių priimti sprendimą dėl reikalavimų nesilaikymo procedūrų; ragina Komisiją kuo greičiau užbaigti šiuos tyrimus ir prireikus skirti baudas;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19c.</w:t>
            </w:r>
            <w:r w:rsidRPr="00CD3F77">
              <w:tab/>
            </w:r>
            <w:r w:rsidRPr="00CD3F77">
              <w:rPr>
                <w:b/>
                <w:i/>
              </w:rPr>
              <w:t>palankiai vertina pirmąjį galutinį sprendimą pagal Užsienio subsidijų reglamentą, priimtą 2024 m. rugsėjo mėn.; pabrėžia, kokia svarbi ši nauja priemonė, ir būtinybę laiku pradėti tyrimus, nes atliekant du išsamius tyrimus, pradėtus pagal Užsienio subsidijų reglamentą, ekonominės veiklos vykdytojai, įtariami naudojantys nesąžiningas užsienio subsidijas, patys pasitraukė iš viešųjų konkursų ir viešųjų pirkimų; ragina Komisiją užtikrinti tinkamus ir pakankamus išteklius šio reglamento vykdymui užtikrinti;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287</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d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19d.</w:t>
            </w:r>
            <w:r w:rsidRPr="00CD3F77">
              <w:tab/>
            </w:r>
            <w:r w:rsidRPr="00CD3F77">
              <w:rPr>
                <w:b/>
                <w:i/>
              </w:rPr>
              <w:t>palankiai vertina pirmąsias dvi specifikacijų procedūras pagal Skaitmeninių rinkų akto 8 straipsnio 2 dalį, kurių tikslas – padėti vienam paslaugų teikėjui, kuriam suteiktas prieigos valdytojo statusas</w:t>
            </w:r>
            <w:r w:rsidRPr="00CD3F77">
              <w:rPr>
                <w:b/>
                <w:i/>
                <w:vertAlign w:val="superscript"/>
              </w:rPr>
              <w:t>1a</w:t>
            </w:r>
            <w:r w:rsidRPr="00CD3F77">
              <w:rPr>
                <w:b/>
                <w:i/>
              </w:rPr>
              <w:t>, laikytis Skaitmeninių rinkų akte nustatytų sąveikumo įpareigojimų ir kuriomis įforminamas dialogas su reguliavimo institucijomis siekiant užtikrinti veiksmingą Skaitmeninių rinkų akto įpareigojimų laikymąsi; pabrėžia, kad didesnio sąveikumo skatinimas, be kita ko, tarp paslaugas teikiančių prieigos valdytojų, suteiktų didelės naudos Europos įmonėms ir vartotojams; ragina Komisiją imtis skubių ir ryžtingų veiksmų, kad būtų įgyvendintos būtinos taisomosios priemonės ir užtikrintas jų vykdymas;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1a</w:t>
            </w:r>
            <w:r w:rsidRPr="00CD3F77">
              <w:t xml:space="preserve"> </w:t>
            </w:r>
            <w:r w:rsidRPr="00CD3F77">
              <w:rPr>
                <w:b/>
                <w:i/>
              </w:rPr>
              <w:t>https://digital-markets-act.ec.europa.eu/commission-starts-first-proceedings-specify-apples-interoperability-obligations-under-digital-2024-09-19_en</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19 e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19e.</w:t>
            </w:r>
            <w:r w:rsidRPr="00CD3F77">
              <w:tab/>
            </w:r>
            <w:r w:rsidRPr="00CD3F77">
              <w:rPr>
                <w:b/>
                <w:i/>
              </w:rPr>
              <w:t xml:space="preserve">palankiai vertina tai, kad buvo priimtas Duomenų aktas, kuriuo </w:t>
            </w:r>
            <w:r w:rsidRPr="00CD3F77">
              <w:rPr>
                <w:b/>
                <w:i/>
              </w:rPr>
              <w:lastRenderedPageBreak/>
              <w:t>suteikiama galimybė vartotojams keisti įvairius debesijos duomenų tvarkymo paslaugų teikėjus, tačiau pabrėžia, kad siekiant atkurti sąžiningą ir lygiavertę konkurenciją Europos debesijos paslaugų rinkoje taip pat reikia papildomų taisyklių ir taisomųjų priemonių; apgailestauja dėl to, kad pagal Skaitmeninių rinkų aktą nė vienas debesijos paslaugų teikėjas nebuvo paskirtas prieigos valdytoju; ragina nacionalines konkurencijos institucijas tirti antikonkurencinę praktiką debesijos paslaugų rinkoje, įskaitant sudėtingas licencijavimo sąlygas, priverstinį susiejimą ir komercines paskatas, dėl kurių sukuriama ilgalaikė priklausomybė nuo vieno debesijos paslaugų teikėjo; ragina Komisiją pasiūlyti priemones, kuriomis būtų ribojama tokia praktika, jeigu ji kenkia konkurencijai ir ja ribojamas klientų pasirinkimas; pabrėžia, kad reikia spręsti diskriminacinės programinės įrangos licencijavimo praktikos, dėl kurios konkuruojantys debesijos paslaugų teikėjai susiduria su dirbtinai nepalankiomis kainomis, problemą;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289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20.</w:t>
            </w:r>
            <w:r w:rsidRPr="00CD3F77">
              <w:tab/>
              <w:t>susirūpinęs atkreipia dėmesį į daugelio vartotojų rinkų</w:t>
            </w:r>
            <w:r w:rsidRPr="00CD3F77">
              <w:rPr>
                <w:b/>
                <w:i/>
              </w:rPr>
              <w:t>, įskaitant finansinių paslaugų, telekomunikacijų ir namų ūkių energijos rinkas,</w:t>
            </w:r>
            <w:r w:rsidRPr="00CD3F77">
              <w:t xml:space="preserve"> susiskaidymą ir </w:t>
            </w:r>
            <w:r w:rsidRPr="00CD3F77">
              <w:rPr>
                <w:b/>
                <w:i/>
              </w:rPr>
              <w:t>ragina</w:t>
            </w:r>
            <w:r w:rsidRPr="00CD3F77">
              <w:t xml:space="preserve"> užtikrinti spartesnę ir didesnę rinkos integraciją, </w:t>
            </w:r>
            <w:r w:rsidRPr="00CD3F77">
              <w:rPr>
                <w:b/>
                <w:i/>
              </w:rPr>
              <w:t>kai tai gali būti naudinga vartotojams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20.</w:t>
            </w:r>
            <w:r w:rsidRPr="00CD3F77">
              <w:tab/>
              <w:t xml:space="preserve">susirūpinęs atkreipia dėmesį į daugelio vartotojų rinkų susiskaidymą ir </w:t>
            </w:r>
            <w:r w:rsidRPr="00CD3F77">
              <w:rPr>
                <w:b/>
                <w:i/>
              </w:rPr>
              <w:t>pabrėžia, kad svarbu</w:t>
            </w:r>
            <w:r w:rsidRPr="00CD3F77">
              <w:t xml:space="preserve"> užtikrinti spartesnę ir didesnę rinkos integraciją, </w:t>
            </w:r>
            <w:r w:rsidRPr="00CD3F77">
              <w:rPr>
                <w:b/>
                <w:i/>
              </w:rPr>
              <w:t>jei dėl šios integracijos vartotojai gaus akivaizdžios naudos</w:t>
            </w:r>
            <w:r w:rsidRPr="00CD3F77">
              <w:t>;</w:t>
            </w:r>
            <w:r w:rsidRPr="00CD3F77">
              <w:rPr>
                <w:b/>
                <w:i/>
              </w:rPr>
              <w:t xml:space="preserve"> primena, kad rinkos integracija turėtų būti skatinama ne valstybės </w:t>
            </w:r>
            <w:r w:rsidRPr="00CD3F77">
              <w:rPr>
                <w:b/>
                <w:i/>
              </w:rPr>
              <w:lastRenderedPageBreak/>
              <w:t>intervencinėmis priemonėmis, kuriomis iškraipomas laisvos konkurencijos principas, o pagal sistemą, kuria skatinama veiksminga konkurencija, inovacijos ir vienodos galimybės naudotis paslaugomis;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20.</w:t>
            </w:r>
            <w:r w:rsidRPr="00CD3F77">
              <w:tab/>
              <w:t>susirūpinęs atkreipia dėmesį į daugelio vartotojų rinkų, įskaitant finansinių paslaugų, telekomunikacijų ir namų ūkių energijos rinkas, susiskaidymą ir ragina užtikrinti spartesnę ir didesnę rinkos integraciją, kai tai gali būti naudinga vartotojams;</w:t>
            </w:r>
          </w:p>
        </w:tc>
        <w:tc>
          <w:tcPr>
            <w:tcW w:w="4876" w:type="dxa"/>
            <w:tcBorders>
              <w:top w:val="nil"/>
              <w:left w:val="nil"/>
              <w:bottom w:val="nil"/>
              <w:right w:val="nil"/>
            </w:tcBorders>
          </w:tcPr>
          <w:p w:rsidR="009517E4" w:rsidRPr="00CD3F77" w:rsidRDefault="009517E4" w:rsidP="009517E4">
            <w:pPr>
              <w:pStyle w:val="Normal6a"/>
            </w:pPr>
            <w:r w:rsidRPr="00CD3F77">
              <w:t>20.</w:t>
            </w:r>
            <w:r w:rsidRPr="00CD3F77">
              <w:tab/>
              <w:t xml:space="preserve">susirūpinęs atkreipia dėmesį į daugelio vartotojų rinkų, įskaitant finansinių paslaugų, telekomunikacijų ir namų ūkių energijos rinkas, susiskaidymą ir ragina užtikrinti </w:t>
            </w:r>
            <w:r w:rsidRPr="00CD3F77">
              <w:rPr>
                <w:b/>
                <w:bCs/>
                <w:i/>
                <w:iCs/>
              </w:rPr>
              <w:t xml:space="preserve">ir </w:t>
            </w:r>
            <w:r w:rsidRPr="00CD3F77">
              <w:t>spartesnę</w:t>
            </w:r>
            <w:r w:rsidRPr="00CD3F77">
              <w:rPr>
                <w:b/>
                <w:bCs/>
                <w:i/>
                <w:iCs/>
              </w:rPr>
              <w:t>,</w:t>
            </w:r>
            <w:r w:rsidRPr="00CD3F77">
              <w:t xml:space="preserve"> ir didesnę rinkos integraciją, kai tai gali būti naudinga vartotojams</w:t>
            </w:r>
            <w:r w:rsidRPr="00CD3F77">
              <w:rPr>
                <w:b/>
                <w:bCs/>
                <w:i/>
                <w:iCs/>
              </w:rPr>
              <w:t>,</w:t>
            </w:r>
            <w:r w:rsidRPr="00CD3F77">
              <w:t xml:space="preserve"> </w:t>
            </w:r>
            <w:r w:rsidRPr="00CD3F77">
              <w:rPr>
                <w:b/>
                <w:bCs/>
                <w:i/>
                <w:iCs/>
              </w:rPr>
              <w:t>taip pat labiau pripažinti naudą vartotojams, kurią galima gauti dėl rinkos konsolidacijos, skatinančios investicijas ir inovacijas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20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20.</w:t>
            </w:r>
            <w:r w:rsidRPr="00CD3F77">
              <w:tab/>
              <w:t xml:space="preserve">susirūpinęs atkreipia dėmesį į daugelio vartotojų rinkų, </w:t>
            </w:r>
            <w:r w:rsidRPr="00CD3F77">
              <w:rPr>
                <w:b/>
                <w:i/>
              </w:rPr>
              <w:t xml:space="preserve">įskaitant finansinių paslaugų, telekomunikacijų ir namų ūkių energijos rinkas, </w:t>
            </w:r>
            <w:r w:rsidRPr="00CD3F77">
              <w:t xml:space="preserve">susiskaidymą ir ragina užtikrinti spartesnę ir didesnę rinkos integraciją, kai tai gali būti naudinga </w:t>
            </w:r>
            <w:r w:rsidRPr="00CD3F77">
              <w:lastRenderedPageBreak/>
              <w:t>vartotojams;</w:t>
            </w:r>
          </w:p>
        </w:tc>
        <w:tc>
          <w:tcPr>
            <w:tcW w:w="4876" w:type="dxa"/>
            <w:tcBorders>
              <w:top w:val="nil"/>
              <w:left w:val="nil"/>
              <w:bottom w:val="nil"/>
              <w:right w:val="nil"/>
            </w:tcBorders>
          </w:tcPr>
          <w:p w:rsidR="009517E4" w:rsidRPr="00CD3F77" w:rsidRDefault="009517E4" w:rsidP="009517E4">
            <w:pPr>
              <w:pStyle w:val="Normal6a"/>
            </w:pPr>
            <w:r w:rsidRPr="00CD3F77">
              <w:lastRenderedPageBreak/>
              <w:t>20.</w:t>
            </w:r>
            <w:r w:rsidRPr="00CD3F77">
              <w:tab/>
              <w:t xml:space="preserve">susirūpinęs atkreipia dėmesį į daugelio </w:t>
            </w:r>
            <w:r w:rsidRPr="00CD3F77">
              <w:rPr>
                <w:b/>
                <w:i/>
              </w:rPr>
              <w:t>nevalstybinių</w:t>
            </w:r>
            <w:r w:rsidRPr="00CD3F77">
              <w:t xml:space="preserve"> vartotojų rinkų susiskaidymą ir ragina užtikrinti spartesnę ir didesnę rinkos integraciją, kai tai gali būti naudinga</w:t>
            </w:r>
            <w:r w:rsidRPr="00CD3F77">
              <w:rPr>
                <w:b/>
                <w:i/>
              </w:rPr>
              <w:t xml:space="preserve"> valstybėms narėms ir</w:t>
            </w:r>
            <w:r w:rsidRPr="00CD3F77">
              <w:t xml:space="preserve"> </w:t>
            </w:r>
            <w:r w:rsidRPr="00CD3F77">
              <w:lastRenderedPageBreak/>
              <w:t>vartotojams;</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20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20a.</w:t>
            </w:r>
            <w:r w:rsidRPr="00CD3F77">
              <w:tab/>
            </w:r>
            <w:r w:rsidRPr="00CD3F77">
              <w:rPr>
                <w:b/>
                <w:i/>
              </w:rPr>
              <w:t>yra sunerimęs dėl didelės koncentracijos mažmeninės prekybos, žemės ūkio ir automobilių pramonės sektoriuose užjūrio teritorijose, kai dominuojančių įmonių nustatytos pernelyg didelės kainos būtiniausioms prekėms ir paslaugoms didina nelygybę, nesaugumą ir teritorinius skirtumus; ragina Europos Komisiją skubiai pradėti tyrimą dėl galimo piktnaudžiavimo dominuojančia padėtimi pagal SESV 102 straipsnį;</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Isabel Benjumea Benjumea, Fernando Navarrete Rojas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21.</w:t>
            </w:r>
            <w:r w:rsidRPr="00CD3F77">
              <w:tab/>
            </w:r>
            <w:r w:rsidRPr="00CD3F77">
              <w:rPr>
                <w:b/>
                <w:i/>
              </w:rPr>
              <w:t>susirūpinęs atkreipia dėmesį į didelę rinkos koncentraciją Europos finansų sektoriuje, taip pat į nuolatinį pernelyg didelį jo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{ES}</w:t>
      </w:r>
      <w:r w:rsidRPr="00CD3F77">
        <w:t>es</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21.</w:t>
            </w:r>
            <w:r w:rsidRPr="00CD3F77">
              <w:tab/>
            </w:r>
            <w:r w:rsidRPr="00CD3F77">
              <w:rPr>
                <w:b/>
                <w:i/>
              </w:rPr>
              <w:t>susirūpinęs atkreipia dėmesį į didelę rinkos koncentraciją Europos finansų sektoriuje, taip pat į nuolatinį pernelyg didelį jo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rPr>
                <w:b/>
                <w:i/>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{DE}</w:t>
      </w:r>
      <w:r w:rsidRPr="00CD3F77">
        <w:t>de</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21.</w:t>
            </w:r>
            <w:r w:rsidRPr="00CD3F77">
              <w:tab/>
            </w:r>
            <w:r w:rsidRPr="00CD3F77">
              <w:rPr>
                <w:b/>
                <w:i/>
              </w:rPr>
              <w:t>susirūpinęs atkreipia dėmesį į didelę rinkos koncentraciją Europos finansų sektoriuje, taip pat į nuolatinį pernelyg didelį jo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21.</w:t>
            </w:r>
            <w:r w:rsidRPr="00CD3F77">
              <w:tab/>
            </w:r>
            <w:r w:rsidRPr="00CD3F77">
              <w:rPr>
                <w:b/>
                <w:i/>
              </w:rPr>
              <w:t xml:space="preserve">susirūpinęs atkreipia dėmesį į didelę rinkos koncentraciją Europos finansų sektoriuje, taip pat į nuolatinį pernelyg didelį jo kliovimąsi ne ES </w:t>
            </w:r>
            <w:r w:rsidRPr="00CD3F77">
              <w:rPr>
                <w:b/>
                <w:i/>
              </w:rPr>
              <w:lastRenderedPageBreak/>
              <w:t>paslaugų teikėjais;</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lastRenderedPageBreak/>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 taip pat į nuolatinį pernelyg didelį jo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t>21.</w:t>
            </w:r>
            <w:r w:rsidRPr="00CD3F77">
              <w:tab/>
              <w:t xml:space="preserve">susirūpinęs atkreipia dėmesį į didelę rinkos koncentraciją Europos finansų sektoriuje, taip pat į nuolatinį pernelyg didelį jo kliovimąsi ne ES paslaugų teikėjais; </w:t>
            </w:r>
            <w:r w:rsidRPr="00CD3F77">
              <w:rPr>
                <w:b/>
                <w:i/>
              </w:rPr>
              <w:t>yra labai susirūpinęs dėl to, kad po 2014 m. reformos viešojo intereso įmonių (VIĮ) audito rinkoje tebėra didelė koncentracija, nes keturios įmonės valdo daugiau kaip 86 proc. ES pajamų iš VIĮ audito, taip ribodamos pasirinkimo galimybes ir keldamos priežiūros užvaldymo riziką; pabrėžia, kad didėjantys audito reikalavimai, pvz., pagal Įmonių informacijos apie tvarumą teikimo direktyvą ir Skaitmeninių paslaugų aktą / Skaitmeninių rinkų aktą, didina šią riziką ne tik finansų rinkoms, bet ir vartotojams bei piliečiams; pabrėžia, kad reikia patikimos įmonių ataskaitų teikimo sistemos ir konkurencingos audito ekosistemos, kad būtų galima priimti pagrįstus investicinius sprendimus ir užkirsti kelią piktnaudžiavimui; ragina Komisiją, remiantis išsamiu poveikio vertinimu, pasiūlyti teisės aktą, kuriuo būtų diversifikuota VIĮ audito rinka ir pagerinta audito kokybė, kad būtų sukurta atspari bendroji rinka;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298</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Billy Kelleher, Stéphanie Yon-Courtin, Gilles Boyer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w:t>
            </w:r>
            <w:r w:rsidRPr="00CD3F77">
              <w:rPr>
                <w:b/>
                <w:bCs/>
                <w:i/>
                <w:iCs/>
              </w:rPr>
              <w:t xml:space="preserve"> </w:t>
            </w:r>
            <w:r w:rsidRPr="00CD3F77">
              <w:t xml:space="preserve">taip pat į nuolatinį pernelyg didelį </w:t>
            </w:r>
            <w:r w:rsidRPr="00CD3F77">
              <w:rPr>
                <w:b/>
                <w:bCs/>
                <w:i/>
                <w:iCs/>
              </w:rPr>
              <w:t>jo</w:t>
            </w:r>
            <w:r w:rsidRPr="00CD3F77">
              <w:t xml:space="preserve">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w:t>
            </w:r>
            <w:r w:rsidRPr="00CD3F77">
              <w:rPr>
                <w:b/>
                <w:bCs/>
                <w:i/>
                <w:iCs/>
              </w:rPr>
              <w:t xml:space="preserve"> kuri daro poveikį vartotojų ekonominei naudai, </w:t>
            </w:r>
            <w:r w:rsidRPr="00CD3F77">
              <w:t xml:space="preserve">taip pat į nuolatinį pernelyg didelį </w:t>
            </w:r>
            <w:r w:rsidRPr="00CD3F77">
              <w:rPr>
                <w:b/>
                <w:bCs/>
                <w:i/>
                <w:iCs/>
              </w:rPr>
              <w:t>sektoriaus</w:t>
            </w:r>
            <w:r w:rsidRPr="00CD3F77">
              <w:t xml:space="preserve"> kliovimąsi ne ES paslaugų teikėjais; </w:t>
            </w:r>
            <w:r w:rsidRPr="00CD3F77">
              <w:rPr>
                <w:b/>
                <w:i/>
              </w:rPr>
              <w:t>ragina atnaujinti pastangas, kad būtų užbaigta kurti bankų sąjunga, taip pat ragina Komisiją apsvarstyti priemones, skirtas bendrajai draudimo rinkai tobulinti, nes tai savo ruožtu padidins kiekvienos valstybės narės vidaus rinkų konkurencingumą;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299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 taip pat į nuolatinį pernelyg didelį jo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 taip pat į nuolatinį pernelyg didelį jo kliovimąsi ne ES paslaugų teikėjais</w:t>
            </w:r>
            <w:r w:rsidRPr="00CD3F77">
              <w:rPr>
                <w:b/>
                <w:bCs/>
                <w:i/>
                <w:iCs/>
              </w:rPr>
              <w:t xml:space="preserve"> daugelyje sričių, įskaitant ASV ir kredito reitingų veiklą, mokėjimų tvarkymą, išvestinių finansinių priemonių sutarčių tvarkymą, kibernetinio saugumo paslaugų teikėjus ir auditą</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300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 taip pat į nuolatinį pernelyg didelį jo kliovimąsi ne ES paslaugų teikėjais;</w:t>
            </w:r>
          </w:p>
        </w:tc>
        <w:tc>
          <w:tcPr>
            <w:tcW w:w="4876" w:type="dxa"/>
            <w:tcBorders>
              <w:top w:val="nil"/>
              <w:left w:val="nil"/>
              <w:bottom w:val="nil"/>
              <w:right w:val="nil"/>
            </w:tcBorders>
          </w:tcPr>
          <w:p w:rsidR="009517E4" w:rsidRPr="00CD3F77" w:rsidRDefault="009517E4" w:rsidP="009517E4">
            <w:pPr>
              <w:pStyle w:val="Normal6a"/>
            </w:pPr>
            <w:r w:rsidRPr="00CD3F77">
              <w:t>21.</w:t>
            </w:r>
            <w:r w:rsidRPr="00CD3F77">
              <w:tab/>
              <w:t>susirūpinęs atkreipia dėmesį į didelę rinkos koncentraciją Europos finansų sektoriuje, taip pat į nuolatinį pernelyg didelį jo kliovimąsi ne ES paslaugų teikėjais</w:t>
            </w:r>
            <w:r w:rsidRPr="00CD3F77">
              <w:rPr>
                <w:b/>
                <w:i/>
              </w:rPr>
              <w:t>, lemiantį įmonių konkurencingumo išsklaidymą, naudingą ES nepriklausančioms šalims</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Fernando Navarrete Rojas, Isabel Benjumea Benjumea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21.</w:t>
            </w:r>
            <w:r w:rsidRPr="00CD3F77">
              <w:tab/>
              <w:t xml:space="preserve">susirūpinęs atkreipia dėmesį į </w:t>
            </w:r>
            <w:r w:rsidRPr="00CD3F77">
              <w:rPr>
                <w:b/>
                <w:bCs/>
                <w:i/>
                <w:iCs/>
              </w:rPr>
              <w:t>didelę rinkos koncentraciją</w:t>
            </w:r>
            <w:r w:rsidRPr="00CD3F77">
              <w:t xml:space="preserve"> Europos finansų </w:t>
            </w:r>
            <w:r w:rsidRPr="00CD3F77">
              <w:rPr>
                <w:b/>
                <w:bCs/>
                <w:i/>
                <w:iCs/>
              </w:rPr>
              <w:t>sektoriuje, taip pat į nuolatinį pernelyg didelį jo</w:t>
            </w:r>
            <w:r w:rsidRPr="00CD3F77">
              <w:t xml:space="preserve"> kliovimąsi ne ES paslaugų </w:t>
            </w:r>
            <w:r w:rsidRPr="00CD3F77">
              <w:rPr>
                <w:b/>
                <w:bCs/>
                <w:i/>
                <w:iCs/>
              </w:rPr>
              <w:t>teikėjais</w:t>
            </w:r>
            <w:r w:rsidRPr="00CD3F77">
              <w:t>;</w:t>
            </w:r>
          </w:p>
        </w:tc>
        <w:tc>
          <w:tcPr>
            <w:tcW w:w="4876" w:type="dxa"/>
            <w:tcBorders>
              <w:top w:val="nil"/>
              <w:left w:val="nil"/>
              <w:bottom w:val="nil"/>
              <w:right w:val="nil"/>
            </w:tcBorders>
          </w:tcPr>
          <w:p w:rsidR="009517E4" w:rsidRPr="00CD3F77" w:rsidRDefault="009517E4" w:rsidP="009517E4">
            <w:pPr>
              <w:pStyle w:val="Normal6a"/>
            </w:pPr>
            <w:r w:rsidRPr="00CD3F77">
              <w:t>21.</w:t>
            </w:r>
            <w:r w:rsidRPr="00CD3F77">
              <w:tab/>
              <w:t xml:space="preserve">susirūpinęs atkreipia dėmesį į </w:t>
            </w:r>
            <w:r w:rsidRPr="00CD3F77">
              <w:rPr>
                <w:b/>
                <w:bCs/>
                <w:i/>
                <w:iCs/>
              </w:rPr>
              <w:t>pernelyg didelį</w:t>
            </w:r>
            <w:r w:rsidRPr="00CD3F77">
              <w:t xml:space="preserve"> Europos finansų </w:t>
            </w:r>
            <w:r w:rsidRPr="00CD3F77">
              <w:rPr>
                <w:b/>
                <w:bCs/>
                <w:i/>
                <w:iCs/>
              </w:rPr>
              <w:t xml:space="preserve">sektoriaus </w:t>
            </w:r>
            <w:r w:rsidRPr="00CD3F77">
              <w:t xml:space="preserve">kliovimąsi </w:t>
            </w:r>
            <w:r w:rsidRPr="00CD3F77">
              <w:rPr>
                <w:b/>
                <w:bCs/>
                <w:i/>
                <w:iCs/>
              </w:rPr>
              <w:t xml:space="preserve">ribotu skaičiumi </w:t>
            </w:r>
            <w:r w:rsidRPr="00CD3F77">
              <w:t xml:space="preserve">ne ES paslaugų </w:t>
            </w:r>
            <w:r w:rsidRPr="00CD3F77">
              <w:rPr>
                <w:b/>
                <w:bCs/>
                <w:i/>
                <w:iCs/>
              </w:rPr>
              <w:t>teikėjų</w:t>
            </w:r>
            <w:r w:rsidRPr="00CD3F77">
              <w:t>;</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 xml:space="preserve">pabrėžia būsimus ES junglumo poreikius, susijusius su infrastruktūra ir </w:t>
            </w:r>
            <w:r w:rsidRPr="00CD3F77">
              <w:rPr>
                <w:b/>
                <w:i/>
              </w:rPr>
              <w:lastRenderedPageBreak/>
              <w:t>investicijomis; ragina Komisiją apsvarstyti galimybę peržiūrėti dabartinę konkurencijos praktiką telekomunikacijų rinkoje, pagal kurią buvo užkirstas kelias mobiliojo ryšio tinklo operatorių susijungimams, kai vietoj keturių operatorių lieka trys, kad būtų lengviau sukurti visiškai integruotą bendrąją telekomunikacijų paslaugų rinką; pažymi, kad rinkos konsolidavimas gali būti vienintelis būdas išvengti infrastruktūros pardavimo dalimis ne ES įmonėms; atkreipia dėmesį į tai, kad pastarąjį dešimtmetį šio sektoriaus augimas Europoje buvo labai nedidelis, o pagrindinė to priežastis yra susiskaidymas; šiuo atžvilgiu palankiai vertina naują pasiūlymą dėl Skaitmeninių tinklų akto, kuriuo siekiama spręsti rinkos susiskaidymo problemą, pritraukti investicijas, užtikrinti telekomunikacijų infrastruktūrų saugumą ir skatinti inovacijas be papildomų išlaidų vartotojams bei nesukeliant pavojaus sąžiningai visų rinkos dalyvių konkurencijai;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 xml:space="preserve">susirūpinęs atkreipia dėmesį į tai, kad dėl Reglamento (ES) Nr. 575/2013 ir Direktyvos 2013/36/ES, atnaujintos Reglamentu (ES) Nr. 2024/1623, atsiranda nevienodos sąlygos, visų pirma atsižvelgiant į prudencinę tarpsektorinę dalyvavimo nuosavybėje tvarką pagal sektorių taisykles (vadinamąjį „Danijos kompromisą“); palankiai vertina </w:t>
            </w:r>
            <w:r w:rsidRPr="00CD3F77">
              <w:rPr>
                <w:b/>
                <w:i/>
              </w:rPr>
              <w:lastRenderedPageBreak/>
              <w:t>Direktyvos (ES) 2025/2 3 straipsniu patvirtintą priemonę, kurioje numatyta, kad Komisija iki 2027 m. gruodžio 31 d. turi pateikti ataskaitą apie minėto mechanizmo veikimą konkurencijos požiūriu; ragina išplėsti šio mechanizmo taikymo sritį, įtraukiant į ją nekonglomeratinius finansų subjektus; pabrėžia, kokia svarbi minėta ataskaita, ir jos skubumą ir rekomenduoja Komisijai paankstinti jos pateikimo terminą;</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vis dar yra labai susirūpinęs dėl giliai įsišaknijusios koncentracijos žemės ūkio ir maisto tiekimo grandinėje; pakartoja savo raginimą Komisijai skubiai atlikti išsamią analizę, koks yra prekybos susivienijimų mastas ir poveikis, ypatingą dėmesį skiriant sąžiningos konkurencijos ir didesnio prekybos centrų ir didžiųjų prekybos tinklų komercinės praktikos skaidrumo užtikrinimui, ypač tais atvejais, kai tokia praktika daro poveikį prekės ženklo vertei ir produktų pasirinkimui arba riboja inovacijas ar kainų palyginamumą; ragina Komisiją toliau gilinti žinias apie šiuos aljansus ir jų poveikį ne tik kainoms, bet ir ūkininkų bei žemės ūkio ir maisto produktų gamintojų gebėjimui tiekti ES vartotojams sveikus, saugius ir tvarius produktus;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305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yra labai susirūpinęs dėl maisto kainų krizės ir didelio rinkos koncentracijos bei finansinės nuosavybės maisto tiekimo grandinėse lygio, kuris gali mažinti konkurenciją ir skatinti nesąžiningą kainų šuolį; ragina atlikti išsamų sektorinį įtakos rinkoje ir finansinės nuosavybės ES maisto grandinėse tyrimą ir įdiegti struktūrines taisomąsias priemones, įskaitant kelio užkirtimą naujiems susijungimams ir įsigijimams; ragina persvarstyti ES konkurencijos teisę, kad jos taikymas būtų suderintas su šiuo tikslu: įmonių elgesiu turi būti paisoma pagrindinės vartotojų teisės į įperkamą maistą;</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Aleksandar Nikolic, Pierre Pimpie</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 xml:space="preserve">ragina, atsižvelgiant į jų strateginį pobūdį, išsaugoti nacionalinę gynybos pramonę, o bendrą gynybos pramonės rinką, kaip nurodyta Enrico Lettos ataskaitoje, suprasti tik kaip rinką, kurioje būtų sudarytos palankios sąlygos užsakymų priėmimui tarp valstybių narių ir Europos pramonininkų, taip pat pramonininkų bendradarbiavimui, kai tai atitinka nacionalinės gynybos interesus, ir apskritai Europos strateginei </w:t>
            </w:r>
            <w:r w:rsidRPr="00CD3F77">
              <w:rPr>
                <w:b/>
                <w:i/>
              </w:rPr>
              <w:lastRenderedPageBreak/>
              <w:t>nepriklausomybei gynybos srityje;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Niels Fuglsang, Lara Wolters, Adnan Dibrani</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ragina Komisiją pasiūlyti teisės aktą, kuriuo būtų įpareigota struktūriškai atskirti apskaitos įmones nuo finansinių, mokesčių ir kitų konsultavimo paslaugų, kad būtų išvengta interesų konfliktų; apgailestauja dėl to, kad viena iš Didžiajam ketvertui priklausančių apskaitos įmonių neįgyvendino savo paskelbto plano atskirti audito ir konsultacinę veiklą</w:t>
            </w:r>
            <w:r w:rsidRPr="00CD3F77">
              <w:rPr>
                <w:b/>
                <w:i/>
                <w:vertAlign w:val="superscript"/>
              </w:rPr>
              <w:t>1a</w:t>
            </w:r>
            <w:r w:rsidRPr="00CD3F77">
              <w:rPr>
                <w:b/>
                <w:i/>
              </w:rPr>
              <w:t>, ir pabrėžia, kad šioje srityje būtina imtis intervencinių reguliavimo priemonių;</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vertAlign w:val="superscript"/>
              </w:rPr>
              <w:t>1a</w:t>
            </w:r>
            <w:r w:rsidRPr="00CD3F77">
              <w:t xml:space="preserve"> </w:t>
            </w:r>
            <w:r w:rsidRPr="00CD3F77">
              <w:rPr>
                <w:b/>
                <w:i/>
              </w:rPr>
              <w:t>https://www.theaccountant-online.com/news/ey-calls-off-audit-advisory-split/?cf-view</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Adnan Dibrani, Eero Heinäluoma, Niels Fuglsang</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 xml:space="preserve">susirūpinęs pažymi, kad ES bankų grynasis pelnas infliacijos laikotarpiu yra didelis, ir tai gali pakenkti vartotojams ir mažosioms įmonėms; be to, primygtinai ragina Komisiją nuodugniai ištirti šį </w:t>
            </w:r>
            <w:r w:rsidRPr="00CD3F77">
              <w:rPr>
                <w:b/>
                <w:i/>
              </w:rPr>
              <w:lastRenderedPageBreak/>
              <w:t>klausimą ir, jei būtų nustatyti kokie nors pažeidimai ar sutrikimai, panaudoti visas turimas priemones sąžiningai konkurencijai Europos bankų sektoriuje užtikrinti;</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309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Evelyn Regner, Irene Tinagli, Lara Wolters</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su susirūpinimu pažymi, kad didėja spekuliacija būstu, dėl kurios kyla kainos ir mažėja įperkamumas; pabrėžia, kad tai kenkia ES konkurencingumui, nes mažėja judumas, didėja nelygybė ir kyla įtampa socialiniam stabilumui; ragina griežčiau reglamentuoti spekuliacijas ir užtikrinti sąžiningą būsto rinką, kuri skatintų ekonomikos augimą ir socialinę įtrauktį;</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 xml:space="preserve">apgailestauja dėl to, kad trys didžiausios kredito reitingų agentūros užima daugiau kaip 90 proc. rinkos; ragina kaip nešališką ir patikimą alternatyvą esamoms agentūroms sukurti Europos viešąją kredito reitingų agentūrą; be to, apgailestauja dėl </w:t>
            </w:r>
            <w:r w:rsidRPr="00CD3F77">
              <w:rPr>
                <w:b/>
                <w:i/>
              </w:rPr>
              <w:lastRenderedPageBreak/>
              <w:t>koncentracijos ir interesų konflikto problemų audito rinkoje;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pabrėžia, kad būtina užtikrinti valstybių vidaus rinkos konkurencingumą, be kita ko, skiriant apsaugos priemones ir tiesioginę valstybės pagalbą mažosioms ir vidutinėms įmonėms, kurių veiklai būdingas produkto tipiškumas, susijęs su aplinkos, klimato ir teritorijos ypatumais;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Kira Marie Peter-Hansen</w:t>
      </w:r>
      <w:r w:rsidRPr="00CD3F77">
        <w:rPr>
          <w:rStyle w:val="HideTWBExt"/>
          <w:b w:val="0"/>
        </w:rPr>
        <w:t>&lt;/Members&gt;</w:t>
      </w:r>
    </w:p>
    <w:p w:rsidR="009517E4" w:rsidRPr="00CD3F77" w:rsidRDefault="009517E4" w:rsidP="009517E4">
      <w:r w:rsidRPr="00CD3F77">
        <w:rPr>
          <w:rStyle w:val="HideTWBExt"/>
        </w:rPr>
        <w:t>&lt;AuNomDe&gt;</w:t>
      </w:r>
      <w:r w:rsidRPr="00CD3F77">
        <w:rPr>
          <w:rStyle w:val="HideTWBInt"/>
        </w:rPr>
        <w:t>{Greens/EFA}</w:t>
      </w:r>
      <w:r w:rsidRPr="00CD3F77">
        <w:t>Verts/ALE frakcijos vardu</w:t>
      </w:r>
      <w:r w:rsidRPr="00CD3F77">
        <w:rPr>
          <w:rStyle w:val="HideTWBExt"/>
        </w:rPr>
        <w:t>&lt;/AuNomDe&gt;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ragina Komisiją nepratęsti pereinamojo laikotarpio, skirto veiklos pagalbai visiems regioniniams oro uostams, persvarstant Gaires dėl valstybės pagalbos oro uostams ir oro transporto bendrovėms;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313</w:t>
      </w:r>
      <w:r w:rsidRPr="00CD3F77">
        <w:rPr>
          <w:rStyle w:val="HideTWBExt"/>
          <w:b w:val="0"/>
        </w:rPr>
        <w:t>&lt;/NumAm&gt;</w:t>
      </w:r>
    </w:p>
    <w:p w:rsidR="009517E4" w:rsidRPr="00CD3F77" w:rsidRDefault="009517E4" w:rsidP="009517E4">
      <w:pPr>
        <w:pStyle w:val="NormalBold"/>
      </w:pPr>
      <w:r w:rsidRPr="00CD3F77">
        <w:rPr>
          <w:rStyle w:val="HideTWBExt"/>
          <w:b w:val="0"/>
        </w:rPr>
        <w:lastRenderedPageBreak/>
        <w:t>&lt;RepeatBlock-By&gt;&lt;Members&gt;</w:t>
      </w:r>
      <w:r w:rsidRPr="00CD3F77">
        <w:t>Thomas Bajada</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21a.</w:t>
            </w:r>
            <w:r w:rsidRPr="00CD3F77">
              <w:tab/>
            </w:r>
            <w:r w:rsidRPr="00CD3F77">
              <w:rPr>
                <w:b/>
                <w:i/>
              </w:rPr>
              <w:t>pabrėžia savo susirūpinimą dėl didelės rinkos koncentracijos Europos žemės ūkio ir maisto produktų tiekimo grandinėje, kuri kenkia vartotojams, smulkiesiems ūkininkams ir biologinei įvairovei;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Andreas Schwab</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21b.</w:t>
            </w:r>
            <w:r w:rsidRPr="00CD3F77">
              <w:tab/>
            </w:r>
            <w:r w:rsidRPr="00CD3F77">
              <w:rPr>
                <w:b/>
                <w:i/>
              </w:rPr>
              <w:t>atkreipia dėmesį į Europos Komisijos 2024 m. birželio 25 d. prieštaravimo pareiškimą, paskelbtą atliekant antimonopolinį tyrimą dėl galimos antikonkurencinės „Microsoft“ veiklos, susijusios su „Teams“, kuriame Komisija pareiškė savo preliminarią nuomonę, kad „Microsoft“ susiejo savo bendravimo ir bendradarbiavimo produktą „Teams“ su produktyvumo programomis, įtrauktomis į verslui skirtus rinkinius „Office 365“ ir „Microsoft 365“; ragina Komisiją toliau dėti pastangas, kad šis antimonopolinis tyrimas būtų kruopščiai užbaigtas, siekiant užtikrinti vienodas sąlygas visiems rinkos dalyviams, sprendžiant vartotojams susirūpinimą keliančius klausimus, taip pat sąveikumo ir kainodaros klausimus;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lastRenderedPageBreak/>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21b.</w:t>
            </w:r>
            <w:r w:rsidRPr="00CD3F77">
              <w:tab/>
            </w:r>
            <w:r w:rsidRPr="00CD3F77">
              <w:rPr>
                <w:b/>
                <w:i/>
              </w:rPr>
              <w:t>ypač susirūpinęs atkreipia dėmesį į dviejų tarptautinių kortelių sistemų dominuojančią padėtį ES mokėjimų rinkoje ir jų praktiką, kuria jos siekia sustiprinti ir išplėsti savo dominuojančią padėtį ES skaitmeninių mokėjimų rinkoje, galimai dar labiau padidindamos patekimo į rinką kliūtis ir trukdydamos ilgalaikėms inovacijoms</w:t>
            </w:r>
            <w:r w:rsidRPr="00CD3F77">
              <w:rPr>
                <w:b/>
                <w:i/>
                <w:vertAlign w:val="superscript"/>
              </w:rPr>
              <w:t>1b</w:t>
            </w:r>
            <w:r w:rsidRPr="00CD3F77">
              <w:rPr>
                <w:b/>
                <w:i/>
              </w:rPr>
              <w:t>, dėl ko taip pat didėja ES įmonių ir galiausiai vartotojų išlaidos; ragina Komisiją imtis ryžtingų veiksmų, pabrėždamas, kad būtina peržiūrėti reglamentą dėl tarpbankinių mokesčių, siekiant spręsti problemą, susijusią su gerokai išaugusiais tarptautinių kortelių sistemų taikomais mokesčiais, ir užtikrinti sąžiningą, konkurencingą ir skaidrią rinkos aplinką;</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i/>
              </w:rPr>
              <w:t>_________________</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tc>
        <w:tc>
          <w:tcPr>
            <w:tcW w:w="4876" w:type="dxa"/>
            <w:tcBorders>
              <w:top w:val="nil"/>
              <w:left w:val="nil"/>
              <w:bottom w:val="nil"/>
              <w:right w:val="nil"/>
            </w:tcBorders>
          </w:tcPr>
          <w:p w:rsidR="009517E4" w:rsidRPr="00CD3F77" w:rsidRDefault="009517E4" w:rsidP="009517E4">
            <w:pPr>
              <w:pStyle w:val="Normal6a"/>
            </w:pPr>
            <w:r w:rsidRPr="00CD3F77">
              <w:rPr>
                <w:b/>
                <w:bCs/>
                <w:i/>
                <w:iCs/>
                <w:vertAlign w:val="superscript"/>
              </w:rPr>
              <w:t>1b</w:t>
            </w:r>
            <w:r w:rsidRPr="00CD3F77">
              <w:rPr>
                <w:b/>
                <w:bCs/>
                <w:i/>
                <w:iCs/>
              </w:rPr>
              <w:t xml:space="preserve"> Žr. Europos Audito Rūmų specialiąją ataskaitą dėl skaitmeninių mokėjimų:</w:t>
            </w:r>
            <w:r w:rsidRPr="00CD3F77">
              <w:rPr>
                <w:b/>
                <w:i/>
              </w:rPr>
              <w:t xml:space="preserve"> https://www.eca.europa.eu/ECAPublications/SR-2025-01/SR-2025-01_LT.pdf</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21b.</w:t>
            </w:r>
            <w:r w:rsidRPr="00CD3F77">
              <w:tab/>
            </w:r>
            <w:r w:rsidRPr="00CD3F77">
              <w:rPr>
                <w:b/>
                <w:i/>
              </w:rPr>
              <w:t>atkreipia dėmesį į tai, kad audito rinka yra viena iš labiausiai koncentruotų rinkų Sąjungoje, kurioje Didžiajam ketvertui priklausančios įmonės užima daugiau kaip 90 proc. rinkos; primena, kad didelė rinkos koncentracija audito rinkoje yra seniai pripažinta grėsmė finansų rinkos stabilumui; ragina Komisiją pateikti pasiūlymą dėl teisėkūros procedūra priimamo akto dėl audito rinkos reformos, kuriuo būtų sustiprinta priežiūros tvarka, pašalintos spragos ir valstybių narių išimtys ir nustatytos taisyklės, kuriomis siekiama išvengti interesų konfliktų; primygtinai ragina Komisiją imtis priemonių, kad būtų išvengta glaudžių viešųjų institucijų ir audito įmonių, įskaitant jos pačios veiklą, ryšių;</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317</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Adnan Dibrani, Eero Heinäluoma, Niels Fuglsang</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b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21b.</w:t>
            </w:r>
            <w:r w:rsidRPr="00CD3F77">
              <w:tab/>
            </w:r>
            <w:r w:rsidRPr="00CD3F77">
              <w:rPr>
                <w:b/>
                <w:i/>
              </w:rPr>
              <w:t>su susirūpinimu atkreipia dėmesį į infliacijos dinamikos ir nekonkurencingos elgsenos maisto sektoriuose rizikos požymius, dėl kurių pastaraisiais metais smarkiai išaugo maisto kainos, o tai pakenkė ES vartotojams; be to, ragina skubiai panaudoti turimas konkurencijos priemones, kad būtų nedelsiant ištirtos šios rinkos, kartu įvertinant poreikį įgyvendinti „naują konkurencijos priemonę“ struktūrinėms konkurencijos problemoms spręsti;</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lastRenderedPageBreak/>
        <w:t>&lt;Amend&gt;</w:t>
      </w:r>
      <w:r w:rsidRPr="00CD3F77">
        <w:t>Pakeitimas</w:t>
      </w:r>
      <w:r w:rsidRPr="00CD3F77">
        <w:tab/>
      </w:r>
      <w:r w:rsidRPr="00CD3F77">
        <w:tab/>
      </w:r>
      <w:r w:rsidRPr="00CD3F77">
        <w:rPr>
          <w:rStyle w:val="HideTWBExt"/>
          <w:b w:val="0"/>
        </w:rPr>
        <w:t>&lt;NumAm&gt;</w:t>
      </w:r>
      <w:r w:rsidRPr="00CD3F77">
        <w:t>318</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21 c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21c.</w:t>
            </w:r>
            <w:r w:rsidRPr="00CD3F77">
              <w:tab/>
            </w:r>
            <w:r w:rsidRPr="00CD3F77">
              <w:rPr>
                <w:b/>
                <w:i/>
              </w:rPr>
              <w:t>susirūpinęs atkreipia dėmesį į rinkos koncentraciją prekybos žemės ūkio prekėmis srityje, kurioje keturios bendrovės valdo iki 90 proc. pasaulinės prekybos grūdais ir 60 proc. pasaulinės prekybos javais, aliejingosiomis sėklomis ir baltyminiais kultūriniais augalais; primena Komisijos 2024 m. lapkričio mėn. konkurencijos susijungimų apžvalgą, kurioje kalbama apie „smėlio laikrodžio formos rinką“, kurioje kelios bendrovės „gauna pelną pirkdamos žemės ūkio produktus ir perparduodamos juos tokius, kokie jie yra, arba perdirbtus už didesnę kainą“; apgailestauja dėl to, kad Komisija vis dėlto su tam tikromis sąlygomis pritarė Bunge-Vittera susijungimui (M.11204), nepaisant susirūpinimą keliančių konkurencijos problemų; prašo Komisijos spręsti klausimą dėl pernelyg didelės galios, sutelktos keletame stambių rinkos dalyvių, kad būtų sustiprinta tiek ūkininkų, tiek vartotojų derybinė padėtis;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319</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Enikő Győri</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rPr>
                <w:b/>
                <w:i/>
              </w:rPr>
              <w:t>22.</w:t>
            </w:r>
            <w:r w:rsidRPr="00CD3F77">
              <w:tab/>
            </w:r>
            <w:r w:rsidRPr="00CD3F77">
              <w:rPr>
                <w:b/>
                <w:i/>
              </w:rPr>
              <w:t xml:space="preserve">pabrėžia, kad Parlamentas turi pakankamai dalyvauti formuojant konkurencijos politiką; ragina Komisiją pradėti derybas dėl tarpinstitucinio </w:t>
            </w:r>
            <w:r w:rsidRPr="00CD3F77">
              <w:rPr>
                <w:b/>
                <w:i/>
              </w:rPr>
              <w:lastRenderedPageBreak/>
              <w:t>susitarimo konkurencijos politikos srityje;</w:t>
            </w:r>
          </w:p>
        </w:tc>
        <w:tc>
          <w:tcPr>
            <w:tcW w:w="4876" w:type="dxa"/>
            <w:tcBorders>
              <w:top w:val="nil"/>
              <w:left w:val="nil"/>
              <w:bottom w:val="nil"/>
              <w:right w:val="nil"/>
            </w:tcBorders>
          </w:tcPr>
          <w:p w:rsidR="009517E4" w:rsidRPr="00CD3F77" w:rsidRDefault="009517E4" w:rsidP="009517E4">
            <w:pPr>
              <w:pStyle w:val="Normal6a"/>
            </w:pPr>
            <w:r w:rsidRPr="00CD3F77">
              <w:rPr>
                <w:b/>
                <w:bCs/>
                <w:i/>
                <w:iCs/>
              </w:rPr>
              <w:lastRenderedPageBreak/>
              <w:t>Išbraukta.</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320</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Lara Wolters, Jonás Fernández, Claire Fita, Niels Fuglsang, Thomas Bajada, Eero Heinäluoma, Evelyn Regner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22.</w:t>
            </w:r>
            <w:r w:rsidRPr="00CD3F77">
              <w:tab/>
              <w:t>pabrėžia, kad Parlamentas turi pakankamai dalyvauti formuojant konkurencijos politiką; ragina Komisiją pradėti derybas dėl tarpinstitucinio susitarimo konkurencijos politikos srityje;</w:t>
            </w:r>
          </w:p>
        </w:tc>
        <w:tc>
          <w:tcPr>
            <w:tcW w:w="4876" w:type="dxa"/>
            <w:tcBorders>
              <w:top w:val="nil"/>
              <w:left w:val="nil"/>
              <w:bottom w:val="nil"/>
              <w:right w:val="nil"/>
            </w:tcBorders>
          </w:tcPr>
          <w:p w:rsidR="009517E4" w:rsidRPr="00CD3F77" w:rsidRDefault="009517E4" w:rsidP="009517E4">
            <w:pPr>
              <w:pStyle w:val="Normal6a"/>
            </w:pPr>
            <w:r w:rsidRPr="00CD3F77">
              <w:t>22.</w:t>
            </w:r>
            <w:r w:rsidRPr="00CD3F77">
              <w:tab/>
              <w:t>pabrėžia, kad Parlamentas turi pakankamai dalyvauti formuojant konkurencijos politiką</w:t>
            </w:r>
            <w:r w:rsidRPr="00CD3F77">
              <w:rPr>
                <w:b/>
                <w:bCs/>
                <w:i/>
                <w:iCs/>
              </w:rPr>
              <w:t xml:space="preserve"> ir įspėja, kad pernelyg pasikliaujama neprivalomomis teisinėmis priemonėmis, tokiomis kaip gairės ir laikinosios sistemos, kuriose Parlamento dalyvavimas yra ribotas</w:t>
            </w:r>
            <w:r w:rsidRPr="00CD3F77">
              <w:t xml:space="preserve">; ragina Komisiją pradėti derybas dėl tarpinstitucinio susitarimo konkurencijos politikos srityje </w:t>
            </w:r>
            <w:r w:rsidRPr="00CD3F77">
              <w:rPr>
                <w:b/>
                <w:bCs/>
                <w:i/>
                <w:iCs/>
              </w:rPr>
              <w:t>siekiant įforminti savo vykdymo prioritetus Parlamentui</w:t>
            </w:r>
            <w:r w:rsidRPr="00CD3F77">
              <w:t xml:space="preserve">; </w:t>
            </w:r>
            <w:r w:rsidRPr="00CD3F77">
              <w:rPr>
                <w:b/>
                <w:i/>
              </w:rPr>
              <w:t>ragina Europos Vadovų Tarybą pagal ES sutarties 48 straipsnio 7 dalies 2 punktą priimti sprendimą, leidžiantį pagal įprastą teisėkūros procedūrą priimti teisėkūros procedūra priimamus aktus konkurencijos politikos srityje;</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321</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22.</w:t>
            </w:r>
            <w:r w:rsidRPr="00CD3F77">
              <w:tab/>
              <w:t xml:space="preserve">pabrėžia, kad Parlamentas turi pakankamai dalyvauti formuojant konkurencijos politiką; ragina Komisiją </w:t>
            </w:r>
            <w:r w:rsidRPr="00CD3F77">
              <w:lastRenderedPageBreak/>
              <w:t>pradėti derybas dėl tarpinstitucinio susitarimo konkurencijos politikos srityje;</w:t>
            </w:r>
          </w:p>
        </w:tc>
        <w:tc>
          <w:tcPr>
            <w:tcW w:w="4876" w:type="dxa"/>
            <w:tcBorders>
              <w:top w:val="nil"/>
              <w:left w:val="nil"/>
              <w:bottom w:val="nil"/>
              <w:right w:val="nil"/>
            </w:tcBorders>
          </w:tcPr>
          <w:p w:rsidR="009517E4" w:rsidRPr="00CD3F77" w:rsidRDefault="009517E4" w:rsidP="009517E4">
            <w:pPr>
              <w:pStyle w:val="Normal6a"/>
            </w:pPr>
            <w:r w:rsidRPr="00CD3F77">
              <w:lastRenderedPageBreak/>
              <w:t>22.</w:t>
            </w:r>
            <w:r w:rsidRPr="00CD3F77">
              <w:tab/>
              <w:t xml:space="preserve">pabrėžia, kad Parlamentas turi pakankamai dalyvauti formuojant konkurencijos politiką; ragina Komisiją </w:t>
            </w:r>
            <w:r w:rsidRPr="00CD3F77">
              <w:lastRenderedPageBreak/>
              <w:t xml:space="preserve">pradėti derybas dėl tarpinstitucinio susitarimo konkurencijos politikos srityje; </w:t>
            </w:r>
            <w:r w:rsidRPr="00CD3F77">
              <w:rPr>
                <w:b/>
                <w:i/>
              </w:rPr>
              <w:t>pabrėžia, kad Parlamentas turėtų aktyviau dalyvauti Tarptautinio konkurencijos tinklo (angl. ICN) ir EBPO darbo grupių ir ekspertų grupių veikloje ne tik stebėtojo teisėmis, taip pat aukšto lygio ekspertų grupės dėl Skaitmeninių rinkų akto veikloje;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322</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Martin Schirdewan, Manon Aubry</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22.</w:t>
            </w:r>
            <w:r w:rsidRPr="00CD3F77">
              <w:tab/>
              <w:t xml:space="preserve">pabrėžia, kad Parlamentas </w:t>
            </w:r>
            <w:r w:rsidRPr="00CD3F77">
              <w:rPr>
                <w:b/>
                <w:bCs/>
                <w:i/>
                <w:iCs/>
              </w:rPr>
              <w:t xml:space="preserve">turi pakankamai dalyvauti formuojant </w:t>
            </w:r>
            <w:r w:rsidRPr="00CD3F77">
              <w:t>konkurencijos politiką; ragina Komisiją pradėti derybas dėl tarpinstitucinio susitarimo konkurencijos politikos srityje;</w:t>
            </w:r>
          </w:p>
        </w:tc>
        <w:tc>
          <w:tcPr>
            <w:tcW w:w="4876" w:type="dxa"/>
            <w:tcBorders>
              <w:top w:val="nil"/>
              <w:left w:val="nil"/>
              <w:bottom w:val="nil"/>
              <w:right w:val="nil"/>
            </w:tcBorders>
          </w:tcPr>
          <w:p w:rsidR="009517E4" w:rsidRPr="00CD3F77" w:rsidRDefault="009517E4" w:rsidP="009517E4">
            <w:pPr>
              <w:pStyle w:val="Normal6a"/>
            </w:pPr>
            <w:r w:rsidRPr="00CD3F77">
              <w:t>22.</w:t>
            </w:r>
            <w:r w:rsidRPr="00CD3F77">
              <w:tab/>
              <w:t xml:space="preserve">pabrėžia, kad Parlamentas </w:t>
            </w:r>
            <w:r w:rsidRPr="00CD3F77">
              <w:rPr>
                <w:b/>
                <w:bCs/>
                <w:i/>
                <w:iCs/>
              </w:rPr>
              <w:t xml:space="preserve">turėtų formuoti </w:t>
            </w:r>
            <w:r w:rsidRPr="00CD3F77">
              <w:t xml:space="preserve">konkurencijos politiką; ragina Komisiją pradėti derybas dėl tarpinstitucinio susitarimo konkurencijos politikos srityje; </w:t>
            </w:r>
            <w:r w:rsidRPr="00CD3F77">
              <w:rPr>
                <w:b/>
                <w:i/>
              </w:rPr>
              <w:t>ragina visiškai išplėsti įprastą teisėkūros procedūrą, kad ji būtų taikoma ir konkurencijos politikos teisės aktams;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323</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Pierre Pimpie, Aleksandar Nikolic</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dalis</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r w:rsidRPr="00CD3F77">
              <w:t>22.</w:t>
            </w:r>
            <w:r w:rsidRPr="00CD3F77">
              <w:tab/>
              <w:t xml:space="preserve">pabrėžia, kad Parlamentas turi </w:t>
            </w:r>
            <w:r w:rsidRPr="00CD3F77">
              <w:rPr>
                <w:b/>
                <w:i/>
              </w:rPr>
              <w:t>pakankamai</w:t>
            </w:r>
            <w:r w:rsidRPr="00CD3F77">
              <w:t xml:space="preserve"> dalyvauti formuojant konkurencijos politiką; ragina Komisiją pradėti derybas dėl tarpinstitucinio susitarimo konkurencijos politikos srityje;</w:t>
            </w:r>
          </w:p>
        </w:tc>
        <w:tc>
          <w:tcPr>
            <w:tcW w:w="4876" w:type="dxa"/>
            <w:tcBorders>
              <w:top w:val="nil"/>
              <w:left w:val="nil"/>
              <w:bottom w:val="nil"/>
              <w:right w:val="nil"/>
            </w:tcBorders>
          </w:tcPr>
          <w:p w:rsidR="009517E4" w:rsidRPr="00CD3F77" w:rsidRDefault="009517E4" w:rsidP="009517E4">
            <w:pPr>
              <w:pStyle w:val="Normal6a"/>
            </w:pPr>
            <w:r w:rsidRPr="00CD3F77">
              <w:t>22.</w:t>
            </w:r>
            <w:r w:rsidRPr="00CD3F77">
              <w:tab/>
              <w:t xml:space="preserve">pabrėžia, kad Parlamentas turi </w:t>
            </w:r>
            <w:r w:rsidRPr="00CD3F77">
              <w:rPr>
                <w:b/>
                <w:i/>
              </w:rPr>
              <w:t>aktyviau</w:t>
            </w:r>
            <w:r w:rsidRPr="00CD3F77">
              <w:t xml:space="preserve"> dalyvauti formuojant konkurencijos politiką; ragina Komisiją pradėti derybas dėl tarpinstitucinio susitarimo konkurencijos politikos srityje;</w:t>
            </w:r>
          </w:p>
        </w:tc>
      </w:tr>
    </w:tbl>
    <w:p w:rsidR="009517E4" w:rsidRPr="00CD3F77" w:rsidRDefault="009517E4" w:rsidP="009517E4">
      <w:pPr>
        <w:pStyle w:val="AmOrLang"/>
      </w:pPr>
      <w:r w:rsidRPr="00CD3F77">
        <w:lastRenderedPageBreak/>
        <w:t xml:space="preserve">Or. </w:t>
      </w:r>
      <w:r w:rsidRPr="00CD3F77">
        <w:rPr>
          <w:rStyle w:val="HideTWBExt"/>
        </w:rPr>
        <w:t>&lt;Original&gt;</w:t>
      </w:r>
      <w:r w:rsidRPr="00CD3F77">
        <w:rPr>
          <w:rStyle w:val="HideTWBInt"/>
        </w:rPr>
        <w:t>{FR}</w:t>
      </w:r>
      <w:r w:rsidRPr="00CD3F77">
        <w:t>fr</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324</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Stéphanie Yon-Courtin, Gilles Boyer, Engin Eroglu, Billy Kelleher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22a.</w:t>
            </w:r>
            <w:r w:rsidRPr="00CD3F77">
              <w:tab/>
            </w:r>
            <w:r w:rsidRPr="00CD3F77">
              <w:rPr>
                <w:b/>
                <w:i/>
              </w:rPr>
              <w:t>ragina už konkurencijos politiką atsakingą vykdomąjį pirmininko pavaduotoją, taip pat Komisijos narį palaikyti glaudžius ryšius su Parlamento kompetentingu komitetu ir jo darbo grupe konkurencijos klausimais;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325</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Markus Ferber</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22a.</w:t>
            </w:r>
            <w:r w:rsidRPr="00CD3F77">
              <w:tab/>
            </w:r>
            <w:r w:rsidRPr="00CD3F77">
              <w:rPr>
                <w:b/>
                <w:i/>
              </w:rPr>
              <w:t>ragina už konkurencijos politiką atsakingą Europos Komisijos narį palaikyti glaudžius ryšius su Europos Parlamento kompetentingu komitetu ir jo darbo grupe konkurencijos klausimais;</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{EN}</w:t>
      </w:r>
      <w:r w:rsidRPr="00CD3F77">
        <w:t>en</w:t>
      </w:r>
      <w:r w:rsidRPr="00CD3F77">
        <w:rPr>
          <w:rStyle w:val="HideTWBExt"/>
        </w:rPr>
        <w:t>&lt;/Original&gt;</w:t>
      </w:r>
    </w:p>
    <w:p w:rsidR="009517E4" w:rsidRPr="00CD3F77" w:rsidRDefault="009517E4" w:rsidP="009517E4">
      <w:r w:rsidRPr="00CD3F77">
        <w:rPr>
          <w:rStyle w:val="HideTWBExt"/>
        </w:rPr>
        <w:t>&lt;/Amend&gt;</w:t>
      </w:r>
    </w:p>
    <w:p w:rsidR="009517E4" w:rsidRPr="00CD3F77" w:rsidRDefault="009517E4" w:rsidP="009517E4">
      <w:pPr>
        <w:pStyle w:val="AmNumberTabs"/>
      </w:pPr>
      <w:r w:rsidRPr="00CD3F77">
        <w:rPr>
          <w:rStyle w:val="HideTWBExt"/>
          <w:b w:val="0"/>
        </w:rPr>
        <w:t>&lt;Amend&gt;</w:t>
      </w:r>
      <w:r w:rsidRPr="00CD3F77">
        <w:t>Pakeitimas</w:t>
      </w:r>
      <w:r w:rsidRPr="00CD3F77">
        <w:tab/>
      </w:r>
      <w:r w:rsidRPr="00CD3F77">
        <w:tab/>
      </w:r>
      <w:r w:rsidRPr="00CD3F77">
        <w:rPr>
          <w:rStyle w:val="HideTWBExt"/>
          <w:b w:val="0"/>
        </w:rPr>
        <w:t>&lt;NumAm&gt;</w:t>
      </w:r>
      <w:r w:rsidRPr="00CD3F77">
        <w:t>326</w:t>
      </w:r>
      <w:r w:rsidRPr="00CD3F77">
        <w:rPr>
          <w:rStyle w:val="HideTWBExt"/>
          <w:b w:val="0"/>
        </w:rPr>
        <w:t>&lt;/NumAm&gt;</w:t>
      </w:r>
    </w:p>
    <w:p w:rsidR="009517E4" w:rsidRPr="00CD3F77" w:rsidRDefault="009517E4" w:rsidP="009517E4">
      <w:pPr>
        <w:pStyle w:val="NormalBold"/>
      </w:pPr>
      <w:r w:rsidRPr="00CD3F77">
        <w:rPr>
          <w:rStyle w:val="HideTWBExt"/>
          <w:b w:val="0"/>
        </w:rPr>
        <w:t>&lt;RepeatBlock-By&gt;&lt;Members&gt;</w:t>
      </w:r>
      <w:r w:rsidRPr="00CD3F77">
        <w:t>Marco Falcone, Fulvio Martusciello</w:t>
      </w:r>
      <w:r w:rsidRPr="00CD3F77">
        <w:rPr>
          <w:rStyle w:val="HideTWBExt"/>
          <w:b w:val="0"/>
        </w:rPr>
        <w:t>&lt;/Members&gt;</w:t>
      </w:r>
    </w:p>
    <w:p w:rsidR="009517E4" w:rsidRPr="00CD3F77" w:rsidRDefault="009517E4" w:rsidP="009517E4">
      <w:pPr>
        <w:pStyle w:val="NormalBold"/>
      </w:pPr>
      <w:r w:rsidRPr="00CD3F77">
        <w:rPr>
          <w:rStyle w:val="HideTWBExt"/>
          <w:b w:val="0"/>
        </w:rPr>
        <w:t>&lt;/RepeatBlock-By&gt;</w:t>
      </w:r>
    </w:p>
    <w:p w:rsidR="009517E4" w:rsidRPr="00CD3F77" w:rsidRDefault="009517E4" w:rsidP="009517E4">
      <w:pPr>
        <w:pStyle w:val="NormalBold"/>
      </w:pPr>
      <w:r w:rsidRPr="00CD3F77">
        <w:rPr>
          <w:rStyle w:val="HideTWBExt"/>
          <w:b w:val="0"/>
        </w:rPr>
        <w:t>&lt;DocAmend&gt;</w:t>
      </w:r>
      <w:r w:rsidRPr="00CD3F77">
        <w:t>Pasiūlymas dėl rezoliucijos</w:t>
      </w:r>
      <w:r w:rsidRPr="00CD3F77">
        <w:rPr>
          <w:rStyle w:val="HideTWBExt"/>
          <w:b w:val="0"/>
        </w:rPr>
        <w:t>&lt;/DocAmend&gt;</w:t>
      </w:r>
    </w:p>
    <w:p w:rsidR="009517E4" w:rsidRPr="00CD3F77" w:rsidRDefault="009517E4" w:rsidP="009517E4">
      <w:pPr>
        <w:pStyle w:val="NormalBold"/>
      </w:pPr>
      <w:r w:rsidRPr="00CD3F77">
        <w:rPr>
          <w:rStyle w:val="HideTWBExt"/>
          <w:b w:val="0"/>
        </w:rPr>
        <w:t>&lt;Article&gt;</w:t>
      </w:r>
      <w:r w:rsidRPr="00CD3F77">
        <w:t>22 a dalis (nauja)</w:t>
      </w:r>
      <w:r w:rsidRPr="00CD3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17E4" w:rsidRPr="00CD3F77" w:rsidTr="009517E4">
        <w:trPr>
          <w:trHeight w:hRule="exact" w:val="240"/>
          <w:jc w:val="center"/>
        </w:trPr>
        <w:tc>
          <w:tcPr>
            <w:tcW w:w="9752" w:type="dxa"/>
            <w:gridSpan w:val="2"/>
            <w:tcBorders>
              <w:top w:val="nil"/>
              <w:left w:val="nil"/>
              <w:bottom w:val="nil"/>
              <w:right w:val="nil"/>
            </w:tcBorders>
          </w:tcPr>
          <w:p w:rsidR="009517E4" w:rsidRPr="00CD3F77" w:rsidRDefault="009517E4" w:rsidP="009517E4"/>
        </w:tc>
      </w:tr>
      <w:tr w:rsidR="009517E4" w:rsidRPr="00CD3F77" w:rsidTr="009517E4">
        <w:trPr>
          <w:trHeight w:val="240"/>
          <w:jc w:val="center"/>
        </w:trPr>
        <w:tc>
          <w:tcPr>
            <w:tcW w:w="4876" w:type="dxa"/>
            <w:tcBorders>
              <w:top w:val="nil"/>
              <w:left w:val="nil"/>
              <w:bottom w:val="nil"/>
              <w:right w:val="nil"/>
            </w:tcBorders>
          </w:tcPr>
          <w:p w:rsidR="009517E4" w:rsidRPr="00CD3F77" w:rsidRDefault="009517E4" w:rsidP="009517E4">
            <w:pPr>
              <w:pStyle w:val="AmColumnHeading"/>
            </w:pPr>
            <w:r w:rsidRPr="00CD3F77">
              <w:t>Pasiūlymas dėl rezoliucijos</w:t>
            </w:r>
          </w:p>
        </w:tc>
        <w:tc>
          <w:tcPr>
            <w:tcW w:w="4876" w:type="dxa"/>
            <w:tcBorders>
              <w:top w:val="nil"/>
              <w:left w:val="nil"/>
              <w:bottom w:val="nil"/>
              <w:right w:val="nil"/>
            </w:tcBorders>
          </w:tcPr>
          <w:p w:rsidR="009517E4" w:rsidRPr="00CD3F77" w:rsidRDefault="009517E4" w:rsidP="009517E4">
            <w:pPr>
              <w:pStyle w:val="AmColumnHeading"/>
            </w:pPr>
            <w:r w:rsidRPr="00CD3F77">
              <w:t>Pakeitimas</w:t>
            </w:r>
          </w:p>
        </w:tc>
      </w:tr>
      <w:tr w:rsidR="009517E4" w:rsidRPr="00CD3F77" w:rsidTr="009517E4">
        <w:trPr>
          <w:jc w:val="center"/>
        </w:trPr>
        <w:tc>
          <w:tcPr>
            <w:tcW w:w="4876" w:type="dxa"/>
            <w:tcBorders>
              <w:top w:val="nil"/>
              <w:left w:val="nil"/>
              <w:bottom w:val="nil"/>
              <w:right w:val="nil"/>
            </w:tcBorders>
          </w:tcPr>
          <w:p w:rsidR="009517E4" w:rsidRPr="00CD3F77" w:rsidRDefault="009517E4" w:rsidP="009517E4">
            <w:pPr>
              <w:pStyle w:val="Normal6a"/>
            </w:pPr>
          </w:p>
        </w:tc>
        <w:tc>
          <w:tcPr>
            <w:tcW w:w="4876" w:type="dxa"/>
            <w:tcBorders>
              <w:top w:val="nil"/>
              <w:left w:val="nil"/>
              <w:bottom w:val="nil"/>
              <w:right w:val="nil"/>
            </w:tcBorders>
          </w:tcPr>
          <w:p w:rsidR="009517E4" w:rsidRPr="00CD3F77" w:rsidRDefault="009517E4" w:rsidP="009517E4">
            <w:pPr>
              <w:pStyle w:val="Normal6a"/>
            </w:pPr>
            <w:r w:rsidRPr="00CD3F77">
              <w:rPr>
                <w:b/>
                <w:i/>
              </w:rPr>
              <w:t>22a.</w:t>
            </w:r>
            <w:r w:rsidRPr="00CD3F77">
              <w:tab/>
            </w:r>
            <w:r w:rsidRPr="00CD3F77">
              <w:rPr>
                <w:b/>
                <w:i/>
              </w:rPr>
              <w:t>pabrėžia, kad reikalingas veiksmingas tarpinstitucinis bendradarbiavimas konkurencijos politikos srityje aiškiai apibrėžiant Parlamento, Komisijos ir Tarybos vaidmenis bei atsakomybę;</w:t>
            </w:r>
          </w:p>
        </w:tc>
      </w:tr>
    </w:tbl>
    <w:p w:rsidR="009517E4" w:rsidRPr="00CD3F77" w:rsidRDefault="009517E4" w:rsidP="009517E4">
      <w:pPr>
        <w:pStyle w:val="AmOrLang"/>
      </w:pPr>
      <w:r w:rsidRPr="00CD3F77">
        <w:t xml:space="preserve">Or. </w:t>
      </w:r>
      <w:r w:rsidRPr="00CD3F77">
        <w:rPr>
          <w:rStyle w:val="HideTWBExt"/>
        </w:rPr>
        <w:t>&lt;Original&gt;</w:t>
      </w:r>
      <w:r w:rsidRPr="00CD3F77">
        <w:rPr>
          <w:rStyle w:val="HideTWBInt"/>
        </w:rPr>
        <w:t>{IT}</w:t>
      </w:r>
      <w:r w:rsidRPr="00CD3F77">
        <w:t>it</w:t>
      </w:r>
      <w:r w:rsidRPr="00CD3F77">
        <w:rPr>
          <w:rStyle w:val="HideTWBExt"/>
        </w:rPr>
        <w:t>&lt;/Original&gt;</w:t>
      </w:r>
    </w:p>
    <w:p w:rsidR="009517E4" w:rsidRPr="00CD3F77" w:rsidRDefault="009517E4" w:rsidP="009517E4">
      <w:r w:rsidRPr="00CD3F77">
        <w:rPr>
          <w:rStyle w:val="HideTWBExt"/>
        </w:rPr>
        <w:t>&lt;/Amend&gt;&lt;/RepeatBlock-Amend&gt;</w:t>
      </w:r>
    </w:p>
    <w:p w:rsidR="008B3AAB" w:rsidRPr="00CD3F77" w:rsidRDefault="008B3AAB" w:rsidP="009517E4"/>
    <w:sectPr w:rsidR="008B3AAB" w:rsidRPr="00CD3F77" w:rsidSect="00CF615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7E4" w:rsidRPr="00CD3F77" w:rsidRDefault="009517E4">
      <w:r w:rsidRPr="00CD3F77">
        <w:separator/>
      </w:r>
    </w:p>
  </w:endnote>
  <w:endnote w:type="continuationSeparator" w:id="0">
    <w:p w:rsidR="009517E4" w:rsidRPr="00CD3F77" w:rsidRDefault="009517E4">
      <w:r w:rsidRPr="00CD3F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5" w:rsidRPr="00CD3F77" w:rsidRDefault="00CF6155" w:rsidP="00CF6155">
    <w:pPr>
      <w:pStyle w:val="EPFooter"/>
    </w:pPr>
    <w:r w:rsidRPr="00CD3F77">
      <w:t>PE</w:t>
    </w:r>
    <w:r w:rsidRPr="00CD3F77">
      <w:rPr>
        <w:rStyle w:val="HideTWBExt"/>
      </w:rPr>
      <w:t>&lt;NoPE&gt;</w:t>
    </w:r>
    <w:r w:rsidRPr="00CD3F77">
      <w:t>768.085</w:t>
    </w:r>
    <w:r w:rsidRPr="00CD3F77">
      <w:rPr>
        <w:rStyle w:val="HideTWBExt"/>
      </w:rPr>
      <w:t>&lt;/NoPE&gt;&lt;Version&gt;</w:t>
    </w:r>
    <w:r w:rsidRPr="00CD3F77">
      <w:t>v01-00</w:t>
    </w:r>
    <w:r w:rsidRPr="00CD3F77">
      <w:rPr>
        <w:rStyle w:val="HideTWBExt"/>
      </w:rPr>
      <w:t>&lt;/Version&gt;</w:t>
    </w:r>
    <w:r w:rsidRPr="00CD3F77">
      <w:tab/>
    </w:r>
    <w:r w:rsidRPr="00CD3F77">
      <w:fldChar w:fldCharType="begin"/>
    </w:r>
    <w:r w:rsidRPr="00CD3F77">
      <w:instrText xml:space="preserve"> PAGE  \* MERGEFORMAT </w:instrText>
    </w:r>
    <w:r w:rsidRPr="00CD3F77">
      <w:fldChar w:fldCharType="separate"/>
    </w:r>
    <w:r w:rsidR="00E139EC">
      <w:rPr>
        <w:noProof/>
      </w:rPr>
      <w:t>2</w:t>
    </w:r>
    <w:r w:rsidRPr="00CD3F77">
      <w:fldChar w:fldCharType="end"/>
    </w:r>
    <w:r w:rsidRPr="00CD3F77">
      <w:t>/</w:t>
    </w:r>
    <w:fldSimple w:instr=" NUMPAGES  \* MERGEFORMAT ">
      <w:r w:rsidR="00E139EC">
        <w:rPr>
          <w:noProof/>
        </w:rPr>
        <w:t>171</w:t>
      </w:r>
    </w:fldSimple>
    <w:r w:rsidRPr="00CD3F77">
      <w:tab/>
    </w:r>
    <w:r w:rsidRPr="00CD3F77">
      <w:rPr>
        <w:rStyle w:val="HideTWBExt"/>
      </w:rPr>
      <w:t>&lt;PathFdR&gt;</w:t>
    </w:r>
    <w:r w:rsidR="00CD3F77" w:rsidRPr="00CD3F77">
      <w:t>AM\1314304LT.docx</w:t>
    </w:r>
    <w:r w:rsidRPr="00CD3F77">
      <w:rPr>
        <w:rStyle w:val="HideTWBExt"/>
      </w:rPr>
      <w:t>&lt;/PathFdR&gt;</w:t>
    </w:r>
  </w:p>
  <w:p w:rsidR="009517E4" w:rsidRPr="00CD3F77" w:rsidRDefault="00CF6155" w:rsidP="00CF6155">
    <w:pPr>
      <w:pStyle w:val="EPFooter2"/>
    </w:pPr>
    <w:r w:rsidRPr="00CD3F77">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5" w:rsidRPr="00CD3F77" w:rsidRDefault="00CF6155" w:rsidP="00CF6155">
    <w:pPr>
      <w:pStyle w:val="EPFooter"/>
    </w:pPr>
    <w:r w:rsidRPr="00CD3F77">
      <w:rPr>
        <w:rStyle w:val="HideTWBExt"/>
      </w:rPr>
      <w:t>&lt;PathFdR&gt;</w:t>
    </w:r>
    <w:r w:rsidR="00CD3F77" w:rsidRPr="00CD3F77">
      <w:t>AM\1314304LT.docx</w:t>
    </w:r>
    <w:r w:rsidRPr="00CD3F77">
      <w:rPr>
        <w:rStyle w:val="HideTWBExt"/>
      </w:rPr>
      <w:t>&lt;/PathFdR&gt;</w:t>
    </w:r>
    <w:r w:rsidRPr="00CD3F77">
      <w:tab/>
    </w:r>
    <w:r w:rsidRPr="00CD3F77">
      <w:fldChar w:fldCharType="begin"/>
    </w:r>
    <w:r w:rsidRPr="00CD3F77">
      <w:instrText xml:space="preserve"> PAGE  \* MERGEFORMAT </w:instrText>
    </w:r>
    <w:r w:rsidRPr="00CD3F77">
      <w:fldChar w:fldCharType="separate"/>
    </w:r>
    <w:r w:rsidR="00E139EC">
      <w:rPr>
        <w:noProof/>
      </w:rPr>
      <w:t>3</w:t>
    </w:r>
    <w:r w:rsidRPr="00CD3F77">
      <w:fldChar w:fldCharType="end"/>
    </w:r>
    <w:r w:rsidRPr="00CD3F77">
      <w:t>/</w:t>
    </w:r>
    <w:fldSimple w:instr=" NUMPAGES  \* MERGEFORMAT ">
      <w:r w:rsidR="00E139EC">
        <w:rPr>
          <w:noProof/>
        </w:rPr>
        <w:t>171</w:t>
      </w:r>
    </w:fldSimple>
    <w:r w:rsidRPr="00CD3F77">
      <w:tab/>
      <w:t>PE</w:t>
    </w:r>
    <w:r w:rsidRPr="00CD3F77">
      <w:rPr>
        <w:rStyle w:val="HideTWBExt"/>
      </w:rPr>
      <w:t>&lt;NoPE&gt;</w:t>
    </w:r>
    <w:r w:rsidRPr="00CD3F77">
      <w:t>768.085</w:t>
    </w:r>
    <w:r w:rsidRPr="00CD3F77">
      <w:rPr>
        <w:rStyle w:val="HideTWBExt"/>
      </w:rPr>
      <w:t>&lt;/NoPE&gt;&lt;Version&gt;</w:t>
    </w:r>
    <w:r w:rsidRPr="00CD3F77">
      <w:t>v01-00</w:t>
    </w:r>
    <w:r w:rsidRPr="00CD3F77">
      <w:rPr>
        <w:rStyle w:val="HideTWBExt"/>
      </w:rPr>
      <w:t>&lt;/Version&gt;</w:t>
    </w:r>
  </w:p>
  <w:p w:rsidR="009517E4" w:rsidRPr="00CD3F77" w:rsidRDefault="00CF6155" w:rsidP="00CF6155">
    <w:pPr>
      <w:pStyle w:val="EPFooter2"/>
    </w:pPr>
    <w:r w:rsidRPr="00CD3F77">
      <w:tab/>
    </w:r>
    <w:r w:rsidRPr="00CD3F77">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5" w:rsidRPr="00CD3F77" w:rsidRDefault="00CF6155" w:rsidP="00CF6155">
    <w:pPr>
      <w:pStyle w:val="EPFooter"/>
    </w:pPr>
    <w:r w:rsidRPr="00CD3F77">
      <w:rPr>
        <w:rStyle w:val="HideTWBExt"/>
      </w:rPr>
      <w:t>&lt;PathFdR&gt;</w:t>
    </w:r>
    <w:r w:rsidR="00CD3F77" w:rsidRPr="00CD3F77">
      <w:t>AM\1314304LT.docx</w:t>
    </w:r>
    <w:r w:rsidRPr="00CD3F77">
      <w:rPr>
        <w:rStyle w:val="HideTWBExt"/>
      </w:rPr>
      <w:t>&lt;/PathFdR&gt;</w:t>
    </w:r>
    <w:r w:rsidRPr="00CD3F77">
      <w:tab/>
    </w:r>
    <w:r w:rsidRPr="00CD3F77">
      <w:tab/>
      <w:t>PE</w:t>
    </w:r>
    <w:r w:rsidRPr="00CD3F77">
      <w:rPr>
        <w:rStyle w:val="HideTWBExt"/>
      </w:rPr>
      <w:t>&lt;NoPE&gt;</w:t>
    </w:r>
    <w:r w:rsidRPr="00CD3F77">
      <w:t>768.085</w:t>
    </w:r>
    <w:r w:rsidRPr="00CD3F77">
      <w:rPr>
        <w:rStyle w:val="HideTWBExt"/>
      </w:rPr>
      <w:t>&lt;/NoPE&gt;&lt;Version&gt;</w:t>
    </w:r>
    <w:r w:rsidRPr="00CD3F77">
      <w:t>v01-00</w:t>
    </w:r>
    <w:r w:rsidRPr="00CD3F77">
      <w:rPr>
        <w:rStyle w:val="HideTWBExt"/>
      </w:rPr>
      <w:t>&lt;/Version&gt;</w:t>
    </w:r>
  </w:p>
  <w:p w:rsidR="009517E4" w:rsidRPr="00CD3F77" w:rsidRDefault="00CF6155" w:rsidP="00CF6155">
    <w:pPr>
      <w:pStyle w:val="EPFooter2"/>
    </w:pPr>
    <w:r w:rsidRPr="00CD3F77">
      <w:t>LT</w:t>
    </w:r>
    <w:r w:rsidRPr="00CD3F77">
      <w:tab/>
    </w:r>
    <w:r w:rsidRPr="00CD3F77">
      <w:rPr>
        <w:b w:val="0"/>
        <w:i/>
        <w:color w:val="C0C0C0"/>
        <w:sz w:val="22"/>
      </w:rPr>
      <w:t>Suvienijusi įvairovę</w:t>
    </w:r>
    <w:r w:rsidRPr="00CD3F77">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7E4" w:rsidRPr="00CD3F77" w:rsidRDefault="009517E4">
      <w:r w:rsidRPr="00CD3F77">
        <w:separator/>
      </w:r>
    </w:p>
  </w:footnote>
  <w:footnote w:type="continuationSeparator" w:id="0">
    <w:p w:rsidR="009517E4" w:rsidRPr="00CD3F77" w:rsidRDefault="009517E4">
      <w:r w:rsidRPr="00CD3F7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9EC" w:rsidRDefault="00E13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9EC" w:rsidRDefault="00E13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9EC" w:rsidRDefault="00E139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4"/>
    <w:docVar w:name="TXTLANGUE" w:val="LT"/>
    <w:docVar w:name="TXTLANGUEMIN" w:val="lt"/>
    <w:docVar w:name="TXTNRPE" w:val="768.085"/>
    <w:docVar w:name="TXTPEorAP" w:val="PE"/>
    <w:docVar w:name="TXTROUTE" w:val="AM\1314304LT.docx"/>
    <w:docVar w:name="TXTVERSION" w:val="01-00"/>
  </w:docVars>
  <w:rsids>
    <w:rsidRoot w:val="00A77B3E"/>
    <w:rsid w:val="00172F57"/>
    <w:rsid w:val="00272C43"/>
    <w:rsid w:val="003238E6"/>
    <w:rsid w:val="008B3AAB"/>
    <w:rsid w:val="009517E4"/>
    <w:rsid w:val="00A77B3E"/>
    <w:rsid w:val="00CA2A55"/>
    <w:rsid w:val="00CD3F77"/>
    <w:rsid w:val="00CF6155"/>
    <w:rsid w:val="00D45F2C"/>
    <w:rsid w:val="00D50C1F"/>
    <w:rsid w:val="00E139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EFCC95C"/>
  <w15:docId w15:val="{E3D28F05-D0C1-4BC0-AECB-7C9C0639C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72F57"/>
    <w:pPr>
      <w:tabs>
        <w:tab w:val="center" w:pos="4819"/>
        <w:tab w:val="right" w:pos="9638"/>
      </w:tabs>
    </w:pPr>
  </w:style>
  <w:style w:type="character" w:customStyle="1" w:styleId="HeaderChar">
    <w:name w:val="Header Char"/>
    <w:basedOn w:val="DefaultParagraphFont"/>
    <w:link w:val="Header"/>
    <w:rsid w:val="00172F57"/>
    <w:rPr>
      <w:sz w:val="24"/>
      <w:szCs w:val="24"/>
    </w:rPr>
  </w:style>
  <w:style w:type="paragraph" w:styleId="Footer">
    <w:name w:val="footer"/>
    <w:basedOn w:val="Normal"/>
    <w:link w:val="FooterChar"/>
    <w:semiHidden/>
    <w:unhideWhenUsed/>
    <w:rsid w:val="009517E4"/>
    <w:pPr>
      <w:tabs>
        <w:tab w:val="center" w:pos="4819"/>
        <w:tab w:val="right" w:pos="9638"/>
      </w:tabs>
    </w:pPr>
  </w:style>
  <w:style w:type="character" w:customStyle="1" w:styleId="FooterChar">
    <w:name w:val="Footer Char"/>
    <w:basedOn w:val="DefaultParagraphFont"/>
    <w:link w:val="Footer"/>
    <w:semiHidden/>
    <w:rsid w:val="009517E4"/>
    <w:rPr>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171</Pages>
  <Words>29330</Words>
  <Characters>209189</Characters>
  <Application>Microsoft Office Word</Application>
  <DocSecurity>0</DocSecurity>
  <Lines>8748</Lines>
  <Paragraphs>2889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236007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2025-02-17T11:05:00Z</dcterms:created>
  <dcterms:modified xsi:type="dcterms:W3CDTF">2025-02-17T11:05:00Z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1314304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120166</vt:lpwstr>
  </property>
  <property fmtid="{D5CDD505-2E9C-101B-9397-08002B2CF9AE}" pid="7" name="dmxml.render.traceId">
    <vt:lpwstr>67a0a6ead849a9ee9df61bf7d5facf9b</vt:lpwstr>
  </property>
  <property fmtid="{D5CDD505-2E9C-101B-9397-08002B2CF9AE}" pid="8" name="FooterPath">
    <vt:lpwstr>AM\1314304LT.docx</vt:lpwstr>
  </property>
  <property fmtid="{D5CDD505-2E9C-101B-9397-08002B2CF9AE}" pid="9" name="PE Number">
    <vt:lpwstr>768.085</vt:lpwstr>
  </property>
  <property fmtid="{D5CDD505-2E9C-101B-9397-08002B2CF9AE}" pid="10" name="UID">
    <vt:lpwstr>eu.europa.europarl-DIN1-2025-0000013585_02.00-xm-01.00_text-xml</vt:lpwstr>
  </property>
  <property fmtid="{D5CDD505-2E9C-101B-9397-08002B2CF9AE}" pid="11" name="LastEdited with">
    <vt:lpwstr>10.0.1 Build [20250114]</vt:lpwstr>
  </property>
  <property fmtid="{D5CDD505-2E9C-101B-9397-08002B2CF9AE}" pid="12" name="Bookout">
    <vt:lpwstr>OK - 2025/02/17 12:03</vt:lpwstr>
  </property>
</Properties>
</file>