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Komisja Gospodarcza i Monetarna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2024/2079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{03/02/2025}</w:t>
      </w:r>
      <w:r>
        <w:t>3.2.2025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POPRAWKI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326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Lara Wolters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(PE765.240v01-00)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Polityka konkurencji – sprawozdanie roczne za 2024 r.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(2024/2079(INI))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art. 11 TFUE, który nakazuje włączenie ochrony środowiska do wszystkich polityk UE w celu wspierania zrównoważonego rozwoju,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komunikat Komisji nr 62/2023 z lutego 2023 r. pt. „Plan przemysłowy Zielonego Ładu na miarę epoki neutralności emisyjnej”,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b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cel polegający na osiągnięciu neutralności klimatycznej do 2050 r. zawarty w rozporządzeniu Parlamentu Europejskiego i Rady (UE) 2021/1119 z dnia 30 czerwca 2021 r. w sprawie ustanowienia ram na potrzeby osiągnięcia neutralności klimatycznej i zmiany rozporządzeń (WE) nr 401/2009 i (UE) 2018/1999,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b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komunikat Komisji nr 98/2020 z marca 2020 r. pt.: „Nowy plan działania UE dotyczący gospodarki o obiegu zamkniętym na rzecz czystszej i bardziej konkurencyjnej Europy”,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c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art. 3 decyzji Parlamentu Europejskiego i Rady (UE) 2022/591 z dnia 6 kwietnia 2022 r. w sprawie ogólnego unijnego programu działań w zakresie środowiska do 2030 r., zgodnie z którym dotacje o skutkach szkodliwych dla środowiska, w szczególności dopłaty do paliw kopalnych, są niezwłocznie wycofywane,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c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komunikat Komisji nr 21/202 ze stycznia 2020 r. pt. „Plan inwestycyjny na rzecz zrównoważonej Europy – Plan inwestycyjny na rzecz Europejskiego Zielonego Ładu”,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d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kluczowe zalecenia 4 i 5 zawarte w sprawozdaniu oceniającym z 2024 r. europejskiego naukowego komitetu doradczego ds. zmiany klimatu,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uwzględniając wyroki Trybunału Sprawiedliwości Unii Europejskiej z 22 września 2022 r. w sprawie C-611/22 P (Illumina/Komisja)</w:t>
            </w:r>
            <w:r>
              <w:rPr>
                <w:vertAlign w:val="superscript"/>
              </w:rPr>
              <w:t>2</w:t>
            </w:r>
            <w:r>
              <w:t>, z 10 września w sprawie C-465/20 P (Komisja Europejska/Irlandia i Apple Sales International)</w:t>
            </w:r>
            <w:r>
              <w:rPr>
                <w:vertAlign w:val="superscript"/>
              </w:rPr>
              <w:t>3</w:t>
            </w:r>
            <w:r>
              <w:t>oraz z 10 września 2024 r. w sprawie C-48/22 P (Google i Alphabet/Komisja)</w:t>
            </w:r>
            <w:r>
              <w:rPr>
                <w:vertAlign w:val="superscript"/>
              </w:rPr>
              <w:t>4</w:t>
            </w:r>
            <w: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uwzględniając wyroki Trybunału Sprawiedliwości Unii Europejskiej z 22 września 2022 r. w sprawie C-611/22 P (Illumina/Komisja)</w:t>
            </w:r>
            <w:r>
              <w:rPr>
                <w:vertAlign w:val="superscript"/>
              </w:rPr>
              <w:t>2</w:t>
            </w:r>
            <w:r>
              <w:t>, z 10 września w sprawie C-465/20 P (Komisja Europejska/Irlandia i Apple Sales International)</w:t>
            </w:r>
            <w:r>
              <w:rPr>
                <w:vertAlign w:val="superscript"/>
              </w:rPr>
              <w:t>3</w:t>
            </w:r>
            <w:r>
              <w:t xml:space="preserve"> oraz z 10 września 2024 r. w sprawie C-48/22 P (Google i Alphabet/Komisja)</w:t>
            </w: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rPr>
                <w:b/>
                <w:i/>
              </w:rPr>
              <w:t>oraz w sprawie COMP/M.6166 (Deutsche Börse/ NYSE Euronext)</w:t>
            </w:r>
            <w:r>
              <w:rPr>
                <w:b/>
                <w:i/>
                <w:vertAlign w:val="superscript"/>
              </w:rPr>
              <w:t>4a</w:t>
            </w:r>
            <w: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Odwołanie od wyroku Sądu wydanego 13 lipca 2022 r. w sprawie 62021TJ0227, Illumina/Komisja, Dz.U. C 432 z 14.11.2022 s. 13, wniesione 22 września 2022 r. przez Illumina, Inc.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 xml:space="preserve">Odwołanie od wyroku Sądu wydanego 13 lipca 2022 r. w sprawie 62021TJ0227, Illumina/Komisja, Dz.U. C 432 z 14.11.2022 s. 13, wniesione 22 września 2022 r. przez Illumina, Inc. </w:t>
            </w:r>
            <w:r>
              <w:rPr>
                <w:b/>
                <w:i/>
              </w:rP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Wyrok Sądu z 10 września 2024 r., Komisja Europejska/Irlandia i Apple Sales International, 62020CJ0465, ECLI:EU:C:2024:724.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Wyrok Sądu z 10 września 2024 r., Komisja Europejska/Irlandia i Apple Sales International, 62020CJ0465, ECLI:EU:C:2024:724.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Wyrok Trybunału Sprawiedliwości z 10 września 2024 r. w sprawie Google LLC i Alphabet Inc./Komisja Europejska, 62022CJ0048, ECLI:EU:C:2024:726.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Wyrok Trybunału Sprawiedliwości z 10 września 2024 r. w sprawie Google LLC i Alphabet Inc./Komisja Europejska, 62022CJ0048, ECLI:EU:C:2024:726.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Decyzja Komisji z dnia 1 lutego 2012 r. skierowana do Deutsche Börse i NYSE Euronext, M.6166.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9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badanie Departamentu Tematycznego ds. Polityki Strukturalnej i Polityki Spójności Parlamentu Europejskiego pt. "Rola podmiotów handlujących towarami w kształtowaniu rynków rolnych", opublikowane w listopadzie 2024 r.,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9 b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dokument Komisji Europejskiej w sprawie połączeń konkurencji, wydanie 4, listopad 2024 r.,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mając na uwadze, że trudny kontekst geopolityczny wymaga nowego podejścia do europejskiej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mając na uwadze, że trudny kontekst geopolityczny</w:t>
            </w:r>
            <w:r>
              <w:rPr>
                <w:b/>
                <w:i/>
              </w:rPr>
              <w:t>, charakteryzujący się brakiem w UE przedsiębiorstw wystarczającej wielkości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  <w:r>
              <w:t xml:space="preserve"> wymaga nowego podejścia do europejskiej konkurencyjności;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Przyszłość europejskiej konkurencyjności. Część B</w:t>
            </w:r>
            <w:r>
              <w:t xml:space="preserve"> </w:t>
            </w:r>
            <w:r>
              <w:rPr>
                <w:b/>
                <w:i/>
              </w:rPr>
              <w:t>| Szczegółowa analiza i zalecenia, rozdział 4 – Reorganizacja konkurencji, s. 298.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</w:t>
            </w:r>
            <w:r>
              <w:rPr>
                <w:b/>
                <w:i/>
              </w:rPr>
              <w:t>trudny</w:t>
            </w:r>
            <w:r>
              <w:t xml:space="preserve"> kontekst geopolityczny wymaga nowego podejścia do europejskiej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</w:t>
            </w:r>
            <w:r>
              <w:rPr>
                <w:b/>
                <w:i/>
              </w:rPr>
              <w:t>obecny</w:t>
            </w:r>
            <w:r>
              <w:t xml:space="preserve"> kontekst geopolityczny </w:t>
            </w:r>
            <w:r>
              <w:rPr>
                <w:b/>
                <w:i/>
              </w:rPr>
              <w:t>w połączeniu z niektórymi decyzjami podjętymi na szczeblu europejskim, które negatywnie odbiły się na gospodarce strefy euro,</w:t>
            </w:r>
            <w:r>
              <w:t xml:space="preserve"> wymaga nowego podejścia do europejskiej konkurencyjności;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mając na uwadze, że trudny kontekst geopolityczny wymaga nowego podejścia do europejskiej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mając na uwadze, że trudny kontekst geopolityczny</w:t>
            </w:r>
            <w:r>
              <w:rPr>
                <w:b/>
                <w:i/>
              </w:rPr>
              <w:t>, charakteryzujący się niepewnością i nieprzewidywalnością,</w:t>
            </w:r>
            <w:r>
              <w:t xml:space="preserve"> wymaga nowego podejścia do europejskiej konkurencyjności </w:t>
            </w:r>
            <w:r>
              <w:rPr>
                <w:b/>
                <w:i/>
              </w:rPr>
              <w:t>i konkretnych strategii na rzecz pobudzenia wzrostu gospodarczego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mając na uwadze, że trudny kontekst geopolityczny wymaga nowego podejścia do europejskiej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mając na uwadze, że trudny kontekst geopolityczny</w:t>
            </w:r>
            <w:r>
              <w:rPr>
                <w:b/>
                <w:i/>
              </w:rPr>
              <w:t>, brak wzrostu gospodarczego i niska wydajność</w:t>
            </w:r>
            <w:r>
              <w:t xml:space="preserve"> wymaga nowego podejścia do europejskiej konkurencyjności;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trudny kontekst geopolityczny </w:t>
            </w:r>
            <w:r>
              <w:rPr>
                <w:b/>
                <w:i/>
              </w:rPr>
              <w:t>wymaga</w:t>
            </w:r>
            <w:r>
              <w:t xml:space="preserve"> nowego podejścia do europejskiej konkurencyjności;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trudny kontekst </w:t>
            </w:r>
            <w:r>
              <w:rPr>
                <w:b/>
                <w:i/>
              </w:rPr>
              <w:t>gospodarczy i</w:t>
            </w:r>
            <w:r>
              <w:t xml:space="preserve"> geopolityczny </w:t>
            </w:r>
            <w:r>
              <w:rPr>
                <w:b/>
                <w:i/>
              </w:rPr>
              <w:t>oraz kryzys klimatyczny wymagają</w:t>
            </w:r>
            <w:r>
              <w:t xml:space="preserve"> nowego podejścia do europejskiej konkurencyjności;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mając na uwadze, że uczciwa i otwarta konkurencja jest zasadniczym elementem prawidłowego funkcjonowania rynku wewnętrznego, wzrostu gospodarczego, innowacji, tworzenia miejsc pracy i ochrony konsumentów;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mając na uwadze, że coraz większe wyzwania związane ze zmianą klimatu i rosnącym zagrożeniem dla różnorodności biologicznej wymagają głębokiej zmiany polityki przemysłowej i sposobu tworzenia konkurencyjności;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mając na uwadze, że właściwe stosowanie unijnych przepisów o konkurencji powoduje obniżenie cen, poprawę jakości i szybszy wzrost innowacyjności oraz uodparnia gospodarkę;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mając na uwadze, że właściwe stosowanie unijnych przepisów o konkurencji powoduje obniżenie cen, poprawę jakości i szybszy wzrost innowacyjności oraz uodparnia gospodarkę;</w:t>
            </w:r>
            <w:r>
              <w:rPr>
                <w:b/>
                <w:i/>
              </w:rPr>
              <w:t> mając na uwadze, że cele te osiąga się, wzmacniając wolny rynek, który zapewnia skuteczną konkurencję, gdyż znosi bariery we wchodzeniu na rynek, wspiera innowacje i pozwala na efektywną alokację zasobów stosownie do sygnałów podaży i popytu, oraz mając na uwadze, że ramy polityki konkurencji muszą chronić równe warunki działania dla podmiotów gospodarczych na rynku oraz zwalczać nadużywanie pozycji dominującej, monopole i praktyki antykonkurencyjne mogące zakłócać funkcjonowanie rynku wewnętrznego;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mając na uwadze, że właściwe stosowanie unijnych przepisów o konkurencji powoduje obniżenie cen, poprawę jakości i szybszy wzrost innowacyjności oraz uodparnia gospodarkę;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mając na uwadze, że właściwe stosowanie unijnych przepisów o konkurencji </w:t>
            </w:r>
            <w:r>
              <w:rPr>
                <w:b/>
                <w:i/>
              </w:rPr>
              <w:t>w dziedzinach, które nie należą do suwerennej domeny państwa, </w:t>
            </w:r>
            <w:r>
              <w:t>powoduje obniżenie cen, poprawę jakości i szybszy wzrost innowacyjności oraz uodparnia gospodarkę</w:t>
            </w:r>
            <w:r>
              <w:rPr>
                <w:b/>
                <w:i/>
              </w:rPr>
              <w:t>, pozwalając na długoterminowe prosperowanie sektorów przemysłowych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mając na uwadze</w:t>
            </w:r>
            <w:r>
              <w:rPr>
                <w:b/>
                <w:i/>
              </w:rPr>
              <w:t>, że właściwe stosowanie unijnych przepisów o konkurencji powoduje obniżenie cen, poprawę jakości i szybszy wzrost innowacyjności oraz uodparnia gospodarkę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mając na uwadze </w:t>
            </w:r>
            <w:r>
              <w:rPr>
                <w:b/>
                <w:i/>
              </w:rPr>
              <w:t>konieczność wywołania impulsu przemysłowego w Europie, aby nadrobić nagromadzone zaległości w stosunku do konkurentów spoza Europy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mając na uwadze, że właściwe stosowanie unijnych przepisów o konkurencji powoduje obniżenie cen, poprawę jakości </w:t>
            </w:r>
            <w:r>
              <w:rPr>
                <w:b/>
                <w:i/>
              </w:rPr>
              <w:t>i szybszy wzrost innowacyjności oraz uodparnia</w:t>
            </w:r>
            <w:r>
              <w:t xml:space="preserve"> gospodarkę;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mając na uwadze, że właściwe stosowanie unijnych przepisów o konkurencji powoduje obniżenie cen, </w:t>
            </w:r>
            <w:r>
              <w:rPr>
                <w:b/>
                <w:i/>
              </w:rPr>
              <w:t>zwiększenie płac,</w:t>
            </w:r>
            <w:r>
              <w:t xml:space="preserve"> poprawę jakości </w:t>
            </w:r>
            <w:r>
              <w:rPr>
                <w:b/>
                <w:i/>
              </w:rPr>
              <w:t>towarów i usług, lepszą innowacyjność oraz tworzy sprawiedliwszą i odporniejszą</w:t>
            </w:r>
            <w:r>
              <w:t xml:space="preserve"> gospodarkę;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mając na uwadze, że właściwe stosowanie unijnych przepisów o konkurencji powoduje obniżenie cen, poprawę jakości i szybszy wzrost innowacyjności oraz uodparnia gospodarkę;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mając na uwadze, że właściwe stosowanie unijnych przepisów o konkurencji powoduje obniżenie cen, poprawę jakości</w:t>
            </w:r>
            <w:r>
              <w:rPr>
                <w:b/>
                <w:i/>
              </w:rPr>
              <w:t>, większy wybór dla konsumentów</w:t>
            </w:r>
            <w:r>
              <w:t xml:space="preserve"> i szybszy wzrost innowacyjności oraz uodparnia gospodarkę;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brak integracji UE w sektorach finansowym, energetycznym i łączności elektronicznej jest główną przyczyną spadku konkurencyjności</w:t>
            </w: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Europy;</w:t>
            </w:r>
            <w:r>
              <w:t xml:space="preserve"> </w:t>
            </w:r>
            <w:r>
              <w:rPr>
                <w:b/>
                <w:i/>
              </w:rPr>
              <w:t>mając na uwadze, że właściwa integracja jednolitego rynku UE w tych obszarach znacznie zwiększyłaby rynek istotny z punktu widzenia konkurencji;</w:t>
            </w:r>
            <w:r>
              <w:t xml:space="preserve"> </w:t>
            </w:r>
            <w:r>
              <w:rPr>
                <w:b/>
                <w:i/>
              </w:rPr>
              <w:t>mając na uwadze, że większy istotny rynek daje przedsiębiorstwom większe możliwości zwiększania skali, aby mogły konkurować w skali globalnej, a jednocześnie wzmacnia konkurencję na jednolitym rynku z korzyścią dla konsumentów;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O wiele więcej niż rynek:</w:t>
            </w:r>
            <w:r>
              <w:t xml:space="preserve"> </w:t>
            </w:r>
            <w:r>
              <w:rPr>
                <w:b/>
                <w:i/>
              </w:rPr>
              <w:t>Wizja przyszłości Europy.</w:t>
            </w:r>
            <w:r>
              <w:t xml:space="preserve"> </w:t>
            </w:r>
            <w:r>
              <w:rPr>
                <w:b/>
                <w:i/>
              </w:rPr>
              <w:t>Enrico Letta, s. 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zaangażowanie nowej administracji USA na rzecz nowego impulsu dla wydobycia energii ze źródeł kopalnych i „obfitości energetycznej” podkreśla pilną potrzebę i pośpiech w przeprowadzeniu zielonej transformacji energetycznej UE, jak podkreślił Mario Draghi, aby przedsiębiorstwa europejskie mogły konkurować z amerykańskimi odpowiednikami;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w sprawozdaniu Draghiego podkreślono, że UE posiada szeroką i zdywersyfikowaną bazę innowacji przemysłowych, z silną przewagą komparatywną w zakresie zielonych technologii, ale aby utrzymać tę przewagę, konieczne są nieustające wysiłki;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polityka konkurencji mogłaby przyczynić się do wzmocnienia odporności rynku wewnętrznego, a także do osiągnięcia celów Europejskiego Zielonego Ładu, cyfrowego kompasu i kompasu konkurencyjności;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Komisja i krajowe organy ochrony konkurencji muszą działać w sposób bezstronny i obiektywny, aby zachować wiarygodność polityki konkurencji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ekologizacja polityki konkurencji jest główną siłą napędową dobrobytu i długoterminowej konkurencyjności Europy;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mając na uwadze, że międzynarodowa wymiana i współpraca mają zasadnicze znaczenie dla osiągnięcia w skali globalnej konkurencyjnych równych warunków działania oraz sprostania wyzwaniom związanym z dwojaką transformacją – ekologiczną i cyfrową – w skoordynowany sposób;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mając na uwadze, że niezależność polityczna krajowych organów ochrony konkurencji ma ogromne znaczenie dla zapewnienia bezstronności i wiarygodności polityki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mając na uwadze, że długoterminowa konkurencyjność i odporność UE wymaga włączenia kwestii klimatycznych i środowiskowych do ram polityki konkurencji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Śródtytuł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uważa, że polityka konkurencji odgrywa nadrzędną rolę w rozwoju i wzroście przedsiębiorstw, zwłaszcza MŚP, na jednolitym rynku;</w:t>
            </w:r>
            <w:r>
              <w:t xml:space="preserve"> </w:t>
            </w:r>
            <w:r>
              <w:rPr>
                <w:b/>
                <w:i/>
              </w:rPr>
              <w:t>przypomina ponadto, że pełny rozwój przedsiębiorstw zależy od usunięcia barier we wchodzeniu na rynek, zwalczania praktyk antykonkurencyjnych, takich jak monopole czy kartele, oraz zapewnienia równych warunków działania wszystkim podmiotom gospodarczym;</w:t>
            </w:r>
            <w:r>
              <w:t xml:space="preserve"> </w:t>
            </w:r>
            <w:r>
              <w:rPr>
                <w:b/>
                <w:i/>
              </w:rPr>
              <w:t>podkreśla, że skuteczna polityka konkurencji musi unikać nadmiernych regulacji i nieproporcjonalnych obciążeń administracyjnych, zachęcać do innowacji i umożliwiać przedsiębiorstwom maksymalne czerpanie z korzyści i możliwości oferowanych przez wolny rynek;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uważa, że unijna polityka konkurencji chroni przed koncentracją i kumulowaniem kontroli nad rynkiem oraz potwierdza rolę tej polityki w ochronie konsumentów;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uważa, że unijna polityka konkurencji chroni przed koncentracją i kumulowaniem kontroli nad rynkiem</w:t>
            </w:r>
            <w:r>
              <w:rPr>
                <w:b/>
                <w:i/>
              </w:rPr>
              <w:t>,</w:t>
            </w:r>
            <w:r>
              <w:t xml:space="preserve"> oraz potwierdza rolę tej polityki w ochronie konsumentów; </w:t>
            </w:r>
            <w:r>
              <w:rPr>
                <w:b/>
                <w:i/>
              </w:rPr>
              <w:t>podkreśla, że ochronę konsumentów trzeba osiągać przez stworzenie rynku zachęcającego do wchodzenia na rynek nowych konkurentów, do innowacji i efektywności gospodarczej oraz przez unikanie praktyk stanowiących nadużycie, które ograniczają podaż, zawyżają ceny lub obniżają jakość produktów;</w:t>
            </w:r>
            <w:r>
              <w:t xml:space="preserve"> </w:t>
            </w:r>
            <w:r>
              <w:rPr>
                <w:b/>
                <w:i/>
              </w:rPr>
              <w:t>podkreśla, że polityka konkurencji powinna przeciwdziałać praktykom antykonkurencyjnym, a unikać nieproporcjonalnych regulacji lub interwencji mogących zakłócać swobodne funkcjonowanie rynku lub zniechęcać do rozwoju przedsiębiorstw i innowacji;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uważa, że unijna polityka konkurencji chroni przed koncentracją i kumulowaniem kontroli nad rynkiem oraz potwierdza rolę tej polityki w ochronie konsumentów;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unijna polityka konkurencji chroni przed koncentracją i kumulowaniem kontroli nad rynkiem oraz potwierdza rolę tej polityki w ochronie konsumentów; </w:t>
            </w:r>
            <w:r>
              <w:rPr>
                <w:b/>
                <w:i/>
              </w:rPr>
              <w:t>zapewniając, że rynki pozostaną konkurencyjne i wydajne, dynamiczne i innowacyjne, dostarczając wysokiej jakości produkty i usługi po uczciwych cenach i z rozsądnymi marżami zysku;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uważa, że unijna polityka konkurencji chroni przed koncentracją i kumulowaniem kontroli nad rynkiem oraz potwierdza rolę tej polityki w ochronie konsumentów;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uważa, że unijna polityka konkurencji chroni przed koncentracją i kumulowaniem kontroli nad rynkiem oraz potwierdza rolę tej polityki w ochronie konsumentów</w:t>
            </w:r>
            <w:r>
              <w:rPr>
                <w:b/>
                <w:i/>
              </w:rPr>
              <w:t>, zwiększaniu skuteczności i innowacji oraz obniżaniu cen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Aleksandar Nikolic,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unijna polityka konkurencji chroni przed koncentracją i kumulowaniem kontroli nad rynkiem </w:t>
            </w:r>
            <w:r>
              <w:rPr>
                <w:b/>
                <w:i/>
              </w:rPr>
              <w:t>oraz potwierdza rolę tej polityki w ochronie konsumentów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uważa, że unijna polityka konkurencji chroni przed koncentracją i kumulowaniem kontroli nad rynkiem</w:t>
            </w:r>
            <w:r>
              <w:rPr>
                <w:b/>
                <w:i/>
              </w:rPr>
              <w:t>, podkreślając, że nie można utrudniać działalności większym podmiotom, które mogą rywalizować z pozaunijnymi siłami zewnętrznymi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uważa, że unijna polityka konkurencji chroni przed koncentracją i kumulowaniem kontroli nad rynkiem oraz potwierdza rolę tej polityki w ochronie konsumentów;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unijna polityka konkurencji chroni przed koncentracją i kumulowaniem kontroli nad rynkiem oraz potwierdza rolę tej polityki w ochronie konsumentów </w:t>
            </w:r>
            <w:r>
              <w:rPr>
                <w:b/>
                <w:i/>
              </w:rPr>
              <w:t>oraz równość szans na rynku wewnętrznym</w:t>
            </w:r>
            <w:r>
              <w:rPr>
                <w:b/>
                <w:i/>
                <w:vertAlign w:val="superscript"/>
              </w:rPr>
              <w:t>3a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O wiele więcej niż rynek:</w:t>
            </w:r>
            <w:r>
              <w:t xml:space="preserve"> </w:t>
            </w:r>
            <w:r>
              <w:rPr>
                <w:b/>
                <w:i/>
              </w:rPr>
              <w:t>Wizja przyszłości Europy.</w:t>
            </w:r>
            <w:r>
              <w:t xml:space="preserve"> </w:t>
            </w:r>
            <w:r>
              <w:rPr>
                <w:b/>
                <w:i/>
              </w:rPr>
              <w:t>Enrico Letta, s. 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</w:t>
            </w:r>
            <w:r>
              <w:rPr>
                <w:b/>
                <w:i/>
              </w:rPr>
              <w:t>unijna</w:t>
            </w:r>
            <w:r>
              <w:t xml:space="preserve"> polityka konkurencji chroni przed </w:t>
            </w:r>
            <w:r>
              <w:rPr>
                <w:b/>
                <w:i/>
              </w:rPr>
              <w:t>koncentracją i kumulowaniem kontroli nad rynkiem</w:t>
            </w:r>
            <w:r>
              <w:t xml:space="preserve"> oraz potwierdza rolę </w:t>
            </w:r>
            <w:r>
              <w:rPr>
                <w:b/>
                <w:i/>
              </w:rPr>
              <w:t>tej polityki w ochronie konsumentów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polityka konkurencji </w:t>
            </w:r>
            <w:r>
              <w:rPr>
                <w:b/>
                <w:i/>
              </w:rPr>
              <w:t>UE</w:t>
            </w:r>
            <w:r>
              <w:t xml:space="preserve"> chroni przed </w:t>
            </w:r>
            <w:r>
              <w:rPr>
                <w:b/>
                <w:i/>
              </w:rPr>
              <w:t>nadmiernymi poziomami koncentracji i akumulacji władzy rynkowej,</w:t>
            </w:r>
            <w:r>
              <w:t xml:space="preserve"> oraz potwierdza rolę </w:t>
            </w:r>
            <w:r>
              <w:rPr>
                <w:b/>
                <w:i/>
              </w:rPr>
              <w:t>polityki konkurencji w przynoszeniu korzyści konsumentom dzięki niższym cenom i szerszemu wyborowi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unijna polityka konkurencji </w:t>
            </w:r>
            <w:r>
              <w:rPr>
                <w:b/>
                <w:i/>
              </w:rPr>
              <w:t>chroni</w:t>
            </w:r>
            <w:r>
              <w:t xml:space="preserve"> przed koncentracją i kumulowaniem kontroli nad rynkiem oraz potwierdza rolę tej polityki w ochronie konsumentów;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unijna polityka konkurencji </w:t>
            </w:r>
            <w:r>
              <w:rPr>
                <w:b/>
                <w:i/>
              </w:rPr>
              <w:t>powinna promować innowacje, dynamikę oraz wzrost, a także chronić</w:t>
            </w:r>
            <w:r>
              <w:t xml:space="preserve"> przed koncentracją i kumulowaniem kontroli nad rynkiem oraz potwierdza rolę tej polityki w ochronie konsumentów;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unijna polityka konkurencji </w:t>
            </w:r>
            <w:r>
              <w:rPr>
                <w:b/>
                <w:i/>
              </w:rPr>
              <w:t>chroni</w:t>
            </w:r>
            <w:r>
              <w:t xml:space="preserve"> przed koncentracją i kumulowaniem kontroli nad rynkiem oraz potwierdza rolę tej polityki w ochronie konsumentów;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uważa, że unijna polityka konkurencji </w:t>
            </w:r>
            <w:r>
              <w:rPr>
                <w:b/>
                <w:i/>
              </w:rPr>
              <w:t>stara się chronić</w:t>
            </w:r>
            <w:r>
              <w:t xml:space="preserve"> przed koncentracją i kumulowaniem kontroli nad rynkiem oraz potwierdza rolę tej polityki w ochronie konsumentów;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ostrzega, że wpływ polityczny wywierany na rządy i wybory przez duże amerykańskie firmy technologiczne i ich prezesów pokazuje zagrożenia, jakie nadmierna władza korporacyjna stwarza dla demokracji;</w:t>
            </w:r>
            <w:r>
              <w:t xml:space="preserve"> </w:t>
            </w:r>
            <w:r>
              <w:rPr>
                <w:b/>
                <w:i/>
              </w:rPr>
              <w:t>wzywa do prowadzenia polityki antymonopolowej w celu odwrócenia obecnej tendencji do coraz większej koncentracji rynku, monopolizacji i oligopolizacji oraz do obrony demokracji i obywateli przed skutkami nadmiernej władzy korporacyjnej;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podkreśla znaczenie solidnej i spójnej polityki konkurencji, która promuje uczciwą konkurencję, zapobiega praktykom antykonkurencyjnym i zapewnia skuteczne funkcjonowanie europejskiego rynku wewnętrznego z korzyścią dla przedsiębiorstw i konsumentów;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uważa, że niewspółmierne sięganie po pomoc państwa może podważać prawidłowe funkcjonowanie jednolitego rynku i rozwój gospodarki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przypomina, że polityka konkurencji powinna przyczyniać się do realizacji wszystkich strategii politycznych UE, zwłaszcza w dziedzinie środowiska i cyfryzacji;</w:t>
            </w:r>
            <w:r>
              <w:t xml:space="preserve"> </w:t>
            </w:r>
            <w:r>
              <w:rPr>
                <w:b/>
                <w:i/>
              </w:rPr>
              <w:t>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</w:t>
            </w:r>
            <w:r>
              <w:rPr>
                <w:b/>
                <w:i/>
              </w:rPr>
              <w:t>przyczyniać się do realizacji wszystkich strategii politycznych UE, zwłaszcza w dziedzinie środowiska i cyfryzacji;</w:t>
            </w:r>
            <w:r>
              <w:t xml:space="preserve"> </w:t>
            </w:r>
            <w:r>
              <w:rPr>
                <w:b/>
                <w:i/>
              </w:rPr>
              <w:t>jest zadowolony, że Komisja zobowiązała się do ustanowienia nowych ram</w:t>
            </w:r>
            <w:r>
              <w:t xml:space="preserve"> pomocy państwa, które </w:t>
            </w:r>
            <w:r>
              <w:rPr>
                <w:b/>
                <w:i/>
              </w:rPr>
              <w:t>będą towarzyszyć Czystemu Ładowi Przemysłowemu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</w:t>
            </w:r>
            <w:r>
              <w:rPr>
                <w:b/>
                <w:i/>
              </w:rPr>
              <w:t>koncentrować się na swoim głównym celu określonym w traktatach;</w:t>
            </w:r>
            <w:r>
              <w:t xml:space="preserve"> </w:t>
            </w:r>
            <w:r>
              <w:rPr>
                <w:b/>
                <w:i/>
              </w:rPr>
              <w:t>z głębokim zaniepokojeniem odnotowuje ustalenia</w:t>
            </w: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Europejskiego Trybunału Obrachunkowego, zgodnie z którymi istnieje ryzyko, że nawet tymczasowe odstępstwa od ram pomocy państwa mogą mieć długoterminowy wpływ na konkurencję na rynku wewnętrznym oraz że „istnieje również ryzyko, że państwa członkowskie będą korzystały z ram kryzysowych i przejściowych lub innych przyszłych ram w celu przyciągnięcia inwestycji z państw członkowskich, które nie udzielają pomocy;</w:t>
            </w:r>
            <w:r>
              <w:t xml:space="preserve"> </w:t>
            </w:r>
            <w:r>
              <w:rPr>
                <w:b/>
                <w:i/>
              </w:rPr>
              <w:t>wzywa Komisję do całkowitego wycofania ram kryzysowych i przejściowych, ponieważ nie oceniła odpowiednio ich konieczności ani nie oceniła ryzyka zakłóceń na rynku wewnętrznym wynikających z coraz bardziej zróżnicowanego podejścia państw członkowskich do przyznawania</w:t>
            </w:r>
            <w:r>
              <w:t xml:space="preserve"> pomocy państwa </w:t>
            </w:r>
            <w:r>
              <w:rPr>
                <w:b/>
                <w:i/>
              </w:rPr>
              <w:t>za pośrednictwem tych ram, co podważa równe warunki działania i skuteczność polityki konkurencji</w:t>
            </w:r>
            <w:r>
              <w:t xml:space="preserve">, które </w:t>
            </w:r>
            <w:r>
              <w:rPr>
                <w:b/>
                <w:i/>
              </w:rPr>
              <w:t>mają zasadnicze znaczenie dla zapewnienia wszystkim Europejczykom najlepszych produktów po najbardziej konkurencyjnych cenach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Sprawozdanie specjalne nr 21/2024:</w:t>
            </w:r>
            <w:r>
              <w:t xml:space="preserve"> </w:t>
            </w:r>
            <w:r>
              <w:rPr>
                <w:b/>
                <w:i/>
              </w:rPr>
              <w:t>Pomoc państwa w czasach kryzysu – Szybka reakcja, ale niedociągnięcia w monitorowaniu przez Komisję i niespójności w ramach wspierania celów polityki przemysłowej UE, s. 46–50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środowiska </w:t>
            </w:r>
            <w:r>
              <w:rPr>
                <w:b/>
                <w:i/>
              </w:rPr>
              <w:t>i cyfryzacji</w:t>
            </w:r>
            <w:r>
              <w:t>; 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przypomina, że polityka konkurencji powinna przyczyniać się do realizacji wszystkich strategii politycznych UE, zwłaszcza w dziedzinie środowiska</w:t>
            </w:r>
            <w:r>
              <w:rPr>
                <w:b/>
                <w:i/>
              </w:rPr>
              <w:t>, cyfryzacji, obrony i rolnictwa</w:t>
            </w:r>
            <w:r>
              <w:t xml:space="preserve">; jest zadowolony, że Komisja zobowiązała się do ustanowienia nowych ram pomocy państwa, które będą towarzyszyć Czystemu Ładowi Przemysłowemu </w:t>
            </w:r>
            <w:r>
              <w:rPr>
                <w:b/>
                <w:i/>
              </w:rPr>
              <w:t>poprzez umożliwienie państwom członkowskim UE przyznawania pomocy państwa na przyspieszenie wprowadzania energii ze źródeł odnawialnych, wdrożenie dekarbonizacji przemysłu i zapewnienie wystarczających zdolności produkcyjnych na potrzeby czystych technologii „wytworzonych w Europie”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środowiska i cyfryzacji; </w:t>
            </w:r>
            <w:r>
              <w:rPr>
                <w:b/>
                <w:i/>
              </w:rPr>
              <w:t>jest zadowolony, że Komisja zobowiązała się do ustanowienia nowych ram</w:t>
            </w:r>
            <w:r>
              <w:t xml:space="preserve">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środowiska i cyfryzacji; </w:t>
            </w:r>
            <w:r>
              <w:rPr>
                <w:b/>
                <w:i/>
              </w:rPr>
              <w:t>podkreśla, że nowe ramy</w:t>
            </w:r>
            <w:r>
              <w:t xml:space="preserve"> pomocy państwa, które będą towarzyszyć Czystemu Ładowi Przemysłowemu</w:t>
            </w:r>
            <w:r>
              <w:rPr>
                <w:b/>
                <w:i/>
              </w:rPr>
              <w:t>, nie mogą utrudniać innowacji, prowadzić do wyższych cen ani ograniczać konkurencji na rynku europejskim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</w:t>
            </w:r>
            <w:r>
              <w:rPr>
                <w:b/>
                <w:i/>
              </w:rPr>
              <w:t>zwłaszcza</w:t>
            </w:r>
            <w:r>
              <w:t xml:space="preserve"> w dziedzinie </w:t>
            </w:r>
            <w:r>
              <w:rPr>
                <w:b/>
                <w:i/>
              </w:rPr>
              <w:t>środowiska</w:t>
            </w:r>
            <w:r>
              <w:t xml:space="preserve"> i cyfryzacji; 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</w:t>
            </w:r>
            <w:r>
              <w:rPr>
                <w:b/>
                <w:i/>
              </w:rPr>
              <w:t>w tym</w:t>
            </w:r>
            <w:r>
              <w:t xml:space="preserve"> w dziedzinie </w:t>
            </w:r>
            <w:r>
              <w:rPr>
                <w:b/>
                <w:i/>
              </w:rPr>
              <w:t>zrównoważonego rozwoju, energii, obrony</w:t>
            </w:r>
            <w:r>
              <w:t xml:space="preserve"> i cyfryzacji; jest zadowolony, że Komisja zobowiązała się do ustanowienia nowych ram pomocy państwa, które będą towarzyszyć Czystemu Ładowi Przemysłowemu; </w:t>
            </w:r>
            <w:r>
              <w:rPr>
                <w:b/>
                <w:i/>
              </w:rPr>
              <w:t>przypomina, że pomoc państwa powinna być ukierunkowana wyłącznie na wysoce niezbędne korekty w gospodarce i nie powinna zakłócać uczciwej i skutecznej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przypomina, że polityka konkurencji powinna przyczyniać się do realizacji wszystkich strategii politycznych UE, zwłaszcza w dziedzinie środowiska i cyfryzacji; 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przypomina, że polityka konkurencji powinna przyczyniać się do realizacji wszystkich strategii politycznych UE, zwłaszcza w dziedzinie środowiska i cyfryzacji; jest zadowolony, że Komisja zobowiązała się do ustanowienia nowych ram pomocy państwa, które będą towarzyszyć Czystemu Ładowi Przemysłowemu</w:t>
            </w:r>
            <w:r>
              <w:rPr>
                <w:b/>
                <w:i/>
              </w:rPr>
              <w:t>, aby zmobilizować niezbędne wsparcie publiczne dla transformacji energetycznej w celu dekarbonizacji europejskiego przemysłu i zapewnienia jego konkurencyjności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</w:t>
            </w:r>
            <w:r>
              <w:rPr>
                <w:b/>
                <w:i/>
              </w:rPr>
              <w:t>przyczyniać się do realizacji wszystkich strategii politycznych UE, zwłaszcza w dziedzinie środowiska i cyfryzacji;</w:t>
            </w:r>
            <w:r>
              <w:t xml:space="preserve"> </w:t>
            </w:r>
            <w:r>
              <w:rPr>
                <w:b/>
                <w:i/>
              </w:rPr>
              <w:t>jest zadowolony, że Komisja zobowiązała się do ustanowienia nowych ram pomocy państwa, które będą towarzyszyć Czystemu Ładowi Przemysłowemu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</w:t>
            </w:r>
            <w:r>
              <w:rPr>
                <w:b/>
                <w:i/>
              </w:rPr>
              <w:t>pozostać neutralna i niezależna oraz skupiać się wyłącznie na zapewnieniu wolnych i dynamicznych rynków sprzyjających innowacjom, efektywności i równych warunków działania;</w:t>
            </w:r>
            <w:r>
              <w:t xml:space="preserve"> </w:t>
            </w:r>
            <w:r>
              <w:rPr>
                <w:b/>
                <w:i/>
              </w:rPr>
              <w:t>uważa, że wszelkie ramy pomocy państwa powinny unikać zakłócania konkurencji, traktować priorytetowo wolny rynek i gwarantować, że jedne sektory lub przedsiębiorstwa nie będą traktowane korzystniej niż inne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środowiska i cyfryzacji; </w:t>
            </w:r>
            <w:r>
              <w:rPr>
                <w:b/>
                <w:i/>
              </w:rPr>
              <w:t>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przypomina, że polityka konkurencji powinna przyczyniać się do realizacji wszystkich strategii politycznych UE, zwłaszcza w dziedzinie środowiska i cyfryzacji;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środowiska i cyfryzacji; </w:t>
            </w:r>
            <w:r>
              <w:rPr>
                <w:b/>
                <w:i/>
              </w:rPr>
              <w:t>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przypomina, że polityka konkurencji powinna przyczyniać się do realizacji wszystkich strategii politycznych UE, zwłaszcza w dziedzinie środowiska i cyfryzacji;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</w:t>
            </w:r>
            <w:r>
              <w:rPr>
                <w:b/>
                <w:i/>
              </w:rPr>
              <w:t>zwłaszcza w dziedzinie</w:t>
            </w:r>
            <w:r>
              <w:t xml:space="preserve"> środowiska i </w:t>
            </w:r>
            <w:r>
              <w:rPr>
                <w:b/>
                <w:i/>
              </w:rPr>
              <w:t>cyfryzacji</w:t>
            </w:r>
            <w:r>
              <w:t>; 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</w:t>
            </w:r>
            <w:r>
              <w:rPr>
                <w:b/>
                <w:i/>
              </w:rPr>
              <w:t>i istotnych korzyści</w:t>
            </w:r>
            <w:r>
              <w:t xml:space="preserve"> wszystkich strategii politycznych UE, </w:t>
            </w:r>
            <w:r>
              <w:rPr>
                <w:b/>
                <w:i/>
              </w:rPr>
              <w:t>a skuteczna i ambitna polityka ochrony</w:t>
            </w:r>
            <w:r>
              <w:t xml:space="preserve"> środowiska i </w:t>
            </w:r>
            <w:r>
              <w:rPr>
                <w:b/>
                <w:i/>
              </w:rPr>
              <w:t>polityka cyfrowa powinny stanowić podstawę skutecznej polityki konkurencji</w:t>
            </w:r>
            <w:r>
              <w:t>; jest zadowolony, że Komisja zobowiązała się do ustanowienia nowych ram pomocy państwa, które będą towarzyszyć Czystemu Ładowi Przemysłowemu;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</w:t>
            </w:r>
            <w:r>
              <w:rPr>
                <w:b/>
                <w:i/>
              </w:rPr>
              <w:t>powinna przyczyniać się do realizacji</w:t>
            </w:r>
            <w:r>
              <w:t xml:space="preserve"> wszystkich strategii politycznych UE, zwłaszcza w dziedzinie środowiska i cyfryzacji; </w:t>
            </w:r>
            <w:r>
              <w:rPr>
                <w:b/>
                <w:i/>
              </w:rPr>
              <w:t>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</w:t>
            </w:r>
            <w:r>
              <w:rPr>
                <w:b/>
                <w:i/>
              </w:rPr>
              <w:t>jest kluczowym instrumentem</w:t>
            </w:r>
            <w:r>
              <w:t xml:space="preserve"> wszystkich strategii politycznych UE, zwłaszcza w dziedzinie środowiska i cyfryzacji;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</w:t>
            </w:r>
            <w:r>
              <w:rPr>
                <w:b/>
                <w:i/>
              </w:rPr>
              <w:t>środowiska i cyfryzacji</w:t>
            </w:r>
            <w:r>
              <w:t>; 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</w:t>
            </w:r>
            <w:r>
              <w:rPr>
                <w:b/>
                <w:i/>
              </w:rPr>
              <w:t>transformacji ekologicznej i cyfrowej oraz nowego podejścia do polityki konkurencyjności UE</w:t>
            </w:r>
            <w:r>
              <w:t>; jest zadowolony, że Komisja zobowiązała się do ustanowienia nowych ram pomocy państwa, które będą towarzyszyć Czystemu Ładowi Przemysłowemu;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Aleksandar Nikolic,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środowiska i cyfryzacji; jest zadowolony, że Komisja zobowiązała się do ustanowienia nowych ram pomocy państwa, które będą </w:t>
            </w:r>
            <w:r>
              <w:rPr>
                <w:b/>
                <w:i/>
              </w:rPr>
              <w:t>towarzyszyć Czystemu Ładowi Przemysłowemu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środowiska i cyfryzacji; jest zadowolony, że Komisja zobowiązała się do ustanowienia nowych ram pomocy państwa, które będą </w:t>
            </w:r>
            <w:r>
              <w:rPr>
                <w:b/>
                <w:i/>
              </w:rPr>
              <w:t>wspierać europejskie przedsiębiorstwa w obliczu zewnętrznej konkurencji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</w:t>
            </w:r>
            <w:r>
              <w:rPr>
                <w:b/>
                <w:i/>
              </w:rPr>
              <w:t>przyczyniać się do realizacji wszystkich strategii politycznych UE, zwłaszcza w dziedzinie środowiska i cyfryzacji</w:t>
            </w:r>
            <w:r>
              <w:t>; 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</w:t>
            </w:r>
            <w:r>
              <w:rPr>
                <w:b/>
                <w:i/>
              </w:rPr>
              <w:t>być spójna z szerszymi wyborami politycznymi UE</w:t>
            </w:r>
            <w:r>
              <w:t>; jest zadowolony, że Komisja zobowiązała się do ustanowienia nowych ram pomocy państwa, które będą towarzyszyć Czystemu Ładowi Przemysłowemu;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</w:t>
            </w:r>
            <w:r>
              <w:rPr>
                <w:b/>
                <w:i/>
              </w:rPr>
              <w:t>środowiska</w:t>
            </w:r>
            <w:r>
              <w:t xml:space="preserve"> i cyfryzacji; jest zadowolony, że Komisja zobowiązała się do ustanowienia nowych ram pomocy państwa, które będą towarzyszyć Czystemu Ładowi Przemysłowemu;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przypomina, że polityka konkurencji powinna przyczyniać się do realizacji wszystkich strategii politycznych UE, zwłaszcza w dziedzinie </w:t>
            </w:r>
            <w:r>
              <w:rPr>
                <w:b/>
                <w:i/>
              </w:rPr>
              <w:t>przemysłu</w:t>
            </w:r>
            <w:r>
              <w:t xml:space="preserve"> i cyfryzacji; jest zadowolony, że Komisja zobowiązała się do ustanowienia nowych ram pomocy państwa, które będą towarzyszyć Czystemu Ładowi Przemysłowemu;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jest zadowolony, że Komisja zobowiązała się do ustanowienia nowych ram pomocy państwa, które będą towarzyszyć Czystemu Ładowi Przemysłowemu;</w:t>
            </w:r>
            <w:r>
              <w:t xml:space="preserve"> </w:t>
            </w:r>
            <w:r>
              <w:rPr>
                <w:b/>
                <w:i/>
              </w:rPr>
              <w:t>podkreśla, że musi on pomóc w realizacji Europejskiego Zielonego Ładu, zapewniając, aby dekarbonizacja i konkurencyjność mogły iść w parze, jednak bez wsparcia dla paliw kopalnych;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podkreśla, że globalna siła i znaczenie jednolitego rynku UE wynikają nie tylko z jego wewnętrznej i zewnętrznej konkurencyjności, ale również z możliwości ustalania wspólnych standardów społecznych i środowiskowych;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nie tylko z jego wewnętrznej i zewnętrznej konkurencyjności, ale również z możliwości ustalania wspólnych standardów społecznych i środowiskowych;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możliwości ustalania wspólnych standardów społecznych i środowiskowych; </w:t>
            </w:r>
            <w:r>
              <w:rPr>
                <w:b/>
                <w:i/>
              </w:rPr>
              <w:t>podkreśla, że konkurencyjność wewnętrzna i zewnętrzna powinna być główną siłą napędową jednolitego rynku dzięki wspieraniu konkurencyjnego środowiska sprzyjającego innowacjom, zmniejszaniu barier i wydajnej alokacji zasobów;</w:t>
            </w:r>
            <w:r>
              <w:t xml:space="preserve"> </w:t>
            </w:r>
            <w:r>
              <w:rPr>
                <w:b/>
                <w:i/>
              </w:rPr>
              <w:t>potwierdza, że wspólne normy społeczne i środowiskowe są potrzebne, by zabezpieczyć się przed szkodliwymi praktykami, ale powinny być współmierne, nie nadmiernie restrykcyjne i opracowane tak, by nie zagrażać konkurencyjności jednolitego rynku;</w:t>
            </w:r>
            <w:r>
              <w:t xml:space="preserve"> </w:t>
            </w:r>
            <w:r>
              <w:rPr>
                <w:b/>
                <w:i/>
              </w:rPr>
              <w:t>podkreśla też, że trzeba zapewnić, by normy te pozostawiały państwom wystarczającą elastyczność pozwalającą dostosować się do kontekstu i nie nakładały zbędnych obciążeń na przedsiębiorstwa;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nie tylko z jego wewnętrznej i zewnętrznej konkurencyjności, ale również z możliwości ustalania wspólnych standardów społecznych i środowiskowych;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nie tylko z jego wewnętrznej i zewnętrznej konkurencyjności, ale również z możliwości ustalania wspólnych standardów społecznych i środowiskowych</w:t>
            </w:r>
            <w:r>
              <w:rPr>
                <w:b/>
                <w:i/>
              </w:rPr>
              <w:t>, które nie wpływają negatywnie na konkurencyjność przedsiębiorstw europejskich, w szczególności mikroprzedsiębiorstw oraz małych i średnich przedsiębiorstw</w:t>
            </w:r>
            <w:r>
              <w:t xml:space="preserve">; </w:t>
            </w:r>
            <w:r>
              <w:rPr>
                <w:b/>
                <w:i/>
              </w:rPr>
              <w:t>wskazuje w tym względzie na rosnące obciążenie administracyjne przedsiębiorstw;</w:t>
            </w:r>
            <w:r>
              <w:t xml:space="preserve"> </w:t>
            </w:r>
            <w:r>
              <w:rPr>
                <w:b/>
                <w:i/>
              </w:rPr>
              <w:t>wzywa do uproszczenia, które ma nie tylko polegać na wyeliminowaniu powielających się czynności administracyjnych, ale także które ma umożliwiać usunięcie wymogów regulacyjnych obciążających konkurencyjność;</w:t>
            </w:r>
            <w:r>
              <w:t xml:space="preserve">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możliwości ustalania wspólnych standardów </w:t>
            </w:r>
            <w:r>
              <w:rPr>
                <w:b/>
                <w:i/>
              </w:rPr>
              <w:t>społecznych i środowiskowych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nie tylko z jego wewnętrznej i zewnętrznej konkurencyjności, ale również z możliwości ustalania wspólnych standardów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podkreśla, że Komisja musi zrównoważyć priorytety Zielonego Ładu ze stosowaniem podstawowych zasad konkurencji, zapewniając skuteczne osiągnięcie obu celów bez podważania integralności jednolitego rynku 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Enikő Győri, Auke Zijlstra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nie tylko z jego wewnętrznej i zewnętrznej konkurencyjności</w:t>
            </w:r>
            <w:r>
              <w:rPr>
                <w:b/>
                <w:i/>
              </w:rPr>
              <w:t>, ale również z możliwości ustalania wspólnych standardów społecznych i środowiskowych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 </w:t>
            </w:r>
            <w:r>
              <w:rPr>
                <w:b/>
                <w:i/>
              </w:rPr>
              <w:t>oraz z jego zdolności do wspierania działalności transgranicznej przedsiębiorstw, w szczególności MŚP, przez uproszczenie norm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</w:t>
            </w:r>
            <w:r>
              <w:rPr>
                <w:b/>
                <w:i/>
              </w:rPr>
              <w:t>możliwości</w:t>
            </w:r>
            <w:r>
              <w:t xml:space="preserve"> ustalania </w:t>
            </w:r>
            <w:r>
              <w:rPr>
                <w:b/>
                <w:i/>
              </w:rPr>
              <w:t>wspólnych</w:t>
            </w:r>
            <w:r>
              <w:t xml:space="preserve"> standardów </w:t>
            </w:r>
            <w:r>
              <w:rPr>
                <w:b/>
                <w:i/>
              </w:rPr>
              <w:t>społecznych i środowiskowych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</w:t>
            </w:r>
            <w:r>
              <w:rPr>
                <w:b/>
                <w:i/>
              </w:rPr>
              <w:t>jego otwartości i zdolności do</w:t>
            </w:r>
            <w:r>
              <w:t xml:space="preserve"> ustalania </w:t>
            </w:r>
            <w:r>
              <w:rPr>
                <w:b/>
                <w:i/>
              </w:rPr>
              <w:t>wysokich</w:t>
            </w:r>
            <w:r>
              <w:t xml:space="preserve"> standardów </w:t>
            </w:r>
            <w:r>
              <w:rPr>
                <w:b/>
                <w:i/>
              </w:rPr>
              <w:t>konkurencji na nowo utworzonych rynkach w następstwie globalnego rozwoju technologicznego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</w:t>
            </w:r>
            <w:r>
              <w:rPr>
                <w:b/>
                <w:i/>
              </w:rPr>
              <w:t>nie tylko</w:t>
            </w:r>
            <w:r>
              <w:t xml:space="preserve"> z jego wewnętrznej i zewnętrznej konkurencyjności</w:t>
            </w:r>
            <w:r>
              <w:rPr>
                <w:b/>
                <w:i/>
              </w:rPr>
              <w:t>, ale również z możliwości ustalania wspólnych standardów społecznych i środowiskowych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z jego wewnętrznej i zewnętrznej konkurencyjności;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nie tylko z jego wewnętrznej i zewnętrznej konkurencyjności, ale również z możliwości ustalania wspólnych standardów społecznych i środowiskowych;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możliwości ustalania </w:t>
            </w:r>
            <w:r>
              <w:rPr>
                <w:b/>
                <w:i/>
              </w:rPr>
              <w:t>zasad konkurencji, które pozwalają na wysoki poziom</w:t>
            </w:r>
            <w:r>
              <w:t xml:space="preserve"> wspólnych standardów społecznych i środowiskowych;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możliwości ustalania wspólnych standardów społecznych i </w:t>
            </w:r>
            <w:r>
              <w:rPr>
                <w:b/>
                <w:i/>
              </w:rPr>
              <w:t>środowiskowych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możliwości ustalania wspólnych standardów społecznych i </w:t>
            </w:r>
            <w:r>
              <w:rPr>
                <w:b/>
                <w:i/>
              </w:rPr>
              <w:t>zapewniania spójności terytorialnej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nie tylko z jego wewnętrznej i zewnętrznej konkurencyjności, ale również z możliwości ustalania wspólnych standardów społecznych i środowiskowych;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możliwości ustalania wspólnych </w:t>
            </w:r>
            <w:r>
              <w:rPr>
                <w:b/>
                <w:i/>
              </w:rPr>
              <w:t>minimalnych</w:t>
            </w:r>
            <w:r>
              <w:t xml:space="preserve"> standardów społecznych i środowiskowych;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podkreśla, że globalna siła i znaczenie jednolitego rynku UE wynikają nie tylko z jego wewnętrznej i zewnętrznej konkurencyjności, ale również z możliwości ustalania wspólnych standardów </w:t>
            </w:r>
            <w:r>
              <w:rPr>
                <w:b/>
                <w:i/>
              </w:rPr>
              <w:t>społecznych i środowiskowych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podkreśla, że globalna siła i znaczenie jednolitego rynku UE wynikają nie tylko z jego wewnętrznej i zewnętrznej konkurencyjności, ale również z możliwości ustalania wspólnych standardów;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mając na uwadze powszechne negatywne skutki rosnącej koncentracji rynku;</w:t>
            </w:r>
            <w:r>
              <w:t xml:space="preserve"> </w:t>
            </w:r>
            <w:r>
              <w:rPr>
                <w:b/>
                <w:i/>
              </w:rPr>
              <w:t>popiera skuteczne i zdecydowane stosowanie reguł konkurencji oraz wprowadzenie międzykomisyjnego mandatu w celu rozwiązania problemu szkodliwej koncentracji siły gospodarczej i kontroli w UE, w tym na rynkach kapitałowych;</w:t>
            </w:r>
            <w:r>
              <w:t xml:space="preserve"> </w:t>
            </w:r>
            <w:r>
              <w:rPr>
                <w:b/>
                <w:i/>
              </w:rPr>
              <w:t>zauważa, że powinno to obejmować większą koordynację i spójność polityki konkurencji, polityki handlowej, przemysłowej, ochrony danych, technologii cyfrowych, pracy, ochrony konsumentów i polityki podatkowej oraz skuteczne egzekwowanie powiązanych narzędzi;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popiera zasadę, zgodnie z którą wykorzystanie środków publicznych powinno wiązać się z własnością publiczną i kontrolą publiczną;</w:t>
            </w:r>
            <w:r>
              <w:t xml:space="preserve"> </w:t>
            </w:r>
            <w:r>
              <w:rPr>
                <w:b/>
                <w:i/>
              </w:rPr>
              <w:t>apeluje o nadanie priorytetu inwestycjom publicznym umożliwiającym własność publiczną i kontrolę nad strategicznymi decyzjami przedsiębiorstw, takimi jak zamykanie, zmniejszanie produkcji i relokacje, raczej niż stosowanie subsydiów jako pomocy państwa;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podkreśla, że jedną z największych podatności UE na zagrożenia jest jej zależność od importowanych surowców i energii;</w:t>
            </w:r>
            <w:r>
              <w:t xml:space="preserve"> </w:t>
            </w:r>
            <w:r>
              <w:rPr>
                <w:b/>
                <w:i/>
              </w:rPr>
              <w:t>w związku z tym ambitniejsza polityka gospodarki o obiegu zamkniętym, a także ponowne wykorzystanie i wykorzystanie istniejących materiałów, zwłaszcza surowców krytycznych, są zasadniczymi elementami konkurencyjności Europy.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podkreśla, że konkurencyjność i wzrost rynku wewnętrznego nie mogą być rozważane w próżni, ponieważ w dużym stopniu zależą one od konkurencyjności UE w stosunku do jej światowych konkurentów;</w:t>
            </w:r>
            <w:r>
              <w:t xml:space="preserve"> </w:t>
            </w:r>
            <w:r>
              <w:rPr>
                <w:b/>
                <w:i/>
              </w:rPr>
              <w:t>wzywa decydentów do należytego uwzględnienia międzynarodowych zmian regulacyjnych i rynkowych;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wzywa Komisję Europejską do wzmocnienia narzędzi egzekwowania konkurencji, aby zagwarantować, że przedsiębiorstwa będą przestrzegać reguł konkurencji, a naruszenia będą odpowiednio karane, aby chronić jednolity rynek przed szkodliwymi praktykami;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podkreśla kluczową rolę Europejskiej Sieci Konkurencji (ECN) jako forum wspierania współpracy i współdziałania między europejskimi organami ochrony konkurencji;</w:t>
            </w:r>
            <w:r>
              <w:t xml:space="preserve"> </w:t>
            </w:r>
            <w:r>
              <w:rPr>
                <w:b/>
                <w:i/>
              </w:rPr>
              <w:t>wzywa Komisję, aby dążyła do dalszego konstruktywnego dialogu i współpracy na szczeblu międzynarodowym;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podkreśla, że trzeba zagwarantować niezależność polityczną krajowych organów ochrony konkurencji, by działały one zgodnie z zasadą bezstronności i wyłącznie w celu zapewnienia sprawnego funkcjonowania rynków;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uważa, że aby uniknąć nieuczicwej konkurencji zarówno w UE, jak i poza nią, należy zwalczać nieuczicwe praktyki obchodzenia przepisów i migrację siedzib przedsiębiorstw do „europejskich rajów podatkowych”;</w:t>
            </w:r>
            <w:r>
              <w:t xml:space="preserve">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wskazuje, że w zglobalizowanym świecie współpraca międzynarodowa ma kluczowe znaczenie dla skutecznego egzekwowania prawa konkurencji;</w:t>
            </w:r>
            <w:r>
              <w:t xml:space="preserve"> </w:t>
            </w:r>
            <w:r>
              <w:rPr>
                <w:b/>
                <w:i/>
              </w:rPr>
              <w:t>podkreśla, że specjalne umowy o współpracy z państwami trzecimi w obszarze polityki konkurencji mogą znacząco przyczynić się do skuteczności polityki konkurencji;</w:t>
            </w:r>
            <w:r>
              <w:t xml:space="preserve"> </w:t>
            </w:r>
            <w:r>
              <w:rPr>
                <w:b/>
                <w:i/>
              </w:rPr>
              <w:t>zwraca się do Komisji o zwiększenie wpływu polityki konkurencji na świecie, zwłaszcza przez zacieśnienie współpracy z państwami trzecimi w drodze umów o współpracy drugiej generacji, umożliwiających skuteczniejszą wymianę informacji między organami ds.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z zadowoleniem przyjmuje zobowiązanie Komisji do uproszczenia dorobku prawnego UE i ograniczenia biurokracji oraz z zadowoleniem przyjmuje utworzenie wewnętrznych grup projektowych w celu realizacji priorytetów politycznych;</w:t>
            </w:r>
            <w:r>
              <w:t xml:space="preserve"> </w:t>
            </w:r>
            <w:r>
              <w:rPr>
                <w:b/>
                <w:i/>
              </w:rPr>
              <w:t>uważa, że mogłoby to znacząco przyczynić się do zwiększenia konkurencyjności UE;</w:t>
            </w:r>
            <w:r>
              <w:t xml:space="preserve"> </w:t>
            </w:r>
            <w:r>
              <w:rPr>
                <w:b/>
                <w:i/>
              </w:rPr>
              <w:t>podkreśla jednak, że musimy dążyć do uproszczenia w sposób, który nie obniży naszych ambicji w zakresie zmiany klimatu ani nie podważy naszych międzynarodowych zobowiązań;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przypomina, że aby wdrożyć politykę konkurencji, która zapewni przedsiębiorstwom równe warunki konkurencji, należy chronić Europę przed nieuczciwymi praktykami handlowymi ze strony państw trzecich;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zachęca do polityki wspierającej innowacje oraz zrównoważony wzrost gospodarczy sprzyjający włączeniu społecznemu;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zachęca do polityki wspierającej innowacje oraz zrównoważony wzrost gospodarczy sprzyjający włączeniu społecznemu; </w:t>
            </w:r>
            <w:r>
              <w:rPr>
                <w:b/>
                <w:i/>
              </w:rPr>
              <w:t>odrzuca promowanie konkurencyjności pod postacią konkurencyjności kosztowej, ponieważ w przeszłości doprowadziło to do wdrożenia szkodliwych społecznie reform, które osłabiają siłę przetargową pracowników i ich wymagania płacowe;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zachęca do polityki wspierającej innowacje oraz zrównoważony wzrost gospodarczy sprzyjający włączeniu społecznemu;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zauważa, że Europa jest coraz mniejszym podmiotem w skali globalnej i że same państwa członkowskie nie mogą się rozwijać, w związku z czym wspólne wysiłki na szczeblu UE są ważniejsze niż kiedykolwiek wcześniej;</w:t>
            </w:r>
            <w:r>
              <w:t xml:space="preserve"> 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zachęca do polityki wspierającej innowacje oraz zrównoważony wzrost gospodarczy sprzyjający włączeniu społecznemu;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popiera zobowiązanie Komisji</w:t>
            </w:r>
            <w:r>
              <w:t xml:space="preserve"> do inwestowania w </w:t>
            </w:r>
            <w:r>
              <w:rPr>
                <w:b/>
                <w:i/>
              </w:rPr>
              <w:t>zrównoważoną</w:t>
            </w:r>
            <w:r>
              <w:t xml:space="preserve"> konkurencyjność; z zadowoleniem przyjmuje położony przez Maria Draghiego nacisk na innowacje, inwestycje</w:t>
            </w:r>
            <w:r>
              <w:rPr>
                <w:b/>
                <w:i/>
              </w:rPr>
              <w:t>, integrację rynku</w:t>
            </w:r>
            <w:r>
              <w:t>, dekarbonizację i odporność, a przez Enrica Lettę – na integrację, autonomię i solidarność; zachęca do polityki wspierającej innowacje oraz zrównoważony wzrost gospodarczy sprzyjający włączeniu społecznemu;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Wzywa Komisję</w:t>
            </w:r>
            <w:r>
              <w:t xml:space="preserve"> do inwestowania w konkurencyjność; z zadowoleniem przyjmuje położony przez Maria Draghiego nacisk na innowacje, inwestycje, dekarbonizację i odporność, a przez Enrica Lettę – na integrację, autonomię i solidarność; zachęca do polityki wspierającej innowacje oraz zrównoważony wzrost gospodarczy sprzyjający włączeniu społecznemu;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zachęca do polityki wspierającej innowacje </w:t>
            </w:r>
            <w:r>
              <w:rPr>
                <w:b/>
                <w:i/>
              </w:rPr>
              <w:t>oraz</w:t>
            </w:r>
            <w:r>
              <w:t xml:space="preserve"> zrównoważony wzrost gospodarczy sprzyjający włączeniu społecznemu;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zachęca do polityki wspierającej innowacje</w:t>
            </w:r>
            <w:r>
              <w:rPr>
                <w:b/>
                <w:i/>
              </w:rPr>
              <w:t>, a także</w:t>
            </w:r>
            <w:r>
              <w:t xml:space="preserve"> zrównoważony wzrost gospodarczy sprzyjający włączeniu społecznemu;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popiera zobowiązanie Komisji do inwestowania w </w:t>
            </w:r>
            <w:r>
              <w:rPr>
                <w:b/>
                <w:i/>
              </w:rPr>
              <w:t>zrównoważoną</w:t>
            </w:r>
            <w:r>
              <w:t xml:space="preserve"> konkurencyjność; z zadowoleniem przyjmuje położony przez Maria Draghiego nacisk na innowacje, inwestycje, integrację rynku</w:t>
            </w:r>
            <w:r>
              <w:rPr>
                <w:b/>
                <w:i/>
              </w:rPr>
              <w:t>, dekarbonizację</w:t>
            </w:r>
            <w:r>
              <w:t xml:space="preserve"> i odporność, a przez Enrica Lettę – na integrację, autonomię i solidarność; zachęca do polityki wspierającej innowacje oraz zrównoważony wzrost gospodarczy sprzyjający włączeniu społecznemu;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konkurencyjność; z zadowoleniem przyjmuje położony przez Maria Draghiego nacisk na innowacje, inwestycje, integrację rynku i odporność, a przez Enrica Lettę – na integrację, autonomię i solidarność; zachęca do polityki wspierającej innowacje oraz zrównoważony wzrost gospodarczy sprzyjający włączeniu społecznemu;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popiera zobowiązanie Komisji do </w:t>
            </w:r>
            <w:r>
              <w:rPr>
                <w:b/>
                <w:i/>
              </w:rPr>
              <w:t>inwestowania w zrównoważoną konkurencyjność</w:t>
            </w:r>
            <w:r>
              <w:t xml:space="preserve">; z zadowoleniem przyjmuje </w:t>
            </w:r>
            <w:r>
              <w:rPr>
                <w:b/>
                <w:i/>
              </w:rPr>
              <w:t>położony</w:t>
            </w:r>
            <w:r>
              <w:t xml:space="preserve"> przez Maria Draghiego </w:t>
            </w:r>
            <w:r>
              <w:rPr>
                <w:b/>
                <w:i/>
              </w:rPr>
              <w:t>nacisk na innowacje, inwestycje, integrację</w:t>
            </w:r>
            <w:r>
              <w:t xml:space="preserve"> rynku, </w:t>
            </w:r>
            <w:r>
              <w:rPr>
                <w:b/>
                <w:i/>
              </w:rPr>
              <w:t>dekarbonizację i odporność, a</w:t>
            </w:r>
            <w:r>
              <w:t xml:space="preserve"> przez Enrica Lettę </w:t>
            </w:r>
            <w:r>
              <w:rPr>
                <w:b/>
                <w:i/>
              </w:rPr>
              <w:t>– na integrację, autonomię i solidarność</w:t>
            </w:r>
            <w:r>
              <w:t xml:space="preserve">; zachęca do polityki wspierającej innowacje oraz </w:t>
            </w:r>
            <w:r>
              <w:rPr>
                <w:b/>
                <w:i/>
              </w:rPr>
              <w:t>zrównoważony</w:t>
            </w:r>
            <w:r>
              <w:t xml:space="preserve"> wzrost gospodarczy </w:t>
            </w:r>
            <w:r>
              <w:rPr>
                <w:b/>
                <w:i/>
              </w:rPr>
              <w:t>sprzyjający włączeniu społecznemu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popiera zobowiązanie Komisji do </w:t>
            </w:r>
            <w:r>
              <w:rPr>
                <w:b/>
                <w:i/>
              </w:rPr>
              <w:t>poprawy konkurencyjności UE</w:t>
            </w:r>
            <w:r>
              <w:t xml:space="preserve">; z zadowoleniem przyjmuje </w:t>
            </w:r>
            <w:r>
              <w:rPr>
                <w:b/>
                <w:i/>
              </w:rPr>
              <w:t>przedstawioną</w:t>
            </w:r>
            <w:r>
              <w:t xml:space="preserve"> przez Maria Draghiego </w:t>
            </w:r>
            <w:r>
              <w:rPr>
                <w:b/>
                <w:i/>
              </w:rPr>
              <w:t>diagnozę dotyczącą innowacji, inwestycji, integracji</w:t>
            </w:r>
            <w:r>
              <w:t xml:space="preserve"> rynku, </w:t>
            </w:r>
            <w:r>
              <w:rPr>
                <w:b/>
                <w:i/>
              </w:rPr>
              <w:t>dekarbonizacji i odporności oraz tę zaprezentowaną</w:t>
            </w:r>
            <w:r>
              <w:t xml:space="preserve"> przez Enrica Lettę </w:t>
            </w:r>
            <w:r>
              <w:rPr>
                <w:b/>
                <w:i/>
              </w:rPr>
              <w:t>w odniesieniu do integracji rynków</w:t>
            </w:r>
            <w:r>
              <w:t xml:space="preserve">; zachęca do polityki wspierającej innowacje oraz wzrost gospodarczy </w:t>
            </w:r>
            <w:r>
              <w:rPr>
                <w:b/>
                <w:i/>
              </w:rPr>
              <w:t>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</w:t>
            </w:r>
            <w:r>
              <w:rPr>
                <w:b/>
                <w:i/>
              </w:rPr>
              <w:t>zachęca do</w:t>
            </w:r>
            <w:r>
              <w:t xml:space="preserve"> polityki wspierającej innowacje oraz zrównoważony wzrost gospodarczy sprzyjający włączeniu społecznemu;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polityki wspierającej innowacje</w:t>
            </w:r>
            <w:r>
              <w:rPr>
                <w:b/>
                <w:i/>
              </w:rPr>
              <w:t>, konkurencyjność</w:t>
            </w:r>
            <w:r>
              <w:t xml:space="preserve"> oraz zrównoważony wzrost gospodarczy sprzyjający włączeniu społecznemu;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zachęca do polityki wspierającej innowacje oraz </w:t>
            </w:r>
            <w:r>
              <w:rPr>
                <w:b/>
                <w:i/>
              </w:rPr>
              <w:t>zrównoważony</w:t>
            </w:r>
            <w:r>
              <w:t xml:space="preserve"> wzrost gospodarczy </w:t>
            </w:r>
            <w:r>
              <w:rPr>
                <w:b/>
                <w:i/>
              </w:rPr>
              <w:t>sprzyjający włączeniu społecznemu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zrównoważoną konkurencyjność; z zadowoleniem przyjmuje położony przez Maria Draghiego nacisk na innowacje, inwestycje, integrację rynku, dekarbonizację i odporność, a przez Enrica Lettę – na integrację, autonomię i solidarność; zachęca do polityki wspierającej innowacje oraz wzrost gospodarczy;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popiera zobowiązanie Komisji do inwestowania w </w:t>
            </w:r>
            <w:r>
              <w:rPr>
                <w:b/>
                <w:i/>
              </w:rPr>
              <w:t>zrównoważoną</w:t>
            </w:r>
            <w:r>
              <w:t xml:space="preserve"> konkurencyjność; z zadowoleniem przyjmuje położony przez Maria Draghiego nacisk na innowacje, inwestycje, integrację rynku, dekarbonizację i odporność, a przez Enrica Lettę – na integrację, autonomię i solidarność; zachęca do polityki wspierającej innowacje oraz zrównoważony wzrost gospodarczy sprzyjający włączeniu społecznemu;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konkurencyjność; z zadowoleniem przyjmuje położony przez Maria Draghiego nacisk na innowacje, inwestycje, integrację rynku, dekarbonizację i odporność, a przez Enrica Lettę – na integrację, autonomię i solidarność; zachęca do polityki wspierającej innowacje oraz zrównoważony wzrost gospodarczy sprzyjający włączeniu społecznemu;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zrównoważoną konkurencyjność; z zadowoleniem przyjmuje położony przez Maria Draghiego nacisk na innowacje, inwestycje, integrację rynku</w:t>
            </w:r>
            <w:r>
              <w:rPr>
                <w:b/>
                <w:i/>
              </w:rPr>
              <w:t>, dekarbonizację</w:t>
            </w:r>
            <w:r>
              <w:t xml:space="preserve"> i odporność, a przez Enrica Lettę – na integrację, autonomię i solidarność; zachęca do polityki wspierającej innowacje oraz zrównoważony wzrost gospodarczy sprzyjający włączeniu społecznemu;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popiera zobowiązanie Komisji do inwestowania w zrównoważoną konkurencyjność; z zadowoleniem przyjmuje położony przez Maria Draghiego nacisk na innowacje, inwestycje, integrację rynku i odporność, a przez Enrica Lettę – na integrację, autonomię i solidarność; zachęca do polityki wspierającej innowacje oraz zrównoważony wzrost gospodarczy sprzyjający włączeniu społecznemu;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podkreśla, że usprawnienie prawodawstwa i zmniejszenie obciążeń administracyjnych to istotne kroki we wspieraniu konkurencyjności;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Europy; zauważa, że nie może to prowadzić do dominacji rynkowej </w:t>
            </w:r>
            <w:r>
              <w:rPr>
                <w:b/>
                <w:i/>
              </w:rPr>
              <w:t>lub jej nadużywania</w:t>
            </w:r>
            <w:r>
              <w:t>, i ostrzega przed integracją rynku za pomocą fuzji;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 </w:t>
            </w:r>
            <w:r>
              <w:rPr>
                <w:b/>
                <w:i/>
              </w:rPr>
              <w:t>i dekarbonizację</w:t>
            </w:r>
            <w:r>
              <w:t xml:space="preserve">; zauważa, że nie może to prowadzić do dominacji rynkowej </w:t>
            </w:r>
            <w:r>
              <w:rPr>
                <w:b/>
                <w:i/>
              </w:rPr>
              <w:t>ani do koncentracji rynku, która ułatwia nadużywanie pozycji dominującej i związane z nią nieuczciwe praktyki</w:t>
            </w:r>
            <w:r>
              <w:t xml:space="preserve">, i ostrzega przed integracją rynku za pomocą fuzji; </w:t>
            </w:r>
            <w:r>
              <w:rPr>
                <w:b/>
                <w:i/>
              </w:rPr>
              <w:t>podkreśla ponadto, że polityka przemysłowa musi również wspierać interes publiczny poprzez powiązanie finansowania publicznego z warunkami społecznymi i środowiskowymi zapewniającymi ochronę pracowników, prawa pracownicze, zrównoważony rozwój i odporność gospodarczą;</w:t>
            </w:r>
            <w:r>
              <w:t xml:space="preserve"> </w:t>
            </w:r>
            <w:r>
              <w:rPr>
                <w:b/>
                <w:i/>
              </w:rPr>
              <w:t>zauważa, że powinny one obejmować przepisy dotyczące wycofania oraz ścisłe ograniczenia dotyczące skupu akcji własnych i wypłat dywidend;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Europy; zauważa, że nie może to prowadzić do dominacji rynkowej lub jej nadużywania</w:t>
            </w:r>
            <w:r>
              <w:rPr>
                <w:b/>
                <w:i/>
              </w:rPr>
              <w:t>, i</w:t>
            </w:r>
            <w:r>
              <w:t xml:space="preserve"> ostrzega przed integracją rynku za pomocą fuzji;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Europy; zauważa, że nie może to prowadzić do dominacji rynkowej lub jej nadużywania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zwraca uwagę, że dynamika ta nie powinna prowadzić do pozycji dominującej na rynku ani do jej nadużywania, a jednocześnie podkreśla, że interwencje w przypadkach nadużyć trzeba ograniczać do oczywistych praktyk antykonkurencyjnych, takich jak monopole i kartele;</w:t>
            </w:r>
            <w:r>
              <w:t xml:space="preserve"> ostrzega przed integracją rynku za pomocą fuzji </w:t>
            </w:r>
            <w:r>
              <w:rPr>
                <w:b/>
                <w:i/>
              </w:rPr>
              <w:t>i podkreśla, że należy je oceniać według ich rzeczywistego wpływu na konkurencję i dobrobyt konsumentów i nie należy ich postrzegać ogólnie negatywnie, jeżeli nie szkodzą ogólnej konkurencyjności rynku ani interesom konsumentów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Europy; zauważa, że nie </w:t>
            </w:r>
            <w:r>
              <w:rPr>
                <w:b/>
                <w:i/>
              </w:rPr>
              <w:t>może to prowadzić do</w:t>
            </w:r>
            <w:r>
              <w:t xml:space="preserve"> dominacji rynkowej lub </w:t>
            </w:r>
            <w:r>
              <w:rPr>
                <w:b/>
                <w:i/>
              </w:rPr>
              <w:t>jej nadużywania, i ostrzega przed integracją rynku za pomocą fuzji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Europy; zauważa, że nie </w:t>
            </w:r>
            <w:r>
              <w:rPr>
                <w:b/>
                <w:i/>
              </w:rPr>
              <w:t>można tego dokonać kosztem europejskich konsumentów poprzez złagodzenie</w:t>
            </w:r>
            <w:r>
              <w:t xml:space="preserve"> dominacji rynkowej lub </w:t>
            </w:r>
            <w:r>
              <w:rPr>
                <w:b/>
                <w:i/>
              </w:rPr>
              <w:t>nadużycie standardów w polityce konkurencji UE;</w:t>
            </w:r>
            <w:r>
              <w:t xml:space="preserve"> </w:t>
            </w:r>
            <w:r>
              <w:rPr>
                <w:b/>
                <w:i/>
              </w:rPr>
              <w:t>przypomina, że zarówno najwyższe standardy konkurencji, jak i niezbędne zwiększanie skali europejskich przedsiębiorstw mogą zostać wzmocnione i skutecznie pogłębić jednolity rynek, czyniąc go rynkiem właściwym dla wszystkich sektorów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Europy; zauważa, że nie może to prowadzić do dominacji rynkowej lub jej nadużywania, </w:t>
            </w:r>
            <w:r>
              <w:rPr>
                <w:b/>
                <w:i/>
              </w:rPr>
              <w:t>i</w:t>
            </w:r>
            <w:r>
              <w:t xml:space="preserve"> ostrzega przed </w:t>
            </w:r>
            <w:r>
              <w:rPr>
                <w:b/>
                <w:i/>
              </w:rPr>
              <w:t>integracją rynku za pomocą fuzji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</w:t>
            </w:r>
            <w:r>
              <w:rPr>
                <w:b/>
                <w:i/>
              </w:rPr>
              <w:t>skoordynowana i nakierowana</w:t>
            </w:r>
            <w:r>
              <w:t xml:space="preserve"> polityka przemysłowa powinna zwiększać konkurencyjność Europy; zauważa, że nie może to prowadzić do dominacji rynkowej lub jej nadużywania, </w:t>
            </w:r>
            <w:r>
              <w:rPr>
                <w:b/>
                <w:i/>
              </w:rPr>
              <w:t>zakłóceń cen lub nieefektywności gospodarczej;</w:t>
            </w:r>
            <w:r>
              <w:t xml:space="preserve"> ostrzega przed </w:t>
            </w:r>
            <w:r>
              <w:rPr>
                <w:b/>
                <w:i/>
              </w:rPr>
              <w:t>nieskoordynowaną i wyłącznie krajową polityką przemysłową;</w:t>
            </w:r>
            <w:r>
              <w:t xml:space="preserve"> </w:t>
            </w:r>
            <w:r>
              <w:rPr>
                <w:b/>
                <w:i/>
              </w:rPr>
              <w:t>podkreśla potrzebę przeciwdziałania nieuczciwej i nierównej konkurencji ze strony państw trzecich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</w:t>
            </w:r>
            <w:r>
              <w:rPr>
                <w:b/>
                <w:i/>
              </w:rPr>
              <w:t>polityka przemysłowa powinna</w:t>
            </w:r>
            <w:r>
              <w:t xml:space="preserve"> zwiększać konkurencyjność Europy; zauważa, że nie może to prowadzić do </w:t>
            </w:r>
            <w:r>
              <w:rPr>
                <w:b/>
                <w:i/>
              </w:rPr>
              <w:t>dominacji rynkowej lub jej nadużywania</w:t>
            </w:r>
            <w:r>
              <w:t>, i ostrzega przed integracją rynku za pomocą fuzji;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</w:t>
            </w:r>
            <w:r>
              <w:rPr>
                <w:b/>
                <w:i/>
              </w:rPr>
              <w:t>krajowe polityki przemysłowe i synergia między państwami członkowskimi powinny</w:t>
            </w:r>
            <w:r>
              <w:t xml:space="preserve"> zwiększać konkurencyjność Europy; zauważa, że nie może to prowadzić do </w:t>
            </w:r>
            <w:r>
              <w:rPr>
                <w:b/>
                <w:i/>
              </w:rPr>
              <w:t>nadużywania pozycji dominującej na rynku</w:t>
            </w:r>
            <w:r>
              <w:t>, i ostrzega przed integracją rynku za pomocą fuzji;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Europy; zauważa, że nie może to prowadzić do dominacji rynkowej lub jej nadużywania, i ostrzega przed integracją rynku za pomocą fuzji;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</w:t>
            </w:r>
            <w:r>
              <w:rPr>
                <w:b/>
                <w:i/>
              </w:rPr>
              <w:t>, a jednocześnie chronić wewnętrzną konkurencję i małe podmioty na jednolitym rynku</w:t>
            </w:r>
            <w:r>
              <w:t>; zauważa, że nie może to prowadzić do dominacji rynkowej lub jej nadużywania, i ostrzega przed integracją rynku za pomocą fuzji;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Europy; zauważa, że nie może to prowadzić do dominacji rynkowej lub jej nadużywania</w:t>
            </w:r>
            <w:r>
              <w:rPr>
                <w:b/>
                <w:i/>
              </w:rPr>
              <w:t>, i ostrzega przed integracją rynku za pomocą fuzji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Europy; zauważa, że nie może to prowadzić do dominacji rynkowej lub jej nadużywania;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Europy; zauważa, że nie może to prowadzić do dominacji rynkowej lub jej nadużywania</w:t>
            </w:r>
            <w:r>
              <w:rPr>
                <w:b/>
                <w:i/>
              </w:rPr>
              <w:t>, i ostrzega przed integracją rynku za pomocą fuzji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Europy; zauważa, że nie może to prowadzić do dominacji rynkowej lub jej nadużywania;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podkreśla, że polityka przemysłowa powinna zwiększać konkurencyjność Europy; zauważa, że nie może to prowadzić do dominacji rynkowej lub jej nadużywania, i ostrzega przed integracją rynku za pomocą fuzji;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</w:t>
            </w:r>
            <w:r>
              <w:rPr>
                <w:b/>
                <w:i/>
              </w:rPr>
              <w:t>nowa zrównoważona</w:t>
            </w:r>
            <w:r>
              <w:t xml:space="preserve"> polityka przemysłowa powinna zwiększać konkurencyjność Europy; zauważa, że nie może to prowadzić do dominacji rynkowej lub jej nadużywania, i ostrzega przed integracją rynku za pomocą fuzji;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</w:t>
            </w:r>
            <w:r>
              <w:rPr>
                <w:b/>
                <w:i/>
              </w:rPr>
              <w:t>Europy</w:t>
            </w:r>
            <w:r>
              <w:t>; zauważa, że nie może to prowadzić do dominacji rynkowej lub jej nadużywania, i ostrzega przed integracją rynku za pomocą fuzji;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</w:t>
            </w:r>
            <w:r>
              <w:rPr>
                <w:b/>
                <w:i/>
              </w:rPr>
              <w:t>prawdziwie europejska</w:t>
            </w:r>
            <w:r>
              <w:t xml:space="preserve"> polityka przemysłowa powinna zwiększać konkurencyjność; zauważa, że nie może to prowadzić do dominacji rynkowej lub jej nadużywania, i ostrzega przed integracją rynku za pomocą fuzji;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Europy; zauważa, że nie może to prowadzić do </w:t>
            </w:r>
            <w:r>
              <w:rPr>
                <w:b/>
                <w:i/>
              </w:rPr>
              <w:t>dominacji rynkowej lub jej nadużywania, i ostrzega przed integracją rynku za pomocą fuzji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Europy; zauważa, że nie może to prowadzić do </w:t>
            </w:r>
            <w:r>
              <w:rPr>
                <w:b/>
                <w:i/>
              </w:rPr>
              <w:t>nadużywania dominującej pozycji na rynku;</w:t>
            </w:r>
            <w:r>
              <w:t xml:space="preserve"> </w:t>
            </w:r>
            <w:r>
              <w:rPr>
                <w:b/>
                <w:i/>
              </w:rPr>
              <w:t>wskazuje to na potrzebę skutecznych procedur kontroli łączenia przedsiębiorstw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Europy; zauważa, że nie może to prowadzić do dominacji rynkowej lub jej nadużywania, i </w:t>
            </w:r>
            <w:r>
              <w:rPr>
                <w:b/>
                <w:i/>
              </w:rPr>
              <w:t>ostrzega przed integracją</w:t>
            </w:r>
            <w:r>
              <w:t xml:space="preserve"> rynku za pomocą fuzji;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podkreśla, że polityka przemysłowa powinna zwiększać konkurencyjność Europy; zauważa, że nie może to prowadzić do dominacji rynkowej lub jej nadużywania, i </w:t>
            </w:r>
            <w:r>
              <w:rPr>
                <w:b/>
                <w:i/>
              </w:rPr>
              <w:t>wzywa do zwrócenia szczególnej uwagi na integrację</w:t>
            </w:r>
            <w:r>
              <w:t xml:space="preserve"> rynku za pomocą fuzji;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podkreśla znaczenie ważnych projektów stanowiących przedmiot wspólnego europejskiego zainteresowania (IPCEI) dla finansowania dużych projektów transnarodowych i realizacji priorytetów strategicznych UE, ale ubolewa nad tym, że wymagane procedury i czasochłonność są zbyt uciążliwe dla MŚP;</w:t>
            </w:r>
            <w:r>
              <w:t xml:space="preserve"> </w:t>
            </w:r>
            <w:r>
              <w:rPr>
                <w:b/>
                <w:i/>
              </w:rPr>
              <w:t>wzywa Komisję i państwa członkowskie do dopilnowania, aby każda procedura zgłoszenia została zakończona najpóźniej w ciągu sześciu miesięcy;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podkreśla, jak ważne jest obniżenie kosztów energii, aby zapewnić konkurencyjność UE przez zachęcanie do korzystania z alternatywnych źródeł energii, takich jak nowoczesna energia jądrowa;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podkreśla, jak ważna jest polityka ukierunkowana na efektywność energetyczną w UE, aby zwiększyć konkurencyjność i zmniejszyć nadmierną zależność kontynentu od krajów spoza UE, przy czym należy sprzyjać, w rozsądnych granicach, pomocy państwa w strategicznych sektorach, takich jak izolacja termiczna, odnawialne źródła energii i optymalizacja procesów przemysłowych;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przyjmuje do wiadomości sprawozdanie Komisji, w którym stwierdzono, że koncentracja rynku, marże i zyski wzrosły w ciągu ostatnich 25 lat, podczas gdy dynamika przemysłu zmniejszyła się pomimo aktywnego egzekwowania przepisów prawa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przyjmuje do wiadomości sprawozdanie Komisji, w którym stwierdzono, że koncentracja rynku, marże i zyski wzrosły w ciągu ostatnich 25 lat, podczas gdy dynamika przemysłu zmniejszyła się pomimo aktywnego egzekwowania przepisów prawa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przyjmuje do wiadomości sprawozdanie Komisji, w którym stwierdzono, że koncentracja rynku, marże i zyski wzrosły w ciągu ostatnich 25 lat, podczas gdy dynamika przemysłu zmniejszyła się pomimo aktywnego egzekwowania przepisów prawa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przyjmuje do wiadomości sprawozdanie Komisji, w którym stwierdzono, że koncentracja rynku, marże i zyski wzrosły w ciągu ostatnich 25 lat, podczas gdy dynamika przemysłu zmniejszyła się pomimo aktywnego egzekwowania przepisów prawa konkurencji; </w:t>
            </w:r>
            <w:r>
              <w:rPr>
                <w:b/>
                <w:i/>
              </w:rPr>
              <w:t>podkreśla, że w innych sprawozdaniach stwierdzono, iż zwiększona koncentracja rynku, marże i zyski nie muszą wskazywać na nieprawidłowe funkcjonowanie rynku, i przypomina, że mogą one odzwierciedlać poprawę wydajności i innowacyjności oraz oszczędności skali osiągane przez przedsiębiorstwa;</w:t>
            </w:r>
            <w:r>
              <w:t xml:space="preserve"> </w:t>
            </w:r>
            <w:r>
              <w:rPr>
                <w:b/>
                <w:i/>
              </w:rPr>
              <w:t>uważa, że spadek dynamiki przemysłu może mieć więcej wspólnego z nadmiernymi interwencjami regulacyjnymi, które ograniczają zdolność przedsiębiorstw do przystosowania się i konkurowania na rynku światowym;</w:t>
            </w:r>
            <w:r>
              <w:t xml:space="preserve"> </w:t>
            </w:r>
            <w:r>
              <w:rPr>
                <w:b/>
                <w:i/>
              </w:rPr>
              <w:t>wzywa Komisję do przeprowadzenia przeglądu ram regulacyjnych w celu wspierania elastycznego i konkurencyjnego otoczenia, umożliwiającego przedsiębiorstwom wprowadzanie innowacji i rozwój bez zbędnych ograniczeń i obciążeń;</w:t>
            </w:r>
            <w:r>
              <w:t xml:space="preserve"> </w:t>
            </w:r>
            <w:r>
              <w:rPr>
                <w:b/>
                <w:i/>
              </w:rPr>
              <w:t>przypomina, że stosowanie prawa konkurencji powinno skupiać się na zapewnieniu otwartych i konkurencyjnych rynków wolnych od praktyk antykonkurencyjnych, bez niepotrzebnego ingerowania w naturalną dynamikę rynku;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przyjmuje do wiadomości sprawozdanie Komisji, w którym stwierdzono, że koncentracja rynku, marże i zyski wzrosły w ciągu ostatnich 25 lat, podczas gdy dynamika przemysłu zmniejszyła się </w:t>
            </w:r>
            <w:r>
              <w:rPr>
                <w:b/>
                <w:i/>
              </w:rPr>
              <w:t>pomimo aktywnego egzekwowania przepisów prawa</w:t>
            </w:r>
            <w:r>
              <w:t xml:space="preserve">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przyjmuje do wiadomości sprawozdanie Komisji, w którym stwierdzono, że koncentracja rynku, marże i zyski wzrosły w ciągu ostatnich 25 lat, podczas gdy dynamika przemysłu zmniejszyła się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zauważa również, że połączenia i przejęcia przez wiodące firmy prawdopodobnie przyczyniły się do obserwowanego wzrostu marż i koncentracji;</w:t>
            </w:r>
            <w:r>
              <w:t xml:space="preserve"> </w:t>
            </w:r>
            <w:r>
              <w:rPr>
                <w:b/>
                <w:i/>
              </w:rPr>
              <w:t>zauważa ponadto, że niski poziom</w:t>
            </w:r>
            <w:r>
              <w:t xml:space="preserve"> konkurencji </w:t>
            </w:r>
            <w:r>
              <w:rPr>
                <w:b/>
                <w:i/>
              </w:rPr>
              <w:t>wywarł znaczący negatywny wpływ na konsumentów, siłę nabywczą oraz konkurencyjność unijnych przedsiębiorstw i ogólny wzrost gospodarczy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przyjmuje do wiadomości sprawozdanie Komisji, w którym stwierdzono, że koncentracja rynku, marże i zyski wzrosły w ciągu ostatnich 25 lat, podczas gdy dynamika przemysłu zmniejszyła się pomimo aktywnego egzekwowania przepisów prawa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przyjmuje do wiadomości sprawozdanie Komisji, w którym stwierdzono, że koncentracja rynku, marże i zyski wzrosły w ciągu ostatnich 25 lat, podczas gdy dynamika przemysłu </w:t>
            </w:r>
            <w:r>
              <w:rPr>
                <w:b/>
                <w:i/>
              </w:rPr>
              <w:t>znacznie</w:t>
            </w:r>
            <w:r>
              <w:t xml:space="preserve"> zmniejszyła się pomimo aktywnego egzekwowania przepisów prawa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przyjmuje do wiadomości sprawozdanie</w:t>
            </w:r>
            <w:r>
              <w:t xml:space="preserve"> Komisji, w którym stwierdzono, że koncentracja rynku, marże i zyski wzrosły w ciągu ostatnich 25 lat, podczas gdy dynamika przemysłu zmniejszyła się pomimo aktywnego egzekwowania przepisów prawa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jest głęboko zaniepokojony sprawozdaniem</w:t>
            </w:r>
            <w:r>
              <w:t xml:space="preserve"> Komisji, w którym stwierdzono, że koncentracja rynku, marże i zyski wzrosły w ciągu ostatnich 25 lat, podczas gdy dynamika przemysłu zmniejszyła się pomimo aktywnego egzekwowania przepisów prawa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popiera fakt, że polityka konkurencji ma do odegrania kluczową rolę w rozwiązywaniu i łagodzeniu zakłóceń, które prowadzą do kryzysu kosztów utrzymania w całej UE;</w:t>
            </w:r>
            <w:r>
              <w:t xml:space="preserve"> </w:t>
            </w:r>
            <w:r>
              <w:rPr>
                <w:b/>
                <w:i/>
              </w:rPr>
              <w:t>podkreśla w tym kontekście, że w odpowiedzi na częstsze wstrząsy podażowe wynikające z napięć geopolitycznych oraz kryzysów klimatycznych i środowiskowych przedsiębiorstwa koordynują podwyżki cen w celu ochrony, a nawet zwiększenia marż zysku sprzyjających tym wstrząsom;</w:t>
            </w:r>
            <w:r>
              <w:t xml:space="preserve"> </w:t>
            </w:r>
            <w:r>
              <w:rPr>
                <w:b/>
                <w:i/>
              </w:rPr>
              <w:t>uważa, że chociaż wpływ polityki pieniężnej może być bardziej ograniczony w przypadku takich zakłóceń spowodowanych podażą, ukierunkowane i skoordynowane egzekwowanie przepisów antymonopolowych może być skuteczniejsze;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podkreśla, jak ważne jest zapewnienie większej ochrony małym i średnim przedsiębiorstwom oraz ogólnie wszystkim przedsiębiorstwom, które są gotowe zwiększyć finansowanie ryzyka;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w związku z tym wzywa Komisję Europejską do oceny, w jaki sposób przepisy antymonopolowe mają zastosowanie do podwyżek cen w kontekście wąskich gardeł, oraz do opracowania ram egzekwowania przepisów w przypadku nieuczciwych cen;</w:t>
            </w:r>
            <w:r>
              <w:t xml:space="preserve"> </w:t>
            </w:r>
            <w:r>
              <w:rPr>
                <w:b/>
                <w:i/>
              </w:rPr>
              <w:t>przypomina o zobowiązaniu komisarz Ribery do wydania wytycznych w sprawie oceny i zwalczania nadużyć przez przedsiębiorstwa dominujące, aby skuteczniej egzekwować art. 102 TFUE;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apeluje o większą przejrzystość i współpracę między organami krajowymi a Komisją Europejską przy stosowaniu reguł konkurencji, aby zapewnić jednolite i spójne podejście w całej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podkreśla potrzebę dokładnej analizy pomocy państwa, zwłaszcza w przypadku przedsiębiorstw działających w strategicznych sektorach, takich jak energetyka, technologia i innowacje;</w:t>
            </w:r>
            <w:r>
              <w:t xml:space="preserve"> </w:t>
            </w:r>
            <w:r>
              <w:rPr>
                <w:b/>
                <w:i/>
              </w:rPr>
              <w:t>podkreśla, jak ważne jest zapewnienie skuteczności pomocy państwa w rolnictwie, logistyce i transporcie;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zwraca uwagę, że pomoc państwa jest w coraz większym stopniu wykorzystywana do wspierania celów polityki przemysłowej;</w:t>
            </w:r>
            <w:r>
              <w:t xml:space="preserve"> </w:t>
            </w:r>
            <w:r>
              <w:rPr>
                <w:b/>
                <w:i/>
              </w:rPr>
              <w:t>odnotowuje rozbieżności między państwami członkowskimi w ich zdolnościach fiskalnych i ostrzega, że fragmentaryczna pomoc państwa stwarza nierówne warunki działania;</w:t>
            </w:r>
            <w:r>
              <w:t xml:space="preserve"> </w:t>
            </w:r>
            <w:r>
              <w:rPr>
                <w:b/>
                <w:i/>
              </w:rPr>
              <w:t>wzywa Komisję do monitorowania tego typu skutków;</w:t>
            </w:r>
            <w:r>
              <w:t xml:space="preserve"> </w:t>
            </w:r>
            <w:r>
              <w:rPr>
                <w:b/>
                <w:i/>
              </w:rPr>
              <w:t>wzywa Komisję i państwa członkowskie, aby nie rywalizowały za pomocą dotacji;</w:t>
            </w:r>
            <w:r>
              <w:t xml:space="preserve"> </w:t>
            </w:r>
            <w:r>
              <w:rPr>
                <w:b/>
                <w:i/>
              </w:rPr>
              <w:t>stwierdza, że tymczasowe ramy pomocy państwa nie zapobiegły dalszej fragmentaryzacji;</w:t>
            </w:r>
            <w:r>
              <w:t xml:space="preserve"> </w:t>
            </w:r>
            <w:r>
              <w:rPr>
                <w:b/>
                <w:i/>
              </w:rPr>
              <w:t>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</w:t>
            </w:r>
            <w:r>
              <w:rPr>
                <w:b/>
                <w:i/>
              </w:rPr>
              <w:t>odnotowuje rozbieżności między państwami członkowskimi w ich zdolnościach fiskalnych i ostrzega, że fragmentaryczna pomoc</w:t>
            </w:r>
            <w:r>
              <w:t xml:space="preserve"> państwa </w:t>
            </w:r>
            <w:r>
              <w:rPr>
                <w:b/>
                <w:i/>
              </w:rPr>
              <w:t>stwarza</w:t>
            </w:r>
            <w:r>
              <w:t xml:space="preserve"> nierówne warunki działania; wzywa Komisję do monitorowania tego typu skutków; </w:t>
            </w:r>
            <w:r>
              <w:rPr>
                <w:b/>
                <w:i/>
              </w:rPr>
              <w:t>wzywa Komisję i państwa członkowskie</w:t>
            </w:r>
            <w:r>
              <w:t xml:space="preserve">, aby nie rywalizowały za pomocą dotacji; stwierdza, że tymczasowe ramy pomocy państwa nie zapobiegły dalszej fragmentaryzacji; wzywa do ściślejszego monitorowania zgłaszanej pomocy państwa </w:t>
            </w:r>
            <w:r>
              <w:rPr>
                <w:b/>
                <w:i/>
              </w:rPr>
              <w:t>oraz do lepszej sprawozdawczości i większej przejrzystości</w:t>
            </w:r>
            <w:r>
              <w:t xml:space="preserve">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</w:t>
            </w:r>
            <w:r>
              <w:rPr>
                <w:b/>
                <w:i/>
              </w:rPr>
              <w:t>uważa, że korzystanie z pomocy państwa do celów przemysłowych zakłóca rynek, gdyż faworyzuje niektóre sektory lub przedsiębiorstwa ze szkodą dla innych, co może powodować nieefektywność i zniechęcać do innowacji i konkurencji;</w:t>
            </w:r>
            <w:r>
              <w:t xml:space="preserve"> </w:t>
            </w:r>
            <w:r>
              <w:rPr>
                <w:b/>
                <w:i/>
              </w:rPr>
              <w:t>odnotowuje rozbieżności w pomocy</w:t>
            </w:r>
            <w:r>
              <w:t xml:space="preserve"> państwa </w:t>
            </w:r>
            <w:r>
              <w:rPr>
                <w:b/>
                <w:i/>
              </w:rPr>
              <w:t>w UE, które stwarzają</w:t>
            </w:r>
            <w:r>
              <w:t xml:space="preserve"> nierówne warunki działania </w:t>
            </w:r>
            <w:r>
              <w:rPr>
                <w:b/>
                <w:i/>
              </w:rPr>
              <w:t>i zakłócają rynek</w:t>
            </w:r>
            <w:r>
              <w:t xml:space="preserve">; wzywa Komisję do monitorowania </w:t>
            </w:r>
            <w:r>
              <w:rPr>
                <w:b/>
                <w:i/>
              </w:rPr>
              <w:t>i korygowania</w:t>
            </w:r>
            <w:r>
              <w:t xml:space="preserve"> tego typu skutków; </w:t>
            </w:r>
            <w:r>
              <w:rPr>
                <w:b/>
                <w:i/>
              </w:rPr>
              <w:t>sugeruje Komisji i państwom członkowskim</w:t>
            </w:r>
            <w:r>
              <w:t>, aby nie rywalizowały za pomocą dotacji</w:t>
            </w:r>
            <w:r>
              <w:rPr>
                <w:b/>
                <w:i/>
              </w:rPr>
              <w:t>, co tylko zwiększa zakłócenia na rynku, często faworyzując nieefektywne przedsiębiorstwa, ale by proponowały środki sprzyjające konkurencyjności jednolitego rynku</w:t>
            </w:r>
            <w:r>
              <w:t>; stwierdza, że tymczasowe ramy pomocy państwa nie zapobiegły dalszej fragmentaryzacji</w:t>
            </w:r>
            <w:r>
              <w:rPr>
                <w:b/>
                <w:i/>
              </w:rPr>
              <w:t>, i podkreśla, że świadczy to o potrzebie zmniejszenia interwencji państwa na rynku</w:t>
            </w:r>
            <w:r>
              <w:t>; wzywa do ściślejszego monitorowania zgłaszanej pomocy państwa</w:t>
            </w:r>
            <w:r>
              <w:rPr>
                <w:b/>
                <w:i/>
              </w:rPr>
              <w:t>, nie tylko w celu zwiększenia przejrzystości i sprawozdawczości</w:t>
            </w:r>
            <w:r>
              <w:t xml:space="preserve"> w zakresie pomocy państwa zgodnie z zaleceniami Europejskiego Trybunału Obrachunkowego</w:t>
            </w:r>
            <w:r>
              <w:rPr>
                <w:b/>
                <w:i/>
              </w:rPr>
              <w:t>, ale również w celu zmniejszenia zależności przedsiębiorstw od pomocy państwa i wspierania konkurencji na jednolitym rynku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tego typu skutków; </w:t>
            </w:r>
            <w:r>
              <w:rPr>
                <w:b/>
                <w:i/>
              </w:rPr>
              <w:t>podkreśla, że osłabienie unijnych zasad pomocy państwa, które miało miejsce w ostatnich latach, doprowadziło do ogromnej nierównowagi na jednolitym rynku, zwłaszcza w dziedzinie finansowej pomocy państwa;</w:t>
            </w:r>
            <w:r>
              <w:t xml:space="preserve"> </w:t>
            </w:r>
            <w:r>
              <w:rPr>
                <w:b/>
                <w:i/>
              </w:rPr>
              <w:t>podkreśla, że dotacje finansowe są kosztownym i często nieefektywnym sposobem wspierania dużych uczestników rynku, głównie kosztem prawdziwej konkurencji i innowacji;</w:t>
            </w:r>
            <w:r>
              <w:t xml:space="preserve"> </w:t>
            </w:r>
            <w:r>
              <w:rPr>
                <w:b/>
                <w:i/>
              </w:rPr>
              <w:t>przypomina, że dotacje finansowe przynoszą korzyści jedynie tym państwom członkowskim, które dysponują środkami umożliwiającymi wydatkowanie dużych kwot pieniędzy;</w:t>
            </w:r>
            <w:r>
              <w:t xml:space="preserve">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zwraca uwagę</w:t>
            </w:r>
            <w:r>
              <w:t>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jest zaniepokojony</w:t>
            </w:r>
            <w:r>
              <w:t xml:space="preserve">, że pomoc państwa jest w coraz większym stopniu wykorzystywana do wspierania celów polityki przemysłowej; </w:t>
            </w:r>
            <w:r>
              <w:rPr>
                <w:b/>
                <w:i/>
              </w:rPr>
              <w:t>przypomina, że taka pomoc, dozwolona na mocy art. 107 ust. 3 lit. c) TFUE, nie może wpływać niekorzystnie na warunki wymiany handlowej ani na wspólny interes;</w:t>
            </w:r>
            <w:r>
              <w:t xml:space="preserve">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dotacji; stwierdza, że tymczasowe ramy pomocy państwa nie zapobiegły dalszej fragmentaryzacji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wzywa do rozszerzenia pomocy z budżetu UE, a nie potencjalnie nieskoordynowanych krajowych programów pomocy państwa;</w:t>
            </w:r>
            <w:r>
              <w:t xml:space="preserve"> </w:t>
            </w:r>
            <w:r>
              <w:rPr>
                <w:b/>
                <w:i/>
              </w:rPr>
              <w:t>zauważa z zaniepokojeniem, że tylko dwa państwa członkowskie odpowiadały za 77 %</w:t>
            </w: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pomocy państwa zgłoszonej na podstawie tymczasowych ram kryzysowych</w:t>
            </w:r>
            <w:r>
              <w:t>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Pomoc państwa w następstwie pandemii, wojny i subsydiów zagranicznych – autor:</w:t>
            </w:r>
            <w:r>
              <w:t xml:space="preserve"> </w:t>
            </w:r>
            <w:r>
              <w:rPr>
                <w:b/>
                <w:i/>
              </w:rPr>
              <w:t>Marcin Cesluk-Grajewski Biuro Analiz dla Posłów PE 747.106 – kwiecień 2023 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Enikő Győri,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dotacji; </w:t>
            </w:r>
            <w:r>
              <w:rPr>
                <w:b/>
                <w:i/>
              </w:rPr>
              <w:t>stwierdza, że tymczasowe ramy pomocy państwa nie zapobiegły dalszej fragmentaryzacji;</w:t>
            </w:r>
            <w:r>
              <w:t xml:space="preserve"> </w:t>
            </w:r>
            <w:r>
              <w:rPr>
                <w:b/>
                <w:i/>
              </w:rPr>
              <w:t>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</w:t>
            </w:r>
            <w:r>
              <w:rPr>
                <w:b/>
                <w:i/>
              </w:rPr>
              <w:t>i ostrzega, że fragmentaryczna pomoc państwa stwarza nierówne warunki działania;</w:t>
            </w:r>
            <w:r>
              <w:t xml:space="preserve"> </w:t>
            </w:r>
            <w:r>
              <w:rPr>
                <w:b/>
                <w:i/>
              </w:rPr>
              <w:t>wzywa Komisję do monitorowania tego typu skutków</w:t>
            </w:r>
            <w:r>
              <w:t>; wzywa Komisję i państwa członkowskie</w:t>
            </w:r>
            <w:r>
              <w:rPr>
                <w:b/>
                <w:i/>
              </w:rPr>
              <w:t>, aby nie rywalizowały za pomocą dotacji;</w:t>
            </w:r>
            <w:r>
              <w:t xml:space="preserve"> </w:t>
            </w:r>
            <w:r>
              <w:rPr>
                <w:b/>
                <w:i/>
              </w:rPr>
              <w:t>stwierdza, że tymczasowe ramy pomocy państwa nie zapobiegły dalszej fragmentaryzacji</w:t>
            </w:r>
            <w:r>
              <w:t>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fiskalnych; wzywa Komisję i państwa członkowskie </w:t>
            </w:r>
            <w:r>
              <w:rPr>
                <w:b/>
                <w:i/>
              </w:rPr>
              <w:t>do wspierania przemysłu europejskiego na wszystkie sposoby</w:t>
            </w:r>
            <w:r>
              <w:t>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dotacji; stwierdza, że tymczasowe ramy pomocy państwa nie zapobiegły dalszej fragmentaryzacji; </w:t>
            </w:r>
            <w:r>
              <w:rPr>
                <w:b/>
                <w:i/>
              </w:rPr>
              <w:t>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dotacji; stwierdza, że tymczasowe ramy pomocy państwa nie zapobiegły dalszej fragmentaryzacji;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</w:t>
            </w:r>
            <w:r>
              <w:rPr>
                <w:b/>
                <w:i/>
              </w:rPr>
              <w:t>monitorowania tego typu skutków</w:t>
            </w:r>
            <w:r>
              <w:t>;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 </w:t>
            </w:r>
            <w:r>
              <w:rPr>
                <w:b/>
                <w:i/>
              </w:rPr>
              <w:t>na jednolitym rynku</w:t>
            </w:r>
            <w:r>
              <w:t xml:space="preserve">; wzywa Komisję do </w:t>
            </w:r>
            <w:r>
              <w:rPr>
                <w:b/>
                <w:i/>
              </w:rPr>
              <w:t>zagwarantowania integralności jednolitego rynku</w:t>
            </w:r>
            <w:r>
              <w:t>;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stwierdza, że tymczasowe ramy pomocy państwa nie zapobiegły dalszej fragmentaryzacji</w:t>
            </w:r>
            <w:r>
              <w:t>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</w:t>
            </w:r>
            <w:r>
              <w:rPr>
                <w:b/>
                <w:i/>
              </w:rPr>
              <w:t>przypomina, że w ostatnim czasie szereg przypadków pomocy państwa okazał się oczywistym fiaskiem, i jako przykład podaje sprawę Northvolt w Dithmarschen;</w:t>
            </w:r>
            <w:r>
              <w:t xml:space="preserve"> odnotowuje rozbieżności między państwami członkowskimi w ich zdolnościach fiskalnych i ostrzega, że fragmentaryczna pomoc państwa stwarza nierówne warunki działania; wzywa Komisję do monitorowania tego typu skutków; wzywa Komisję i państwa członkowskie, aby nie rywalizowały za pomocą dotacji;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</w:t>
            </w:r>
            <w:r>
              <w:rPr>
                <w:b/>
                <w:i/>
              </w:rPr>
              <w:t>tego typu skutków</w:t>
            </w:r>
            <w:r>
              <w:t>;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fragmentaryczna pomoc państwa stwarza nierówne warunki działania; wzywa Komisję do monitorowania </w:t>
            </w:r>
            <w:r>
              <w:rPr>
                <w:b/>
                <w:i/>
              </w:rPr>
              <w:t>tych skutków i do stworzenia wspólnego instrumentu finansowania europejskiej polityki przemysłowej</w:t>
            </w:r>
            <w:r>
              <w:t>;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</w:t>
            </w:r>
            <w:r>
              <w:rPr>
                <w:b/>
                <w:i/>
              </w:rPr>
              <w:t>fragmentaryczna pomoc</w:t>
            </w:r>
            <w:r>
              <w:t xml:space="preserve"> państwa </w:t>
            </w:r>
            <w:r>
              <w:rPr>
                <w:b/>
                <w:i/>
              </w:rPr>
              <w:t>stwarza</w:t>
            </w:r>
            <w:r>
              <w:t xml:space="preserve"> nierówne warunki działania; wzywa Komisję do monitorowania tego typu skutków; wzywa Komisję i państwa członkowskie, aby nie </w:t>
            </w:r>
            <w:r>
              <w:rPr>
                <w:b/>
                <w:i/>
              </w:rPr>
              <w:t>rywalizowały za pomocą dotacji;</w:t>
            </w:r>
            <w:r>
              <w:t xml:space="preserve"> </w:t>
            </w:r>
            <w:r>
              <w:rPr>
                <w:b/>
                <w:i/>
              </w:rPr>
              <w:t>stwierdza, że tymczasowe ramy pomocy państwa nie zapobiegły dalszej fragmentaryzacji;</w:t>
            </w:r>
            <w:r>
              <w:t xml:space="preserve"> </w:t>
            </w:r>
            <w:r>
              <w:rPr>
                <w:b/>
                <w:i/>
              </w:rPr>
              <w:t>wzywa do ściślejszego monitorowania zgłaszanej pomocy państwa oraz do lepszej sprawozdawczości i większej przejrzystości w zakresie pomocy państwa zgodnie z zaleceniami Europejskiego Trybunału Obrachunkowego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zdolnościach fiskalnych i ostrzega, że </w:t>
            </w:r>
            <w:r>
              <w:rPr>
                <w:b/>
                <w:i/>
              </w:rPr>
              <w:t>nierówne podejście do przyznawania pomocy</w:t>
            </w:r>
            <w:r>
              <w:t xml:space="preserve"> państwa </w:t>
            </w:r>
            <w:r>
              <w:rPr>
                <w:b/>
                <w:i/>
              </w:rPr>
              <w:t>może stworzyć</w:t>
            </w:r>
            <w:r>
              <w:t xml:space="preserve"> nierówne warunki działania </w:t>
            </w:r>
            <w:r>
              <w:rPr>
                <w:b/>
                <w:i/>
              </w:rPr>
              <w:t>na jednolitym rynku</w:t>
            </w:r>
            <w:r>
              <w:t xml:space="preserve">; wzywa Komisję do monitorowania tego typu skutków; wzywa Komisję i państwa członkowskie, aby nie </w:t>
            </w:r>
            <w:r>
              <w:rPr>
                <w:b/>
                <w:i/>
              </w:rPr>
              <w:t>brały udział w wyścigu o dotacje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</w:t>
            </w:r>
            <w:r>
              <w:rPr>
                <w:b/>
                <w:i/>
              </w:rPr>
              <w:t>zdolnościach</w:t>
            </w:r>
            <w:r>
              <w:t xml:space="preserve"> fiskalnych i ostrzega, że fragmentaryczna pomoc państwa stwarza nierówne warunki działania; wzywa Komisję do monitorowania tego typu skutków;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zwraca uwagę, że pomoc państwa jest w coraz większym stopniu wykorzystywana do wspierania celów polityki przemysłowej; odnotowuje rozbieżności między państwami członkowskimi w ich </w:t>
            </w:r>
            <w:r>
              <w:rPr>
                <w:b/>
                <w:i/>
              </w:rPr>
              <w:t>możliwościach</w:t>
            </w:r>
            <w:r>
              <w:t xml:space="preserve"> fiskalnych i ostrzega, że fragmentaryczna pomoc państwa stwarza nierówne warunki działania; wzywa Komisję do monitorowania tego typu skutków; wzywa Komisję i państwa członkowskie, aby nie rywalizowały za pomocą dotacji; stwierdza, że tymczasowe ramy pomocy państwa nie zapobiegły dalszej fragmentaryzacji; wzywa do ściślejszego monitorowania zgłaszanej pomocy państwa oraz do lepszej sprawozdawczości i większej przejrzystości w zakresie pomocy państwa zgodnie z zaleceniami Europejskiego Trybunału Obrachunkowego;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podkreśla, że polityka konkurencji nie powinna być przeszkodą we wdrażaniu aktywnej strategii przemysłowej;</w:t>
            </w:r>
            <w:r>
              <w:t xml:space="preserve"> </w:t>
            </w:r>
            <w:r>
              <w:rPr>
                <w:b/>
                <w:i/>
              </w:rPr>
              <w:t>wzywa państwa członkowskie i Unię do prowadzenia aktywnej polityki przemysłowej, której fundament stanowią znaczące inwestycje publiczne ukierunkowane na zwalczanie nierówności społecznych i regionalnych, dekarbonizację przemysłu i zwiększenie autonomii w kluczowych sektorach gospodarki, a zarazem przyczynianie się w skali globalnej do równomiernego i zrównoważonego rozwoju gospodarczego;</w:t>
            </w:r>
            <w:r>
              <w:t xml:space="preserve"> </w:t>
            </w:r>
            <w:r>
              <w:rPr>
                <w:b/>
                <w:i/>
              </w:rPr>
              <w:t>apeluje o skoordynowane uelastycznienie zasad pomocy państwa oraz o wprowadzenie specjalnych, stałych europejskich funduszy solidarnościowych, aby zrównoważyć nierównomierność we wsparciu i rozwoju przemysłu w państwach członkowskich;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zwraca uwagę, że polityka pomocy państwa nadal wspiera paliwa kopalne;</w:t>
            </w:r>
            <w:r>
              <w:t xml:space="preserve"> </w:t>
            </w:r>
            <w:r>
              <w:rPr>
                <w:b/>
                <w:i/>
              </w:rPr>
              <w:t>przypomina ósmy plan działań w zakresie środowiska mający na celu stopniowe wycofywanie dotacji o skutkach szkodliwych dla środowiska, w szczególności dopłat do paliw kopalnych;</w:t>
            </w:r>
            <w:r>
              <w:t xml:space="preserve"> </w:t>
            </w:r>
            <w:r>
              <w:rPr>
                <w:b/>
                <w:i/>
              </w:rPr>
              <w:t>odnotowuje kluczowe zalecenia 4 i 5 zawarte w sprawozdaniu z oceny z 2024 r. zawartym w sprawozdaniu Europejskiego Naukowego Komitetu Doradczego ds. Zmiany Klimatu, w szczególności zalecenie, by przepisy UE mające wpływ na pomoc państwa dla przedsiębiorstw były bardziej spójne z celami klimatycznymi UE;</w:t>
            </w:r>
            <w:r>
              <w:t xml:space="preserve"> </w:t>
            </w:r>
            <w:r>
              <w:rPr>
                <w:b/>
                <w:i/>
              </w:rPr>
              <w:t>wzywa do zwiększenia ambicji, aby wykluczyć bezpośrednią i pośrednią pomoc finansową dla paliw kopalnych z kwalifikowalności do wsparcia w ramach polityki pomocy państwa;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Irene Tinagli, Lara Wolters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podkreśla, że obecne ramy pomocy państwa często ograniczają interwencję publiczną na rynku mieszkaniowym, ograniczając zdolność państw członkowskich do bezpośredniego finansowania społecznych i przystępnych cenowo projektów mieszkaniowych;</w:t>
            </w:r>
            <w:r>
              <w:t xml:space="preserve"> </w:t>
            </w:r>
            <w:r>
              <w:rPr>
                <w:b/>
                <w:i/>
              </w:rPr>
              <w:t>podkreśla, że system pomocy państwa musi zostać dostosowany, aby odzwierciedlał dobro publiczne zapewniane przez przystępne cenowo mieszkania i umożliwiał bardziej ukierunkowane inwestycje w mieszkania socjalne i przystępne cenowo mieszkania, a takie zmiany umożliwiłyby państwom członkowskim lepsze rozwiązanie problemu niedoboru mieszkań lokalnych i regionalnych oraz ułatwiłyby długoterminową przystępność cenową;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podkreśla, jak ważna jest pomoc państwa jako instrument zmniejszania przepaści gospodarczej między najbardziej rozwiniętymi regionami UE a wyspami, obszarami śródlądowymi, regionami najbardziej oddalonymi, obszarami znajdującymi się w trudnej sytuacji gospodarczej i wszystkimi tymi częściami UE, w których występują niekorzystne czynniki naturalne;</w:t>
            </w:r>
            <w:r>
              <w:t xml:space="preserve"> </w:t>
            </w:r>
            <w:r>
              <w:rPr>
                <w:b/>
                <w:i/>
              </w:rPr>
              <w:t>wzywa do większej elastyczności i mniejszych ograniczeń w zakresie pomocy państwa dla unijnych regionów wyspiarskich i regionów znajdujących się w najtrudniejszym położeniu;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 zadowoleniem przyjmuje ochronę równych warunków działania na rynkach europejskich, w europejskich przedsiębiorstwach i wśród ich pracowników za pomocą środków antydumpingowych, które korygują zakłócającą zagraniczną pomoc państwa;</w:t>
            </w:r>
            <w:r>
              <w:t xml:space="preserve"> </w:t>
            </w:r>
            <w:r>
              <w:rPr>
                <w:b/>
                <w:i/>
              </w:rPr>
              <w:t>ostrzega, że należności celne przywozowe powinny być podwyższane jedynie za pomocą subsydiów i w celu zapobiegania działaniom odwetowym i tzw. wojnom taryfowym;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Verst/ALE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uważa, że długoterminowa konkurencyjność i odporność UE wymaga włączenia kwestii klimatycznych i środowiskowych do ram polityki konkurencji UE;</w:t>
            </w:r>
            <w:r>
              <w:t xml:space="preserve"> </w:t>
            </w:r>
            <w:r>
              <w:rPr>
                <w:b/>
                <w:i/>
              </w:rPr>
              <w:t>podkreśla potrzebę włączenia kwestii środowiskowych do polityki pomocy państwa poprzez włączenie uwarunkowań klimatycznych i środowiskowych do polityki pomocy państwa;</w:t>
            </w:r>
            <w:r>
              <w:t xml:space="preserve"> </w:t>
            </w:r>
            <w:r>
              <w:rPr>
                <w:b/>
                <w:i/>
              </w:rPr>
              <w:t>popiera fakt, że takie warunki powinny systematycznie obejmować znaczące wdrożenie zasady „nie czyń poważnych szkód” w celu ochrony przed potencjalnymi negatywnymi skutkami każdej pomocy dla klimatu i środowiska;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uważa, że każda udzielona pomoc państwa powinna być spójna z celami polityki UE, takimi jak Zielony Ład i filar praw socjalnych;</w:t>
            </w:r>
            <w:r>
              <w:t xml:space="preserve"> </w:t>
            </w:r>
            <w:r>
              <w:rPr>
                <w:b/>
                <w:i/>
              </w:rPr>
              <w:t>apeluje, aby przedsiębiorstwa, które unikają opodatkowania z wykorzystaniem państw trzecich będących rajami podatkowymi, zostały wykluczone z procedur udzielania zamówień publicznych i otrzymały zakaz korzystania z pomocy państwa, ponieważ przedsiębiorstwa te konkurują na nieuczciwych warunkach z przedsiębiorstwami mającymi siedzibę w krajach niebędących rajami podatkowymi;</w:t>
            </w:r>
            <w:r>
              <w:t xml:space="preserve"> </w:t>
            </w:r>
            <w:r>
              <w:rPr>
                <w:b/>
                <w:i/>
              </w:rPr>
              <w:t>wzywa Komisję do zbadania kwestii braku harmonizacji mechanizmów wycofania pomocy w państwach członkowskich;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wzywa do regularnego przeprowadzania przeglądu polityki konkurencji UE, aby zagwarantować, że jest ona zawsze dostosowana do wyzwań rynku globalnego, nowych technologii i potrzeb konsumentów, a także aby poprawić skuteczność podejmowanych środków;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podkreśla znaczenie ważnych projektów stanowiących przedmiot wspólnego europejskiego zainteresowania (projektów IPCEI) dla finansowania projektów o wymiarze transgranicznym w Unii;</w:t>
            </w:r>
            <w:r>
              <w:t xml:space="preserve"> </w:t>
            </w:r>
            <w:r>
              <w:rPr>
                <w:b/>
                <w:i/>
              </w:rPr>
              <w:t>podkreśla, że IPCEI powinny charakteryzować się rzeczywistą europejską wartością dodaną, czyli wywierać pozytywny wpływ na więcej niż jedno państwo członkowskie;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zaleca wzmocnienie koordynacji między krajowymi organami ochrony konkurencji, aby zwiększyć skuteczność i zapewnić jednolite stosowanie prawa konkurencji w całej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przyjmuje do wiadomości szacunki Maria Draghiego, zgodnie z którymi ochrona konkurencyjności UE wymaga dodatkowych 800 mld EUR rocznie;</w:t>
            </w:r>
            <w:r>
              <w:t xml:space="preserve"> </w:t>
            </w:r>
            <w:r>
              <w:rPr>
                <w:b/>
                <w:i/>
              </w:rPr>
              <w:t>potwierdza znaczenie inwestycji publicznych w tym kontekście;</w:t>
            </w:r>
            <w:r>
              <w:t xml:space="preserve"> </w:t>
            </w:r>
            <w:r>
              <w:rPr>
                <w:b/>
                <w:i/>
              </w:rPr>
              <w:t>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przyjmuje do wiadomości szacunki Maria Draghiego, zgodnie z którymi ochrona konkurencyjności UE wymaga dodatkowych 800 mld EUR rocznie;</w:t>
            </w:r>
            <w:r>
              <w:t xml:space="preserve"> </w:t>
            </w:r>
            <w:r>
              <w:rPr>
                <w:b/>
                <w:i/>
              </w:rPr>
              <w:t>potwierdza znaczenie inwestycji publicznych w tym kontekście;</w:t>
            </w:r>
            <w:r>
              <w:t xml:space="preserve"> </w:t>
            </w:r>
            <w:r>
              <w:rPr>
                <w:b/>
                <w:i/>
              </w:rPr>
              <w:t>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</w:t>
            </w:r>
            <w:r>
              <w:rPr>
                <w:b/>
                <w:i/>
              </w:rPr>
              <w:t>ochrona konkurencyjności UE wymaga dodatkowych</w:t>
            </w:r>
            <w:r>
              <w:t xml:space="preserve"> 800 mld EUR rocznie; </w:t>
            </w:r>
            <w:r>
              <w:rPr>
                <w:b/>
                <w:i/>
              </w:rPr>
              <w:t>potwierdza znaczenie</w:t>
            </w:r>
            <w:r>
              <w:t xml:space="preserve"> inwestycji publicznych </w:t>
            </w:r>
            <w:r>
              <w:rPr>
                <w:b/>
                <w:i/>
              </w:rPr>
              <w:t>w tym kontekście</w:t>
            </w:r>
            <w:r>
              <w:t xml:space="preserve">; uważa, że </w:t>
            </w:r>
            <w:r>
              <w:rPr>
                <w:b/>
                <w:i/>
              </w:rPr>
              <w:t>zasadnicze</w:t>
            </w:r>
            <w:r>
              <w:t xml:space="preserve"> znaczenie </w:t>
            </w:r>
            <w:r>
              <w:rPr>
                <w:b/>
                <w:i/>
              </w:rPr>
              <w:t>ma zapewnienie UE stałej zdolności inwestycyjnej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</w:t>
            </w:r>
            <w:r>
              <w:rPr>
                <w:b/>
                <w:i/>
              </w:rPr>
              <w:t>potrzebne może być</w:t>
            </w:r>
            <w:r>
              <w:t xml:space="preserve"> 800 mld EUR rocznie; </w:t>
            </w:r>
            <w:r>
              <w:rPr>
                <w:b/>
                <w:i/>
              </w:rPr>
              <w:t>uważa, że konkurencyjność nie powinna zależeć od większych</w:t>
            </w:r>
            <w:r>
              <w:t xml:space="preserve"> inwestycji publicznych</w:t>
            </w:r>
            <w:r>
              <w:rPr>
                <w:b/>
                <w:i/>
              </w:rPr>
              <w:t>, lecz od konkurencyjnego i regulacyjnego otoczenia sprzyjającego efektywności rynku i umożliwiającego przedsiębiorstwom wprowadzanie innowacji i swobodne konkurowanie;</w:t>
            </w:r>
            <w:r>
              <w:t xml:space="preserve"> </w:t>
            </w:r>
            <w:r>
              <w:rPr>
                <w:b/>
                <w:i/>
              </w:rPr>
              <w:t>podkreśla, że sektor prywatny jest główną siłą napędową inwestycji i wzrostu gospodarczego, a ekspansja inwestycji publicznych może prowadzić do nieefektywności i zniechęcać do konkurencji;</w:t>
            </w:r>
            <w:r>
              <w:t xml:space="preserve"> </w:t>
            </w:r>
            <w:r>
              <w:rPr>
                <w:b/>
                <w:i/>
              </w:rPr>
              <w:t>uznaje, że inwestycje publiczne mogą odgrywać rolę uzupełniającą, ale nalega, by interwencje państwa były ograniczone i nie zastępowały inwestycji prywatnych</w:t>
            </w:r>
            <w:r>
              <w:t xml:space="preserve">; uważa, że </w:t>
            </w:r>
            <w:r>
              <w:rPr>
                <w:b/>
                <w:i/>
              </w:rPr>
              <w:t>ukończenie tworzenia unii rynków kapitałowych ma ogromne</w:t>
            </w:r>
            <w:r>
              <w:t xml:space="preserve"> znaczenie </w:t>
            </w:r>
            <w:r>
              <w:rPr>
                <w:b/>
                <w:i/>
              </w:rPr>
              <w:t>dla uzyskania niezbędnych inwestycji prywatnych;</w:t>
            </w:r>
            <w:r>
              <w:t xml:space="preserve"> </w:t>
            </w:r>
            <w:r>
              <w:rPr>
                <w:b/>
                <w:i/>
              </w:rPr>
              <w:t>opowiada się za polityką skupiającą się na zmniejszaniu barier regulacyjnych, wspieraniu liberalizacji rynku i umożliwianiu sektorowi prywatnemu odgrywania aktywniejszej roli w inwestycjach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</w:t>
            </w:r>
            <w:r>
              <w:rPr>
                <w:b/>
                <w:i/>
              </w:rPr>
              <w:t>szacunki</w:t>
            </w:r>
            <w:r>
              <w:t xml:space="preserve"> Maria Draghiego, zgodnie z </w:t>
            </w:r>
            <w:r>
              <w:rPr>
                <w:b/>
                <w:i/>
              </w:rPr>
              <w:t>którymi ochrona konkurencyjności UE wymaga dodatkowych 800 mld EUR rocznie</w:t>
            </w:r>
            <w:r>
              <w:t xml:space="preserve">; potwierdza </w:t>
            </w:r>
            <w:r>
              <w:rPr>
                <w:b/>
                <w:i/>
              </w:rPr>
              <w:t>znaczenie inwestycji publicznych w tym kontekście;</w:t>
            </w:r>
            <w:r>
              <w:t xml:space="preserve"> </w:t>
            </w:r>
            <w:r>
              <w:rPr>
                <w:b/>
                <w:i/>
              </w:rPr>
              <w:t>uważa, że zasadnicze znaczenie ma zapewnienie UE stałej zdolności inwestycyjnej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</w:t>
            </w:r>
            <w:r>
              <w:rPr>
                <w:b/>
                <w:i/>
              </w:rPr>
              <w:t>ocenę</w:t>
            </w:r>
            <w:r>
              <w:t xml:space="preserve"> Maria Draghiego, zgodnie z </w:t>
            </w:r>
            <w:r>
              <w:rPr>
                <w:b/>
                <w:i/>
              </w:rPr>
              <w:t>którą należy pilnie zwiększyć wydajność i zdolności finansowe, aby chronić konkurencyjność UE</w:t>
            </w:r>
            <w:r>
              <w:t xml:space="preserve">; potwierdza </w:t>
            </w:r>
            <w:r>
              <w:rPr>
                <w:b/>
                <w:i/>
              </w:rPr>
              <w:t>pilną potrzebę reform wraz ze skuteczną realizacją trzech filarów sprawozdania Draghiego: (i) zniwelowanie luki innowacyjnej w stosunku do Stanów Zjednoczonych i Chin; (ii) wspólny plan na rzecz dekarbonizacji i konkurencyjności w celu przyspieszenia transformacji i obniżenia kosztów energii</w:t>
            </w:r>
            <w:r>
              <w:t xml:space="preserve"> </w:t>
            </w:r>
            <w:r>
              <w:rPr>
                <w:b/>
                <w:i/>
              </w:rPr>
              <w:t>oraz (iii) poprawa bezpieczeństwa i zmniejszenie zależności;</w:t>
            </w:r>
            <w:r>
              <w:t xml:space="preserve"> </w:t>
            </w:r>
            <w:r>
              <w:rPr>
                <w:b/>
                <w:i/>
              </w:rPr>
              <w:t>postępy w realizacji tych filarów będą również zależały od przekrojowych i wzajemnie powiązanych czynników warunkujących konkurencyjność i wzrost sprzyjający włączeniu społecznemu – od pogłębienia jednolitego rynku, uproszczeń, rozwoju umiejętności i tworzenia miejsc pracy wysokiej jakości, finansowania inwestycji i poprawy koordynacji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</w:t>
            </w:r>
            <w:r>
              <w:rPr>
                <w:b/>
                <w:i/>
              </w:rPr>
              <w:t>znaczenie</w:t>
            </w:r>
            <w:r>
              <w:t xml:space="preserve"> inwestycji publicznych w tym kontekście; 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</w:t>
            </w:r>
            <w:r>
              <w:rPr>
                <w:b/>
                <w:i/>
              </w:rPr>
              <w:t>wagę znacznych</w:t>
            </w:r>
            <w:r>
              <w:t xml:space="preserve"> inwestycji publicznych </w:t>
            </w:r>
            <w:r>
              <w:rPr>
                <w:b/>
                <w:i/>
              </w:rPr>
              <w:t>i prywatnych</w:t>
            </w:r>
            <w:r>
              <w:t xml:space="preserve"> w tym kontekście; uważa, że zasadnicze znaczenie ma zapewnienie UE stałej zdolności inwestycyjnej; </w:t>
            </w:r>
            <w:r>
              <w:rPr>
                <w:b/>
                <w:i/>
              </w:rPr>
              <w:t>uważa, że wyczekiwana strategia Komisji na rzecz unii oszczędności i inwestycji, a także strategia inwestycji detalicznych mają kluczowe znaczenie, by zachęcać do inwestycji prywatnych i je mobilizować, oraz wzywa współprawodawców, by utrzymali wysoki poziom ambicji i poczynili szybkie postępy w realizacji tych inicjatyw;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przyjmuje do wiadomości szacunki Maria Draghiego, zgodnie z którymi ochrona konkurencyjności UE wymaga dodatkowych 800 mld EUR rocznie; potwierdza znaczenie inwestycji publicznych w tym kontekście; 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</w:t>
            </w:r>
            <w:r>
              <w:rPr>
                <w:b/>
                <w:i/>
              </w:rPr>
              <w:t>i prywatnych</w:t>
            </w:r>
            <w:r>
              <w:t xml:space="preserve"> w tym kontekście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podkreśla, że odblokowanie inwestycji prywatnych na niezbędną skalę będzie wymagało znacznego zmniejszenia prywatnych kosztów kapitału, co można osiągnąć dzięki zachętom podatkowym i poprawie efektywności rynku kapitałowego</w:t>
            </w:r>
            <w:r>
              <w:rPr>
                <w:b/>
                <w:i/>
                <w:vertAlign w:val="superscript"/>
              </w:rPr>
              <w:t>6a</w:t>
            </w:r>
            <w:r>
              <w:t>; uważa, że zasadnicze znaczenie ma zapewnienie UE stałej zdolności inwestycyjnej;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6a</w:t>
            </w:r>
            <w:r>
              <w:t xml:space="preserve"> </w:t>
            </w:r>
            <w:r>
              <w:rPr>
                <w:b/>
                <w:i/>
              </w:rPr>
              <w:t>Przyszłość europejskiej konkurencyjności. Część B</w:t>
            </w:r>
            <w:r>
              <w:t xml:space="preserve"> </w:t>
            </w:r>
            <w:r>
              <w:rPr>
                <w:b/>
                <w:i/>
              </w:rPr>
              <w:t>| Szczegółowa analiza i zalecenia, rozdział 3 – Utrzymanie inwestycji, s. 283.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przyjmuje do wiadomości szacunki Maria Draghiego, zgodnie z którymi ochrona konkurencyjności UE wymaga dodatkowych 800 mld EUR rocznie; potwierdza znaczenie inwestycji publicznych w tym kontekście; 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w tym kontekście; uważa, że zasadnicze znaczenie ma zapewnienie UE stałej zdolności inwestycyjnej; </w:t>
            </w:r>
            <w:r>
              <w:rPr>
                <w:b/>
                <w:i/>
              </w:rPr>
              <w:t>uznaje, że istotne jest, aby Komisja i państwa członkowskie określiły, w jaki sposób można zaspokoić tę nadzwyczajną potrzebę finansową oraz jaki wkład mogą wnieść poszczególne państwa członkowskie;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przyjmuje do wiadomości szacunki Maria Draghiego, zgodnie z którymi ochrona konkurencyjności UE wymaga dodatkowych 800 mld EUR rocznie; potwierdza znaczenie inwestycji publicznych w tym kontekście; 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</w:t>
            </w:r>
            <w:r>
              <w:rPr>
                <w:b/>
                <w:i/>
              </w:rPr>
              <w:t>zrównoważonych</w:t>
            </w:r>
            <w:r>
              <w:t xml:space="preserve"> inwestycji publicznych w tym kontekście; uważa, że zasadnicze znaczenie ma zapewnienie UE stałej zdolności inwestycyjnej; </w:t>
            </w:r>
            <w:r>
              <w:rPr>
                <w:b/>
                <w:i/>
              </w:rPr>
              <w:t>podkreśla znaczenie inwestycji prywatnych dla zwiększenia konkurencyjności i uważa, że należy pilnie uruchomić unię oszczędności i inwestycji, co pozwoli ukończyć unię rynków kapitałowych;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w tym kontekście; </w:t>
            </w:r>
            <w:r>
              <w:rPr>
                <w:b/>
                <w:i/>
              </w:rPr>
              <w:t>uważa, że zasadnicze znaczenie ma zapewnienie UE stałej zdolności inwestycyjnej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</w:t>
            </w:r>
            <w:r>
              <w:rPr>
                <w:b/>
                <w:i/>
              </w:rPr>
              <w:t>i prywatnych</w:t>
            </w:r>
            <w:r>
              <w:t xml:space="preserve"> w tym kontekście; </w:t>
            </w:r>
            <w:r>
              <w:rPr>
                <w:b/>
                <w:i/>
              </w:rPr>
              <w:t>podkreśla, że potrzebne będą dodatkowe inwestycje publiczne i prywatne, aby zaradzić rozdrobnieniu rynku wewnętrznego, wesprzeć strategię przemysłową UE, zmniejszyć nasze krytyczne zależności i zapewnić naszą otwartą strategiczną autonomię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Anouk Van Brug,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w tym kontekście; </w:t>
            </w:r>
            <w:r>
              <w:rPr>
                <w:b/>
                <w:i/>
              </w:rPr>
              <w:t>uważa, że zasadnicze znaczenie ma zapewnienie UE stałej zdolności inwestycyjnej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</w:t>
            </w:r>
            <w:r>
              <w:rPr>
                <w:b/>
                <w:i/>
              </w:rPr>
              <w:t>zarówno</w:t>
            </w:r>
            <w:r>
              <w:t xml:space="preserve"> inwestycji publicznych</w:t>
            </w:r>
            <w:r>
              <w:rPr>
                <w:b/>
                <w:i/>
              </w:rPr>
              <w:t>, jak i prywatnych</w:t>
            </w:r>
            <w:r>
              <w:t xml:space="preserve"> w tym kontekście; </w:t>
            </w:r>
            <w:r>
              <w:rPr>
                <w:b/>
                <w:i/>
              </w:rPr>
              <w:t>podkreśla, że ukończenie unii rynków kapitałowych ma przy tym kluczowe znaczenie, aby uwolnić potencjał kapitału prywatnego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Enikő Győri,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w tym kontekście; </w:t>
            </w:r>
            <w:r>
              <w:rPr>
                <w:b/>
                <w:i/>
              </w:rPr>
              <w:t>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przyjmuje do wiadomości szacunki Maria Draghiego, zgodnie z którymi ochrona konkurencyjności UE wymaga dodatkowych 800 mld EUR rocznie; potwierdza znaczenie inwestycji publicznych w tym kontekście;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w tym kontekście; uważa, że </w:t>
            </w:r>
            <w:r>
              <w:rPr>
                <w:b/>
                <w:i/>
              </w:rPr>
              <w:t>zasadnicze znaczenie ma</w:t>
            </w:r>
            <w:r>
              <w:t xml:space="preserve">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w tym kontekście; uważa, że zapewnienie UE stałej zdolności inwestycyjnej </w:t>
            </w:r>
            <w:r>
              <w:rPr>
                <w:b/>
                <w:i/>
              </w:rPr>
              <w:t>ma zasadnicze znaczenie dla ukończenia dwojakiej transformacji – ekologicznej i cyfrowej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Aleksandar Nikolic,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</w:t>
            </w:r>
            <w:r>
              <w:rPr>
                <w:b/>
                <w:i/>
              </w:rPr>
              <w:t>inwestycji publicznych</w:t>
            </w:r>
            <w:r>
              <w:t xml:space="preserve"> w tym kontekście; 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</w:t>
            </w:r>
            <w:r>
              <w:rPr>
                <w:b/>
                <w:i/>
              </w:rPr>
              <w:t>synergii, jaka powinna istnieć między inwestycjami publicznymi i prywatnymi</w:t>
            </w:r>
            <w:r>
              <w:t xml:space="preserve"> w tym kontekście; uważa, że zasadnicze znaczenie ma zapewnienie UE stałej zdolności inwestycyjnej;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przyjmuje do wiadomości szacunki Maria Draghiego, zgodnie z którymi ochrona konkurencyjności UE wymaga dodatkowych 800 mld EUR rocznie; potwierdza znaczenie inwestycji publicznych w tym kontekście; uważa, że zasadnicze znaczenie ma zapewnienie UE stałej zdolności inwestycyjnej;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potwierdza znaczenie inwestycji publicznych w tym kontekście; uważa, że zasadnicze znaczenie ma zapewnienie UE stałej zdolności inwestycyjnej </w:t>
            </w:r>
            <w:r>
              <w:rPr>
                <w:b/>
                <w:i/>
              </w:rPr>
              <w:t>pod kontrolą państw członkowskich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</w:t>
            </w:r>
            <w:r>
              <w:rPr>
                <w:b/>
                <w:i/>
              </w:rPr>
              <w:t>potwierdza znaczenie inwestycji publicznych w tym kontekście;</w:t>
            </w:r>
            <w:r>
              <w:t xml:space="preserve"> </w:t>
            </w:r>
            <w:r>
              <w:rPr>
                <w:b/>
                <w:i/>
              </w:rPr>
              <w:t>uważa, że zasadnicze znaczenie ma zapewnienie UE stałej zdolności inwestycyjnej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przyjmuje do wiadomości szacunki Maria Draghiego, zgodnie z którymi ochrona konkurencyjności UE wymaga dodatkowych 800 mld EUR rocznie; </w:t>
            </w:r>
            <w:r>
              <w:rPr>
                <w:b/>
                <w:i/>
              </w:rPr>
              <w:t>zwraca uwagę, że inwestycje te powinny być finansowane przede wszystkim przez sektor prywatny, a ponadto muszą im towarzyszyć inwestycje publiczne, w szczególności w infrastrukturę i edukację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podkreśla, że konkurencyjność nie jest wyzwaniem, z którym można sobie poradzić wyłącznie za pomocą nowych środków pieniężnych;</w:t>
            </w:r>
            <w:r>
              <w:t xml:space="preserve"> </w:t>
            </w:r>
            <w:r>
              <w:rPr>
                <w:b/>
                <w:i/>
              </w:rPr>
              <w:t>podkreśla, że UE nie może wyjść ze względnego spadku wyłącznie za pomocą pieniędzy;</w:t>
            </w:r>
            <w:r>
              <w:t xml:space="preserve"> </w:t>
            </w:r>
            <w:r>
              <w:rPr>
                <w:b/>
                <w:i/>
              </w:rPr>
              <w:t>apeluje do Komisji i wszystkich państw członkowskich o działania i reformy prawne i administracyjne, które zwiększają konkurencyjność, promują innowacje i dynamikę, ograniczają biurokrację, zmniejszają koszty i obciążenia regulacyjne dla innowatorów, upraszczają wymogi w zakresie sprawozdawczości, tworzą klimat sprzyjający inwestycjom w Europie, zwiększają możliwości handlowe z państwami trzecimi, przeciwdziałają nadmiernie rygorystycznemu wdrażaniu oraz usprawniają współpracę między państwami członkowskimi w dziedzinie nadzoru;</w:t>
            </w:r>
            <w:r>
              <w:t xml:space="preserve"> </w:t>
            </w:r>
            <w:r>
              <w:rPr>
                <w:b/>
                <w:i/>
              </w:rPr>
              <w:t>odrzuca wszelkie działania zmierzające do zwiększenia protekcjonizmu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zauważa, że przy podejmowaniu decyzji w sprawie definicji rynku właściwego w sprawach dotyczących konkurencji i kontroli łączenia przedsiębiorstw należy dokładnie przeanalizować środowisko międzynarodowe;</w:t>
            </w:r>
            <w:r>
              <w:t xml:space="preserve"> </w:t>
            </w:r>
            <w:r>
              <w:rPr>
                <w:b/>
                <w:i/>
              </w:rPr>
              <w:t>ubolewa, że w przeszłości Komisja przyjmowała niekiedy zbyt wąską perspektywę rynku właściwego, pozbawiając w ten sposób przedsiębiorstwa europejskie możliwości skutecznego konkurowania w zglobalizowanym otoczeniu;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wzywa Komisję do ukończenia transgranicznych odcinków transeuropejskiej sieci transportowej (TEN-T), aby promować połączenia międzysystemowe na jednolitym rynku europejskim;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zauważa zmiany w praktykach biznesowych, uwypuklające spadek liczby spraw kartelowych i większą częstotliwość nowych form szkodliwych zachowań, takich jak milcząca zmowa i zmowa algorytmiczna, oraz podkreśla, że należy dostosować priorytety w dziedzinie egzekwowania prawa do tej zmieniającej się sytuacji;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Śródtytuł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wzywa Komisję do ukończenia i wdrożenia wspólnego systemu patentowego oraz jurysdykcji Jednolitego Sądu Patentowego;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Śródtytuł 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podkreśla znaczenie prawodawstwa UE w zakresie uznawania oznaczeń geograficznych produktów rzemieślniczych i przemysłowych;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jest zadowolony z propozycji Maria Draghiego dotyczącej „nowego narzędzia konkurencji” jako elastycznego instrumentu badania rynku, który rozwiąże strukturalne problemy w zakresie konkurencji dzięki zmniejszeniu barier wejścia dla konkurentów w celu zwiększenia konkurencyjności, zachęcania do innowacji i ochrony konsumentów znajdujących się w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jest zadowolony z propozycji Maria Draghiego dotyczącej „nowego narzędzia konkurencji” jako elastycznego instrumentu badania rynku, który rozwiąże strukturalne problemy w zakresie konkurencji dzięki zmniejszeniu barier wejścia dla konkurentów w celu zwiększenia konkurencyjności, zachęcania do innowacji i ochrony konsumentów znajdujących się w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jest zadowolony z propozycji Maria Draghiego dotyczącej „nowego narzędzia konkurencji” jako elastycznego instrumentu badania rynku, który rozwiąże strukturalne problemy w zakresie konkurencji dzięki zmniejszeniu barier wejścia dla konkurentów w celu zwiększenia konkurencyjności, zachęcania do innowacji i ochrony konsumentów znajdujących się w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jest zadowolony z propozycji Maria Draghiego dotyczącej „nowego narzędzia konkurencji” jako elastycznego instrumentu badania rynku, który rozwiąże strukturalne problemy w zakresie konkurencji dzięki zmniejszeniu barier wejścia dla konkurentów w celu zwiększenia konkurencyjności, zachęcania do innowacji i ochrony konsumentów znajdujących się w trudnej sytuacji;</w:t>
            </w:r>
            <w:r>
              <w:rPr>
                <w:b/>
                <w:i/>
              </w:rPr>
              <w:t> ponadto podkreśla, że w dzisiejszej gospodarce opartej na danych interoperacyjność, możliwość przenoszenia danych i sprawiedliwy dostęp do kluczowych zasobów danych mają zasadnicze znaczenie dla rozwiązania problemu silnych efektów sieciowych i wyłącznej kontroli nad danymi oraz umożliwiają szerszy udział na wszystkich poziomach rynku</w:t>
            </w:r>
            <w:r>
              <w:rPr>
                <w:b/>
                <w:i/>
                <w:vertAlign w:val="superscript"/>
              </w:rPr>
              <w:t>7a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7a</w:t>
            </w:r>
            <w:r>
              <w:t xml:space="preserve"> </w:t>
            </w:r>
            <w:r>
              <w:rPr>
                <w:b/>
                <w:i/>
              </w:rPr>
              <w:t>Przyszłość europejskiej konkurencyjności. Część B</w:t>
            </w:r>
            <w:r>
              <w:t xml:space="preserve"> </w:t>
            </w:r>
            <w:r>
              <w:rPr>
                <w:b/>
                <w:i/>
              </w:rPr>
              <w:t>| Szczegółowa analiza i zalecenia, rozdział 3 – Utrzymanie inwestycji, s. 283.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jest zadowolony z propozycji Maria Draghiego dotyczącej „nowego narzędzia konkurencji” jako elastycznego instrumentu badania rynku</w:t>
            </w:r>
            <w:r>
              <w:rPr>
                <w:b/>
                <w:i/>
              </w:rPr>
              <w:t>, który rozwiąże strukturalne</w:t>
            </w:r>
            <w:r>
              <w:t xml:space="preserve"> problemy w zakresie konkurencji dzięki zmniejszeniu barier wejścia dla konkurentów w celu zwiększenia konkurencyjności, zachęcania do innowacji i ochrony konsumentów znajdujących się w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jest zadowolony z propozycji Maria Draghiego dotyczącej „nowego narzędzia konkurencji” jako elastycznego instrumentu badania rynku </w:t>
            </w:r>
            <w:r>
              <w:rPr>
                <w:b/>
                <w:i/>
              </w:rPr>
              <w:t>mającego rozwiązać</w:t>
            </w:r>
            <w:r>
              <w:t xml:space="preserve"> problemy w zakresie konkurencji</w:t>
            </w:r>
            <w:r>
              <w:rPr>
                <w:b/>
                <w:i/>
              </w:rPr>
              <w:t>, które nie wynikają z antykonkurencyjnych porozumień lub nadużywania pozycji dominującej, oraz wprowadzić przyszłościowe środki zaradcze o charakterze strukturalnym lub behawioralnym na całym rynku, w tym</w:t>
            </w:r>
            <w:r>
              <w:t xml:space="preserve"> dzięki zmniejszeniu barier wejścia dla konkurentów w celu zwiększenia konkurencyjności, zachęcania do innowacji i ochrony konsumentów znajdujących się w trudnej sytuacji; </w:t>
            </w:r>
            <w:r>
              <w:rPr>
                <w:b/>
                <w:i/>
              </w:rPr>
              <w:t>uważa, że narzędzie to powinno mieć zastosowanie do wszystkich sektorów;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jest zadowolony z propozycji Maria Draghiego dotyczącej „nowego narzędzia konkurencji” jako elastycznego instrumentu badania rynku, który rozwiąże strukturalne problemy w zakresie konkurencji dzięki zmniejszeniu barier wejścia dla konkurentów w celu zwiększenia konkurencyjności, zachęcania do innowacji i ochrony konsumentów znajdujących się w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jest zadowolony z propozycji Maria Draghiego dotyczącej „nowego narzędzia konkurencji” jako elastycznego instrumentu badania rynku, który rozwiąże strukturalne problemy w zakresie konkurencji dzięki zmniejszeniu barier wejścia dla konkurentów w celu zwiększenia konkurencyjności, zachęcania do innowacji i ochrony konsumentów znajdujących się w trudnej sytuacji; </w:t>
            </w:r>
            <w:r>
              <w:rPr>
                <w:b/>
                <w:i/>
              </w:rPr>
              <w:t>prosi Komisję Europejską, by przeanalizowała, jak „nowe narzędzie ochrony konkurencji” Maria Draghiego wpisuje się w istniejące ramy badań sektorowych;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jest zadowolony z propozycji Maria Draghiego dotyczącej „nowego narzędzia konkurencji” jako elastycznego instrumentu badania rynku, który rozwiąże strukturalne problemy w zakresie konkurencji dzięki zmniejszeniu barier wejścia dla konkurentów w celu zwiększenia konkurencyjności, zachęcania do innowacji i ochrony konsumentów znajdujących się w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jest zadowolony z propozycji Maria Draghiego dotyczącej „nowego narzędzia konkurencji” jako elastycznego instrumentu badania rynku, który rozwiąże strukturalne problemy w zakresie konkurencji dzięki zmniejszeniu barier wejścia dla konkurentów w celu zwiększenia konkurencyjności, zachęcania do innowacji</w:t>
            </w:r>
            <w:r>
              <w:rPr>
                <w:b/>
                <w:i/>
              </w:rPr>
              <w:t>, ograniczenia niechcianej koncentracji na rynku</w:t>
            </w:r>
            <w:r>
              <w:t xml:space="preserve"> i ochrony konsumentów znajdujących się w trudnej sytuacji;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uważa, że zasadnicze jest dopracowanie charakterystyki i warunków operacyjnych tego instrumentu badania rynku, jasne zdefiniowanie kryteriów jego aktywacji i określenie jego zdolności do sugerowania możliwych środków zapobiegania praktykom antykonkurencyjnym;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wzywa Komisję do nałożenia ceł na kraje trzecie, które nie spełniają europejskich standardów w zakresie jakości, ochrony środowiska i ochrony pracowników;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przypomina, że w niektórych państwach członkowskich ustawodawcy krajowi, aby rozwiązać problemy strukturalne, które charakteryzują niektóre rynki nawet w przypadku braku konkretnych działań naruszających prawa ochrony konkurencji, wprowadzili, przez zmianę istniejących krajowych przepisów o konkurencji, nowe narzędzie badania rynku, które upoważnia krajowe organy ochrony konkurencji do przyjmowania środków strukturalnych i behawioralnych, gdy w wyniku badania rynku zostanie stwierdzone istnienie znaczących i trwałych zakłóceń prawidłowego funkcjonowania badanego rynku;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wzywa Komisję do dokończenia reformy unijnego kodeksu celnego, aby zharmonizować kontrole między państwami członkowskimi, a zarazem zintensyfikować działania na rzecz walki z podrabianiem i nadużyciami finansowymi;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przypomina, że na mocy traktatu Komisja jest uprawniona do przeciwdziałania nadużyciom;</w:t>
            </w:r>
            <w:r>
              <w:t xml:space="preserve"> </w:t>
            </w:r>
            <w:r>
              <w:rPr>
                <w:b/>
                <w:i/>
              </w:rPr>
              <w:t>utrzymuje, że priorytetowe traktowanie nadużyć wobec konsumentów mogłoby pomóc w bezpośrednim rozwiązaniu problemu podwyżek cen spowodowanych inflacją nastawioną na zysk lub chciwflacją;</w:t>
            </w:r>
            <w:r>
              <w:t xml:space="preserve"> </w:t>
            </w:r>
            <w:r>
              <w:rPr>
                <w:b/>
                <w:i/>
              </w:rPr>
              <w:t>ubolewa, że Komisja rzadko ściga nadużycia, i zwraca się o aktualizację odpowiednich wytycznych z należytym uwzględnieniem podatności konsumentów na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przypomina, że na mocy traktatu Komisja jest uprawniona do przeciwdziałania nadużyciom;</w:t>
            </w:r>
            <w:r>
              <w:t xml:space="preserve"> </w:t>
            </w:r>
            <w:r>
              <w:rPr>
                <w:b/>
                <w:i/>
              </w:rPr>
              <w:t>utrzymuje, że priorytetowe traktowanie nadużyć wobec konsumentów mogłoby pomóc w bezpośrednim rozwiązaniu problemu podwyżek cen spowodowanych inflacją nastawioną na zysk lub chciwflacją;</w:t>
            </w:r>
            <w:r>
              <w:t xml:space="preserve"> </w:t>
            </w:r>
            <w:r>
              <w:rPr>
                <w:b/>
                <w:i/>
              </w:rPr>
              <w:t>ubolewa, że Komisja rzadko ściga nadużycia, i zwraca się o aktualizację odpowiednich wytycznych z należytym uwzględnieniem podatności konsumentów na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przypomina, że na mocy traktatu Komisja jest uprawniona do przeciwdziałania nadużyciom;</w:t>
            </w:r>
            <w:r>
              <w:t xml:space="preserve"> </w:t>
            </w:r>
            <w:r>
              <w:rPr>
                <w:b/>
                <w:i/>
              </w:rPr>
              <w:t>utrzymuje, że priorytetowe traktowanie nadużyć wobec konsumentów mogłoby pomóc w bezpośrednim rozwiązaniu problemu podwyżek cen spowodowanych inflacją nastawioną na zysk lub chciwflacją;</w:t>
            </w:r>
            <w:r>
              <w:t xml:space="preserve"> </w:t>
            </w:r>
            <w:r>
              <w:rPr>
                <w:b/>
                <w:i/>
              </w:rPr>
              <w:t>ubolewa, że Komisja rzadko ściga nadużycia, i zwraca się o aktualizację odpowiednich wytycznych z należytym uwzględnieniem podatności konsumentów na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na mocy traktatu Komisja jest uprawniona do przeciwdziałania nadużyciom; </w:t>
            </w:r>
            <w:r>
              <w:rPr>
                <w:b/>
                <w:i/>
              </w:rPr>
              <w:t>utrzymuje, że priorytetowe traktowanie nadużyć wobec konsumentów mogłoby pomóc w bezpośrednim rozwiązaniu problemu podwyżek cen spowodowanych inflacją nastawioną na zysk lub chciwflacją;</w:t>
            </w:r>
            <w:r>
              <w:t xml:space="preserve"> </w:t>
            </w:r>
            <w:r>
              <w:rPr>
                <w:b/>
                <w:i/>
              </w:rPr>
              <w:t>ubolewa, że Komisja rzadko ściga nadużycia, i zwraca się o aktualizację odpowiednich wytycznych z należytym uwzględnieniem podatności konsumentów na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przypomina, że na mocy traktatu Komisja jest uprawniona do przeciwdziałania nadużyciom;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przypomina, że na mocy traktatu Komisja jest uprawniona do przeciwdziałania nadużyciom; utrzymuje, że priorytetowe traktowanie nadużyć wobec konsumentów mogłoby pomóc w bezpośrednim rozwiązaniu problemu podwyżek cen spowodowanych inflacją nastawioną na zysk lub chciwflacją; ubolewa, że Komisja rzadko ściga nadużycia, i zwraca się o aktualizację odpowiednich wytycznych z należytym uwzględnieniem podatności konsumentów na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na mocy traktatu Komisja jest uprawniona do przeciwdziałania nadużyciom; utrzymuje, że priorytetowe traktowanie nadużyć wobec konsumentów mogłoby pomóc w bezpośrednim rozwiązaniu problemu podwyżek cen spowodowanych inflacją nastawioną na zysk lub chciwflacją; ubolewa, że Komisja rzadko ściga nadużycia, i zwraca się o aktualizację odpowiednich wytycznych z należytym uwzględnieniem podatności konsumentów na zagrożenia; </w:t>
            </w:r>
            <w:r>
              <w:rPr>
                <w:b/>
                <w:i/>
              </w:rPr>
              <w:t>potępia nadużywanie przez korporacje władzy rynkowej, ukryte we chciwflacji i prowadzące do wyższego poziomu inflacji i pogłębiającego się kryzysu związanego z kosztami życia;</w:t>
            </w:r>
            <w:r>
              <w:t xml:space="preserve"> </w:t>
            </w:r>
            <w:r>
              <w:rPr>
                <w:b/>
                <w:i/>
              </w:rPr>
              <w:t>wzywa państwa członkowskie i Komisję do wprowadzenia stałych i ogólnych podatków od nieoczekiwanych zysków oraz do reformy prawa konkurencji, aby umożliwić organom ochrony konkurencji prowadzenie dochodzeń i systematycznych interwencji na szczeblu sektorowym w odpowiedzi na nieuczciwe podwyżki cen;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na mocy traktatu Komisja jest uprawniona do przeciwdziałania nadużyciom; utrzymuje, że priorytetowe traktowanie nadużyć wobec konsumentów mogłoby pomóc w bezpośrednim rozwiązaniu problemu podwyżek cen spowodowanych inflacją nastawioną na zysk </w:t>
            </w:r>
            <w:r>
              <w:rPr>
                <w:b/>
                <w:i/>
              </w:rPr>
              <w:t>lub chciwflacją;</w:t>
            </w:r>
            <w:r>
              <w:t xml:space="preserve"> </w:t>
            </w:r>
            <w:r>
              <w:rPr>
                <w:b/>
                <w:i/>
              </w:rPr>
              <w:t>ubolewa, że Komisja rzadko ściga nadużycia, i zwraca się o aktualizację odpowiednich wytycznych z należytym uwzględnieniem podatności konsumentów na zagrożenia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przypomina, że na mocy traktatu Komisja jest uprawniona do przeciwdziałania nadużyciom; utrzymuje, że priorytetowe traktowanie nadużyć wobec konsumentów mogłoby pomóc w bezpośrednim rozwiązaniu problemu podwyżek cen spowodowanych inflacją nastawioną na zysk;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na mocy traktatu Komisja jest uprawniona do przeciwdziałania nadużyciom; utrzymuje, że priorytetowe traktowanie nadużyć wobec konsumentów mogłoby pomóc w bezpośrednim rozwiązaniu problemu podwyżek cen spowodowanych inflacją nastawioną na zysk lub chciwflacją; ubolewa, że Komisja rzadko ściga nadużycia, i zwraca się o aktualizację odpowiednich wytycznych </w:t>
            </w:r>
            <w:r>
              <w:rPr>
                <w:b/>
                <w:i/>
              </w:rPr>
              <w:t>z należytym uwzględnieniem podatności konsumentów na zagrożenia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na mocy traktatu Komisja jest uprawniona do przeciwdziałania nadużyciom; utrzymuje, że priorytetowe traktowanie nadużyć wobec konsumentów mogłoby pomóc w bezpośrednim rozwiązaniu problemu </w:t>
            </w:r>
            <w:r>
              <w:rPr>
                <w:b/>
                <w:i/>
              </w:rPr>
              <w:t>praktyk dyskryminacyjnych czy</w:t>
            </w:r>
            <w:r>
              <w:t xml:space="preserve"> podwyżek cen spowodowanych inflacją nastawioną na zysk lub chciwflacją; ubolewa, że Komisja rzadko ściga nadużycia, i zwraca się o aktualizację odpowiednich wytycznych</w:t>
            </w:r>
            <w:r>
              <w:rPr>
                <w:b/>
                <w:i/>
              </w:rPr>
              <w:t>, biorąc pod uwagę negatywny wpływ tych praktyk na przedsiębiorstwa, konsumentów i interes publiczny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przypomina, że na mocy traktatu Komisja jest uprawniona do przeciwdziałania nadużyciom; utrzymuje, że priorytetowe traktowanie nadużyć wobec konsumentów mogłoby pomóc w bezpośrednim rozwiązaniu problemu podwyżek cen spowodowanych inflacją nastawioną na zysk lub chciwflacją; ubolewa, że Komisja rzadko ściga nadużycia, i zwraca się o aktualizację odpowiednich wytycznych z należytym uwzględnieniem podatności konsumentów na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przypomina, że na mocy traktatu Komisja jest uprawniona do przeciwdziałania nadużyciom; utrzymuje, że priorytetowe traktowanie nadużyć wobec konsumentów</w:t>
            </w:r>
            <w:r>
              <w:rPr>
                <w:b/>
                <w:i/>
              </w:rPr>
              <w:t>, zwłaszcza tych, których dopuszczają się podmioty o dominującej pozycji na rynku,</w:t>
            </w:r>
            <w:r>
              <w:t xml:space="preserve"> mogłoby pomóc w bezpośrednim rozwiązaniu problemu podwyżek cen spowodowanych inflacją nastawioną na zysk lub chciwflacją; ubolewa, że Komisja rzadko ściga nadużycia, i zwraca się o aktualizację odpowiednich wytycznych z należytym uwzględnieniem podatności konsumentów na zagrożenia;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na mocy traktatu Komisja jest uprawniona do przeciwdziałania nadużyciom; utrzymuje, że priorytetowe traktowanie nadużyć wobec konsumentów mogłoby pomóc w bezpośrednim rozwiązaniu problemu podwyżek cen spowodowanych inflacją nastawioną na zysk lub chciwflacją; </w:t>
            </w:r>
            <w:r>
              <w:rPr>
                <w:b/>
                <w:i/>
              </w:rPr>
              <w:t>ubolewa, że Komisja rzadko ściga nadużycia, i</w:t>
            </w:r>
            <w:r>
              <w:t xml:space="preserve"> zwraca się o aktualizację odpowiednich wytycznych z należytym uwzględnieniem podatności konsumentów na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przypomina, że na mocy traktatu Komisja jest uprawniona do przeciwdziałania nadużyciom; utrzymuje, że priorytetowe traktowanie nadużyć wobec konsumentów mogłoby pomóc w bezpośrednim rozwiązaniu problemu podwyżek cen spowodowanych inflacją nastawioną na zysk lub chciwflacją; zwraca się o aktualizację odpowiednich wytycznych z należytym uwzględnieniem podatności konsumentów na zagrożenia;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na mocy traktatu Komisja jest uprawniona do przeciwdziałania nadużyciom; </w:t>
            </w:r>
            <w:r>
              <w:rPr>
                <w:b/>
                <w:i/>
              </w:rPr>
              <w:t>utrzymuje, że priorytetowe traktowanie nadużyć wobec konsumentów mogłoby pomóc w bezpośrednim rozwiązaniu problemu podwyżek cen spowodowanych inflacją nastawioną na zysk lub chciwflacją</w:t>
            </w:r>
            <w:r>
              <w:t>; ubolewa, że Komisja rzadko ściga nadużycia, i zwraca się o aktualizację odpowiednich wytycznych z należytym uwzględnieniem podatności konsumentów na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na mocy traktatu Komisja jest uprawniona do przeciwdziałania nadużyciom; </w:t>
            </w:r>
            <w:r>
              <w:rPr>
                <w:b/>
                <w:i/>
              </w:rPr>
              <w:t>wzywa Komisję, aby wraz z krajowymi organami ochrony konkurencji ściśle monitorowała skutki zachowań antykonkurencyjnych i ich rolę w rozwoju inflacji</w:t>
            </w:r>
            <w:r>
              <w:t>; ubolewa, że Komisja rzadko ściga nadużycia, i zwraca się o aktualizację odpowiednich wytycznych z należytym uwzględnieniem podatności konsumentów na zagrożenia;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odnotowuje wstępne ustalenia z dochodzenia w sprawie AT.40670 (Google – Adtech and Data-related practices) i z zadowoleniem przyjmuje uznanie obowiązkowego zbycia za proporcjonalny i skuteczny środek rozwiązania nieodłącznego konfliktu interesów leżącego u podstaw działalności Google w branży technologii reklamowej (adtech);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podkreśla, że akt o rynkach cyfrowych i akt o usługach cyfrowych są niezbędnymi krokami w kierunku zharmonizowanego, sprawiedliwego i konkurencyjnego jednolitego rynku cyfrowego;</w:t>
            </w:r>
            <w:r>
              <w:t xml:space="preserve"> </w:t>
            </w:r>
            <w:r>
              <w:rPr>
                <w:b/>
                <w:i/>
              </w:rPr>
              <w:t>zwraca się do Komisji o dopilnowanie, aby były one w pełni egzekwowane oraz aby do realizacji tego zadania przydzielić wystarczającą liczbę pracowników i przeznaczyć na nią dostateczną ilość zasobów Komisji;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przyznaje, że emitenci, inwestorzy i osoby oszczędzające na emeryturę ponoszą szkody z powodu eksploatowania siły rynkowej i braku konkurencji w infrastrukturze rynków kapitałowych, co zmniejsza ich ogólną skuteczność i zwiększa koszty;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</w:t>
            </w:r>
            <w:r>
              <w:tab/>
            </w:r>
            <w:r>
              <w:rPr>
                <w:b/>
                <w:i/>
              </w:rPr>
              <w:t>docenia istnienie podstawy prawnej dla strukturalnych środków zaradczych przeciwko nadużywaniu pozycji dominującej na rynku;</w:t>
            </w:r>
            <w:r>
              <w:t xml:space="preserve"> </w:t>
            </w:r>
            <w:r>
              <w:rPr>
                <w:b/>
                <w:i/>
              </w:rPr>
              <w:t>ubolewa nad niechęcią Komisji do zajęcia się problemem dominacji rynkowej za pomocą środków zaradczych o charakterze strukturalnym;</w:t>
            </w:r>
            <w:r>
              <w:t xml:space="preserve"> </w:t>
            </w:r>
            <w:r>
              <w:rPr>
                <w:b/>
                <w:i/>
              </w:rPr>
              <w:t>ponawia apel o lepsze wykorzystanie strukturalnych środków zaradczych i porzucenie praktyki priorytetowego traktowania środków o charakterze behawioralnym;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Enikő Győri, Auke Zijlstra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</w:t>
            </w:r>
            <w:r>
              <w:tab/>
            </w:r>
            <w:r>
              <w:rPr>
                <w:b/>
                <w:i/>
              </w:rPr>
              <w:t>docenia istnienie podstawy prawnej dla strukturalnych środków zaradczych przeciwko nadużywaniu pozycji dominującej na rynku;</w:t>
            </w:r>
            <w:r>
              <w:t xml:space="preserve"> </w:t>
            </w:r>
            <w:r>
              <w:rPr>
                <w:b/>
                <w:i/>
              </w:rPr>
              <w:t>ubolewa nad niechęcią Komisji do zajęcia się problemem dominacji rynkowej za pomocą środków zaradczych o charakterze strukturalnym;</w:t>
            </w:r>
            <w:r>
              <w:t xml:space="preserve"> </w:t>
            </w:r>
            <w:r>
              <w:rPr>
                <w:b/>
                <w:i/>
              </w:rPr>
              <w:t>ponawia apel o lepsze wykorzystanie strukturalnych środków zaradczych i porzucenie praktyki priorytetowego traktowania środków o charakterze behawioralnym;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zaradczych przeciwko nadużywaniu pozycji dominującej na rynku; ubolewa nad niechęcią Komisji </w:t>
            </w:r>
            <w:r>
              <w:rPr>
                <w:b/>
                <w:i/>
              </w:rPr>
              <w:t>do</w:t>
            </w:r>
            <w:r>
              <w:t xml:space="preserve"> zajęcia się problemem dominacji rynkowej za pomocą środków zaradczych o charakterze strukturalnym; ponawia apel o lepsze wykorzystanie strukturalnych środków zaradczych i porzucenie praktyki priorytetowego traktowania środków o charakterze behawioralnym;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zaradczych przeciwko nadużywaniu pozycji dominującej na rynku; ubolewa nad niechęcią Komisji </w:t>
            </w:r>
            <w:r>
              <w:rPr>
                <w:b/>
                <w:i/>
              </w:rPr>
              <w:t>i oczekuje, że podejmie ona bardziej stanowcze działania w celu</w:t>
            </w:r>
            <w:r>
              <w:t xml:space="preserve"> zajęcia się problemem dominacji rynkowej za pomocą środków zaradczych o charakterze strukturalnym; ponawia apel o lepsze wykorzystanie strukturalnych środków zaradczych i porzucenie praktyki priorytetowego traktowania środków o charakterze behawioralnym; </w:t>
            </w:r>
            <w:r>
              <w:rPr>
                <w:b/>
                <w:i/>
              </w:rPr>
              <w:t>wzywa Komisję, aby w takich przypadkach preferowała wdrażanie strukturalnych środków zaradczych, nie zaś krótkoterminowych środków behawioralnych, co zapewni skuteczniejsze reguły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zaradczych przeciwko nadużywaniu pozycji dominującej na rynku; </w:t>
            </w:r>
            <w:r>
              <w:rPr>
                <w:b/>
                <w:i/>
              </w:rPr>
              <w:t>ubolewa nad niechęcią Komisji do zajęcia się problemem dominacji rynkowej za pomocą środków zaradczych o charakterze strukturalnym;</w:t>
            </w:r>
            <w:r>
              <w:t xml:space="preserve"> </w:t>
            </w:r>
            <w:r>
              <w:rPr>
                <w:b/>
                <w:i/>
              </w:rPr>
              <w:t>ponawia apel o lepsze wykorzystanie strukturalnych środków zaradczych i porzucenie praktyki priorytetowego traktowania środków o charakterze behawioralnym;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docenia istnienie podstawy prawnej dla strukturalnych środków zaradczych przeciwko nadużywaniu pozycji dominującej na rynku;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zaradczych przeciwko nadużywaniu pozycji dominującej na rynku; </w:t>
            </w:r>
            <w:r>
              <w:rPr>
                <w:b/>
                <w:i/>
              </w:rPr>
              <w:t>ubolewa nad niechęcią Komisji do zajęcia się problemem dominacji rynkowej za pomocą środków zaradczych o charakterze strukturalnym;</w:t>
            </w:r>
            <w:r>
              <w:t xml:space="preserve"> </w:t>
            </w:r>
            <w:r>
              <w:rPr>
                <w:b/>
                <w:i/>
              </w:rPr>
              <w:t>ponawia apel o lepsze wykorzystanie strukturalnych środków zaradczych i porzucenie praktyki priorytetowego traktowania środków o charakterze behawioralnym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zaradczych przeciwko nadużywaniu pozycji dominującej na rynku; </w:t>
            </w:r>
            <w:r>
              <w:rPr>
                <w:b/>
                <w:i/>
              </w:rPr>
              <w:t>z zadowoleniem przyjmuje ostatnie wydarzenia i decyzję Komisji, by pod pewnymi warunkami rozważyć strukturalne środki zaradcze w celu zaradzenia powtarzającym się praktykom antykonkurencyjnym, oraz zachęca do dalszych wysiłków, by w razie potrzeby wzmocnić ich stosowanie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zaradczych przeciwko nadużywaniu pozycji dominującej na rynku; </w:t>
            </w:r>
            <w:r>
              <w:rPr>
                <w:b/>
                <w:i/>
              </w:rPr>
              <w:t>ubolewa nad niechęcią Komisji do zajęcia się problemem dominacji rynkowej za pomocą środków zaradczych o charakterze strukturalnym;</w:t>
            </w:r>
            <w:r>
              <w:t xml:space="preserve"> </w:t>
            </w:r>
            <w:r>
              <w:rPr>
                <w:b/>
                <w:i/>
              </w:rPr>
              <w:t>ponawia apel o lepsze wykorzystanie strukturalnych środków zaradczych i porzucenie praktyki priorytetowego traktowania środków o charakterze behawioralnym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zaradczych przeciwko nadużywaniu pozycji dominującej na rynku; </w:t>
            </w:r>
            <w:r>
              <w:rPr>
                <w:b/>
                <w:i/>
              </w:rPr>
              <w:t>podkreśla, że strukturalne środki zaradcze powinny być stosowane wyłącznie w ostateczności i tylko wtedy, gdy środki o charakterze behawioralnym okazały się nieskuteczne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</w:t>
            </w:r>
            <w:r>
              <w:rPr>
                <w:b/>
                <w:i/>
              </w:rPr>
              <w:t>zaradczych</w:t>
            </w:r>
            <w:r>
              <w:t xml:space="preserve"> przeciwko nadużywaniu pozycji dominującej na rynku; ubolewa nad niechęcią Komisji do zajęcia się problemem dominacji rynkowej za pomocą środków </w:t>
            </w:r>
            <w:r>
              <w:rPr>
                <w:b/>
                <w:i/>
              </w:rPr>
              <w:t>zaradczych o charakterze strukturalnym</w:t>
            </w:r>
            <w:r>
              <w:t>; ponawia apel o lepsze wykorzystanie strukturalnych środków zaradczych i porzucenie praktyki priorytetowego traktowania środków o charakterze behawioralnym;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docenia istnienie podstawy prawnej dla strukturalnych środków </w:t>
            </w:r>
            <w:r>
              <w:rPr>
                <w:b/>
                <w:i/>
              </w:rPr>
              <w:t>behawioralnych</w:t>
            </w:r>
            <w:r>
              <w:t xml:space="preserve"> przeciwko nadużywaniu pozycji dominującej na rynku; ubolewa nad niechęcią Komisji do zajęcia się problemem dominacji rynkowej za pomocą środków </w:t>
            </w:r>
            <w:r>
              <w:rPr>
                <w:b/>
                <w:i/>
              </w:rPr>
              <w:t>behawioralnych, które różnią się w zależności od państwa członkowskiego</w:t>
            </w:r>
            <w:r>
              <w:t>; ponawia apel o lepsze wykorzystanie strukturalnych środków zaradczych i porzucenie praktyki priorytetowego traktowania środków o charakterze behawioralnym;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podkreśla kluczową rolę Europejskiej Sieci Konkurencji (ECN);</w:t>
            </w:r>
            <w:r>
              <w:t xml:space="preserve"> </w:t>
            </w:r>
            <w:r>
              <w:rPr>
                <w:b/>
                <w:i/>
              </w:rPr>
              <w:t>wzywa Komisję, aby dążyła do dalszego konstruktywnego dialogu i współpracy na szczeblu międzynarodowym;</w:t>
            </w:r>
            <w:r>
              <w:t xml:space="preserve"> </w:t>
            </w:r>
            <w:r>
              <w:rPr>
                <w:b/>
                <w:i/>
              </w:rPr>
              <w:t>podkreśla potrzebę zacieśnienia współpracy między organami ochrony konkurencji a innymi sektorowymi organami regulacyjnymi, takimi jak organy zajmujące się prywatnością danych, aby kontrolować niewłaściwe wykorzystywanie danych przedsiębiorstw oraz uniemożliwić przedsiębiorstwom wykorzystywanie danych konsumentów w celu uzyskania nieuczciwej przewagi konkurencyjnej;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wzywa Komisję do lepszego wykorzystywania instrumentu środków tymczasowych, aby powstrzymać wszelkie praktyki, które mogłyby poważnie zaszkodzić konkurencji, zwłaszcza w odniesieniu do dynamicznych i szybko rozwijających się rynków, np. rynków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wzywa Komisję, aby w większym stopniu korzystała z dodatkowych narzędzi gromadzenia dowodów, takich jak wiedza behawioralna i analizy finansowe, a także szerzej angażowała w egzekwowanie prawa konkurencji naukowców zajmujących się danymi, informatyką i sztuczną inteligencją oraz ekonomistów behawioralnych;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z zadowoleniem przyjmuje priorytetowe traktowanie mieszkalnictwa przez nową Komisję;</w:t>
            </w:r>
            <w:r>
              <w:t xml:space="preserve"> </w:t>
            </w:r>
            <w:r>
              <w:rPr>
                <w:b/>
                <w:i/>
              </w:rPr>
              <w:t>wzywa Komisję, aby oceniła, jak zasady konkurencji UE wpłynęły na świadczenie usług w ogólnym interesie gospodarczym (UOIG);</w:t>
            </w:r>
            <w:r>
              <w:t xml:space="preserve"> </w:t>
            </w:r>
            <w:r>
              <w:rPr>
                <w:b/>
                <w:i/>
              </w:rPr>
              <w:t>apeluje o rewizję UOIG, aby rozszerzyć zwolnienie dotyczące przystępnych cenowo mieszkań na gospodarstwa domowe o średnich dochodach;</w:t>
            </w:r>
            <w:r>
              <w:t xml:space="preserve"> </w:t>
            </w:r>
            <w:r>
              <w:rPr>
                <w:b/>
                <w:i/>
              </w:rPr>
              <w:t>wzywa Komisję do oceny pozycji usług socjalnych świadczonych w interesie ogólnym;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 zadowoleniem przyjmuje priorytetowe traktowanie mieszkalnictwa przez nową Komisję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wzywa Komisję, aby oceniła, jak zasady konkurencji UE wpłynęły na świadczenie usług w ogólnym interesie gospodarczym (UOIG);</w:t>
            </w:r>
            <w:r>
              <w:t xml:space="preserve"> </w:t>
            </w:r>
            <w:r>
              <w:rPr>
                <w:b/>
                <w:i/>
              </w:rPr>
              <w:t>apeluje o rewizję UOIG, aby rozszerzyć zwolnienie dotyczące przystępnych cenowo mieszkań na gospodarstwa domowe o średnich dochodach;</w:t>
            </w:r>
            <w:r>
              <w:t xml:space="preserve"> </w:t>
            </w:r>
            <w:r>
              <w:rPr>
                <w:b/>
                <w:i/>
              </w:rPr>
              <w:t>wzywa Komisję do oceny pozycji usług socjalnych świadczonych w interesie ogólnym;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 zadowoleniem przyjmuje priorytetowe traktowanie mieszkalnictwa przez nową Komisję</w:t>
            </w:r>
            <w:r>
              <w:rPr>
                <w:b/>
                <w:i/>
              </w:rPr>
              <w:t>, ale zwraca w tym kontekście uwagę na zasadę pomocniczości i na konieczność poszanowania kompetencji państw członkowskich, regionów, miast i gmin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 zadowoleniem przyjmuje priorytetowe traktowanie mieszkalnictwa przez nową Komisję; wzywa Komisję, aby oceniła, jak zasady konkurencji UE </w:t>
            </w:r>
            <w:r>
              <w:rPr>
                <w:b/>
                <w:i/>
              </w:rPr>
              <w:t>wpłynęły na świadczenie usług w ogólnym interesie gospodarczym (UOIG);</w:t>
            </w:r>
            <w:r>
              <w:t xml:space="preserve"> </w:t>
            </w:r>
            <w:r>
              <w:rPr>
                <w:b/>
                <w:i/>
              </w:rPr>
              <w:t>apeluje o rewizję UOIG, aby rozszerzyć zwolnienie dotyczące przystępnych cenowo</w:t>
            </w:r>
            <w:r>
              <w:t xml:space="preserve"> mieszkań </w:t>
            </w:r>
            <w:r>
              <w:rPr>
                <w:b/>
                <w:i/>
              </w:rPr>
              <w:t>na gospodarstwa domowe o średnich dochodach;</w:t>
            </w:r>
            <w:r>
              <w:t xml:space="preserve"> </w:t>
            </w:r>
            <w:r>
              <w:rPr>
                <w:b/>
                <w:i/>
              </w:rPr>
              <w:t>wzywa Komisję do oceny pozycji usług socjalnych świadczonych w interesie ogólnym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 zadowoleniem przyjmuje priorytetowe traktowanie mieszkalnictwa przez nową Komisję; wzywa Komisję, aby oceniła, jak zasady konkurencji UE </w:t>
            </w:r>
            <w:r>
              <w:rPr>
                <w:b/>
                <w:i/>
              </w:rPr>
              <w:t>wpływają na podaż</w:t>
            </w:r>
            <w:r>
              <w:t xml:space="preserve"> mieszkań;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 zadowoleniem przyjmuje priorytetowe traktowanie mieszkalnictwa przez nową Komisję; wzywa Komisję, aby oceniła, jak zasady konkurencji UE wpłynęły na świadczenie usług w ogólnym interesie gospodarczym (UOIG); </w:t>
            </w:r>
            <w:r>
              <w:rPr>
                <w:b/>
                <w:i/>
              </w:rPr>
              <w:t>apeluje o rewizję UOIG, aby rozszerzyć zwolnienie dotyczące przystępnych cenowo mieszkań na gospodarstwa domowe o średnich dochodach;</w:t>
            </w:r>
            <w:r>
              <w:t xml:space="preserve"> </w:t>
            </w:r>
            <w:r>
              <w:rPr>
                <w:b/>
                <w:i/>
              </w:rPr>
              <w:t>wzywa Komisję do oceny pozycji usług socjalnych świadczonych w interesie ogólnym;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 zadowoleniem przyjmuje priorytetowe traktowanie mieszkalnictwa przez nową Komisję; wzywa Komisję, aby oceniła, jak zasady konkurencji UE wpłynęły na świadczenie usług w ogólnym interesie gospodarczym (UOIG);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 zadowoleniem przyjmuje priorytetowe traktowanie mieszkalnictwa przez nową Komisję; wzywa Komisję, aby oceniła, jak zasady konkurencji UE wpłynęły na świadczenie usług w ogólnym interesie gospodarczym (UOIG); </w:t>
            </w:r>
            <w:r>
              <w:rPr>
                <w:b/>
                <w:i/>
              </w:rPr>
              <w:t>apeluje o rewizję UOIG, aby rozszerzyć zwolnienie dotyczące przystępnych cenowo mieszkań na gospodarstwa domowe o średnich dochodach;</w:t>
            </w:r>
            <w:r>
              <w:t xml:space="preserve"> wzywa Komisję do oceny pozycji usług socjalnych świadczonych w interesie ogólnym;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 zadowoleniem przyjmuje priorytetowe traktowanie mieszkalnictwa przez nową Komisję; wzywa Komisję, aby oceniła, jak zasady konkurencji UE wpłynęły na świadczenie usług w ogólnym interesie gospodarczym (UOIG); wzywa Komisję do oceny pozycji usług socjalnych świadczonych w interesie ogólnym;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 zadowoleniem przyjmuje priorytetowe traktowanie mieszkalnictwa przez nową Komisję; wzywa Komisję, aby oceniła, jak zasady konkurencji UE wpłynęły na świadczenie usług w ogólnym interesie gospodarczym (UOIG); </w:t>
            </w:r>
            <w:r>
              <w:rPr>
                <w:b/>
                <w:i/>
              </w:rPr>
              <w:t>apeluje o rewizję UOIG, aby rozszerzyć zwolnienie dotyczące przystępnych cenowo mieszkań na gospodarstwa domowe o średnich dochodach;</w:t>
            </w:r>
            <w:r>
              <w:t xml:space="preserve"> wzywa Komisję do oceny pozycji usług socjalnych świadczonych w interesie ogólnym;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 zadowoleniem przyjmuje priorytetowe traktowanie mieszkalnictwa przez nową Komisję; wzywa Komisję, aby oceniła, jak zasady konkurencji UE wpłynęły na świadczenie usług w ogólnym interesie gospodarczym (UOIG); wzywa Komisję do oceny pozycji usług socjalnych świadczonych w interesie ogólnym </w:t>
            </w:r>
            <w:r>
              <w:rPr>
                <w:b/>
                <w:i/>
              </w:rPr>
              <w:t>oraz możliwego przeglądu UOIG pod kątem przystępnych cenowo mieszkań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przyjmuje z zadowoleniem, że Komisja Europejska priorytetowo potraktowała zmniejszenie o 25 % spoczywających na przedsiębiorstwach obciążeń związanych z wymaganymi na mocy prawa obowiązkami sprawozdawczymi i o 35 % dla MŚP;</w:t>
            </w:r>
            <w:r>
              <w:t xml:space="preserve"> </w:t>
            </w:r>
            <w:r>
              <w:rPr>
                <w:b/>
                <w:i/>
              </w:rPr>
              <w:t>wzywa do wprowadzenia tego priorytetu we wszystkich sektorach;</w:t>
            </w:r>
            <w:r>
              <w:t xml:space="preserve"> </w:t>
            </w:r>
            <w:r>
              <w:rPr>
                <w:b/>
                <w:i/>
              </w:rPr>
              <w:t>apeluje o ocenę wszystkich nowych wniosków Komisji na podstawie tego, czy poprawiają one konkurencyjność UE, w tym na podstawie rzetelnych ocen skutków;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przypomina, że zezwolenie na pomoc państwa w związku z usługami świadczonymi w ogólnym interesie gospodarczym ma nadal istotne znaczenie dla przetrwania szeregu społeczności w całej Europie, zwłaszcza w kontekście wsparcia państwa przeznaczonego na łączność i inne podstawowe świadczenie usług dla społeczności zamieszkujących w odizolowanych, oddalonych lub peryferyjnych regionach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 zadowoleniem przyjmuje planowany przegląd dyrektywy w sprawie zamówień publicznych;</w:t>
            </w:r>
            <w:r>
              <w:t xml:space="preserve"> </w:t>
            </w:r>
            <w:r>
              <w:rPr>
                <w:b/>
                <w:i/>
              </w:rPr>
              <w:t>wzywa Komisję do unowocześnienia przepisów dotyczących zamówień publicznych, aby pomóc w promowaniu ekologicznego i cyfrowego przemysłu;</w:t>
            </w:r>
            <w:r>
              <w:t xml:space="preserve"> </w:t>
            </w:r>
            <w:r>
              <w:rPr>
                <w:b/>
                <w:i/>
              </w:rPr>
              <w:t>wzywa Komisję do uwzględnienia kryteriów zrównoważonego rozwoju i suwerenności w przepisach dotyczących zamówień publicznych, aby wspierać produkcję towarów „made in Europe”;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wzywa do poszanowania nadrzędności interesów gospodarczych państw członkowskich i Unii nad względami normatywnymi, w przypadku gdy stoją one w sprzeczności, tak że względy te poważnie zagrażają tym interesom, tak jak w sytuacji kryzysu, z którym boryka się nasz przemysł motoryzacyjny;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wzywa Komisję do wydania jasnych wytycznych publicznych dotyczących sposobu, w jaki przedsiębiorstwa mogą współpracować i uczestniczyć we wspólnych zamówieniach bez stosowania reguł konkurencji, zwłaszcza w odniesieniu do współpracy dotyczącej celów w dziedzinie ochrony środowiska i zrównoważonego rozwoju;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podkreśla, że pomoc państwa nie powinna polegać na przekazywaniu majątku publicznego udziałowcom prywatnym;</w:t>
            </w:r>
            <w:r>
              <w:t xml:space="preserve"> </w:t>
            </w:r>
            <w:r>
              <w:rPr>
                <w:b/>
                <w:i/>
              </w:rPr>
              <w:t>apeluje o wprowadzenie zakazu wypłaty dywidend dla akcjonariuszy i premii dla wyższej kadry kierowniczej w spółkach otrzymujących pomoc państwa;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podkreśla, że celem pomocy państwa nie jest służenie prywatnym interesom przedsiębiorstw, lecz wspieranie trwałego rozwoju przemysłowego i kierowanie nim w interesie publicznym;</w:t>
            </w:r>
            <w:r>
              <w:t xml:space="preserve"> </w:t>
            </w:r>
            <w:r>
              <w:rPr>
                <w:b/>
                <w:i/>
              </w:rPr>
              <w:t>wzywa państwa członkowskie do obwarowania pomocy publicznej warunkowością społeczną w celu wspierania dobrych warunków pracy i płacy, udziału pracowników i praw do negocjacji zbiorowych oraz utrzymania i tworzenia nowych miejsc pracy i praktyk zawodowych;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odnotowuje niedawne orzeczenie Trybunału Sprawiedliwości Unii Europejskiej w sprawie ustalenia, że Estonia nie dokonała transpozycji dyrektywy ECN+ do ustawodawstwa krajowego;</w:t>
            </w:r>
            <w:r>
              <w:t xml:space="preserve"> </w:t>
            </w:r>
            <w:r>
              <w:rPr>
                <w:b/>
                <w:i/>
              </w:rPr>
              <w:t>wzywa Estonię do pełnej transpozycji tej dyrektywy;</w:t>
            </w:r>
            <w:r>
              <w:t xml:space="preserve"> </w:t>
            </w:r>
            <w:r>
              <w:rPr>
                <w:b/>
                <w:i/>
              </w:rPr>
              <w:t>apeluje do wszystkich państw członkowskich, by zapewniły jej właściwe wdrożenie;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12c.</w:t>
            </w:r>
            <w:r>
              <w:tab/>
            </w:r>
            <w:r>
              <w:rPr>
                <w:b/>
                <w:i/>
              </w:rPr>
              <w:t>wzywa państwa członkowskie do obwarowania przyznawania pomocy publicznej warunkami środowiskowymi w celu wspierania gospodarki o zerowej emisji i zerowej ilości odpadów oraz w celu zachowania różnorodności biologicznej;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12d.</w:t>
            </w:r>
            <w:r>
              <w:tab/>
            </w:r>
            <w:r>
              <w:rPr>
                <w:b/>
                <w:i/>
              </w:rPr>
              <w:t>wyraża żal z powodu szczegółowych dochodzeń Komisji dotyczących zasad pomocy państwa w przypadku publicznych kolejowych przewoźników towarowych Fret SNCF i DB Cargo;</w:t>
            </w:r>
            <w:r>
              <w:t xml:space="preserve"> </w:t>
            </w:r>
            <w:r>
              <w:rPr>
                <w:b/>
                <w:i/>
              </w:rPr>
              <w:t>ubolewa, że dochodzenia te zmuszają operatorów do wdrażanie planów restrukturyzacji, co oznacza ograniczenie działalności i koszty w celu dostosowania się do logiki rynkowej, podczas gdy transport towarowy powinien być usługą publiczną;</w:t>
            </w:r>
            <w:r>
              <w:t xml:space="preserve"> </w:t>
            </w:r>
            <w:r>
              <w:rPr>
                <w:b/>
                <w:i/>
              </w:rPr>
              <w:t>uważa za godne ubolewania, że restrukturyzacja doprowadziła do utraty setek miejsc pracy w Niemczech i Francji;</w:t>
            </w:r>
            <w:r>
              <w:t xml:space="preserve"> </w:t>
            </w:r>
            <w:r>
              <w:rPr>
                <w:b/>
                <w:i/>
              </w:rPr>
              <w:t>wzywa Komisję, by w takich przypadkach konsultowała się ze związkami zawodowymi i gwarantowała prawa pracownicze;</w:t>
            </w:r>
            <w:r>
              <w:t xml:space="preserve"> </w:t>
            </w:r>
            <w:r>
              <w:rPr>
                <w:b/>
                <w:i/>
              </w:rPr>
              <w:t>przypomina Komisji o celach podwojenia kolejowego transportu towarowego i zmniejszenia ogólnych emisji z transportu o 90 % do 2050 r., określonych w strategii na rzecz zrównoważonej i inteligentnej mobilności w ramach Europejskiego Zielonego Ładu;</w:t>
            </w:r>
            <w:r>
              <w:t xml:space="preserve"> </w:t>
            </w:r>
            <w:r>
              <w:rPr>
                <w:b/>
                <w:i/>
              </w:rPr>
              <w:t>podkreśla, że polityka konkurencji nie powinna utrudniać postępu w transformacji ekologicznej, w której kluczowe znaczenie ma kolejowy transport towarowy;</w:t>
            </w:r>
            <w:r>
              <w:t xml:space="preserve"> </w:t>
            </w:r>
            <w:r>
              <w:rPr>
                <w:b/>
                <w:i/>
              </w:rPr>
              <w:t>w związku z tym apeluje o reformę reguł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z zaniepokojeniem odnotowuje wydaną przez Sąd interpretację art. 22 rozporządzenia WE w sprawie kontroli łączenia przedsiębiorstw w sprawie C-611/22 P (Illumina/Komisja) odrzucającą podejście Komisji polegające na przyjmowaniu wniosków o odesłanie sprawy dotyczących umów niepodlegających zgłoszeniu;</w:t>
            </w:r>
            <w:r>
              <w:t xml:space="preserve"> </w:t>
            </w:r>
            <w:r>
              <w:rPr>
                <w:b/>
                <w:i/>
              </w:rPr>
              <w:t>przyznaje, że rozporządzenie WE w sprawie kontroli łączenia przedsiębiorstw nie pozwala Komisji reagować na zabójcze przejęcia;</w:t>
            </w:r>
            <w:r>
              <w:t xml:space="preserve"> </w:t>
            </w:r>
            <w:r>
              <w:rPr>
                <w:b/>
                <w:i/>
              </w:rPr>
              <w:t>jest głęboko przekonany, że wpływ decyzji dotyczących połączeń na jednolity rynek uzasadnia dodanie do rozporządzenia WE w sprawie kontroli łączenia przedsiębiorstw podstawy prawnej dotyczącej jednolitego rynku, tak aby w pełni zaangażować współustawodawców, tak jak w akcie o rynkach cyfrowych;</w:t>
            </w:r>
            <w:r>
              <w:t xml:space="preserve"> </w:t>
            </w:r>
            <w:r>
              <w:rPr>
                <w:b/>
                <w:i/>
              </w:rPr>
              <w:t>zachęca Komisję, aby zmotywowała państwa członkowskie, które posiadają lub mogą powoływać się na odpowiednie kompetencje, do przeglądu potencjalnych zabójczych przejęć w świetle ich krajowych przepisów dotyczących kontroli połączeń oraz do dalszego przekazywania tych umów zgodnie z art. 22 rozporządzenia WE w sprawie kontroli łączenia przedsiębiorstw;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 zaniepokojeniem odnotowuje wydaną przez Sąd interpretację art. 22 rozporządzenia WE w sprawie kontroli łączenia przedsiębiorstw w sprawie C-611/22 P (Illumina/Komisja) odrzucającą podejście Komisji polegające na przyjmowaniu wniosków o odesłanie sprawy dotyczących umów niepodlegających zgłoszeniu; przyznaje, że rozporządzenie WE w sprawie kontroli łączenia przedsiębiorstw nie pozwala Komisji reagować na zabójcze przejęcia; jest głęboko przekonany, że wpływ decyzji dotyczących połączeń na jednolity rynek uzasadnia dodanie do rozporządzenia WE w sprawie kontroli łączenia przedsiębiorstw podstawy prawnej dotyczącej jednolitego rynku, tak aby w pełni zaangażować współustawodawców, tak jak w akcie o rynkach cyfrowych; zachęca Komisję, aby zmotywowała państwa członkowskie, które posiadają lub mogą powoływać się na odpowiednie kompetencje, do przeglądu potencjalnych zabójczych przejęć w świetle ich krajowych przepisów dotyczących kontroli połączeń oraz do dalszego przekazywania tych umów zgodnie z art. 22 rozporządzenia WE w sprawie kontroli łączenia przedsiębiorstw;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 zaniepokojeniem odnotowuje wydaną przez Sąd interpretację art. 22 rozporządzenia WE w sprawie kontroli łączenia przedsiębiorstw w sprawie C-611/22 P (Illumina/Komisja) odrzucającą podejście Komisji polegające na przyjmowaniu wniosków o odesłanie sprawy dotyczących umów niepodlegających zgłoszeniu; przyznaje, że rozporządzenie WE w sprawie kontroli łączenia przedsiębiorstw nie pozwala Komisji reagować na zabójcze przejęcia; jest głęboko przekonany, że wpływ decyzji dotyczących połączeń na jednolity rynek uzasadnia dodanie do rozporządzenia WE w sprawie kontroli łączenia przedsiębiorstw podstawy prawnej dotyczącej jednolitego rynku, tak aby w pełni zaangażować współustawodawców, tak jak w akcie o rynkach cyfrowych; zachęca Komisję, aby zmotywowała państwa członkowskie, które posiadają lub mogą powoływać się na odpowiednie kompetencje, do przeglądu potencjalnych zabójczych przejęć w świetle ich krajowych przepisów dotyczących kontroli połączeń oraz do dalszego przekazywania tych umów zgodnie z art. 22 rozporządzenia WE w sprawie kontroli łączenia przedsiębiorstw; </w:t>
            </w:r>
            <w:r>
              <w:rPr>
                <w:b/>
                <w:i/>
              </w:rPr>
              <w:t>wzywa Komisję do analizy możliwości przeglądu rozporządzenia 139/2004, co pozwoliłoby jej badać połączenia przedsiębiorstw, które nie osiągają progów unijnych ani krajowych, niezależnie od zaangażowanych sektorów;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z zaniepokojeniem</w:t>
            </w:r>
            <w:r>
              <w:t xml:space="preserve"> odnotowuje wydaną przez Sąd interpretację art. 22 rozporządzenia WE w sprawie kontroli łączenia przedsiębiorstw w sprawie C-611/22 P (Illumina/Komisja) odrzucającą podejście Komisji polegające na przyjmowaniu wniosków o odesłanie sprawy dotyczących umów niepodlegających zgłoszeniu; </w:t>
            </w:r>
            <w:r>
              <w:rPr>
                <w:b/>
                <w:i/>
              </w:rPr>
              <w:t>przyznaje, że rozporządzenie WE w sprawie kontroli łączenia przedsiębiorstw nie pozwala Komisji reagować na zabójcze przejęcia;</w:t>
            </w:r>
            <w:r>
              <w:t xml:space="preserve"> </w:t>
            </w:r>
            <w:r>
              <w:rPr>
                <w:b/>
                <w:i/>
              </w:rPr>
              <w:t>jest głęboko przekonany, że wpływ decyzji dotyczących połączeń na jednolity rynek uzasadnia dodanie do rozporządzenia WE w sprawie kontroli łączenia przedsiębiorstw podstawy prawnej dotyczącej jednolitego rynku, tak aby w pełni zaangażować współustawodawców, tak jak w akcie o rynkach cyfrowych</w:t>
            </w:r>
            <w:r>
              <w:t xml:space="preserve">; zachęca Komisję, aby zmotywowała państwa członkowskie, które posiadają lub mogą powoływać się na odpowiednie kompetencje, do przeglądu potencjalnych zabójczych przejęć w świetle ich krajowych przepisów dotyczących kontroli połączeń </w:t>
            </w:r>
            <w:r>
              <w:rPr>
                <w:b/>
                <w:i/>
              </w:rPr>
              <w:t>oraz do dalszego przekazywania tych umów zgodnie z art. 22 rozporządzenia WE w sprawie kontroli łączenia przedsiębiorstw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odnotowuje wydaną przez Sąd interpretację art. 22 rozporządzenia WE w sprawie kontroli łączenia przedsiębiorstw w sprawie C-611/22 P (Illumina/Komisja) odrzucającą podejście Komisji polegające na przyjmowaniu wniosków o odesłanie sprawy dotyczących umów niepodlegających zgłoszeniu; </w:t>
            </w:r>
            <w:r>
              <w:rPr>
                <w:b/>
                <w:i/>
              </w:rPr>
              <w:t>podkreśla, że Komisja powinna zawsze stosować się do wykładni sądowej w wyrokach w sprawach dotyczących konkurencji, aby uniknąć dalszego osłabiania skuteczności, przewidywalności i pewności prawa, które należy zagwarantować stronom uczestniczącym w koncentracji, aby zapewnić prawidłowe funkcjonowanie rynku wewnętrznego UE</w:t>
            </w:r>
            <w:r>
              <w:rPr>
                <w:b/>
                <w:i/>
                <w:vertAlign w:val="superscript"/>
              </w:rPr>
              <w:t>8a</w:t>
            </w:r>
            <w:r>
              <w:t>; zachęca Komisję, aby zmotywowała państwa członkowskie, które posiadają lub mogą powoływać się na odpowiednie kompetencje, do przeglądu potencjalnych zabójczych przejęć w świetle ich krajowych przepisów dotyczących kontroli połączeń;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8a</w:t>
            </w:r>
            <w:r>
              <w:t xml:space="preserve"> </w:t>
            </w:r>
            <w:r>
              <w:rPr>
                <w:b/>
                <w:i/>
              </w:rPr>
              <w:t>Sprawa C-611/22, pkt 206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 zaniepokojeniem odnotowuje wydaną przez Sąd interpretację art. 22 rozporządzenia WE w sprawie kontroli łączenia przedsiębiorstw w sprawie C-611/22 P (Illumina/Komisja) odrzucającą podejście Komisji polegające na przyjmowaniu wniosków o odesłanie sprawy dotyczących umów niepodlegających zgłoszeniu; przyznaje, że rozporządzenie WE w sprawie kontroli łączenia przedsiębiorstw nie </w:t>
            </w:r>
            <w:r>
              <w:rPr>
                <w:b/>
                <w:i/>
              </w:rPr>
              <w:t>pozwala</w:t>
            </w:r>
            <w:r>
              <w:t xml:space="preserve"> Komisji </w:t>
            </w:r>
            <w:r>
              <w:rPr>
                <w:b/>
                <w:i/>
              </w:rPr>
              <w:t>reagować na zabójcze przejęcia</w:t>
            </w:r>
            <w:r>
              <w:t xml:space="preserve">; jest głęboko przekonany, że wpływ decyzji dotyczących połączeń na </w:t>
            </w:r>
            <w:r>
              <w:rPr>
                <w:b/>
                <w:i/>
              </w:rPr>
              <w:t>jednolity</w:t>
            </w:r>
            <w:r>
              <w:t xml:space="preserve"> rynek uzasadnia </w:t>
            </w:r>
            <w:r>
              <w:rPr>
                <w:b/>
                <w:i/>
              </w:rPr>
              <w:t>dodanie</w:t>
            </w:r>
            <w:r>
              <w:t xml:space="preserve"> do rozporządzenia WE w sprawie kontroli łączenia przedsiębiorstw podstawy prawnej dotyczącej </w:t>
            </w:r>
            <w:r>
              <w:rPr>
                <w:b/>
                <w:i/>
              </w:rPr>
              <w:t>jednolitego</w:t>
            </w:r>
            <w:r>
              <w:t xml:space="preserve"> rynku</w:t>
            </w:r>
            <w:r>
              <w:rPr>
                <w:b/>
                <w:i/>
              </w:rPr>
              <w:t>, tak aby w pełni zaangażować współustawodawców, tak jak w akcie o rynkach cyfrowych;</w:t>
            </w:r>
            <w:r>
              <w:t xml:space="preserve"> </w:t>
            </w:r>
            <w:r>
              <w:rPr>
                <w:b/>
                <w:i/>
              </w:rPr>
              <w:t>zachęca</w:t>
            </w:r>
            <w:r>
              <w:t xml:space="preserve"> Komisję, aby </w:t>
            </w:r>
            <w:r>
              <w:rPr>
                <w:b/>
                <w:i/>
              </w:rPr>
              <w:t>zmotywowała</w:t>
            </w:r>
            <w:r>
              <w:t xml:space="preserve"> państwa członkowskie, które </w:t>
            </w:r>
            <w:r>
              <w:rPr>
                <w:b/>
                <w:i/>
              </w:rPr>
              <w:t>posiadają</w:t>
            </w:r>
            <w:r>
              <w:t xml:space="preserve"> lub mogą powoływać się na odpowiednie kompetencje, do </w:t>
            </w:r>
            <w:r>
              <w:rPr>
                <w:b/>
                <w:i/>
              </w:rPr>
              <w:t>przeglądu</w:t>
            </w:r>
            <w:r>
              <w:t xml:space="preserve"> potencjalnych zabójczych przejęć w świetle ich krajowych przepisów dotyczących kontroli połączeń oraz do dalszego przekazywania </w:t>
            </w:r>
            <w:r>
              <w:rPr>
                <w:b/>
                <w:i/>
              </w:rPr>
              <w:t>tych</w:t>
            </w:r>
            <w:r>
              <w:t xml:space="preserve"> umów zgodnie z art. 22 rozporządzenia WE w sprawie kontroli łączenia przedsiębiorstw;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 zaniepokojeniem odnotowuje wydaną przez Sąd interpretację art. 22 rozporządzenia WE w sprawie kontroli łączenia przedsiębiorstw w sprawie C-611/22 P (Illumina/Komisja) odrzucającą podejście Komisji polegające na przyjmowaniu wniosków o odesłanie sprawy dotyczących umów niepodlegających zgłoszeniu; przyznaje, że rozporządzenie WE w sprawie kontroli łączenia przedsiębiorstw nie </w:t>
            </w:r>
            <w:r>
              <w:rPr>
                <w:b/>
                <w:i/>
              </w:rPr>
              <w:t>zapewnia</w:t>
            </w:r>
            <w:r>
              <w:t xml:space="preserve"> Komisji </w:t>
            </w:r>
            <w:r>
              <w:rPr>
                <w:b/>
                <w:i/>
              </w:rPr>
              <w:t>wystarczających narzędzi do radzenia sobie z zabójczymi przejęciami</w:t>
            </w:r>
            <w:r>
              <w:t xml:space="preserve">; jest głęboko przekonany, że wpływ decyzji dotyczących połączeń na rynek </w:t>
            </w:r>
            <w:r>
              <w:rPr>
                <w:b/>
                <w:i/>
              </w:rPr>
              <w:t>wewnętrzny</w:t>
            </w:r>
            <w:r>
              <w:t xml:space="preserve"> uzasadnia </w:t>
            </w:r>
            <w:r>
              <w:rPr>
                <w:b/>
                <w:i/>
              </w:rPr>
              <w:t>włączenie</w:t>
            </w:r>
            <w:r>
              <w:t xml:space="preserve"> do rozporządzenia WE w sprawie kontroli łączenia przedsiębiorstw podstawy prawnej dotyczącej rynku </w:t>
            </w:r>
            <w:r>
              <w:rPr>
                <w:b/>
                <w:i/>
              </w:rPr>
              <w:t>wewnętrznego;</w:t>
            </w:r>
            <w:r>
              <w:t xml:space="preserve"> </w:t>
            </w:r>
            <w:r>
              <w:rPr>
                <w:b/>
                <w:i/>
              </w:rPr>
              <w:t>wzywa</w:t>
            </w:r>
            <w:r>
              <w:t xml:space="preserve"> Komisję, aby </w:t>
            </w:r>
            <w:r>
              <w:rPr>
                <w:b/>
                <w:i/>
              </w:rPr>
              <w:t>zobowiązała</w:t>
            </w:r>
            <w:r>
              <w:t xml:space="preserve"> państwa członkowskie, które </w:t>
            </w:r>
            <w:r>
              <w:rPr>
                <w:b/>
                <w:i/>
              </w:rPr>
              <w:t>mają</w:t>
            </w:r>
            <w:r>
              <w:t xml:space="preserve"> lub mogą powoływać się na odpowiednie kompetencje, do </w:t>
            </w:r>
            <w:r>
              <w:rPr>
                <w:b/>
                <w:i/>
              </w:rPr>
              <w:t>zbadania</w:t>
            </w:r>
            <w:r>
              <w:t xml:space="preserve"> potencjalnych zabójczych przejęć w świetle ich krajowych przepisów dotyczących kontroli połączeń oraz do dalszego przekazywania </w:t>
            </w:r>
            <w:r>
              <w:rPr>
                <w:b/>
                <w:i/>
              </w:rPr>
              <w:t>takich</w:t>
            </w:r>
            <w:r>
              <w:t xml:space="preserve"> umów zgodnie z art. 22 rozporządzenia WE w sprawie kontroli łączenia przedsiębiorstw;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 zaniepokojeniem odnotowuje wydaną przez </w:t>
            </w:r>
            <w:r>
              <w:rPr>
                <w:b/>
                <w:i/>
              </w:rPr>
              <w:t>Sąd</w:t>
            </w:r>
            <w:r>
              <w:t xml:space="preserve"> interpretację art. 22 rozporządzenia WE w sprawie kontroli łączenia przedsiębiorstw w sprawie C-611/22 P (Illumina/Komisja) odrzucającą podejście Komisji polegające na przyjmowaniu wniosków o odesłanie sprawy dotyczących umów niepodlegających zgłoszeniu; przyznaje, że rozporządzenie WE w sprawie kontroli łączenia przedsiębiorstw nie pozwala Komisji reagować na zabójcze przejęcia; jest głęboko przekonany, że wpływ decyzji dotyczących połączeń na jednolity rynek uzasadnia dodanie do rozporządzenia WE w sprawie kontroli łączenia przedsiębiorstw podstawy prawnej dotyczącej jednolitego rynku, tak aby w pełni zaangażować współustawodawców, tak jak w akcie o rynkach cyfrowych; zachęca Komisję, aby zmotywowała państwa członkowskie, które posiadają lub mogą powoływać się na odpowiednie kompetencje, do przeglądu potencjalnych zabójczych przejęć w świetle ich krajowych przepisów dotyczących kontroli połączeń oraz do dalszego przekazywania tych umów zgodnie z art. 22 rozporządzenia WE w sprawie kontroli łączenia przedsiębiorstw;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 zaniepokojeniem odnotowuje wydaną przez </w:t>
            </w:r>
            <w:r>
              <w:rPr>
                <w:b/>
                <w:i/>
              </w:rPr>
              <w:t>Trybunał Sprawiedliwości</w:t>
            </w:r>
            <w:r>
              <w:t xml:space="preserve"> interpretację art. 22 rozporządzenia WE w sprawie kontroli łączenia przedsiębiorstw w sprawie C-611/22 P (Illumina/Komisja) odrzucającą podejście Komisji polegające na przyjmowaniu wniosków o odesłanie sprawy dotyczących umów niepodlegających zgłoszeniu; przyznaje, że rozporządzenie WE w sprawie kontroli łączenia przedsiębiorstw nie pozwala Komisji reagować na zabójcze przejęcia; jest głęboko przekonany, że wpływ decyzji dotyczących połączeń na jednolity rynek uzasadnia dodanie do rozporządzenia WE w sprawie kontroli łączenia przedsiębiorstw podstawy prawnej dotyczącej jednolitego rynku, tak aby w pełni zaangażować współustawodawców, tak jak w akcie o rynkach cyfrowych; zachęca Komisję, aby zmotywowała państwa członkowskie, które posiadają lub mogą powoływać się na odpowiednie kompetencje, do przeglądu potencjalnych zabójczych przejęć w świetle ich krajowych przepisów dotyczących kontroli połączeń oraz do dalszego przekazywania tych umów zgodnie z art. 22 rozporządzenia WE w sprawie kontroli łączenia przedsiębiorstw;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zauważa, że pomimo głośnych dochodzeń egzekwowanie polityki konkurencji, a w szczególności przeglądy łączenia przedsiębiorstw były mniej skuteczne;</w:t>
            </w:r>
            <w:r>
              <w:t xml:space="preserve"> </w:t>
            </w:r>
            <w:r>
              <w:rPr>
                <w:b/>
                <w:i/>
              </w:rPr>
              <w:t>zauważa z zaniepokojeniem, że od czasu wprowadzenia rozporządzenia w sprawie kontroli łączenia przedsiębiorstw w 2004 r. Komisja zablokowała lub wycofała w wyniku dochodzenia jedynie 0,7 % zgłoszonych połączeń, podczas gdy przejęcia przez duże przedsiębiorstwa prawdopodobnie przyczyniły się do wzrostu koncentracji na rynku i marż zysku;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</w:t>
            </w:r>
            <w:r>
              <w:rPr>
                <w:b/>
                <w:i/>
              </w:rPr>
              <w:t>w dziedzinie obronności”;</w:t>
            </w:r>
            <w:r>
              <w:t xml:space="preserve"> </w:t>
            </w:r>
            <w:r>
              <w:rPr>
                <w:b/>
                <w:i/>
              </w:rPr>
              <w:t>wzywa do uwzględnienia kwestii interesu publicznego, takich jak ochrona klimatu, zrównoważony rozwój i wpływ na pracowników,</w:t>
            </w:r>
            <w:r>
              <w:t xml:space="preserve"> przy badaniu wpływu koncentracji na rynek wewnętrzny;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 zadowoleniem przyjmuje wniosek Maria Draghiego dotyczący „</w:t>
            </w:r>
            <w:r>
              <w:rPr>
                <w:b/>
                <w:i/>
              </w:rPr>
              <w:t>obrony</w:t>
            </w:r>
            <w:r>
              <w:t xml:space="preserve"> innowacji</w:t>
            </w:r>
            <w:r>
              <w:rPr>
                <w:b/>
                <w:i/>
              </w:rPr>
              <w:t>”, gdyż postrzega innowacyjność jako kluczowy czynnik napędzający wzrost gospodarczy i uważa, że przy odpowiedniej analizie koncentracja przedsiębiorstw może wnieść pozytywny wkład w innowacyjność i konkurencyjność przez połączenie zasobów i zdolności w celu dostarczania lepszych produktów i usług;</w:t>
            </w:r>
            <w:r>
              <w:t xml:space="preserve"> </w:t>
            </w:r>
            <w:r>
              <w:rPr>
                <w:b/>
                <w:i/>
              </w:rPr>
              <w:t>wzywa ponadto do uwzględnienia efektywności rynku</w:t>
            </w:r>
            <w:r>
              <w:t xml:space="preserve"> przy badaniu wpływu koncentracji na rynek wewnętrzny; </w:t>
            </w:r>
            <w:r>
              <w:rPr>
                <w:b/>
                <w:i/>
              </w:rPr>
              <w:t>podkreśla, że analiza koncentracji na rynku wewnętrznym nie powinna opierać się na względach niezwiązanych z wynikami gospodarczymi i skuteczną konkurencją, a interwencje państwa powinny być minimalne, ograniczone do przypadków jednoznacznego ryzyka, że koncentracja utrudni skuteczną konkurencję lub doprowadzi do nadużywania pozycji rynkowej ze szkodą dla konsumentów;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</w:t>
            </w:r>
            <w:r>
              <w:rPr>
                <w:b/>
                <w:i/>
              </w:rPr>
              <w:t>wzywa do uwzględnienia kwestii interesu publicznego, takich jak ochrona klimatu, zrównoważony rozwój i wpływ na pracowników, przy badaniu wpływu koncentracji na rynek wewnętrzny;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 zadowoleniem przyjmuje wniosek Maria Draghiego dotyczący „innowacji w dziedzinie obronności”;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z zadowoleniem przyjmuje</w:t>
            </w:r>
            <w:r>
              <w:t xml:space="preserve"> wniosek Maria Draghiego dotyczący „innowacji w dziedzinie obronności”; wzywa do uwzględnienia kwestii interesu publicznego</w:t>
            </w:r>
            <w:r>
              <w:rPr>
                <w:b/>
                <w:i/>
              </w:rPr>
              <w:t>, takich</w:t>
            </w:r>
            <w:r>
              <w:t xml:space="preserve"> jak ochrona klimatu, zrównoważony rozwój i wpływ na pracowników, przy badaniu wpływu koncentracji na rynek wewnętrzny;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odnotowuje</w:t>
            </w:r>
            <w:r>
              <w:t xml:space="preserve"> wniosek Maria Draghiego dotyczący „innowacji w dziedzinie obronności”; </w:t>
            </w:r>
            <w:r>
              <w:rPr>
                <w:b/>
                <w:i/>
              </w:rPr>
              <w:t>ponadto</w:t>
            </w:r>
            <w:r>
              <w:t xml:space="preserve"> wzywa do uwzględnienia </w:t>
            </w:r>
            <w:r>
              <w:rPr>
                <w:b/>
                <w:i/>
              </w:rPr>
              <w:t>takich </w:t>
            </w:r>
            <w:r>
              <w:t xml:space="preserve">kwestii interesu publicznego jak ochrona klimatu, zrównoważony rozwój i wpływ na pracowników, </w:t>
            </w:r>
            <w:r>
              <w:rPr>
                <w:b/>
                <w:i/>
              </w:rPr>
              <w:t>pluralizm mediów i prywatność</w:t>
            </w:r>
            <w:r>
              <w:t xml:space="preserve"> przy badaniu wpływu koncentracji na rynek wewnętrzny </w:t>
            </w:r>
            <w:r>
              <w:rPr>
                <w:b/>
                <w:i/>
              </w:rPr>
              <w:t>oraz istnienia praktyk antykonkurencyjnych na mocy art. 101 i 102 TFUE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wzywa do uwzględnienia kwestii interesu publicznego, takich jak ochrona klimatu, zrównoważony rozwój </w:t>
            </w:r>
            <w:r>
              <w:rPr>
                <w:b/>
                <w:i/>
              </w:rPr>
              <w:t>i</w:t>
            </w:r>
            <w:r>
              <w:t xml:space="preserve"> wpływ na pracowników, przy badaniu wpływu koncentracji na rynek wewnętrzny;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 zadowoleniem przyjmuje wniosek Maria Draghiego dotyczący „innowacji w dziedzinie obronności”; wzywa do uwzględnienia kwestii interesu publicznego, takich jak ochrona klimatu, zrównoważony rozwój</w:t>
            </w:r>
            <w:r>
              <w:rPr>
                <w:b/>
                <w:i/>
              </w:rPr>
              <w:t>,</w:t>
            </w:r>
            <w:r>
              <w:t xml:space="preserve"> wpływ na pracowników</w:t>
            </w:r>
            <w:r>
              <w:rPr>
                <w:b/>
                <w:i/>
              </w:rPr>
              <w:t>, konkurencyjność naszych rynków oraz autonomia naszych sektorów przemysłu, a zwłaszcza sektora energetycznego</w:t>
            </w:r>
            <w:r>
              <w:t>, przy badaniu wpływu koncentracji na rynek wewnętrzny;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 zadowoleniem przyjmuje wniosek Maria Draghiego dotyczący „innowacji w dziedzinie obronności”; wzywa do uwzględnienia kwestii interesu publicznego</w:t>
            </w:r>
            <w:r>
              <w:rPr>
                <w:b/>
                <w:i/>
              </w:rPr>
              <w:t>, takich jak ochrona klimatu, zrównoważony rozwój i wpływ na pracowników,</w:t>
            </w:r>
            <w:r>
              <w:t xml:space="preserve"> przy badaniu wpływu koncentracji na rynek wewnętrzny;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</w:t>
            </w:r>
            <w:r>
              <w:rPr>
                <w:b/>
                <w:i/>
              </w:rPr>
              <w:t>ponadto</w:t>
            </w:r>
            <w:r>
              <w:t xml:space="preserve"> wzywa do uwzględnienia kwestii interesu publicznego przy badaniu wpływu koncentracji na rynek wewnętrzny;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 zadowoleniem przyjmuje wniosek Maria Draghiego dotyczący „innowacji w dziedzinie obronności”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wzywa do uwzględnienia kwestii interesu publicznego, takich jak ochrona klimatu, zrównoważony rozwój i wpływ na pracowników, przy badaniu wpływu koncentracji na rynek wewnętrzny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 </w:t>
            </w:r>
            <w:r>
              <w:rPr>
                <w:b/>
                <w:i/>
              </w:rPr>
              <w:t>w przypadkach, gdy połączenie zwiększa zdolność i motywację do innowacji;</w:t>
            </w:r>
            <w:r>
              <w:t xml:space="preserve"> </w:t>
            </w:r>
            <w:r>
              <w:rPr>
                <w:b/>
                <w:i/>
              </w:rPr>
              <w:t>zachęca Komisję Europejską do analizy i dalszego rozwijania tej koncepcji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 zadowoleniem przyjmuje wniosek Maria Draghiego dotyczący „innowacji w dziedzinie obronności”; wzywa do uwzględnienia kwestii interesu publicznego, takich jak ochrona klimatu, zrównoważony rozwój i wpływ na pracowników, przy badaniu wpływu koncentracji na rynek wewnętrzny;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 zadowoleniem przyjmuje wniosek Maria Draghiego dotyczący „innowacji w dziedzinie obronności”; wzywa do uwzględnienia kwestii interesu publicznego, takich jak ochrona klimatu, zrównoważony rozwój</w:t>
            </w:r>
            <w:r>
              <w:rPr>
                <w:b/>
                <w:i/>
              </w:rPr>
              <w:t>, gwarancja świadczenia usług publicznych</w:t>
            </w:r>
            <w:r>
              <w:t> i wpływ na pracowników, przy badaniu wpływu koncentracji na rynek wewnętrzny;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</w:t>
            </w:r>
            <w:r>
              <w:rPr>
                <w:b/>
                <w:i/>
              </w:rPr>
              <w:t>wzywa do uwzględnienia kwestii interesu publicznego, takich jak ochrona klimatu, zrównoważony rozwój i wpływ na pracowników, przy badaniu wpływu koncentracji na rynek wewnętrzny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</w:t>
            </w:r>
            <w:r>
              <w:rPr>
                <w:b/>
                <w:i/>
              </w:rPr>
              <w:t>ponadto wzywa, by w ocenach DG ds. Konkurencji uwzględniać ryzyko zakłóceń w gospodarce UE</w:t>
            </w:r>
            <w:r>
              <w:rPr>
                <w:b/>
                <w:i/>
                <w:vertAlign w:val="superscript"/>
              </w:rPr>
              <w:t>9a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9a</w:t>
            </w:r>
            <w:r>
              <w:t xml:space="preserve"> </w:t>
            </w:r>
            <w:r>
              <w:rPr>
                <w:b/>
                <w:i/>
              </w:rPr>
              <w:t>Przyszłość europejskiej konkurencyjności. Część B</w:t>
            </w:r>
            <w:r>
              <w:t xml:space="preserve"> </w:t>
            </w:r>
            <w:r>
              <w:rPr>
                <w:b/>
                <w:i/>
              </w:rPr>
              <w:t>| Szczegółowa analiza i zalecenia, rozdział 4 – Reorganizacja konkurencji, s. 300.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wzywa do uwzględnienia </w:t>
            </w:r>
            <w:r>
              <w:rPr>
                <w:b/>
                <w:i/>
              </w:rPr>
              <w:t>kwestii interesu publicznego, takich jak ochrona klimatu, zrównoważony rozwój i wpływ na pracowników,</w:t>
            </w:r>
            <w:r>
              <w:t xml:space="preserve"> przy badaniu wpływu koncentracji na rynek wewnętrzny;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wzywa </w:t>
            </w:r>
            <w:r>
              <w:rPr>
                <w:b/>
                <w:i/>
              </w:rPr>
              <w:t>zatem</w:t>
            </w:r>
            <w:r>
              <w:t xml:space="preserve"> do uwzględnienia </w:t>
            </w:r>
            <w:r>
              <w:rPr>
                <w:b/>
                <w:i/>
              </w:rPr>
              <w:t>zdolności do stymulowania innowacji</w:t>
            </w:r>
            <w:r>
              <w:t xml:space="preserve"> przy badaniu wpływu koncentracji na rynek wewnętrzny;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wzywa do uwzględnienia kwestii interesu publicznego, takich jak </w:t>
            </w:r>
            <w:r>
              <w:rPr>
                <w:b/>
                <w:i/>
              </w:rPr>
              <w:t>ochrona klimatu, zrównoważony rozwój i wpływ na pracowników</w:t>
            </w:r>
            <w:r>
              <w:t>, przy badaniu wpływu koncentracji na rynek wewnętrzny;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 zadowoleniem przyjmuje wniosek Maria Draghiego dotyczący „innowacji w dziedzinie obronności”; wzywa do uwzględnienia kwestii interesu publicznego, takich jak </w:t>
            </w:r>
            <w:r>
              <w:rPr>
                <w:b/>
                <w:i/>
              </w:rPr>
              <w:t>wpływ na pracowników lub europejska niezależność strategiczna</w:t>
            </w:r>
            <w:r>
              <w:t>, przy badaniu wpływu koncentracji na rynek wewnętrzny;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wzywa Komisję, by przyjęła perspektywiczne podejście do konsolidacji w UE, zaproponowane również w sprawozdaniach Draghiego i Letty, z uwzględnieniem strategicznego znaczenia i prokonkurencyjnego wpływu skali i korzystnych warunków inwestycyjnych w niektórych sektorach na pobudzanie innowacji i długoterminowej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odnotowuje przedstawioną w sprawozdaniu Draghiego propozycję środków zaradczych ex post dotyczących połączeń;</w:t>
            </w:r>
            <w:r>
              <w:t xml:space="preserve"> </w:t>
            </w:r>
            <w:r>
              <w:rPr>
                <w:b/>
                <w:i/>
              </w:rPr>
              <w:t>pochwala, że rozważane są strukturalne środki zaradcze, a jednocześnie zauważa, że kontrola połączeń ex post nie jest idealnym substytutem kontroli ex ante, ponieważ (częściowe) odwrócenie integracji przedsiębiorstw może wiązać się z trudnościami praktycznymi;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zwraca się do Komisji, by określiła krajowe bariery, które mogą uniemożliwiać jej uznanie rynku europejskiego za istotny w analizie połączeń;</w:t>
            </w:r>
            <w:r>
              <w:t xml:space="preserve"> </w:t>
            </w:r>
            <w:r>
              <w:rPr>
                <w:b/>
                <w:i/>
              </w:rPr>
              <w:t>wzywa Komisję, by przedstawiła wniosek ustawodawczy w celu usunięcia tych przeszkód;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wzywa do aktualizacji ram oceny połączeń w celu odzwierciedlenia realiów gospodarki cyfrowej, w której dominacja na rynku może się manifestować inaczej niż tradycyjny udział w rynku; popiera opracowanie </w:t>
            </w:r>
            <w:r>
              <w:rPr>
                <w:b/>
                <w:i/>
              </w:rPr>
              <w:t>nowych</w:t>
            </w:r>
            <w:r>
              <w:t xml:space="preserve"> metod analizy dominacji opartej na dostępie do danych i efektach sieciowych;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wzywa do aktualizacji ram oceny połączeń w celu odzwierciedlenia realiów gospodarki cyfrowej, w której dominacja na rynku może się manifestować inaczej niż tradycyjny udział w rynku; popiera opracowanie </w:t>
            </w:r>
            <w:r>
              <w:rPr>
                <w:b/>
                <w:i/>
              </w:rPr>
              <w:t>zaawansowanych</w:t>
            </w:r>
            <w:r>
              <w:t xml:space="preserve"> metod analizy dominacji opartej na dostępie do danych i efektach sieciowych</w:t>
            </w:r>
            <w:r>
              <w:rPr>
                <w:b/>
                <w:i/>
              </w:rPr>
              <w:t>, a zarazem podkreśla kluczową rolę decyzji konsumentów przy wyborze usług i urządzeń cyfrowych;</w:t>
            </w:r>
            <w:r>
              <w:t xml:space="preserve"> </w:t>
            </w:r>
            <w:r>
              <w:rPr>
                <w:b/>
                <w:i/>
              </w:rPr>
              <w:t>zachęca Komisję, by wzmocniła mechanizmy umożliwiające interoperacyjność między usługami i urządzeniami oraz wspierające innowacje i konkurencję w ekosystemie cyfrowym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wzywa do aktualizacji ram oceny połączeń w celu odzwierciedlenia realiów gospodarki cyfrowej, w której dominacja na rynku może się manifestować inaczej niż tradycyjny udział w rynku; popiera opracowanie nowych metod analizy dominacji opartej na dostępie do danych i efektach sieciowych;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wzywa do aktualizacji ram oceny połączeń w celu odzwierciedlenia realiów gospodarki cyfrowej, w której dominacja na rynku może się manifestować inaczej niż tradycyjny udział w rynku; popiera opracowanie nowych metod analizy dominacji opartej na dostępie do danych i efektach sieciowych; </w:t>
            </w:r>
            <w:r>
              <w:rPr>
                <w:b/>
                <w:i/>
              </w:rPr>
              <w:t>popiera propozycję Komisji, aby w sytuacji, gdy ekspansja na sąsiednie rynki skutkowałaby dalszym wzmocnieniem dominującej pozycji spółki przejmującej na jej rynku głównym, w ocenie połączeń w większym stopniu uwzględniać potencjalne szkody dla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wzywa do aktualizacji ram oceny połączeń w celu odzwierciedlenia realiów gospodarki cyfrowej, w której dominacja na rynku może się manifestować inaczej niż tradycyjny udział w rynku; popiera opracowanie nowych metod analizy dominacji opartej na dostępie do danych i efektach sieciowych;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wzywa do aktualizacji ram oceny połączeń w celu odzwierciedlenia realiów gospodarki cyfrowej, w której dominacja na rynku może się manifestować inaczej niż tradycyjny udział w rynku; popiera opracowanie nowych metod analizy dominacji opartej na dostępie do danych i efektach sieciowych</w:t>
            </w:r>
            <w:r>
              <w:rPr>
                <w:b/>
                <w:i/>
              </w:rPr>
              <w:t>, w tym systematyczniejsze stosowanie standardowej analizy księgowej i finansowej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wzywa do aktualizacji ram oceny połączeń w celu odzwierciedlenia realiów gospodarki cyfrowej, w której dominacja na rynku może się manifestować inaczej niż tradycyjny udział w rynku; popiera opracowanie nowych metod analizy dominacji opartej na dostępie do danych i efektach sieciowych;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wzywa do aktualizacji ram oceny połączeń w celu odzwierciedlenia realiów gospodarki cyfrowej, w której dominacja na rynku może się manifestować inaczej niż tradycyjny udział w rynku </w:t>
            </w:r>
            <w:r>
              <w:rPr>
                <w:b/>
                <w:i/>
              </w:rPr>
              <w:t>na wyraźnie wyznaczonych rynkach</w:t>
            </w:r>
            <w:r>
              <w:t xml:space="preserve">; popiera opracowanie nowych metod analizy dominacji </w:t>
            </w:r>
            <w:r>
              <w:rPr>
                <w:b/>
                <w:i/>
              </w:rPr>
              <w:t>infrastrukturalnej,</w:t>
            </w:r>
            <w:r>
              <w:t xml:space="preserve"> opartej na dostępie do danych i efektach sieciowych;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wzywa do aktualizacji</w:t>
            </w:r>
            <w:r>
              <w:t xml:space="preserve"> ram oceny połączeń w celu odzwierciedlenia realiów gospodarki cyfrowej, w której dominacja na rynku może się manifestować inaczej niż tradycyjny udział w rynku; popiera opracowanie nowych metod analizy dominacji opartej na dostępie do danych i efektach sieciowych;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proponuje aktualizację</w:t>
            </w:r>
            <w:r>
              <w:t xml:space="preserve"> ram oceny połączeń w celu odzwierciedlenia realiów gospodarki cyfrowej, w której dominacja na rynku może się manifestować inaczej niż tradycyjny udział w rynku; popiera opracowanie nowych metod analizy dominacji opartej na dostępie do danych i efektach sieciowych;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podkreśla przyszłe potrzeby UE w zakresie łączności pod względem infrastruktury i inwestycji;</w:t>
            </w:r>
            <w:r>
              <w:t xml:space="preserve"> </w:t>
            </w:r>
            <w:r>
              <w:rPr>
                <w:b/>
                <w:i/>
              </w:rPr>
              <w:t>wzywa Komisję, aby przeprowadziła przegląd wytycznych w sprawie łączenia przedsiębiorstw w celu przyjęcia bardziej kompleksowej oceny efektywności kontroli i współpracy w zakresie łączenia przedsiębiorstw;</w:t>
            </w:r>
            <w:r>
              <w:t xml:space="preserve"> </w:t>
            </w:r>
            <w:r>
              <w:rPr>
                <w:b/>
                <w:i/>
              </w:rPr>
              <w:t>zauważa, że w ocenie współpracy horyzontalnej należy dostrzec również znaczenie współpracy na rynkach zdominowanych przez strażników dostępu;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wzywa do okresowych przeglądów ilościowych progów jurysdykcyjnych określonych w unijnym rozporządzeniu w sprawie kontroli łączenia przedsiębiorstw, aby uwzględniać najnowsze zmiany na rynku;</w:t>
            </w:r>
            <w:r>
              <w:t xml:space="preserve"> </w:t>
            </w:r>
            <w:r>
              <w:rPr>
                <w:b/>
                <w:i/>
              </w:rPr>
              <w:t>zauważa w szczególności, że same progi obrotu określone w rozporządzeniu w sprawie kontroli łączenia przedsiębiorstw mogą nie być wystarczające, by wykryć wszystkie przypadki, które organy ochrony konkurencji powinny zbadać;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apeluje, aby unijna kontrola połączeń obejmowała praktyki stosowane przez przedsiębiorstwa dominujące w celu uniknięcia formalnych dochodzeń, np. coraz częstsze wykorzystywanie „partnerstw” w sektorze AI;</w:t>
            </w:r>
            <w:r>
              <w:t xml:space="preserve"> </w:t>
            </w:r>
            <w:r>
              <w:rPr>
                <w:b/>
                <w:i/>
              </w:rPr>
              <w:t>uważa, że w razie potrzeby powinno to obejmować aktualizację rozporządzenia WE w sprawie kontroli łączenia przedsiębiorstw oraz powiązanych zawiadomień i wytycznych;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wzywa Komisję do zajęcia się nadmiernie długimi dochodzeniami antymonopolowymi, podczas których przedsiębiorstwa nadal czerpią korzyści z praktyk antykonkurencyjnych;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wzywa Komisję do zajęcia się nadmiernie długimi dochodzeniami antymonopolowymi, podczas których przedsiębiorstwa nadal czerpią korzyści z praktyk antykonkurencyjnych; </w:t>
            </w:r>
            <w:r>
              <w:rPr>
                <w:b/>
                <w:i/>
              </w:rPr>
              <w:t>wzywa Komisję, by wprowadziła ostateczny termin dla spraw antymonopolowych w celu zapewnienia skuteczności przepisów UE;</w:t>
            </w:r>
            <w:r>
              <w:t xml:space="preserve"> </w:t>
            </w:r>
            <w:r>
              <w:rPr>
                <w:b/>
                <w:i/>
              </w:rPr>
              <w:t>wzywa Komisję do przyjęcia dalszych środków tymczasowych, aby powstrzymać wszelkie praktyki, które mogłyby poważnie szkodzić konkurencji, zwłaszcza w odniesieniu do dynamicznych i szybko rozwijających się rynków, np. rynków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wzywa Komisję do zajęcia się nadmiernie długimi dochodzeniami antymonopolowymi, podczas których przedsiębiorstwa </w:t>
            </w:r>
            <w:r>
              <w:rPr>
                <w:b/>
                <w:i/>
              </w:rPr>
              <w:t>nadal czerpią korzyści z praktyk antykonkurencyjnych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wzywa Komisję do zajęcia się nadmiernie długimi dochodzeniami antymonopolowymi, podczas których przedsiębiorstwa </w:t>
            </w:r>
            <w:r>
              <w:rPr>
                <w:b/>
                <w:i/>
              </w:rPr>
              <w:t>mogą stawać wobec długotrwałej niepewności hamującej ich zdolność do konkurowania i wprowadzania innowacji;</w:t>
            </w:r>
            <w:r>
              <w:t xml:space="preserve"> </w:t>
            </w:r>
            <w:r>
              <w:rPr>
                <w:b/>
                <w:i/>
              </w:rPr>
              <w:t>przypomina, że zbyt długie dochodzenia mogą generować niepotrzebne koszty oraz zniechęcać do inwestycji i dynamiki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wzywa Komisję do zajęcia się nadmiernie długimi dochodzeniami antymonopolowymi, podczas których przedsiębiorstwa nadal czerpią korzyści z praktyk antykonkurencyjnych;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wzywa Komisję do zajęcia się nadmiernie długimi dochodzeniami antymonopolowymi, podczas których przedsiębiorstwa nadal czerpią korzyści z praktyk antykonkurencyjnych</w:t>
            </w:r>
            <w:r>
              <w:rPr>
                <w:b/>
                <w:i/>
              </w:rPr>
              <w:t>, oraz do pełnego wykonywania przysługujących jej uprawnień, na przykład przez częstsze stosowanie środków tymczasowych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wzywa Komisję do </w:t>
            </w:r>
            <w:r>
              <w:rPr>
                <w:b/>
                <w:i/>
              </w:rPr>
              <w:t>zajęcia się nadmiernie długimi dochodzeniami antymonopolowymi, podczas których przedsiębiorstwa nadal czerpią korzyści z praktyk antykonkurencyjnych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wzywa Komisję do </w:t>
            </w:r>
            <w:r>
              <w:rPr>
                <w:b/>
                <w:i/>
              </w:rPr>
              <w:t>przyspieszenia procedur antymonopolowych, ustalenia odpowiednich terminów dla procedur i zapewnienia skutecznej realizacji podjętych decyzji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wzywa Komisję do szybkiego wykorzystania dostępnych instrumentów handlowych, aby zapobiegać nieuczciwej konkurencji na rynku wewnętrznym, np. za pomocą takich narzędzi jak Instrument Zamówień Międzynarodowych i rozporządzenie w sprawie subsydiów zagranicznych, oraz do utrzymania równych warunków działania z przedsiębiorstwami zagranicznymi dzięki znacznym dotacjom państwowym;</w:t>
            </w:r>
            <w:r>
              <w:t xml:space="preserve"> </w:t>
            </w:r>
            <w:r>
              <w:rPr>
                <w:b/>
                <w:i/>
              </w:rPr>
              <w:t>dodaje, że reguły konkurencji powinny również uwzględniać dumping socjalny i środowiskowy;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apeluje o wprowadzenie obowiązkowych praw konsultacji i partycypacji pracowników przy podejmowaniu decyzji o połączeniach i przejęciach;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Śródtytuł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apeluje o zwrócenie większej uwagi na sektor cyfrowy, aby zapewnić, że duże platformy internetowe i giganci technologiczni nie będą nadużywać swojej dominującej pozycji;</w:t>
            </w:r>
            <w:r>
              <w:t xml:space="preserve"> </w:t>
            </w:r>
            <w:r>
              <w:rPr>
                <w:b/>
                <w:i/>
              </w:rPr>
              <w:t>podkreśla, jak ważne jest stosowanie określonych reguł w celu zapobiegania zakłóceniom konkurencji w tym obszarze i zachęca do stosowania przez UE i poszczególne państwa członkowskie określonych form opodatkowania;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z zadowoleniem przyjmuje dwie przełomowe rozprawy potwierdzające</w:t>
            </w:r>
            <w:r>
              <w:t xml:space="preserve"> opinię Komisji, że irlandzkie porozumienie podatkowe z Apple </w:t>
            </w:r>
            <w:r>
              <w:rPr>
                <w:b/>
                <w:i/>
              </w:rPr>
              <w:t>i</w:t>
            </w:r>
            <w:r>
              <w:t xml:space="preserve"> Google </w:t>
            </w:r>
            <w:r>
              <w:rPr>
                <w:b/>
                <w:i/>
              </w:rPr>
              <w:t>stanowi praktykę antykonkurencyjną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odnotowuje niedawną sprawę potwierdzającą</w:t>
            </w:r>
            <w:r>
              <w:t xml:space="preserve"> opinię Komisji, że </w:t>
            </w:r>
            <w:r>
              <w:rPr>
                <w:b/>
                <w:i/>
              </w:rPr>
              <w:t>historyczne</w:t>
            </w:r>
            <w:r>
              <w:t xml:space="preserve"> irlandzkie porozumienie podatkowe z Apple</w:t>
            </w:r>
            <w:r>
              <w:rPr>
                <w:b/>
                <w:i/>
              </w:rPr>
              <w:t>, obowiązujące w latach 2003–2014, nie było zgodne z unijnymi przepisami dotyczącymi pomocy państwa;</w:t>
            </w:r>
            <w:r>
              <w:t xml:space="preserve"> </w:t>
            </w:r>
            <w:r>
              <w:rPr>
                <w:b/>
                <w:i/>
              </w:rPr>
              <w:t>przyznaje, że od tego czasu ramy prawne w Irlandii zmieniły się i ww. system podatkowy nie jest już stosowany;</w:t>
            </w:r>
            <w:r>
              <w:t xml:space="preserve"> </w:t>
            </w:r>
            <w:r>
              <w:rPr>
                <w:b/>
                <w:i/>
              </w:rPr>
              <w:t>odnotowuje również niedawne orzeczenie TSUE, zgodnie z którym praktyki</w:t>
            </w:r>
            <w:r>
              <w:t xml:space="preserve"> Google </w:t>
            </w:r>
            <w:r>
              <w:rPr>
                <w:b/>
                <w:i/>
              </w:rPr>
              <w:t>dotyczące usługi porównywania cen nie były zgodne z unijnym prawem konkurencji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z zadowoleniem przyjmuje</w:t>
            </w:r>
            <w:r>
              <w:t xml:space="preserve"> dwie przełomowe rozprawy potwierdzające opinię Komisji, że irlandzkie porozumienie podatkowe z Apple i Google stanowi praktykę antykonkurencyjną;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wskazuje na</w:t>
            </w:r>
            <w:r>
              <w:t xml:space="preserve"> dwie przełomowe rozprawy potwierdzające opinię Komisji, że irlandzkie porozumienie podatkowe z Apple i Google stanowi praktykę antykonkurencyjną; </w:t>
            </w:r>
            <w:r>
              <w:rPr>
                <w:b/>
                <w:i/>
              </w:rPr>
              <w:t>przypomina, że chociaż trzeba korygować praktyki szkodzące wolnemu rynkowi, podejście Komisji powinno polegać na zapewnieniu otwartości rynków, przy poszanowaniu we wszystkich przypadkach zasady pomocniczości w polityce podatkowej;</w:t>
            </w:r>
            <w:r>
              <w:t xml:space="preserve"> </w:t>
            </w:r>
            <w:r>
              <w:rPr>
                <w:b/>
                <w:i/>
              </w:rPr>
              <w:t>przypomina, że państwa muszą zachować autonomię w prowadzeniu polityki podatkowej sprzyjającej wzrostowi gospodarczemu, inwestycjom i konkurencyjności w obrębie ich gospodarek;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 zadowoleniem przyjmuje dwie przełomowe </w:t>
            </w:r>
            <w:r>
              <w:rPr>
                <w:b/>
                <w:i/>
              </w:rPr>
              <w:t>rozprawy</w:t>
            </w:r>
            <w:r>
              <w:t xml:space="preserve"> potwierdzające opinię Komisji, że irlandzkie porozumienie podatkowe z Apple </w:t>
            </w:r>
            <w:r>
              <w:rPr>
                <w:b/>
                <w:i/>
              </w:rPr>
              <w:t>i</w:t>
            </w:r>
            <w:r>
              <w:t xml:space="preserve"> Google </w:t>
            </w:r>
            <w:r>
              <w:rPr>
                <w:b/>
                <w:i/>
              </w:rPr>
              <w:t>stanowi praktykę antykonkurencyjną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 zadowoleniem przyjmuje dwie przełomowe </w:t>
            </w:r>
            <w:r>
              <w:rPr>
                <w:b/>
                <w:i/>
              </w:rPr>
              <w:t>wyroki Trybunału</w:t>
            </w:r>
            <w:r>
              <w:t xml:space="preserve"> potwierdzające opinię Komisji, że irlandzkie porozumienie podatkowe z Apple </w:t>
            </w:r>
            <w:r>
              <w:rPr>
                <w:b/>
                <w:i/>
              </w:rPr>
              <w:t>stanowi niezgodną z prawem pomoc państwa oraz że</w:t>
            </w:r>
            <w:r>
              <w:t xml:space="preserve"> Google </w:t>
            </w:r>
            <w:r>
              <w:rPr>
                <w:b/>
                <w:i/>
              </w:rPr>
              <w:t>nadużywa pozycji dominującej, naruszając Traktaty;</w:t>
            </w:r>
            <w:r>
              <w:t xml:space="preserve"> </w:t>
            </w:r>
            <w:r>
              <w:rPr>
                <w:b/>
                <w:i/>
              </w:rPr>
              <w:t>zachęca Komisję, by nadal podejmowała zdecydowane kroki przeciwko nadużyciom pomocy państwa obejmującym wybiórcze ulgi podatkowe dla przedsiębiorstw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 zadowoleniem przyjmuje dwie przełomowe rozprawy potwierdzające opinię Komisji, że irlandzkie porozumienie podatkowe z Apple i Google stanowi praktykę antykonkurencyjną;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 zadowoleniem przyjmuje dwie przełomowe rozprawy potwierdzające opinię Komisji, że irlandzkie porozumienie podatkowe z Apple i Google stanowi praktykę antykonkurencyjną; </w:t>
            </w:r>
            <w:r>
              <w:rPr>
                <w:b/>
                <w:i/>
              </w:rPr>
              <w:t>zwraca się do Komisji o wyjaśnienie obowiązujących przepisów, aby korzyści podatkowe zakłócające konkurencję były uznawane za nielegalne;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 zadowoleniem przyjmuje dwie przełomowe rozprawy potwierdzające opinię Komisji, że irlandzkie porozumienie podatkowe z Apple i Google stanowi praktykę antykonkurencyjną;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 zadowoleniem przyjmuje dwie przełomowe rozprawy potwierdzające opinię Komisji, że irlandzkie porozumienie podatkowe z Apple i Google stanowi praktykę antykonkurencyjną </w:t>
            </w:r>
            <w:r>
              <w:rPr>
                <w:b/>
                <w:i/>
              </w:rPr>
              <w:t>z powodu przyznania nielegalnej pomocy państwa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z zadowoleniem przyjmuje dwie przełomowe rozprawy potwierdzające opinię Komisji, że irlandzkie porozumienie podatkowe z Apple i</w:t>
            </w:r>
            <w:r>
              <w:t xml:space="preserve"> Google </w:t>
            </w:r>
            <w:r>
              <w:rPr>
                <w:b/>
                <w:i/>
              </w:rPr>
              <w:t>stanowi praktykę antykonkurencyjną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odnotowuje dwie niedawne sprawy TSUE dotyczące odpowiednio podatku płaconego przez Apple na podstawie wcześniejszych przepisów podatkowych sprzed 2007 r., które są obecnie niezgodne z prawem, oraz działań</w:t>
            </w:r>
            <w:r>
              <w:t xml:space="preserve"> Google </w:t>
            </w:r>
            <w:r>
              <w:rPr>
                <w:b/>
                <w:i/>
              </w:rPr>
              <w:t>uznanych za antykonkurencyjne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 zadowoleniem przyjmuje dwie przełomowe rozprawy potwierdzające opinię Komisji, że </w:t>
            </w:r>
            <w:r>
              <w:rPr>
                <w:b/>
                <w:i/>
              </w:rPr>
              <w:t>irlandzkie porozumienie podatkowe</w:t>
            </w:r>
            <w:r>
              <w:t xml:space="preserve"> z Apple i Google stanowi praktykę antykonkurencyjną;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 zadowoleniem przyjmuje dwie przełomowe rozprawy potwierdzające opinię Komisji, że </w:t>
            </w:r>
            <w:r>
              <w:rPr>
                <w:b/>
                <w:i/>
              </w:rPr>
              <w:t>irlandzka umowa dotycząca pomocy państwa zawarta</w:t>
            </w:r>
            <w:r>
              <w:t xml:space="preserve"> z Apple i Google stanowi praktykę antykonkurencyjną;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wyraża głębokie ubolewanie z powodu amerykańskiego prezydenckiego rozporządzenia wykonawczego, zgodnie z którym globalne porozumienie podatkowe OECD „nie ma mocy ani skutku w Stanach Zjednoczonych”, co w rezultacie wyklucza USA z negocjacji;</w:t>
            </w:r>
            <w:r>
              <w:t xml:space="preserve"> </w:t>
            </w:r>
            <w:r>
              <w:rPr>
                <w:b/>
                <w:i/>
              </w:rPr>
              <w:t>podkreśla znaczenie multilateralizmu dla dopilnowania, aby przedsiębiorstwa wielonarodowe płaciły sprawiedliwą część opodatkowania w miejscu, gdzie tworzona jest wartość;</w:t>
            </w:r>
            <w:r>
              <w:t xml:space="preserve"> </w:t>
            </w:r>
            <w:r>
              <w:rPr>
                <w:b/>
                <w:i/>
              </w:rPr>
              <w:t>podkreśla, że w filarze II globalnego porozumienia podatkowego OECD położono nacisk na szkodliwą konkurencję podatkową, tym samym hamując równanie w dół w dziedzinie opodatkowania osób prawnych, charakteryzujące się obniżeniem dochodów podatkowych, osłabieniem sprawiedliwości i zwiększeniem nierówności na świecie;</w:t>
            </w:r>
            <w:r>
              <w:t xml:space="preserve"> </w:t>
            </w:r>
            <w:r>
              <w:rPr>
                <w:b/>
                <w:i/>
              </w:rPr>
              <w:t>jest zdania, że UE powinna w pełni opowiedzieć się za dyrektywą w sprawie filaru II, aby zapobiec przywróceniu nieograniczonej konkurencji podatkowej kosztem dochodów publicznych;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podkreśla niepokojące zjawisko koncentracji rynkowej</w:t>
            </w:r>
            <w:r>
              <w:t xml:space="preserve"> na różnych rynkach cyfrowych, takich jak rynek mediów społecznościowych, wyszukiwarek, sztucznej inteligencji, usług w chmurze i reklam internetowych; podkreśla </w:t>
            </w:r>
            <w:r>
              <w:rPr>
                <w:b/>
                <w:i/>
              </w:rPr>
              <w:t>jego</w:t>
            </w:r>
            <w:r>
              <w:t xml:space="preserve">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wskazuje na koncentrację rynkową</w:t>
            </w:r>
            <w:r>
              <w:t xml:space="preserve"> na różnych rynkach cyfrowych, takich jak rynek mediów społecznościowych, wyszukiwarek, sztucznej inteligencji, usług w chmurze i reklam internetowych; </w:t>
            </w:r>
            <w:r>
              <w:rPr>
                <w:b/>
                <w:i/>
              </w:rPr>
              <w:t>uznaje, że takich koncentracji nie należy automatycznie interpretować jako praktyk antykonkurencyjnych, gdyż mogą one odzwierciedlać wydajność i potencjał innowacyjny przedsiębiorstw dominujących w tych sektorach;</w:t>
            </w:r>
            <w:r>
              <w:t xml:space="preserve"> podkreśla</w:t>
            </w:r>
            <w:r>
              <w:rPr>
                <w:b/>
                <w:i/>
              </w:rPr>
              <w:t>, że mogą mieć</w:t>
            </w:r>
            <w:r>
              <w:t> 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</w:t>
            </w:r>
            <w:r>
              <w:rPr>
                <w:b/>
                <w:i/>
              </w:rPr>
              <w:t>wzywa</w:t>
            </w:r>
            <w:r>
              <w:t xml:space="preserve"> Komisję </w:t>
            </w:r>
            <w:r>
              <w:rPr>
                <w:b/>
                <w:i/>
              </w:rPr>
              <w:t>do</w:t>
            </w:r>
            <w:r>
              <w:t xml:space="preserve">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</w:t>
            </w:r>
            <w:r>
              <w:rPr>
                <w:b/>
                <w:i/>
              </w:rPr>
              <w:t>zachęca</w:t>
            </w:r>
            <w:r>
              <w:t xml:space="preserve"> Komisję</w:t>
            </w:r>
            <w:r>
              <w:rPr>
                <w:b/>
                <w:i/>
              </w:rPr>
              <w:t>, by jako punkt wyjścia potraktowała działania podjęte na rzecz</w:t>
            </w:r>
            <w:r>
              <w:t xml:space="preserve"> zajęcia się kwestiami specyficznymi dla rynku technologii, w tym kontrolą nad infrastrukturą, pionową koncentracją i wykorzystywaniem efektu mnożnikowego na rynkach cyfrowych</w:t>
            </w:r>
            <w:r>
              <w:rPr>
                <w:b/>
                <w:i/>
              </w:rPr>
              <w:t>, o czym świadczą postępy osiągnięte dzięki aktowi o rynkach cyfrowych;</w:t>
            </w:r>
            <w:r>
              <w:t xml:space="preserve"> </w:t>
            </w:r>
            <w:r>
              <w:rPr>
                <w:b/>
                <w:i/>
              </w:rPr>
              <w:t>ponadto wzywa do wszczęcia nowych dochodzeń w sektorze chmury obliczeniowej, aby nadal zapewniać uczciwą konkurencję i innowacje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 </w:t>
            </w:r>
            <w:r>
              <w:rPr>
                <w:b/>
                <w:i/>
              </w:rPr>
              <w:t>wzywa Komisję, by zajęła się coraz większą pionową koncentracją dominujących podmiotów w łańcuchu wartości reklam, zagrażającą europejskiemu sektorowi reklamy internetowej;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</w:t>
            </w:r>
            <w:r>
              <w:rPr>
                <w:b/>
                <w:i/>
              </w:rPr>
              <w:t>i</w:t>
            </w:r>
            <w:r>
              <w:t xml:space="preserve">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 </w:t>
            </w:r>
            <w:r>
              <w:rPr>
                <w:b/>
                <w:i/>
              </w:rPr>
              <w:t>w warstwach sprzętu komputerowego i chmury obliczeniowej</w:t>
            </w:r>
            <w:r>
              <w:t>, pionową koncentracją</w:t>
            </w:r>
            <w:r>
              <w:rPr>
                <w:b/>
                <w:i/>
              </w:rPr>
              <w:t>, strukturalnym wpływem dużych przedsiębiorstw zasiedziałych na ekosystem wzajemnie zależnych komplementarności oraz powszechnym międzyrynkowym</w:t>
            </w:r>
            <w:r>
              <w:t xml:space="preserve"> wykorzystywaniem efektu mnożnikowego na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</w:t>
            </w:r>
            <w:r>
              <w:rPr>
                <w:b/>
                <w:i/>
              </w:rPr>
              <w:t>, czipów</w:t>
            </w:r>
            <w:r>
              <w:t xml:space="preserve"> i reklam internetowych; podkreśla jego rzeczywisty i potencjalny negatywny wpływ na konkurencyjność Europy, </w:t>
            </w:r>
            <w:r>
              <w:rPr>
                <w:b/>
                <w:i/>
              </w:rPr>
              <w:t>odporność łańcuchów dostaw,</w:t>
            </w:r>
            <w:r>
              <w:t xml:space="preserve"> ochronę danych, społeczeństwo i demokrację; wzywa Komisję do zajęcia się kwestiami specyficznymi dla rynku technologii, w tym kontrolą nad infrastrukturą, pionową koncentracją</w:t>
            </w:r>
            <w:r>
              <w:rPr>
                <w:b/>
                <w:i/>
              </w:rPr>
              <w:t>, algorytmiczną manipulacją publicznym środowiskiem cyfrowym</w:t>
            </w:r>
            <w:r>
              <w:t xml:space="preserve"> i wykorzystywaniem efektu mnożnikowego na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</w:t>
            </w:r>
            <w:r>
              <w:rPr>
                <w:b/>
                <w:i/>
              </w:rPr>
              <w:t> w następstwie nadużywania pozycji dominującej przez niektórych uczestników rynku</w:t>
            </w:r>
            <w:r>
              <w:t>; wzywa Komisję do zajęcia się kwestiami specyficznymi dla rynku technologii, w tym kontrolą nad infrastrukturą, pionową koncentracją i wykorzystywaniem efektu mnożnikowego na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 </w:t>
            </w:r>
            <w:r>
              <w:rPr>
                <w:b/>
                <w:i/>
              </w:rPr>
              <w:t>dzięki zdecydowanemu stosowaniu aktu o rynkach cyfrowych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</w:t>
            </w:r>
            <w:r>
              <w:rPr>
                <w:b/>
                <w:i/>
              </w:rPr>
              <w:t>, potrzebą opodatkowania</w:t>
            </w:r>
            <w:r>
              <w:t xml:space="preserve"> i wykorzystywaniem efektu mnożnikowego na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podkreśla niepokojące</w:t>
            </w:r>
            <w:r>
              <w:t xml:space="preserve"> zjawisko koncentracji rynkowej na różnych rynkach cyfrowych, takich jak rynek mediów społecznościowych, wyszukiwarek, sztucznej inteligencji, usług w chmurze i reklam internetowych; podkreśla jego rzeczywisty i potencjalny negatywny wpływ na konkurencyjność Europy</w:t>
            </w:r>
            <w:r>
              <w:rPr>
                <w:b/>
                <w:i/>
              </w:rPr>
              <w:t>, ochronę danych, społeczeństwo i demokrację</w:t>
            </w:r>
            <w:r>
              <w:t>; wzywa Komisję do zajęcia się kwestiami specyficznymi dla rynku technologii</w:t>
            </w:r>
            <w:r>
              <w:rPr>
                <w:b/>
                <w:i/>
              </w:rPr>
              <w:t>, w tym kontrolą nad infrastrukturą, pionową koncentracją i wykorzystywaniem efektu mnożnikowego na rynkach cyfrowych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zwraca uwagę na</w:t>
            </w:r>
            <w:r>
              <w:t xml:space="preserve"> zjawisko koncentracji rynkowej na różnych rynkach cyfrowych, takich jak rynek mediów społecznościowych, wyszukiwarek, sztucznej inteligencji, usług w chmurze i reklam internetowych; podkreśla jego rzeczywisty i potencjalny negatywny wpływ na konkurencyjność Europy; wzywa Komisję do zajęcia się kwestiami specyficznymi dla rynku technologii </w:t>
            </w:r>
            <w:r>
              <w:rPr>
                <w:b/>
                <w:i/>
              </w:rPr>
              <w:t>i uwzględniania w ocenach przyszłego potencjału innowacyjnego pomimo jego niepewnego charakteru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podkreśla niepokojące zjawisko koncentracji rynkowej na różnych rynkach cyfrowych, takich jak rynek mediów społecznościowych, wyszukiwarek, sztucznej inteligencji, usług w chmurze</w:t>
            </w:r>
            <w:r>
              <w:rPr>
                <w:b/>
                <w:i/>
              </w:rPr>
              <w:t>, handlu elektronicznego</w:t>
            </w:r>
            <w:r>
              <w:t xml:space="preserve"> i reklam internetowych; podkreśla jego rzeczywisty i potencjalny negatywny wpływ na konkurencyjność Europy, ochronę danych, społeczeństwo i demokrację; wzywa Komisję do zajęcia się kwestiami specyficznymi dla rynku technologii, w tym kontrolą nad infrastrukturą, pionową koncentracją i wykorzystywaniem efektu mnożnikowego na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</w:t>
            </w:r>
            <w:r>
              <w:rPr>
                <w:b/>
                <w:i/>
              </w:rPr>
              <w:t>Europy,</w:t>
            </w:r>
            <w:r>
              <w:t xml:space="preserve"> ochronę danych</w:t>
            </w:r>
            <w:r>
              <w:rPr>
                <w:b/>
                <w:i/>
              </w:rPr>
              <w:t>, społeczeństwo i demokrację</w:t>
            </w:r>
            <w:r>
              <w:t>; wzywa Komisję do zajęcia się kwestiami specyficznymi dla rynku technologii, w tym kontrolą nad infrastrukturą, pionową koncentracją i wykorzystywaniem efektu mnożnikowego na rynkach cyfrowych;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 niepokojące zjawisko koncentracji rynkowej na różnych rynkach cyfrowych, takich jak rynek mediów społecznościowych, wyszukiwarek, sztucznej inteligencji, usług w chmurze i reklam internetowych; podkreśla jego rzeczywisty i potencjalny negatywny wpływ na konkurencyjność </w:t>
            </w:r>
            <w:r>
              <w:rPr>
                <w:b/>
                <w:i/>
              </w:rPr>
              <w:t>i</w:t>
            </w:r>
            <w:r>
              <w:t> ochronę danych; wzywa Komisję do zajęcia się kwestiami specyficznymi dla rynku technologii, w tym kontrolą nad infrastrukturą, pionową koncentracją i wykorzystywaniem efektu mnożnikowego na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zauważa, że duże podmioty cyfrowe wykorzystują własną potęgę rynkową, siłę wpływu na konsumentów, zasoby finansowe i koncentrację danych na jednym rynku, aby zwiększyć wpływ na inny rynek;</w:t>
            </w:r>
            <w:r>
              <w:t xml:space="preserve"> </w:t>
            </w:r>
            <w:r>
              <w:rPr>
                <w:b/>
                <w:i/>
              </w:rPr>
              <w:t>podkreśla, że małe podmioty nie mogą konkurować z wyżej wymienionymi czynnikami, przez co obywatele europejscy są jeszcze bardziej zależni od tej samej niewielkiej liczby przedsiębiorstw spoza UE i zagrożona jest strategiczna autonomia;</w:t>
            </w:r>
            <w:r>
              <w:t xml:space="preserve"> </w:t>
            </w:r>
            <w:r>
              <w:rPr>
                <w:b/>
                <w:i/>
              </w:rPr>
              <w:t>wzywa, by w większym stopniu kontrolować wykorzystywanie pozycji dominującej w sektorach cyfrowych i rozszerzanie tej przewagi na inne sektory, a także by kontrolować strategiczną autonomię UE za pośrednictwem przeglądu wytycznych w sprawie łączenia przedsiębiorstw, aby zapewnić skuteczniejszy nadzór nad wykorzystywaniem efektu mnożnikowego na rynku;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wyraża zaniepokojenie stopniem koncentracji rynku w sektorze chmury obliczeniowej oraz praktykami antykonkurencyjnymi związanymi ze złożonymi i nieprzejrzystymi warunkami udzielania licencji lub przymusowymi praktykami sprzedaży łączonej, które coraz bardziej utrudniają klientom zmianę dostawców usług w chmurze, i podkreśla potrzebę wspierania konkurencji poprzez umożliwienie korzystania z usług różnych dostawców;</w:t>
            </w:r>
            <w:r>
              <w:t xml:space="preserve"> </w:t>
            </w:r>
            <w:r>
              <w:rPr>
                <w:b/>
                <w:i/>
              </w:rPr>
              <w:t>wzywa organy ds. konkurencji do zwrócenia szczególnej uwagi na te praktyki, które mogą szkodzić konkurencji i ograniczać wybór klientów;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podkreśla kluczową rolę interoperacyjności dla kontestowalności rynków poprzez obniżenie kosztów zmiany dostawcy na rynkach cyfrowych i zwiększenie dobrobytu konsumentów dzięki możliwości wyboru przez konsumentów, w tym wyboru bardziej sprzyjających prywatności, bardziej zrównoważonych lub społecznych alternatyw;</w:t>
            </w:r>
            <w:r>
              <w:t xml:space="preserve"> </w:t>
            </w:r>
            <w:r>
              <w:rPr>
                <w:b/>
                <w:i/>
              </w:rPr>
              <w:t>wzywa Komisję do szybkich postępów we wdrażaniu istniejących obowiązków w zakresie interoperacyjności usług przesyłania wiadomości na mocy aktu o rynkach cyfrowych, istniejących obowiązków w zakresie interoperacyjności dla dostawców usług w chmurze na mocy aktu w sprawie danych oraz do rozpoczęcia prac nad przeglądem do maja 2026 r.;</w:t>
            </w:r>
            <w:r>
              <w:t xml:space="preserve"> </w:t>
            </w:r>
            <w:r>
              <w:rPr>
                <w:b/>
                <w:i/>
              </w:rPr>
              <w:t>wzywa Komisję do rozszerzenia obowiązków w zakresie interoperacyjności wynikających z aktu o rynkach cyfrowych na internetowe serwisy społecznościowe;</w:t>
            </w:r>
            <w:r>
              <w:t xml:space="preserve"> </w:t>
            </w:r>
            <w:r>
              <w:rPr>
                <w:b/>
                <w:i/>
              </w:rPr>
              <w:t>wzywa Komisję do sprawdzenia, czy obowiązki dostawców usług w chmurze w zakresie interoperacyjności i przenoszenia danych są w praktyce skuteczne i wystarczająco dostępne, aby umożliwić łatwą zmianę dostawcy w celu wspierania uczciwej konkurencji na rynkach usług w chmurze i możliwości dla europejskich MŚP;</w:t>
            </w:r>
            <w:r>
              <w:t xml:space="preserve"> </w:t>
            </w:r>
            <w:r>
              <w:rPr>
                <w:b/>
                <w:i/>
              </w:rPr>
              <w:t>podkreśla potrzebę włączenia przez Komisję strażników w łańcuchu wartości sztucznej inteligencji w zakres aktu o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jest również zaniepokojony szybkim rozwojem usług AI, który może doprowadzić do koncentracji rynku;</w:t>
            </w:r>
            <w:r>
              <w:t xml:space="preserve"> </w:t>
            </w:r>
            <w:r>
              <w:rPr>
                <w:b/>
                <w:i/>
              </w:rPr>
              <w:t>podkreśla, że akt o rynku cyfrowym zawiera szereg przepisów, które należy wykorzystać, aby uniemożliwić strażnikom dostępu ograniczanie możliwości nowych twórców sztucznej inteligencji, takich jak uczciwy ranking, przejrzystość reklam lub dostęp do danych;</w:t>
            </w:r>
            <w:r>
              <w:t xml:space="preserve"> </w:t>
            </w:r>
            <w:r>
              <w:rPr>
                <w:b/>
                <w:i/>
              </w:rPr>
              <w:t>wzywa Komisję do ścisłego monitorowania usług AI w ramach aktu o rynku cyfrowym,</w:t>
            </w:r>
            <w:r>
              <w:t xml:space="preserve"> </w:t>
            </w:r>
            <w:r>
              <w:rPr>
                <w:b/>
                <w:i/>
              </w:rPr>
              <w:t>do rozważenia dodatkowego wyznaczenia podstawowych usług platformowych do szybkiego działania w celu zajęcia się ryzykiem polegającym na zmuszaniu konsumentów do korzystania z wcześniej określonych usług sztucznej inteligencji na swoich urządzeniach mobilnych, co zapewni możliwość wyboru systemów sztucznej inteligencji przez użytkownika i ich przejrzystość, a tym samym ochroni konkurencję i wybór dla konsumentów;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18c.</w:t>
            </w:r>
            <w:r>
              <w:tab/>
            </w:r>
            <w:r>
              <w:rPr>
                <w:b/>
                <w:i/>
              </w:rPr>
              <w:t>zachęca Komisję do wykorzystania wszystkich dostępnych jej narzędzi w celu rozwiązania problemu tzw. „zabójczych przejęć” dokonywanych przez podmioty dominujące, które mogą wpływać na kontestowalność i uczciwość jednolitego rynku cyfrowego oraz mieć szkodliwy wpływ na wybór dokonywany przez konsumentów;</w:t>
            </w:r>
            <w:r>
              <w:t xml:space="preserve"> </w:t>
            </w:r>
            <w:r>
              <w:rPr>
                <w:b/>
                <w:i/>
              </w:rPr>
              <w:t>zwraca uwagę na znaczenie danych i narzędzi analizy danych jako jednego z czynników zniechęcających do koncentracji i przejęć na rynku cyfrowym w sektorze cyfrowym;</w:t>
            </w:r>
            <w:r>
              <w:t xml:space="preserve"> </w:t>
            </w:r>
            <w:r>
              <w:rPr>
                <w:b/>
                <w:i/>
              </w:rPr>
              <w:t>wzywa Europejską Radę Ochrony Danych do wydawania obowiązkowej opinii – w przypadku koncentracji z udziałem jednego lub większej liczby operatorów w sektorach cyfrowych – na temat znaczenia zbiorów danych dla planowanej koncentracji, danych osobowych, które docelowe przejęcie przetwarza, oraz potencjalnego wpływu planowanej koncentracji na prawo do prywatności i ochrony danych; wzywa Komisję do zajęcia się kwestią bezwarunkowej wymiany danych między usługami, która podważa prawa konsumentów do ochrony danych, wzmacnia koncentrację władzy w zakresie danych i ogranicza kontrolę konsumentów nad ich danymi;</w:t>
            </w:r>
            <w:r>
              <w:t xml:space="preserve"> </w:t>
            </w:r>
            <w:r>
              <w:rPr>
                <w:b/>
                <w:i/>
              </w:rPr>
              <w:t>podkreśla, że brak egzekwowania RODO w Irlandii jest korzystny pod względem konkurencji dla niewielkiej liczby dużych platform cyfrowych, gdyż toleruje się naruszenia prywatności w odniesieniu do gromadzenia danych, zwiększając tym samym koncentrację danych;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18c.</w:t>
            </w:r>
            <w:r>
              <w:tab/>
            </w:r>
            <w:r>
              <w:rPr>
                <w:b/>
                <w:i/>
              </w:rPr>
              <w:t>podkreśla kluczową rolę Europejskiej Sieci Konkurencji (ECN);</w:t>
            </w:r>
            <w:r>
              <w:t xml:space="preserve"> </w:t>
            </w:r>
            <w:r>
              <w:rPr>
                <w:b/>
                <w:i/>
              </w:rPr>
              <w:t>wzywa Komisję do priorytetowego traktowania trwałego konstruktywnego dialogu i współpracy na szczeblu międzynarodowym;</w:t>
            </w:r>
            <w:r>
              <w:t xml:space="preserve"> </w:t>
            </w:r>
            <w:r>
              <w:rPr>
                <w:b/>
                <w:i/>
              </w:rPr>
              <w:t>podkreśla konieczność zacieśnienia współpracy między organami ochrony konkurencji a innymi sektorowymi organami regulacyjnymi, takimi jak organy nadzorujące prywatność danych, aby skutecznie kontrolować niewłaściwe wykorzystywanie danych przedsiębiorstw oraz uniemożliwić przedsiębiorstwom wykorzystywanie danych konsumentów w celu uzyskania nieuczciwej przewagi konkurencyjnej;</w:t>
            </w:r>
            <w:r>
              <w:t xml:space="preserve"> </w:t>
            </w:r>
            <w:r>
              <w:rPr>
                <w:b/>
                <w:i/>
              </w:rPr>
              <w:t>z zadowoleniem przyjmuje znaczącą rolę krajowych organów ochrony konkurencji w egzekwowaniu przepisów aktu o rynkach cyfrowych i krajowych inicjatyw ustawodawczych mających na celu zwalczanie antykonkurencyjnych zachowań dużych platform internetowych w sektorach cyfrowych;</w:t>
            </w:r>
            <w:r>
              <w:t xml:space="preserve"> </w:t>
            </w:r>
            <w:r>
              <w:rPr>
                <w:b/>
                <w:i/>
              </w:rPr>
              <w:t>w tym kontekście podkreśla znaczenie skoordynowanych i jednolitych działań, które nie podważają stosowania aktu o rynkach cyfrowych ani krajowych reguł konkurencji w sektorach cyfrowych, jak określono w art. 1 ust. 6 aktu o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18d.</w:t>
            </w:r>
            <w:r>
              <w:tab/>
            </w:r>
            <w:r>
              <w:rPr>
                <w:b/>
                <w:i/>
              </w:rPr>
              <w:t>zwraca uwagę na cechy rynków cyfrowych, takie jak agregacja i wykorzystanie danych, rynki wielostronne, bezpośrednie i pośrednie efekty sieciowe, wieloadresowość, niepieniężne koszty zmiany dostawcy inne niż cena, takie jak sieć, którą stworzyli użytkownicy, koszty uczenia się oraz szczególna reputacja lub ocena platformy użytkowników;</w:t>
            </w:r>
            <w:r>
              <w:t xml:space="preserve"> </w:t>
            </w:r>
            <w:r>
              <w:rPr>
                <w:b/>
                <w:i/>
              </w:rPr>
              <w:t>podkreśla, że władza cyfrowych graczy nad konsumentami wynika z roli danych oraz roli bezpośrednich i pośrednich efektów sieciowych;</w:t>
            </w:r>
            <w:r>
              <w:t xml:space="preserve"> </w:t>
            </w:r>
            <w:r>
              <w:rPr>
                <w:b/>
                <w:i/>
              </w:rPr>
              <w:t>z zadowoleniem przyjmuje przegląd obwieszczenia w sprawie definicji rynku w celu lepszej oceny rynków cyfrowych i wzywa Komisję do uwzględnienia czynników niepieniężnych, takich jak wyżej wymienione czynniki, przy definiowaniu rynków cyfrowych i pozycji siły na takich rynkach, takich jak koszty zmiany dostawcy inne niż ceny, przy ocenie siły rynkowej;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e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18e.</w:t>
            </w:r>
            <w:r>
              <w:tab/>
            </w:r>
            <w:r>
              <w:rPr>
                <w:b/>
                <w:i/>
              </w:rPr>
              <w:t>podkreśla, że skutki koncentracji władzy na rynkach cyfrowych wykraczają poza utrudnianie konkurencji z innymi przedsiębiorstwami, ale obejmują takie skutki, jak władza nad konsumentami, potencjalny wpływ na prawa podstawowe, prywatność i ochronę danych oraz potencjalny wpływ na wolność mediów, społeczeństwo i demokrację;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f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18f.</w:t>
            </w:r>
            <w:r>
              <w:tab/>
            </w:r>
            <w:r>
              <w:rPr>
                <w:b/>
                <w:i/>
              </w:rPr>
              <w:t>zwraca uwagę na pionowo zintegrowane ekosystemy sektora AI, nabywane poprzez kontrolowanie sprzętu, danych, modeli AI i dystrybucji;</w:t>
            </w:r>
            <w:r>
              <w:t xml:space="preserve"> </w:t>
            </w:r>
            <w:r>
              <w:rPr>
                <w:b/>
                <w:i/>
              </w:rPr>
              <w:t>przypomina wezwanie Komisji z 2024 r. do wniesienia wkładu i zbadania dynamiki rynku w sektorze AI, a także uznanie przez Komisję, że Unia nie może powtórzyć tych samych błędów jak w przypadku mediów społecznościowych i gospodarki cyfrowej;</w:t>
            </w:r>
            <w:r>
              <w:t xml:space="preserve"> </w:t>
            </w:r>
            <w:r>
              <w:rPr>
                <w:b/>
                <w:i/>
              </w:rPr>
              <w:t>wzywa Komisję do przyjęcia ekosystemowego podejścia do tego sektora, m.in. poprzez opracowanie i zastosowanie nowych teorii szkód w celu przeciwdziałania dalszemu umacnianiu się w tym sektorze ugruntowanych przedsiębiorstw;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g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18g.</w:t>
            </w:r>
            <w:r>
              <w:tab/>
            </w:r>
            <w:r>
              <w:rPr>
                <w:b/>
                <w:i/>
              </w:rPr>
              <w:t>wyraża zaniepokojenie rosnącym wykorzystaniem dynamicznych mechanizmów cenowych w całej Unii, w szczególności w przypadku przedsiębiorstw o dominującej pozycji;</w:t>
            </w:r>
            <w:r>
              <w:t xml:space="preserve"> </w:t>
            </w:r>
            <w:r>
              <w:rPr>
                <w:b/>
                <w:i/>
              </w:rPr>
              <w:t>uważa, że dynamiczne ustalanie cen na rynkach o nieelastycznym popycie stanowi zagrożenie dla uczciwości rynkowej, ochrony konsumentów i integralności rynku;</w:t>
            </w:r>
            <w:r>
              <w:t xml:space="preserve"> </w:t>
            </w:r>
            <w:r>
              <w:rPr>
                <w:b/>
                <w:i/>
              </w:rPr>
              <w:t>wzywa Komisję do zbadania środków regulacyjnych przeciwko wysoce adaptacyjnym i nieprzejrzystym metodom ustalania cen produktów o nieelastycznym popycie, które mogą prowadzić do nadmiernych i dyskryminujących cen;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zdecydowanego egzekwowania wszystkich zasad konkurencji, w tym rozporządzenia w sprawie subsydiów zagranicznych i aktu o rynkach cyfrowych, aby zająć się praktykami strażników dostępu oraz wspierać kontestowalne rynki i uczciwą konkurencję;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wzywa do zdecydowanego egzekwowania wszystkich zasad konkurencji, w tym rozporządzenia w sprawie subsydiów zagranicznych i aktu o rynkach cyfrowych, aby zająć się praktykami strażników dostępu oraz wspierać kontestowalne rynki i uczciwą konkurencję; </w:t>
            </w:r>
            <w:r>
              <w:rPr>
                <w:b/>
                <w:i/>
              </w:rPr>
              <w:t>wzywa Komisję, aby zapewniła dalsze wdrażanie i egzekwowanie istniejących przepisów, a także ścisłą ocenę ich skuteczności przed wprowadzeniem nowych przepisów;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zdecydowanego egzekwowania wszystkich zasad konkurencji, w tym rozporządzenia w sprawie subsydiów zagranicznych i aktu o rynkach cyfrowych, aby zająć się praktykami strażników dostępu oraz wspierać kontestowalne rynki i uczciwą konkurencję;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wzywa do zdecydowanego egzekwowania wszystkich zasad konkurencji, w tym rozporządzenia w sprawie subsydiów zagranicznych i aktu o rynkach cyfrowych, aby zająć się praktykami strażników dostępu oraz wspierać kontestowalne rynki i uczciwą konkurencję; </w:t>
            </w:r>
            <w:r>
              <w:rPr>
                <w:b/>
                <w:i/>
              </w:rPr>
              <w:t>apeluje do Komisji, by zakazała wszelkich fuzji lub przejęć przedsiębiorstw, które obecnie definiuje się jako „strażników dostępu” zgodnie z art. 3 aktu o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zdecydowanego egzekwowania wszystkich zasad konkurencji, w tym rozporządzenia w sprawie subsydiów zagranicznych i aktu o rynkach cyfrowych, aby zająć się praktykami strażników dostępu oraz wspierać kontestowalne rynki i uczciwą konkurencję;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wzywa do zdecydowanego egzekwowania wszystkich zasad konkurencji, w tym rozporządzenia w sprawie subsydiów zagranicznych i aktu o rynkach cyfrowych, aby zająć się praktykami strażników dostępu oraz wspierać kontestowalne rynki i uczciwą konkurencję </w:t>
            </w:r>
            <w:r>
              <w:rPr>
                <w:b/>
                <w:i/>
              </w:rPr>
              <w:t>oraz przeciwdziałać zakłóceniom mechanizmów konkurencji przez duże platformy internetowe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zdecydowanego egzekwowania wszystkich zasad konkurencji, w tym rozporządzenia w sprawie subsydiów zagranicznych i aktu o rynkach cyfrowych, aby zająć się praktykami strażników dostępu oraz wspierać kontestowalne rynki i uczciwą konkurencję;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zdecydowanego egzekwowania wszystkich zasad konkurencji, w tym rozporządzenia w sprawie subsydiów zagranicznych i aktu o rynkach cyfrowych, aby zająć się praktykami strażników dostępu oraz wspierać kontestowalne rynki i uczciwą konkurencję</w:t>
            </w:r>
            <w:r>
              <w:rPr>
                <w:b/>
                <w:i/>
              </w:rPr>
              <w:t>, a także podkreśla, że Komisja powinna dysponować odpowiednim personelem do egzekwowania przepisów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wzywa do zdecydowanego egzekwowania wszystkich zasad konkurencji, </w:t>
            </w:r>
            <w:r>
              <w:rPr>
                <w:b/>
                <w:i/>
              </w:rPr>
              <w:t>w tym rozporządzenia w sprawie subsydiów zagranicznych i aktu o rynkach cyfrowych,</w:t>
            </w:r>
            <w:r>
              <w:t xml:space="preserve"> aby zająć się praktykami strażników dostępu oraz wspierać kontestowalne rynki i uczciwą konkurencję;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zdecydowanego egzekwowania wszystkich zasad konkurencji, aby zająć się praktykami strażników dostępu oraz wspierać kontestowalne rynki i uczciwą konkurencję;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wzywa do </w:t>
            </w:r>
            <w:r>
              <w:rPr>
                <w:b/>
                <w:i/>
              </w:rPr>
              <w:t>zdecydowanego</w:t>
            </w:r>
            <w:r>
              <w:t xml:space="preserve"> egzekwowania wszystkich zasad konkurencji</w:t>
            </w:r>
            <w:r>
              <w:rPr>
                <w:b/>
                <w:i/>
              </w:rPr>
              <w:t>, w tym rozporządzenia w sprawie subsydiów zagranicznych i aktu o rynkach cyfrowych</w:t>
            </w:r>
            <w:r>
              <w:t>, aby zająć się praktykami strażników dostępu oraz wspierać kontestowalne rynki i uczciwą konkurencję;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egzekwowania wszystkich zasad konkurencji, aby zająć się praktykami strażników dostępu oraz wspierać kontestowalne rynki i uczciwą konkurencję;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zdecydowanego egzekwowania wszystkich zasad konkurencji, w tym rozporządzenia w sprawie subsydiów zagranicznych i aktu o rynkach cyfrowych, aby zająć się praktykami strażników dostępu oraz wspierać kontestowalne rynki i uczciwą konkurencję;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wzywa </w:t>
            </w:r>
            <w:r>
              <w:rPr>
                <w:b/>
                <w:i/>
              </w:rPr>
              <w:t>Komisję</w:t>
            </w:r>
            <w:r>
              <w:t xml:space="preserve"> do zdecydowanego </w:t>
            </w:r>
            <w:r>
              <w:rPr>
                <w:b/>
                <w:i/>
              </w:rPr>
              <w:t>i skutecznego</w:t>
            </w:r>
            <w:r>
              <w:t xml:space="preserve"> egzekwowania wszystkich zasad konkurencji, w tym rozporządzenia w sprawie subsydiów zagranicznych i aktu o rynkach cyfrowych, aby zająć się praktykami strażników dostępu oraz wspierać kontestowalne rynki i uczciwą konkurencję;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podkreśla ryzyko, że strażnicy dostępu będą wykorzystywać swój uprzywilejowany dostęp do podstawowych zasobów AI, takich jak dane, infrastruktura obliczeniowa, chmura, i narzucać nieuczciwe warunki lub stosować praktyki antykonkurencyjne wobec swoich konkurentów w celu przejęcia rynku AI;</w:t>
            </w:r>
            <w:r>
              <w:t xml:space="preserve"> </w:t>
            </w:r>
            <w:r>
              <w:rPr>
                <w:b/>
                <w:i/>
              </w:rPr>
              <w:t>podkreśla potrzebę starannej oceny umów o współpracy i fuzji między strażnikami dostępu będącymi również dostawcami AI i przedsiębiorstwami typu start-up, aby zapobiec ryzyku monopolu w szybko rozwijającym się sektorze technologii AI;</w:t>
            </w:r>
            <w:r>
              <w:t xml:space="preserve"> </w:t>
            </w:r>
            <w:r>
              <w:rPr>
                <w:b/>
                <w:i/>
              </w:rPr>
              <w:t>wzywa Komisję do zbadania możliwości dodania generatywnej sztucznej inteligencji jako nowej podstawowej usługi platformy w ramach aktu o rynku cyfrowym;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podkreśla znaczenie zatwierdzania ważnych projektów stanowiących przedmiot wspólnego europejskiego zainteresowania (projekty IPCEI) na podstawie ich prawdopodobnego wkładu w gospodarcze efekty zewnętrzne w UE, tworzenia wysokiej jakości miejsc pracy, a także pozytywnego wpływu na transformację ekologiczną i cyfrową w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wzywa do podjęcia działań w zakresie opodatkowania międzynarodowego, wdrożenia globalnego podatku minimalnego i zatwierdzenia pierwszego filaru projektu w sprawie erozji bazy podatkowej i przenoszenia zysków (BEPS) lub środków nim zainspirowanych;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wzywa do pilnego rozszerzenia aktu o rynku cyfrowym na praktyki antykonkurencyjne w sektorach sztucznej inteligencji i chmury obliczeniowej, w tym poprzez aktualizację przepisów w razie potrzeby;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z zadowoleniem przyjmuje zobowiązanie Komisji do właściwego egzekwowania przepisów aktu o rynku cyfrowym i odnotowuje sześć postępowań w sprawie braku zgodności wszczętych przeciwko niektórym wyznaczonym strażnikom dostępu;</w:t>
            </w:r>
            <w:r>
              <w:t xml:space="preserve"> </w:t>
            </w:r>
            <w:r>
              <w:rPr>
                <w:b/>
                <w:i/>
              </w:rPr>
              <w:t>jest głęboko zaniepokojony potencjalnymi opóźnieniami w krytycznych dochodzeniach oraz zdolnością Komisji do wywiązania się ze swoich obowiązków w zakresie „dołożenia wszelkich starań” i podjęcia w ciągu 12 miesięcy decyzji w sprawie postępowań w sprawie braku zgodności;</w:t>
            </w:r>
            <w:r>
              <w:t xml:space="preserve"> </w:t>
            </w:r>
            <w:r>
              <w:rPr>
                <w:b/>
                <w:i/>
              </w:rPr>
              <w:t>wzywa Komisję do jak najszybszego zakończenia tych dochodzeń i nałożenia grzywien w stosownych przypadkach;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19c.</w:t>
            </w:r>
            <w:r>
              <w:tab/>
            </w:r>
            <w:r>
              <w:rPr>
                <w:b/>
                <w:i/>
              </w:rPr>
              <w:t>z zadowoleniem przyjmuje pierwszą ostateczną decyzję na mocy rozporządzenia w sprawie subsydiów zagranicznych podjętą we wrześniu 2024 roku;</w:t>
            </w:r>
            <w:r>
              <w:t xml:space="preserve"> </w:t>
            </w:r>
            <w:r>
              <w:rPr>
                <w:b/>
                <w:i/>
              </w:rPr>
              <w:t>podkreśla znaczenie tego nowego narzędzia i potrzebę wszczynania dochodzeń w odpowiednim czasie, ponieważ dwa szczegółowe dochodzenia wszczęte na podstawie rozporządzenia w sprawie subsydiów zagranicznych doprowadziły do tego, że podmioty gospodarcze podejrzane o nieuczciwe subsydia zagraniczne same zrezygnowały z udziału w przetargach i zamówieniach publicznych;</w:t>
            </w:r>
            <w:r>
              <w:t xml:space="preserve"> </w:t>
            </w:r>
            <w:r>
              <w:rPr>
                <w:b/>
                <w:i/>
              </w:rPr>
              <w:t>wzywa Komisję do zapewnienia odpowiednich i wystarczających zasobów na egzekwowanie tego rozporządzenia;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19d.</w:t>
            </w:r>
            <w:r>
              <w:tab/>
            </w:r>
            <w:r>
              <w:rPr>
                <w:b/>
                <w:i/>
              </w:rPr>
              <w:t>z zadowoleniem przyjmuje pierwsze dwa postępowania w sprawie specyfikacji na podstawie art. 8 ust. 2 aktu o rynku cyfrowym, które mają pomóc jednemu wyznaczonemu strażnikowi dostępu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w wypełnieniu jego obowiązków w zakresie interoperacyjności wynikających z aktu o rynkach cyfrowych i które formalizują dialog regulacyjny w celu zapewnienia skutecznej zgodności z obowiązkami wynikającymi z aktu o rynku cyfrowym;</w:t>
            </w:r>
            <w:r>
              <w:t xml:space="preserve"> </w:t>
            </w:r>
            <w:r>
              <w:rPr>
                <w:b/>
                <w:i/>
              </w:rPr>
              <w:t>podkreśla, że wspieranie większej interoperacyjności, w tym między usługami strażników dostępu, przyniosłoby znaczne korzyści europejskim przedsiębiorstwom i konsumentom;</w:t>
            </w:r>
            <w:r>
              <w:t xml:space="preserve"> </w:t>
            </w:r>
            <w:r>
              <w:rPr>
                <w:b/>
                <w:i/>
              </w:rPr>
              <w:t>wzywa Komisję do podjęcia szybkich i zdecydowanych działań w celu wdrożenia i egzekwowania niezbędnych środków naprawczych;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https://digital-markets-act.ec.europa.eu/commission-starts-first-proceedings-specify-apples-interoperability-obligations-under-digital-2024-09-19_en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e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19e.</w:t>
            </w:r>
            <w:r>
              <w:tab/>
            </w:r>
            <w:r>
              <w:rPr>
                <w:b/>
                <w:i/>
              </w:rPr>
              <w:t>z zadowoleniem przyjmuje przyjęcie aktu w sprawie danych, który umożliwia klientom zmianę dostawców usług przetwarzania danych w chmurze, ale podkreśla, że potrzebne są również dodatkowe zasady i środki zaradcze, aby przywrócić uczciwą i równą konkurencję na europejskim rynku usług w chmurze;</w:t>
            </w:r>
            <w:r>
              <w:t xml:space="preserve"> </w:t>
            </w:r>
            <w:r>
              <w:rPr>
                <w:b/>
                <w:i/>
              </w:rPr>
              <w:t>ubolewa, że żaden dostawca usług w chmurze nie został wyznaczony jako strażnik dostępu na mocy aktu o rynku cyfrowym;</w:t>
            </w:r>
            <w:r>
              <w:t xml:space="preserve"> </w:t>
            </w:r>
            <w:r>
              <w:rPr>
                <w:b/>
                <w:i/>
              </w:rPr>
              <w:t>zachęca krajowe organy ds. konkurencji do zbadania praktyk antykonkurencyjnych na rynku usług w chmurze, w tym złożonych warunków licencyjnych, wymuszonej sprzedaży pakietowej i zachęt handlowych, które tworzą długoterminową zależność od jednego dostawcy usług w chmurze;</w:t>
            </w:r>
            <w:r>
              <w:t xml:space="preserve"> </w:t>
            </w:r>
            <w:r>
              <w:rPr>
                <w:b/>
                <w:i/>
              </w:rPr>
              <w:t>wzywa Komisję do zaproponowania środków mających na celu ograniczenie takich praktyk, jeżeli szkodzą one konkurencji i ograniczają wybór klientów;</w:t>
            </w:r>
            <w:r>
              <w:t xml:space="preserve"> </w:t>
            </w:r>
            <w:r>
              <w:rPr>
                <w:b/>
                <w:i/>
              </w:rPr>
              <w:t>podkreśla potrzebę zajęcia się dyskryminacyjnymi praktykami w zakresie licencjonowania oprogramowania, które powodują sztuczne niekorzystne warunki cenowe dla konkurujących dostawców usług w chmurze;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 </w:t>
            </w:r>
            <w:r>
              <w:rPr>
                <w:b/>
                <w:i/>
              </w:rPr>
              <w:t>zaniepokojeniem</w:t>
            </w:r>
            <w:r>
              <w:t xml:space="preserve"> odnotowuje fragmentację wielu rynków konsumenckich</w:t>
            </w:r>
            <w:r>
              <w:rPr>
                <w:b/>
                <w:i/>
              </w:rPr>
              <w:t>, w tym usług finansowych, telekomunikacji i energii dla gospodarstw domowych, oraz wzywa do szybszej i lepszej integracji rynku tam, gdzie przynosi to korzyści konsumentom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 </w:t>
            </w:r>
            <w:r>
              <w:rPr>
                <w:b/>
                <w:i/>
              </w:rPr>
              <w:t>niepokojem</w:t>
            </w:r>
            <w:r>
              <w:t xml:space="preserve"> odnotowuje fragmentację wielu rynków konsumenckich </w:t>
            </w:r>
            <w:r>
              <w:rPr>
                <w:b/>
                <w:i/>
              </w:rPr>
              <w:t>i podkreśla znaczenie szybszej i głębszej integracji rynku, pod warunkiem że przynosi ona jednoznaczne korzyści konsumentom;</w:t>
            </w:r>
            <w:r>
              <w:t xml:space="preserve"> </w:t>
            </w:r>
            <w:r>
              <w:rPr>
                <w:b/>
                <w:i/>
              </w:rPr>
              <w:t>przypomina, że integracji rynku nie powinny napędzać interwencje państwa zakłócające zasadę swobodnej konkurencji, lecz należy jej sprzyjać w ramach wspierających skuteczną konkurencję, innowacyjność i równy dostęp do usług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 zaniepokojeniem odnotowuje fragmentację wielu rynków konsumenckich, w tym usług finansowych, telekomunikacji i energii dla gospodarstw domowych, oraz wzywa do szybszej i lepszej integracji rynku tam, gdzie przynosi to korzyści konsumentom;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 zaniepokojeniem odnotowuje fragmentację wielu rynków konsumenckich, w tym usług finansowych, telekomunikacji i energii dla gospodarstw domowych, oraz wzywa </w:t>
            </w:r>
            <w:r>
              <w:rPr>
                <w:b/>
                <w:i/>
              </w:rPr>
              <w:t>zarówno</w:t>
            </w:r>
            <w:r>
              <w:t xml:space="preserve"> do szybszej i lepszej integracji rynku tam, gdzie przynosi to korzyści konsumentom</w:t>
            </w:r>
            <w:r>
              <w:rPr>
                <w:b/>
                <w:i/>
              </w:rPr>
              <w:t>, jak i do większego uznania korzyści dla konsumentów, które mogą być generowane poprzez konsolidację na rynku, która napędza inwestycje i innowacje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 zaniepokojeniem odnotowuje fragmentację wielu rynków konsumenckich</w:t>
            </w:r>
            <w:r>
              <w:rPr>
                <w:b/>
                <w:i/>
              </w:rPr>
              <w:t>, w tym usług finansowych, telekomunikacji i energii dla gospodarstw domowych,</w:t>
            </w:r>
            <w:r>
              <w:t xml:space="preserve"> oraz wzywa do szybszej i lepszej integracji rynku tam, gdzie przynosi to korzyści konsumentom;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 zaniepokojeniem odnotowuje fragmentację wielu rynków konsumenckich </w:t>
            </w:r>
            <w:r>
              <w:rPr>
                <w:b/>
                <w:i/>
              </w:rPr>
              <w:t>nienależących do suwerennej domeny państwa</w:t>
            </w:r>
            <w:r>
              <w:t xml:space="preserve"> oraz wzywa do szybszej i lepszej integracji rynku tam, gdzie przynosi to korzyści </w:t>
            </w:r>
            <w:r>
              <w:rPr>
                <w:b/>
                <w:i/>
              </w:rPr>
              <w:t>państwom członkowskim i</w:t>
            </w:r>
            <w:r>
              <w:t xml:space="preserve"> konsumentom;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jest zaniepokojony dużą koncentracją w sektorach detalicznym, rolnym i motoryzacyjnym na terytoriach zamorskich, gdzie nadmierne ceny podstawowych produktów i usług, ustalane przez przedsiębiorstwa dominujące, pogłębiają nierówności, niepewność i dysproporcje terytorialne;</w:t>
            </w:r>
            <w:r>
              <w:t xml:space="preserve"> </w:t>
            </w:r>
            <w:r>
              <w:rPr>
                <w:b/>
                <w:i/>
              </w:rPr>
              <w:t>pilnie wzywa Komisję do wszczęcia dochodzenia w sprawie potencjalnego nadużycia pozycji dominującej na mocy art. 102 TFUE;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z zaniepokojeniem odnotowuje wysoki stopień koncentracji rynku w europejskim sektorze finansowym, a także wciąż nadmierne poleganie na dostawcach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z zaniepokojeniem odnotowuje wysoki stopień koncentracji rynku w europejskim sektorze finansowym, a także wciąż nadmierne poleganie na dostawcach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z zaniepokojeniem odnotowuje wysoki stopień koncentracji rynku w europejskim sektorze finansowym, a także wciąż nadmierne poleganie na dostawcach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z zaniepokojeniem odnotowuje wysoki stopień koncentracji rynku w europejskim sektorze finansowym, a także wciąż nadmierne poleganie na dostawcach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z zaniepokojeniem odnotowuje wysoki stopień koncentracji rynku w europejskim sektorze finansowym, a także wciąż nadmierne poleganie na dostawcach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z zaniepokojeniem odnotowuje wysoki stopień koncentracji rynku w europejskim sektorze finansowym, a także wciąż nadmierne poleganie na dostawcach usług spoza UE; </w:t>
            </w:r>
            <w:r>
              <w:rPr>
                <w:b/>
                <w:i/>
              </w:rPr>
              <w:t>jest głęboko zaniepokojony utrzymującą się od czasu reformy z 2014 r. wysoką koncentracją na rynku audytu jednostek interesu publicznego, na którym cztery firmy posiadają ponad 86 % przychodów UE z audytów jednostek interesu publicznego, co ogranicza wybór i grozi zawłaszczeniem nadzoru;</w:t>
            </w:r>
            <w:r>
              <w:t xml:space="preserve"> </w:t>
            </w:r>
            <w:r>
              <w:rPr>
                <w:b/>
                <w:i/>
              </w:rPr>
              <w:t>podkreśla, że rosnące wymogi w zakresie audytu, np. wynikające z dyrektywy w sprawie sprawozdawczości przedsiębiorstw w zakresie zrównoważonego rozwoju i aktu o usługach cyfrowych / aktu o rynku cyfrowym, sprawiają, że zagrożenia te wychodzą poza rynki finansowe, obejmując konsumentów i obywateli;</w:t>
            </w:r>
            <w:r>
              <w:t xml:space="preserve"> </w:t>
            </w:r>
            <w:r>
              <w:rPr>
                <w:b/>
                <w:i/>
              </w:rPr>
              <w:t>podkreśla potrzebę wiarygodnych ram sprawozdawczości korporacyjnej i konkurencyjnego ekosystemu kontroli, aby wspierać świadome decyzje inwestycyjne i zapobiegać nadużyciom;</w:t>
            </w:r>
            <w:r>
              <w:t xml:space="preserve"> </w:t>
            </w:r>
            <w:r>
              <w:rPr>
                <w:b/>
                <w:i/>
              </w:rPr>
              <w:t>wzywa Komisję do zaproponowania, w oparciu o dogłębną ocenę skutków, przepisów w celu dywersyfikacji rynku audytu jednostek interesu publicznego i poprawy jakości audytu na rzecz odpornego jednolitego rynku;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z zaniepokojeniem odnotowuje wysoki stopień koncentracji rynku w europejskim sektorze finansowym, </w:t>
            </w:r>
            <w:r>
              <w:rPr>
                <w:b/>
                <w:i/>
              </w:rPr>
              <w:t>a także</w:t>
            </w:r>
            <w:r>
              <w:t xml:space="preserve"> wciąż nadmierne poleganie na dostawcach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z zaniepokojeniem odnotowuje wysoki stopień koncentracji rynku w europejskim sektorze finansowym, </w:t>
            </w:r>
            <w:r>
              <w:rPr>
                <w:b/>
                <w:i/>
              </w:rPr>
              <w:t>który wpływa na stosunek jakości do ceny dla klientów, oraz</w:t>
            </w:r>
            <w:r>
              <w:t xml:space="preserve"> wciąż nadmierne poleganie </w:t>
            </w:r>
            <w:r>
              <w:rPr>
                <w:b/>
                <w:i/>
              </w:rPr>
              <w:t>sektora</w:t>
            </w:r>
            <w:r>
              <w:t xml:space="preserve"> na dostawcach usług spoza UE; </w:t>
            </w:r>
            <w:r>
              <w:rPr>
                <w:b/>
                <w:i/>
              </w:rPr>
              <w:t>wzywa do wznowienia wysiłków na rzecz dokończenia budowy unii bankowej oraz do rozważenia przez Komisję środków mających na celu poprawę jednolitego rynku ubezpieczeń, co z kolei zwiększy konkurencyjność rynków krajowych w każdym państwie członkowskim;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z zaniepokojeniem odnotowuje wysoki stopień koncentracji rynku w europejskim sektorze finansowym, a także wciąż nadmierne poleganie na dostawcach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z zaniepokojeniem odnotowuje wysoki stopień koncentracji rynku w europejskim sektorze finansowym, a także wciąż nadmierne poleganie na dostawcach usług spoza UE </w:t>
            </w:r>
            <w:r>
              <w:rPr>
                <w:b/>
                <w:i/>
              </w:rPr>
              <w:t>w wielu dziedzinach, w tym w zakresie ESG i ratingów kredytowych, obsługi płatności, obsługi kontraktów pochodnych, dostawców usług w zakresie cyberbezpieczeństwa i audytu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z zaniepokojeniem odnotowuje wysoki stopień koncentracji rynku w europejskim sektorze finansowym, a także wciąż nadmierne poleganie na dostawcach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z zaniepokojeniem odnotowuje wysoki stopień koncentracji rynku w europejskim sektorze finansowym, a także wciąż nadmierne poleganie na dostawcach usług spoza UE</w:t>
            </w:r>
            <w:r>
              <w:rPr>
                <w:b/>
                <w:i/>
              </w:rPr>
              <w:t>, co prowadzi do rozproszenia konkurencyjności przedsiębiorstw na korzyść krajów spoza 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z zaniepokojeniem odnotowuje </w:t>
            </w:r>
            <w:r>
              <w:rPr>
                <w:b/>
                <w:i/>
              </w:rPr>
              <w:t>wysoki stopień koncentracji rynku w europejskim sektorze finansowym, a także wciąż nadmierne poleganie na dostawcach</w:t>
            </w:r>
            <w:r>
              <w:t xml:space="preserve"> usług spoza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z zaniepokojeniem odnotowuje </w:t>
            </w:r>
            <w:r>
              <w:rPr>
                <w:b/>
                <w:i/>
              </w:rPr>
              <w:t>nadmierne poleganie europejskiego sektora finansowego na ograniczonej liczbie dostawców</w:t>
            </w:r>
            <w:r>
              <w:t xml:space="preserve"> usług spoza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podkreśla przyszłe potrzeby UE w zakresie łączności pod względem infrastruktury i inwestycji;</w:t>
            </w:r>
            <w:r>
              <w:t xml:space="preserve"> </w:t>
            </w:r>
            <w:r>
              <w:rPr>
                <w:b/>
                <w:i/>
              </w:rPr>
              <w:t>wzywa Komisję, by rozważyła przegląd obecnych praktyk konkurencji na rynku telekomunikacyjnym, które uniemożliwiają połączenie czterech operatorów telefonii komórkowej w trzy podmioty, co służyłoby utworzeniu w pełni zintegrowanego jednolitego rynku usług telekomunikacyjnych;</w:t>
            </w:r>
            <w:r>
              <w:t xml:space="preserve"> </w:t>
            </w:r>
            <w:r>
              <w:rPr>
                <w:b/>
                <w:i/>
              </w:rPr>
              <w:t>zauważa, że konsolidacja rynku może być jedynym sposobem, by uniknąć sprzedaży poszczególnych części infrastruktury zagranicznym przedsiębiorstwom spoza UE;</w:t>
            </w:r>
            <w:r>
              <w:t xml:space="preserve"> </w:t>
            </w:r>
            <w:r>
              <w:rPr>
                <w:b/>
                <w:i/>
              </w:rPr>
              <w:t>zwraca uwagę, że w ciągu ostatniej dekady ten sektor w Europie odnotowywał bardzo niewielki wzrost i główną przyczyną tego jest fragmentacja rynku;</w:t>
            </w:r>
            <w:r>
              <w:t xml:space="preserve"> </w:t>
            </w:r>
            <w:r>
              <w:rPr>
                <w:b/>
                <w:i/>
              </w:rPr>
              <w:t>w związku z tym z zadowoleniem przyjmuje nowy wniosek dotyczący aktu w sprawie sieci cyfrowych, którego celem jest rozwiązanie problemu fragmentacji rynku, przyciągnięcie inwestycji, zabezpieczenie infrastruktury telekomunikacyjnej i promowanie innowacji bez dodatkowych kosztów dla konsumentów i bez narażania na szwank uczciwej konkurencji na rynku między wszystkimi podmiotami;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 zaniepokojeniem odnotowuje pojawienie się nierównych warunków działania w następstwie rozporządzenia (UE) nr 575/2013 i dyrektywy 2013/36/UE zaktualizowanej rozporządzeniem (UE) 2024/1623, w szczególności w odniesieniu do ostrożnościowego traktowania międzysektorowych udziałów kapitałowych zgodnie z zasadami sektorowymi (tzw. „duński kompromis”);</w:t>
            </w:r>
            <w:r>
              <w:t xml:space="preserve"> </w:t>
            </w:r>
            <w:r>
              <w:rPr>
                <w:b/>
                <w:i/>
              </w:rPr>
              <w:t>z zadowoleniem przyjmuje środek przyjęty na mocy art. 3 dyrektywy (UE) 2025/2, zgodnie z którym Komisja jest zobowiązana do przedstawienia do 31 grudnia 2027 r. sprawozdania na temat funkcjonowania wspomnianego mechanizmu z punktu widzenia konkurencji;</w:t>
            </w:r>
            <w:r>
              <w:t xml:space="preserve"> </w:t>
            </w:r>
            <w:r>
              <w:rPr>
                <w:b/>
                <w:i/>
              </w:rPr>
              <w:t>wzywa do rozszerzenia jego zakresu na niekonglomeracyjne podmioty finansowe;</w:t>
            </w:r>
            <w:r>
              <w:t xml:space="preserve"> </w:t>
            </w:r>
            <w:r>
              <w:rPr>
                <w:b/>
                <w:i/>
              </w:rPr>
              <w:t>podkreśla znaczenie i pilny charakter wspomnianego wyżej sprawozdania i zaleca Komisji, by przygotowała termin jego przedstawienia;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ponownie wyraża głębokie zaniepokojenie daleko idącą koncentracją łańcucha dostaw produktów rolnych i spożywczych;</w:t>
            </w:r>
            <w:r>
              <w:t xml:space="preserve"> </w:t>
            </w:r>
            <w:r>
              <w:rPr>
                <w:b/>
                <w:i/>
              </w:rPr>
              <w:t>ponownie apeluje do Komisji o pilne przeprowadzenie dogłębnej analizy zakresu i skutków tworzenia stowarzyszeń nabywców, a tym samym zwrócenie szczególnej uwagi na zagwarantowanie uczciwej konkurencji i większej przejrzystości praktyk handlowych stosowanych przez sieci supermarketów i hipermarketów, zwłaszcza gdy takie praktyki wpływają na wartość marki i wybór produktów lub ograniczają innowacyjność lub porównywalność cen;</w:t>
            </w:r>
            <w:r>
              <w:t xml:space="preserve"> </w:t>
            </w:r>
            <w:r>
              <w:rPr>
                <w:b/>
                <w:i/>
              </w:rPr>
              <w:t>wzywa Komisję do dalszego pogłębiania wiedzy na temat tych sojuszy i ich wpływu nie tylko na ceny, ale również na zdolność rolników i producentów rolno-spożywczych do dostarczania europejskim konsumentom zdrowych, bezpiecznych i zrównoważonych produktów;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wyraża głębokie zaniepokojenie kryzysem cen żywności oraz wysokim poziomem koncentracji rynku i własności finansowej w łańcuchach dostaw żywności, co może zniechęcać do konkurencji i sprzyjać nieuczciwym podwyżkom cen;</w:t>
            </w:r>
            <w:r>
              <w:t xml:space="preserve"> </w:t>
            </w:r>
            <w:r>
              <w:rPr>
                <w:b/>
                <w:i/>
              </w:rPr>
              <w:t>apeluje o przeprowadzenie szczegółowej sektorowej analizy władzy rynkowej i własności finansowej w łańcuchach dostaw żywności w UE oraz o wdrożenie strukturalnych środków zaradczych, w tym środków przeciwdziałających dalszym fuzjom i przejęciom;</w:t>
            </w:r>
            <w:r>
              <w:t xml:space="preserve"> </w:t>
            </w:r>
            <w:r>
              <w:rPr>
                <w:b/>
                <w:i/>
              </w:rPr>
              <w:t>wzywa do przeprowadzenia przeglądu unijnego prawa konkurencji, aby dostosować egzekwowanie tego prawa do celu, zgodnie z którym przedsiębiorstwa muszą prowadzić działalność z poszanowaniem podstawowego prawa konsumentów do przystępności cenowej żywności;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wzywa do zachowania - ze względu na strategiczny charakter - krajowego przemysłu obronnego i do tego, aby wspólny rynek dla przemysłu obronnego, jak przedstawiono w sprawozdaniu Enrica Letty, był rozumiany jedynie jako rynek wspierający zamówienia między państwami członkowskimi i europejskimi podmiotami działającymi w sektorze przemysłu, współpracę między podmiotami działającymi w sektorze przemysłu, jeżeli współpraca ta jest w interesie obrony narodowej i, ogólnie, europejską strategiczną niezależność w dziedzinie obronności;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Fuglsang, Lara Wolters, Adnan Dibrani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wzywa Komisję do zaproponowania przepisów zobowiązujących do strukturalnego oddzielenia firm księgowych od usług finansowych, podatkowych i innych usług doradczych w celu zapobiegania konfliktom interesów;</w:t>
            </w:r>
            <w:r>
              <w:t xml:space="preserve"> </w:t>
            </w:r>
            <w:r>
              <w:rPr>
                <w:b/>
                <w:i/>
              </w:rPr>
              <w:t>Ubolewa, że jedna z firm księgowych wielkich czwórek nie wywiązała się z zapowiedzianego planu rozdzielenia działalności w zakresie audytu i doradztwa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podkreślając potrzebę interwencji regulacyjnej w tym obszarze;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https://www.theaccountant-online.com/news/ey-calls-off-audit-advisory-split/?cf-view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Adnan Dibrani, Eero Heinäluoma, Niels Fuglsang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 zaniepokojeniem odnotowuje wysokie zyski netto banków UE w okresie inflacji, potencjalnie kosztem konsumentów i małych przedsiębiorstw;</w:t>
            </w:r>
            <w:r>
              <w:t xml:space="preserve"> </w:t>
            </w:r>
            <w:r>
              <w:rPr>
                <w:b/>
                <w:i/>
              </w:rPr>
              <w:t>wzywa Komisję do dokładnego zbadania tej kwestii oraz, w przypadku stwierdzenia nieprawidłowości lub błędów, do zastosowania wszelkich dostępnych instrumentów w celu zapewnienia uczciwej konkurencji w europejskim sektorze bankowym;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Irene Tinagli, Lara Wolters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 zaniepokojeniem odnotowuje wzrost spekulacji mieszkaniowych, co podnosi ceny i ogranicza przystępność mieszkań;</w:t>
            </w:r>
            <w:r>
              <w:t xml:space="preserve"> </w:t>
            </w:r>
            <w:r>
              <w:rPr>
                <w:b/>
                <w:i/>
              </w:rPr>
              <w:t>podkreśla, że szkodzi to konkurencyjności UE, ograniczając mobilność, zwiększając nierówności i nadwerężając stabilność społeczną;</w:t>
            </w:r>
            <w:r>
              <w:t xml:space="preserve"> </w:t>
            </w:r>
            <w:r>
              <w:rPr>
                <w:b/>
                <w:i/>
              </w:rPr>
              <w:t>wzywa do wprowadzenia bardziej rygorystycznych przepisów w celu ograniczenia spekulacji, zapewniając sprawiedliwy rynek mieszkaniowy wspierający wzrost gospodarczy i włączenie społeczne;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ubolewa nad faktem, że trzy największe agencje ratingowe nadal mają ponad 90 % udziału w rynku;</w:t>
            </w:r>
            <w:r>
              <w:t xml:space="preserve"> </w:t>
            </w:r>
            <w:r>
              <w:rPr>
                <w:b/>
                <w:i/>
              </w:rPr>
              <w:t>apeluje o utworzenie europejskiej publicznej agencji ratingowej, która byłaby bezstronną i godną zaufania alternatywą dla istniejących agencji;</w:t>
            </w:r>
            <w:r>
              <w:t xml:space="preserve"> </w:t>
            </w:r>
            <w:r>
              <w:rPr>
                <w:b/>
                <w:i/>
              </w:rPr>
              <w:t>ponadto ubolewa nad problemami związanymi z koncentracją i konfliktami interesów na rynku usług audytorskich;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podkreśla potrzebę zapewnienia konkurencyjności rynku wewnętrznego państw, w tym za pomocą środków ochronnych i bezpośredniej pomocy państwa dla małych i średnich przedsiębiorstw, których działalność określa swoisty charakter produktu wynikający ze specyfiki środowiska, klimatu i terytorium;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wzywa Komisję do nieprzedłużania okresu przejściowego dla pomocy operacyjnej dla wszystkich regionalnych portów lotniczych w kontekście przeglądu wytycznych w sprawie pomocy państwa na rzecz portów lotniczych i przedsiębiorstw lotniczych;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podkreśla swoje zaniepokojenie wysoką koncentracją rynku w europejskim łańcuchu dostaw produktów rolnych i spożywczych ze szkodą dla konsumentów, drobnych producentów rolnych i różnorodności biologicznej;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odnotowuje pisemne zgłoszenie zastrzeżeń wydane przez Komisję Europejską 25 czerwca 2024 r. w ramach dochodzenia antymonopolowego w sprawie możliwych praktyk antykonkurencyjnych Microsoft w odniesieniu do Teams, w którym Komisja wyraziła wstępną opinię, że Microsoft, poprzez powiązanie swoich produktów w zakresie komunikacji i współpracy z aplikacjami w zakresie wydajności zawartymi w zestawach dla przedsiębiorstw Office 365 i Microsoft 365;</w:t>
            </w:r>
            <w:r>
              <w:t xml:space="preserve"> </w:t>
            </w:r>
            <w:r>
              <w:rPr>
                <w:b/>
                <w:i/>
              </w:rPr>
              <w:t>wzywa Komisję do kontynuowania wysiłków na rzecz ostrożnego zakończenia tego dochodzenia antymonopolowego, aby zapewnić równe warunki działania wszystkim podmiotom rynkowym, rozwiązując obawy konsumentów, a także kwestie interoperacyjności i cen;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ze szczególnym zaniepokojeniem odnotowuje dominującą pozycję dwóch międzynarodowych systemów kart płatniczych na unijnym rynku płatności oraz ich praktyki mające na celu wzmocnienie i rozszerzenie ich dominacji na unijnym rynku płatności cyfrowych, co potencjalnie jeszcze bardziej zwiększy bariery wejścia na rynek i zahamuje długoterminowe innowacje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, a także doprowadzi do wyższych kosztów dla przedsiębiorstw UE, a ostatecznie dla konsumentów;</w:t>
            </w:r>
            <w:r>
              <w:t xml:space="preserve"> </w:t>
            </w:r>
            <w:r>
              <w:rPr>
                <w:b/>
                <w:i/>
              </w:rPr>
              <w:t>wzywa Komisję do podjęcia zdecydowanych działań, podkreślając potrzebę przeglądu rozporządzenia w sprawie opłat interchange w celu rozwiązania problemu znacznego wzrostu opłat za korzystanie z systemów kart płatniczych pobieranych przez międzynarodowe systemy kart płatniczych oraz zapewnienia sprawiedliwego, konkurencyjnego i przejrzystego otoczenia rynkowego;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Zob. sprawozdanie specjalne Europejskiego Trybunału Obrachunkowego w sprawie płatności cyfrowych w UE:</w:t>
            </w:r>
            <w:r>
              <w:t xml:space="preserve"> </w:t>
            </w:r>
            <w:r>
              <w:rPr>
                <w:b/>
                <w:i/>
              </w:rPr>
              <w:t>https://www.eca.europa.eu/ECAPublications/SR-2025-01/SR-2025-01_PL.pdf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zwraca uwagę, że rynek usług badania sprawozdań finansowych jest jednym z najbardziej skoncentrowanych rynków w Unii, gdzie firmy z „wielkiej czwórki” mają ponad 90% udziału w rynku;</w:t>
            </w:r>
            <w:r>
              <w:t xml:space="preserve"> </w:t>
            </w:r>
            <w:r>
              <w:rPr>
                <w:b/>
                <w:i/>
              </w:rPr>
              <w:t>przypomina, że wysoki stopień koncentracji rynku usług badania sprawozdań finansowych jest od dawna dostrzeganym zagrożeniem dla stabilności rynków finansowych;</w:t>
            </w:r>
            <w:r>
              <w:t xml:space="preserve"> </w:t>
            </w:r>
            <w:r>
              <w:rPr>
                <w:b/>
                <w:i/>
              </w:rPr>
              <w:t>wzywa Komisję, aby przedstawiła wniosek ustawodawczy w sprawie reformy rynku usług badania sprawozdań finansowych, który wzmocni system nadzoru, usunie luki prawne i wyjątki dotyczące państw członkowskich oraz wprowadzi zasady pozwalające uniknąć konfliktu interesów;</w:t>
            </w:r>
            <w:r>
              <w:t xml:space="preserve"> </w:t>
            </w:r>
            <w:r>
              <w:rPr>
                <w:b/>
                <w:i/>
              </w:rPr>
              <w:t>wzywa Komisję do podjęcia działań mających na celu uniknięcie zbliżenia między instytucjami publicznymi a firmami audytorskimi, w tym także w odniesieniu do jej własnych działań;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Adnan Dibrani, Eero Heinäluoma, Niels Fuglsang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z zaniepokojeniem odnotowuje oznaki ryzyka dynamiki inflacji i niekonkurencyjnych zachowań w sektorach spożywczych, które przyczyniają się do gwałtownego wzrostu cen żywności w ostatnich latach, ze szkodą dla europejskich konsumentów;</w:t>
            </w:r>
            <w:r>
              <w:t xml:space="preserve"> </w:t>
            </w:r>
            <w:r>
              <w:rPr>
                <w:b/>
                <w:i/>
              </w:rPr>
              <w:t>wzywa do pilnego uruchomienia dostępnych narzędzi konkurencji w celu niezwłocznego zbadania tych rynków;</w:t>
            </w:r>
            <w:r>
              <w:t xml:space="preserve"> </w:t>
            </w:r>
            <w:r>
              <w:rPr>
                <w:b/>
                <w:i/>
              </w:rPr>
              <w:t>przy jednoczesnej ocenie potrzeby wdrożenia „nowego narzędzia konkurencji” w celu rozwiązania problemów strukturalnych w zakresie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z zaniepokojeniem odnotowuje koncentrację na rynku handlu produktami rolnymi, w ramach którego cztery przedsiębiorstwa odpowiadają za do 90% światowego handlu zbożem i 60% światowego handlu zbożami, nasionami oleistymi i roślinami wysokobiałkowymi;</w:t>
            </w:r>
            <w:r>
              <w:t xml:space="preserve"> </w:t>
            </w:r>
            <w:r>
              <w:rPr>
                <w:b/>
                <w:i/>
              </w:rPr>
              <w:t>przypomina komunikat Komisji z listopada 2024 r. w sprawie połączeń konkurencji, w którym mówi się o „rynku w kształcie klepsydry”, na którym kilka przedsiębiorstw „generuje zyski, kupując produkty rolne i odsprzedając je, jako takie lub w formie przetworzonej, po wyższej cenie”;</w:t>
            </w:r>
            <w:r>
              <w:t xml:space="preserve"> </w:t>
            </w:r>
            <w:r>
              <w:rPr>
                <w:b/>
                <w:i/>
              </w:rPr>
              <w:t>ubolewa, że mimo to Komisja warunkowo zatwierdziła połączenie Bunge-Vittera (M.11204), pomimo obaw dotyczących konkurencji;</w:t>
            </w:r>
            <w:r>
              <w:t xml:space="preserve"> </w:t>
            </w:r>
            <w:r>
              <w:rPr>
                <w:b/>
                <w:i/>
              </w:rPr>
              <w:t>zwraca się do Komisji o zajęcie się problemem nadmiernej akumulacji siły w rękach kilku dużych podmiotów działających na tym rynku, aby wzmocnić pozycję przetargową zarówno rolników, jak i konsumentów;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podkreśla, że Parlament powinien być dostatecznie zaangażowany w kształtowanie polityki konkurencji;</w:t>
            </w:r>
            <w:r>
              <w:t xml:space="preserve"> </w:t>
            </w:r>
            <w:r>
              <w:rPr>
                <w:b/>
                <w:i/>
              </w:rPr>
              <w:t>wzywa Komisję do rozpoczęcia negocjacji nad porozumieniem międzyinstytucjonalnym w sprawie polityki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podkreśla, że Parlament powinien być dostatecznie zaangażowany w kształtowanie polityki konkurencji; wzywa Komisję do rozpoczęcia negocjacji nad porozumieniem międzyinstytucjonalnym w sprawie polityki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podkreśla, że Parlament powinien być dostatecznie zaangażowany w kształtowanie polityki konkurencji</w:t>
            </w:r>
            <w:r>
              <w:rPr>
                <w:b/>
                <w:i/>
              </w:rPr>
              <w:t>, i przestrzega przed nadmiernym poleganiem na instrumentach miękkiego prawa, takich jak wytyczne i tymczasowe ramy, w których zaangażowanie Parlamentu jest ograniczone</w:t>
            </w:r>
            <w:r>
              <w:t xml:space="preserve">; wzywa Komisję do rozpoczęcia negocjacji nad porozumieniem międzyinstytucjonalnym w sprawie polityki konkurencji </w:t>
            </w:r>
            <w:r>
              <w:rPr>
                <w:b/>
                <w:i/>
              </w:rPr>
              <w:t>w celu sformalizowania jej priorytetów w zakresie egzekwowania prawa wobec Parlamentu;</w:t>
            </w:r>
            <w:r>
              <w:t xml:space="preserve"> </w:t>
            </w:r>
            <w:r>
              <w:rPr>
                <w:b/>
                <w:i/>
              </w:rPr>
              <w:t>wzywa Radę Europejską do przyjęcia na podstawie art. 48 ust. 7 pkt 2 TUE decyzji umożliwiającej przyjmowanie aktów ustawodawczych w dziedzinie polityki konkurencji zgodnie ze zwykłą procedurą ustawodawczą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podkreśla, że Parlament powinien być dostatecznie zaangażowany w kształtowanie polityki konkurencji; wzywa Komisję do rozpoczęcia negocjacji nad porozumieniem międzyinstytucjonalnym w sprawie polityki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podkreśla, że Parlament powinien być dostatecznie zaangażowany w kształtowanie polityki konkurencji; wzywa Komisję do rozpoczęcia negocjacji nad porozumieniem międzyinstytucjonalnym w sprawie polityki konkurencji; </w:t>
            </w:r>
            <w:r>
              <w:rPr>
                <w:b/>
                <w:i/>
              </w:rPr>
              <w:t>podkreśla, że Parlament powinien być bardziej zaangażowany w działalność grup roboczych i grup ekspertów w Międzynarodowej Sieci Konkurencji i OECD jako obserwator, ale również w grupę ekspertów wysokiego szczebla ds. aktu o rynkach cyfrowych;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podkreśla, że Parlament powinien </w:t>
            </w:r>
            <w:r>
              <w:rPr>
                <w:b/>
                <w:i/>
              </w:rPr>
              <w:t>być dostatecznie zaangażowany w kształtowanie polityki</w:t>
            </w:r>
            <w:r>
              <w:t xml:space="preserve"> konkurencji; wzywa Komisję do rozpoczęcia negocjacji nad porozumieniem międzyinstytucjonalnym w sprawie polityki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podkreśla, że Parlament powinien </w:t>
            </w:r>
            <w:r>
              <w:rPr>
                <w:b/>
                <w:i/>
              </w:rPr>
              <w:t>kształtować politykę</w:t>
            </w:r>
            <w:r>
              <w:t xml:space="preserve"> konkurencji; wzywa Komisję do rozpoczęcia negocjacji nad porozumieniem międzyinstytucjonalnym w sprawie polityki konkurencji; </w:t>
            </w:r>
            <w:r>
              <w:rPr>
                <w:b/>
                <w:i/>
              </w:rPr>
              <w:t>apeluje o pełne rozszerzenie zwykłej procedury ustawodawczej na przepisy dotyczące polityki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Aleksandar Nikolic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podkreśla, że Parlament powinien być </w:t>
            </w:r>
            <w:r>
              <w:rPr>
                <w:b/>
                <w:i/>
              </w:rPr>
              <w:t>dostatecznie</w:t>
            </w:r>
            <w:r>
              <w:t xml:space="preserve"> zaangażowany w kształtowanie polityki konkurencji; wzywa Komisję do rozpoczęcia negocjacji nad porozumieniem międzyinstytucjonalnym w sprawie polityki konkurencji;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podkreśla, że Parlament powinien być </w:t>
            </w:r>
            <w:r>
              <w:rPr>
                <w:b/>
                <w:i/>
              </w:rPr>
              <w:t>bardziej</w:t>
            </w:r>
            <w:r>
              <w:t xml:space="preserve"> zaangażowany w kształtowanie polityki konkurencji; wzywa Komisję do rozpoczęcia negocjacji nad porozumieniem międzyinstytucjonalnym w sprawie polityki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wzywa właściwą wiceprzewodniczącą wykonawczą, a także komisarz odpowiedzialną za politykę konkurencji, by pozostawała w ścisłym kontakcie z właściwą komisją Parlamentu i jej grupą roboczą ds.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apeluje, by członkini Komisji odpowiedzialna za politykę konkurencji pozostawała w ścisłym kontakcie z właściwą komisją Parlamentu Europejskiego i jej grupą roboczą ds. konkurencji;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podkreśla potrzebę skutecznej współpracy międzyinstytucjonalnej w dziedzinie polityki konkurencji przez jasne określenie ról i obowiązków Parlamentu, Komisji i Rady;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172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173</w:t>
    </w:r>
    <w:r>
      <w:fldChar w:fldCharType="end"/>
    </w:r>
    <w:r>
      <w:tab/>
    </w:r>
    <w:r>
      <w:rPr>
        <w:rStyle w:val="HideTWBExt"/>
      </w:rPr>
      <w:t>&lt;PathFdR&gt;</w:t>
    </w:r>
    <w:r>
      <w:t>AM\1314304PL.docx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AM\1314304PL.docx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173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173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AM\1314304PL.docx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173</Pages>
  <Words>30519</Words>
  <Characters>207424</Characters>
  <Application>Microsoft Office Word</Application>
  <DocSecurity>0</DocSecurity>
  <Lines>1</Lines>
  <Paragraphs>2889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1314304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128635</vt:lpwstr>
  </property>
  <property fmtid="{D5CDD505-2E9C-101B-9397-08002B2CF9AE}" pid="7" name="dmxml.render.traceId">
    <vt:lpwstr>67b31069673bc8a9825a610bbe164cd8</vt:lpwstr>
  </property>
  <property fmtid="{D5CDD505-2E9C-101B-9397-08002B2CF9AE}" pid="8" name="FooterPath">
    <vt:lpwstr>AM\1314304PL.docx</vt:lpwstr>
  </property>
  <property fmtid="{D5CDD505-2E9C-101B-9397-08002B2CF9AE}" pid="9" name="PE Number">
    <vt:lpwstr>768.085</vt:lpwstr>
  </property>
  <property fmtid="{D5CDD505-2E9C-101B-9397-08002B2CF9AE}" pid="10" name="UID">
    <vt:lpwstr>eu.europa.europarl-DIN1-2025-0000013585_02.00-pl-01.00_text-xml</vt:lpwstr>
  </property>
</Properties>
</file>