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Hospodářský a měnový výbor</w:t>
      </w:r>
      <w:r>
        <w:rPr>
          <w:rStyle w:val="HideTWBExt"/>
        </w:rPr>
        <w:t>&lt;/Commission&gt;</w:t>
      </w:r>
    </w:p>
    <w:p>
      <w:pPr>
        <w:pStyle w:val="LineBottom"/>
      </w:pPr>
      <w:r>
        <w:t xml:space="preserve"> </w:t>
      </w:r>
    </w:p>
    <w:p>
      <w:pPr>
        <w:pStyle w:val="CoverReference"/>
      </w:pPr>
      <w:r>
        <w:rPr>
          <w:rStyle w:val="HideTWBExt"/>
        </w:rPr>
        <w:t>&lt;RefProc&gt;</w:t>
      </w:r>
      <w:r>
        <w:t>2025/0022</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{02/05/2025}</w:t>
      </w:r>
      <w:r>
        <w:t>2. 5. 2025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10</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Johan Van Overtveldt</w:t>
      </w:r>
      <w:r>
        <w:rPr>
          <w:rStyle w:val="HideTWBExt"/>
        </w:rPr>
        <w:t>&lt;/Rapporteur&gt;</w:t>
      </w:r>
    </w:p>
    <w:p>
      <w:pPr>
        <w:pStyle w:val="CoverNormal24a"/>
      </w:pPr>
      <w:r>
        <w:rPr>
          <w:rStyle w:val="HideTWBExt"/>
        </w:rPr>
        <w:t>&lt;DocRefPE&gt;</w:t>
      </w:r>
      <w:r>
        <w:t>(PE770.091v01-00)</w:t>
      </w:r>
      <w:r>
        <w:rPr>
          <w:rStyle w:val="HideTWBExt"/>
        </w:rPr>
        <w:t>&lt;/DocRefPE&gt;</w:t>
      </w:r>
    </w:p>
    <w:p>
      <w:pPr>
        <w:pStyle w:val="CoverNormal24a"/>
      </w:pPr>
      <w:r>
        <w:rPr>
          <w:rStyle w:val="HideTWBExt"/>
        </w:rPr>
        <w:t>&lt;Titre&gt;</w:t>
      </w:r>
      <w:r>
        <w:t>Změna nařízení (EU) č. 909/2014, pokud jde o kratší cyklus vypořádání v Unii</w:t>
      </w:r>
      <w:r>
        <w:rPr>
          <w:rStyle w:val="HideTWBExt"/>
        </w:rPr>
        <w:t>&lt;/Titre&gt;</w:t>
      </w:r>
    </w:p>
    <w:p>
      <w:pPr>
        <w:pStyle w:val="CoverNormal"/>
      </w:pPr>
      <w:r>
        <w:rPr>
          <w:rStyle w:val="HideTWBExt"/>
        </w:rPr>
        <w:t>&lt;DocAmend&gt;</w:t>
      </w:r>
      <w:r>
        <w:t>Návrh nařízení</w:t>
      </w:r>
      <w:r>
        <w:rPr>
          <w:rStyle w:val="HideTWBExt"/>
        </w:rPr>
        <w:t>&lt;/DocAmend&gt;</w:t>
      </w:r>
    </w:p>
    <w:p>
      <w:pPr>
        <w:pStyle w:val="CoverNormal24a"/>
      </w:pPr>
      <w:r>
        <w:rPr>
          <w:rStyle w:val="HideTWBExt"/>
        </w:rPr>
        <w:t>&lt;DocRef&gt;</w:t>
      </w:r>
      <w:r>
        <w:t>(COM(2025)0038 – 2025/0022(COD))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Fabio De Masi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Delší vypořádací lhůty obchodů s převoditelnými cennými papíry zvyšují rizika pro strany obchodu a omezují možnosti kupujících a prodávajících uzavírat další obchody. Z těchto důvodů mnoho jurisdikcí třetích zemí přešlo, přechází nebo plánuje přejít na vypořádací lhůtu jednoho obchodního dne po uzavření obchodu („T+1“). Globální přechod na kratší vypořádací lhůty však způsobuje nesoulad mezi Unií a světovými finančními trhy. Tento nesoulad se bude dále prohlubovat, jak bude na vypořádání T+1 přecházet více zemí, a budou se tak zvyšovat náklady, které účastníkům trhu v Unii kvůli tomuto nesouladu vznikají.</w:t>
            </w:r>
          </w:p>
        </w:tc>
        <w:tc>
          <w:tcPr>
            <w:tcW w:w="4876" w:type="dxa"/>
            <w:tcBorders>
              <w:top w:val="nil"/>
              <w:left w:val="nil"/>
              <w:bottom w:val="nil"/>
              <w:right w:val="nil"/>
            </w:tcBorders>
          </w:tcPr>
          <w:p>
            <w:pPr>
              <w:pStyle w:val="Normal6a"/>
            </w:pPr>
            <w:r>
              <w:t>(2)</w:t>
            </w:r>
            <w:r>
              <w:tab/>
            </w:r>
            <w:r>
              <w:t xml:space="preserve">Delší vypořádací lhůty obchodů s převoditelnými cennými papíry zvyšují rizika pro strany obchodu a omezují možnosti kupujících a prodávajících uzavírat další obchody. Z těchto důvodů mnoho jurisdikcí třetích zemí přešlo, přechází nebo plánuje přejít na vypořádací lhůtu jednoho obchodního dne po uzavření obchodu („T+1“). Globální přechod na kratší vypořádací lhůty však způsobuje nesoulad mezi Unií a světovými finančními trhy. Tento nesoulad se bude dále prohlubovat, jak bude na vypořádání T+1 přecházet více zemí, a budou se tak zvyšovat náklady, které účastníkům trhu v Unii kvůli tomuto nesouladu vznikají. </w:t>
            </w:r>
            <w:r>
              <w:rPr>
                <w:b/>
                <w:i/>
              </w:rPr>
              <w:t>Na některých významných mezinárodních trzích byl cyklus vypořádání již dále zkrácen na T+0, a infrastruktura Evropské centrální banky Target2-Securities dokonce funguje v reálném čase.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Kratší cykly vypořádání by mohly vést ke komplikovanější správě hotovosti pro obchodníky s devizovou složkou, neboť měnové trhy pracují na dvoudenním vypořádání.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Kratší cykly vypořádání zkracují lhůtu pro vyřešení chyb při zpracování, mj. zkracují lhůty pro získávání likvidity na trhu s půjčováním cenných papírů za účelem pokrytí krátkých pozic, což by mohlo mít dopad zejména na méně likvidní akcie a krátké prodeje, k nimž dochází pozdě v den obchodování.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Jelikož se však trh přizpůsobuje novému kratšímu režimu vypořádání, mohlo by dojít k počátečnímu nárůstu zpožděných a neúspěšných obchodů, což s sebou nese vážné riziko pro likviditu a výrazně by zvýšilo náklady.</w:t>
            </w:r>
            <w:r>
              <w:t xml:space="preserve"> </w:t>
            </w:r>
            <w:r>
              <w:rPr>
                <w:b/>
                <w:i/>
              </w:rPr>
              <w:t>To by pak mohlo vést k regulačním pokutám podle nařízení CSDR a k represivním nákladům na odkup ukládaným clearingovými institucemi, které by poskytovatelé likvidity kompenzovali uvedením širších cen, což by bylo v rozporu s cílem zvýšit konkurenceschopnost evropských kapitálových trhů.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Je proto vhodné zavést cílenou změnu nařízení (EU) č. 909/2014, kterou se zkrátí stávající povinný cyklus vypořádání na jeden den po uzavření obchodu. Takové zkrácení cyklu vypořádání by nebránilo centrálním depozitářům cenných papírů dobrovolně vypořádat obchody ke stejnému dni, jako je den uzavření obchodu, pokud je to technologicky </w:t>
            </w:r>
            <w:r>
              <w:rPr>
                <w:b/>
                <w:i/>
              </w:rPr>
              <w:t>možné</w:t>
            </w:r>
            <w:r>
              <w:t>.</w:t>
            </w:r>
          </w:p>
        </w:tc>
        <w:tc>
          <w:tcPr>
            <w:tcW w:w="4876" w:type="dxa"/>
            <w:tcBorders>
              <w:top w:val="nil"/>
              <w:left w:val="nil"/>
              <w:bottom w:val="nil"/>
              <w:right w:val="nil"/>
            </w:tcBorders>
          </w:tcPr>
          <w:p>
            <w:pPr>
              <w:pStyle w:val="Normal6a"/>
            </w:pPr>
            <w:r>
              <w:t>(4)</w:t>
            </w:r>
            <w:r>
              <w:tab/>
            </w:r>
            <w:r>
              <w:t xml:space="preserve">Je proto vhodné zavést cílenou změnu nařízení (EU) č. 909/2014, kterou se zkrátí stávající povinný cyklus vypořádání na jeden den po uzavření obchodu. </w:t>
            </w:r>
            <w:r>
              <w:rPr>
                <w:b/>
                <w:i/>
              </w:rPr>
              <w:t>Tento povinný cyklus vypořádání by se vzhledem k nestandardizované povaze tohoto konkrétního druhu obchodů neměl vztahovat na obchody zajišťující financování ve smyslu čl. 3 bodu 11 nařízení (EU) 2015/2365.</w:t>
            </w:r>
            <w:r>
              <w:t xml:space="preserve"> Takové zkrácení cyklu vypořádání by nebránilo centrálním depozitářům cenných papírů dobrovolně vypořádat obchody ke stejnému dni, jako je den uzavření obchodu, pokud je to technologicky </w:t>
            </w:r>
            <w:r>
              <w:rPr>
                <w:b/>
                <w:i/>
              </w:rPr>
              <w:t>proveditelné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Obchody s financováním cenných papírů umožňují účastníkům trhu pružně řídit své potřeby likvidity a financování.</w:t>
            </w:r>
            <w:r>
              <w:t xml:space="preserve"> </w:t>
            </w:r>
            <w:r>
              <w:rPr>
                <w:b/>
                <w:i/>
              </w:rPr>
              <w:t>Trendy na trhu naznačují rostoucí využívání tohoto typu obchodů v obchodních systémech.</w:t>
            </w:r>
            <w:r>
              <w:t xml:space="preserve"> </w:t>
            </w:r>
            <w:r>
              <w:rPr>
                <w:b/>
                <w:i/>
              </w:rPr>
              <w:t>Vzhledem k nestandardizované povaze tohoto konkrétního druhu obchodů, a zejména k nestandardizovaným lhůtám vypořádání, na nichž se strany těchto transakcí musí dohodnout, aby dosáhly svých cílů a aby se zabránilo odrazování od jejich provádění v obchodních systémech, by tyto obchody měly být vyňaty z požadavku na cyklus vypořádání T+1.</w:t>
            </w:r>
            <w:r>
              <w:t xml:space="preserve"> </w:t>
            </w:r>
            <w:r>
              <w:rPr>
                <w:b/>
                <w:i/>
              </w:rPr>
              <w:t>Aby se však zabránilo jakémukoli riziku obcházení požadavku na cyklus vypořádání T+1, mělo by se u koupě se současným sjednáním zpětného prodeje a u prodeje se současným sjednáním zpětné koupě použít osvobození pouze tehdy, jsou-li tyto transakce zdokumentovány jako jednotlivé operace složené ze dvou propojených transakcí.</w:t>
            </w:r>
            <w:r>
              <w:t xml:space="preserve"> </w:t>
            </w:r>
            <w:r>
              <w:rPr>
                <w:b/>
                <w:i/>
              </w:rPr>
              <w:t>Nezdokumentované transakce koupě se současným sjednáním zpětného prodeje a prodeje se současným sjednáním zpětné koupě by měly být považovány za běžné obchody s cennými papíry, a proto by se na ně měl požadavek cyklu vypořádání T+1 vztahovat.</w:t>
            </w:r>
            <w:r>
              <w:t xml:space="preserve"> </w:t>
            </w:r>
            <w:r>
              <w:rPr>
                <w:b/>
                <w:i/>
              </w:rPr>
              <w:t>Kromě toho jsou maržové obchody z oblasti působnosti tohoto požadavku již vyloučeny, neboť nezahrnují obchody s převoditelnými cennými papíry, a proto nespadají do oblasti působnosti nařízení (EU) č. 909/2014.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Nařízení (EU) č. 909/2014 stanoví různá opatření k řešení selhání vypořádání, včetně peněžitých sankcí uložených účastníkům způsobujícím selhání vypořádání.</w:t>
            </w:r>
            <w:r>
              <w:t xml:space="preserve"> </w:t>
            </w:r>
            <w:r>
              <w:rPr>
                <w:b/>
                <w:i/>
              </w:rPr>
              <w:t>Výpočet těchto peněžitých sankcí je určen parametry uvedenými v nařízení Komise v přenesené pravomoci (EU) 2017/389</w:t>
            </w:r>
            <w:r>
              <w:rPr>
                <w:b/>
                <w:i/>
                <w:vertAlign w:val="superscript"/>
              </w:rPr>
              <w:t>1a</w:t>
            </w:r>
            <w:r>
              <w:rPr>
                <w:b/>
                <w:i/>
              </w:rPr>
              <w:t>.</w:t>
            </w:r>
            <w:r>
              <w:t xml:space="preserve"> </w:t>
            </w:r>
            <w:r>
              <w:rPr>
                <w:b/>
                <w:i/>
              </w:rPr>
              <w:t>Očekává se, že Komise bude sledovat vývoj na trhu a připravenost odvětví splnit vypořádání T+1 a odpovídajícím způsobem zváží, zda existuje značné riziko, že přechod z cyklu vypořádání T+2 na cyklus vypořádání T+1 by mohl vést k podstatnému nárůstu selhání vypořádání.</w:t>
            </w:r>
            <w:r>
              <w:t xml:space="preserve"> </w:t>
            </w:r>
            <w:r>
              <w:rPr>
                <w:b/>
                <w:i/>
              </w:rPr>
              <w:t>Je-li takové riziko zjištěno, může Komise v případě potřeby zvážit dočasnou úpravu nařízení v přenesené pravomoci (EU) 2017/389 nebo přijetí jakéhokoli jiného vhodného opatření v rámci zmocnění stanovených v nařízení (EU) č. 909/2014.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Nařízení Komise v přenesené pravomoci (EU) 2017/389 ze dne 11. listopadu 2016, kterým se doplňuje nařízení Evropského parlamentu a Rady (EU) č. 909/2014, pokud jde o parametry pro výpočet peněžitých sankcí za selhání vypořádání a činnosti centrálních depozitářů v hostitelských členských státech (Úř. věst. L 65, 10.3.2017, s.</w:t>
            </w:r>
            <w:r>
              <w:t xml:space="preserve"> </w:t>
            </w:r>
            <w:r>
              <w:rPr>
                <w:b/>
                <w:i/>
              </w:rPr>
              <w:t>1, ELI: http://data.europa.eu/eli/reg_del/2017/389/oj).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Fabio De Masi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Komise by měla dále prozkoumat proveditelnost budoucího zkrácení cyklu vypořádání na T+0.</w:t>
            </w:r>
            <w:r>
              <w:t xml:space="preserve"> </w:t>
            </w:r>
            <w:r>
              <w:rPr>
                <w:b/>
                <w:i/>
              </w:rPr>
              <w:t>Komise by proto měla toto nařízení nejpozději 36 měsíců po jeho vstupu v platnost přezkoumat, aby zajistila, že regulace a tržní infrastruktury v Unii budou v souladu s rostoucím rozsahem a tempem globálních finančních trhů a osvědčenými postupy jiných mezinárodních regulačních režimů.</w:t>
            </w:r>
            <w:r>
              <w:t xml:space="preserve"> </w:t>
            </w:r>
            <w:r>
              <w:rPr>
                <w:b/>
                <w:i/>
              </w:rPr>
              <w:t>Cyklus vypořádání T+0 je již technicky proveditelný a mohl by být dále usnadněn inovacemi, jako je technologie distribuované účetní knihy, při současném zajištění bezpečnosti údajů a transparentnosti.</w:t>
            </w:r>
            <w:r>
              <w:t xml:space="preserve"> </w:t>
            </w:r>
            <w:r>
              <w:rPr>
                <w:b/>
                <w:i/>
              </w:rPr>
              <w:t>Další zkrácení cyklu vypořádání by snížilo riziko nezákonných a koluzivních systémů obchodování, jako je odlučování dividend („Cum-Ex“).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w:t>
      </w:r>
      <w:r>
        <w:rPr>
          <w:rStyle w:val="HideTWBExt"/>
        </w:rPr>
        <w:t>&lt;/Article&gt;</w:t>
      </w:r>
    </w:p>
    <w:p>
      <w:r>
        <w:rPr>
          <w:rStyle w:val="HideTWBExt"/>
        </w:rPr>
        <w:t>&lt;DocAmend2&gt;</w:t>
      </w:r>
      <w:r>
        <w:t>Nařízení (EU) č. 909/2014</w:t>
      </w:r>
      <w:r>
        <w:rPr>
          <w:rStyle w:val="HideTWBExt"/>
        </w:rPr>
        <w:t>&lt;/DocAmend2&gt;</w:t>
      </w:r>
    </w:p>
    <w:p>
      <w:r>
        <w:rPr>
          <w:rStyle w:val="HideTWBExt"/>
        </w:rPr>
        <w:t>&lt;Article2&gt;</w:t>
      </w:r>
      <w:r>
        <w:t>Čl. 5 – odst.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Pokud jde o obchody s převoditelnými cennými papíry uvedenými v odstavci 1, které jsou prováděny v obchodních systémech, je určeným dnem vypořádání nejpozději první obchodní den po uzavření obchodu. Tento požadavek se nevztahuje na </w:t>
            </w:r>
            <w:r>
              <w:rPr>
                <w:b/>
                <w:i/>
              </w:rPr>
              <w:t>obchody, které jsou vyjednány podle soukromého práva, ale provádějí se v obchodních systémech, na obchody, které se provádějí na dvoustranné bázi, ale oznamují se obchodnímu systému, ani na první obchod, při němž dotčené převoditelné cenné papíry podléhají prvotnímu nahrazení listinných cenných papírů zápisem do příslušné evidence podle čl. 3 odst. 2.</w:t>
            </w:r>
          </w:p>
        </w:tc>
        <w:tc>
          <w:tcPr>
            <w:tcW w:w="4876" w:type="dxa"/>
            <w:tcBorders>
              <w:top w:val="nil"/>
              <w:left w:val="nil"/>
              <w:bottom w:val="nil"/>
              <w:right w:val="nil"/>
            </w:tcBorders>
          </w:tcPr>
          <w:p>
            <w:pPr>
              <w:pStyle w:val="Normal6a"/>
            </w:pPr>
            <w:r>
              <w:t>2.</w:t>
            </w:r>
            <w:r>
              <w:tab/>
            </w:r>
            <w:r>
              <w:t>Pokud jde o obchody s převoditelnými cennými papíry uvedenými v odstavci 1, které jsou prováděny v obchodních systémech, je určeným dnem vypořádání nejpozději první obchodní den po uzavření obchodu. Tento požadavek se nevztahuje na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obchody, které jsou vyjednány podle soukromého práva, ale provádějí se v obchodních systémech,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obchody, které se provádějí na dvoustranné bázi, ale oznamují se obchodnímu systému,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první obchod, při němž dotčené převoditelné cenné papíry podléhají prvotnímu nahrazení listinných cenných papírů zápisem do příslušné evidence podle čl. 3 odst. 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obchody zajišťující financování vymezené v čl. 3 bodu 11 nařízení Evropského parlamentu a Rady (EU) 2015/2365</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Nařízení Evropského parlamentu a Rady (EU) 2015/2365 ze dne 25. listopadu 2015 o transparentnosti obchodů zajišťujících financování a opětovného použití a o změně nařízení (EU) č. 648/2012 (Úř. věst. L 337, 23.12.2015, s.</w:t>
            </w:r>
            <w:r>
              <w:t xml:space="preserve"> </w:t>
            </w:r>
            <w:r>
              <w:rPr>
                <w:b/>
                <w:i/>
              </w:rPr>
              <w:t>1, ELI: http://data.europa.eu/eli/reg/2015/2365/oj).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Vynětí obchodů zajišťujících financování z oblasti působnosti požadavku T+1.</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w:t>
      </w:r>
      <w:r>
        <w:rPr>
          <w:rStyle w:val="HideTWBExt"/>
        </w:rPr>
        <w:t>&lt;/Article&gt;</w:t>
      </w:r>
    </w:p>
    <w:p>
      <w:r>
        <w:rPr>
          <w:rStyle w:val="HideTWBExt"/>
        </w:rPr>
        <w:t>&lt;DocAmend2&gt;</w:t>
      </w:r>
      <w:r>
        <w:t>Nařízení (EU) č. 909/2014</w:t>
      </w:r>
      <w:r>
        <w:rPr>
          <w:rStyle w:val="HideTWBExt"/>
        </w:rPr>
        <w:t>&lt;/DocAmend2&gt;</w:t>
      </w:r>
    </w:p>
    <w:p>
      <w:r>
        <w:rPr>
          <w:rStyle w:val="HideTWBExt"/>
        </w:rPr>
        <w:t>&lt;Article2&gt;</w:t>
      </w:r>
      <w:r>
        <w:t>Čl. 5 – odst.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Pokud jde o obchody s převoditelnými cennými papíry uvedenými v odstavci 1, které jsou prováděny v obchodních systémech, je určeným dnem vypořádání nejpozději první obchodní den po uzavření obchodu. Tento požadavek se nevztahuje na obchody, které jsou vyjednány podle soukromého práva, ale provádějí se v obchodních systémech, na obchody, které se provádějí na dvoustranné bázi, ale oznamují se obchodnímu systému, ani na první obchod, při němž dotčené převoditelné cenné papíry podléhají prvotnímu nahrazení listinných cenných papírů zápisem do příslušné evidence podle čl. 3 odst. 2.</w:t>
            </w:r>
          </w:p>
        </w:tc>
        <w:tc>
          <w:tcPr>
            <w:tcW w:w="4876" w:type="dxa"/>
            <w:tcBorders>
              <w:top w:val="nil"/>
              <w:left w:val="nil"/>
              <w:bottom w:val="nil"/>
              <w:right w:val="nil"/>
            </w:tcBorders>
          </w:tcPr>
          <w:p>
            <w:pPr>
              <w:pStyle w:val="Normal6a"/>
            </w:pPr>
            <w:r>
              <w:t>2.</w:t>
            </w:r>
            <w:r>
              <w:tab/>
            </w:r>
            <w:r>
              <w:t xml:space="preserve">Pokud jde o obchody s převoditelnými cennými papíry uvedenými v odstavci 1, které jsou prováděny v obchodních systémech, je určeným dnem vypořádání nejpozději první obchodní den po uzavření obchodu. Tento požadavek se nevztahuje na obchody </w:t>
            </w:r>
            <w:r>
              <w:rPr>
                <w:b/>
                <w:i/>
              </w:rPr>
              <w:t>zajišťující financování vymezené v čl. 3 bodu 11 nařízení (EU) 2015/2365</w:t>
            </w:r>
            <w:r>
              <w:rPr>
                <w:b/>
                <w:i/>
                <w:vertAlign w:val="superscript"/>
              </w:rPr>
              <w:t>1a</w:t>
            </w:r>
            <w:r>
              <w:rPr>
                <w:b/>
                <w:i/>
              </w:rPr>
              <w:t>, obchody</w:t>
            </w:r>
            <w:r>
              <w:t>, které jsou vyjednány podle soukromého práva, ale provádějí se v obchodních systémech, na obchody, které se provádějí na dvoustranné bázi, ale oznamují se obchodnímu systému, ani na první obchod, při němž dotčené převoditelné cenné papíry podléhají prvotnímu nahrazení listinných cenných papírů zápisem do příslušné evidence podle čl. 3 odst. 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Nařízení Evropského parlamentu a Rady (EU) 2015/2365 ze dne 25. listopadu 2015 o transparentnosti obchodů zajišťujících financování a opětovného použití a o změně nařízení (EU) č. 648/2012 (Úř. věst. L 337, 23.12.2015, s.</w:t>
            </w:r>
            <w:r>
              <w:t xml:space="preserve"> </w:t>
            </w:r>
            <w:r>
              <w:rPr>
                <w:b/>
                <w:i/>
              </w:rPr>
              <w:t>1, ELI: http://data.europa.eu/eli/reg/2015/2365/oj).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773.076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10</w:t>
    </w:r>
    <w:r>
      <w:fldChar w:fldCharType="end"/>
    </w:r>
    <w:r>
      <w:tab/>
    </w:r>
    <w:r>
      <w:rPr>
        <w:rStyle w:val="HideTWBExt"/>
      </w:rPr>
      <w:t>&lt;PathFdR&gt;</w:t>
    </w:r>
    <w:r>
      <w:t>AM\1319740CS.docx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AM\1319740CS.docx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10</w:t>
    </w:r>
    <w:r>
      <w:fldChar w:fldCharType="end"/>
    </w:r>
    <w:r>
      <w:tab/>
    </w:r>
    <w:r>
      <w:t>PE</w:t>
    </w:r>
    <w:r>
      <w:rPr>
        <w:rStyle w:val="HideTWBExt"/>
      </w:rPr>
      <w:t>&lt;NoPE&gt;</w:t>
    </w:r>
    <w:r>
      <w:t>773.076</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AM\1319740CS.docx</w:t>
    </w:r>
    <w:r>
      <w:rPr>
        <w:rStyle w:val="HideTWBExt"/>
      </w:rPr>
      <w:t>&lt;/PathFdR&gt;</w:t>
    </w:r>
    <w:r>
      <w:tab/>
    </w:r>
    <w:r>
      <w:tab/>
    </w:r>
    <w:r>
      <w:t>PE</w:t>
    </w:r>
    <w:r>
      <w:rPr>
        <w:rStyle w:val="HideTWBExt"/>
      </w:rPr>
      <w:t>&lt;NoPE&gt;</w:t>
    </w:r>
    <w:r>
      <w:t>773.076</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1627</Words>
  <Characters>9710</Characters>
  <Application>Microsoft Office Word</Application>
  <DocSecurity>0</DocSecurity>
  <Lines>1</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1319740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176391</vt:lpwstr>
  </property>
  <property fmtid="{D5CDD505-2E9C-101B-9397-08002B2CF9AE}" pid="7" name="dmxml.render.traceId">
    <vt:lpwstr>681b0ddb6696efe4a0123fc9848383c2</vt:lpwstr>
  </property>
  <property fmtid="{D5CDD505-2E9C-101B-9397-08002B2CF9AE}" pid="8" name="FooterPath">
    <vt:lpwstr>AM\1319740CS.docx</vt:lpwstr>
  </property>
  <property fmtid="{D5CDD505-2E9C-101B-9397-08002B2CF9AE}" pid="9" name="PE Number">
    <vt:lpwstr>773.076</vt:lpwstr>
  </property>
  <property fmtid="{D5CDD505-2E9C-101B-9397-08002B2CF9AE}" pid="10" name="UID">
    <vt:lpwstr>eu.europa.europarl-DIN1-2025-0000090184_02.00-cs-01.00_text-xml</vt:lpwstr>
  </property>
</Properties>
</file>