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{ECON}</w:t>
      </w:r>
      <w:r>
        <w:t>Økonomi- og Valutaudvalget</w:t>
      </w:r>
      <w:r>
        <w:rPr>
          <w:rStyle w:val="HideTWBExt"/>
        </w:rPr>
        <w:t>&lt;/Commission&gt;</w:t>
      </w:r>
    </w:p>
    <w:p>
      <w:pPr>
        <w:pStyle w:val="LineBottom"/>
      </w:pPr>
      <w:r>
        <w:t xml:space="preserve"> </w:t>
      </w:r>
    </w:p>
    <w:p>
      <w:pPr>
        <w:pStyle w:val="CoverReference"/>
      </w:pPr>
      <w:r>
        <w:rPr>
          <w:rStyle w:val="HideTWBExt"/>
        </w:rPr>
        <w:t>&lt;RefProc&gt;</w:t>
      </w:r>
      <w:r>
        <w:t>2025/0022</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{02/05/2025}</w:t>
      </w:r>
      <w:r>
        <w:t>2.5.2025</w:t>
      </w:r>
      <w:r>
        <w:rPr>
          <w:rStyle w:val="HideTWBExt"/>
        </w:rPr>
        <w:t>&lt;/Date&gt;</w:t>
      </w:r>
    </w:p>
    <w:p>
      <w:pPr>
        <w:pStyle w:val="CoverDocType"/>
      </w:pPr>
      <w:r>
        <w:rPr>
          <w:rStyle w:val="HideTWBExt"/>
        </w:rPr>
        <w:t>&lt;TypeAM&gt;</w:t>
      </w:r>
      <w:r>
        <w:t>ÆNDRINGSFORSLAG</w:t>
      </w:r>
      <w:r>
        <w:rPr>
          <w:rStyle w:val="HideTWBExt"/>
        </w:rPr>
        <w:t>&lt;/TypeAM&gt;</w:t>
      </w:r>
    </w:p>
    <w:p>
      <w:pPr>
        <w:pStyle w:val="CoverDocType24a"/>
      </w:pPr>
      <w:r>
        <w:rPr>
          <w:rStyle w:val="HideTWBExt"/>
        </w:rPr>
        <w:t>&lt;RangeAM&gt;</w:t>
      </w:r>
      <w:r>
        <w:t>1</w:t>
      </w:r>
      <w:r>
        <w:t xml:space="preserve"> - </w:t>
      </w:r>
      <w:r>
        <w:t>10</w:t>
      </w:r>
      <w:r>
        <w:rPr>
          <w:rStyle w:val="HideTWBExt"/>
        </w:rPr>
        <w:t>&lt;/RangeAM&gt;</w:t>
      </w:r>
    </w:p>
    <w:p>
      <w:pPr>
        <w:pStyle w:val="CoverBold"/>
      </w:pPr>
      <w:r>
        <w:rPr>
          <w:rStyle w:val="HideTWBExt"/>
        </w:rPr>
        <w:t>&lt;TitreType&gt;</w:t>
      </w:r>
      <w:r>
        <w:t>Udkast til betænkning</w:t>
      </w:r>
      <w:r>
        <w:rPr>
          <w:rStyle w:val="HideTWBExt"/>
        </w:rPr>
        <w:t>&lt;/TitreType&gt;</w:t>
      </w:r>
    </w:p>
    <w:p>
      <w:pPr>
        <w:pStyle w:val="CoverBold"/>
      </w:pPr>
      <w:r>
        <w:rPr>
          <w:rStyle w:val="HideTWBExt"/>
        </w:rPr>
        <w:t>&lt;Rapporteur&gt;</w:t>
      </w:r>
      <w:r>
        <w:t>Johan Van Overtveldt</w:t>
      </w:r>
      <w:r>
        <w:rPr>
          <w:rStyle w:val="HideTWBExt"/>
        </w:rPr>
        <w:t>&lt;/Rapporteur&gt;</w:t>
      </w:r>
    </w:p>
    <w:p>
      <w:pPr>
        <w:pStyle w:val="CoverNormal24a"/>
      </w:pPr>
      <w:r>
        <w:rPr>
          <w:rStyle w:val="HideTWBExt"/>
        </w:rPr>
        <w:t>&lt;DocRefPE&gt;</w:t>
      </w:r>
      <w:r>
        <w:t>(PE770.091v01-00)</w:t>
      </w:r>
      <w:r>
        <w:rPr>
          <w:rStyle w:val="HideTWBExt"/>
        </w:rPr>
        <w:t>&lt;/DocRefPE&gt;</w:t>
      </w:r>
    </w:p>
    <w:p>
      <w:pPr>
        <w:pStyle w:val="CoverNormal24a"/>
      </w:pPr>
      <w:r>
        <w:rPr>
          <w:rStyle w:val="HideTWBExt"/>
        </w:rPr>
        <w:t>&lt;Titre&gt;</w:t>
      </w:r>
      <w:r>
        <w:t>Ændring af forordning (EU) nr. 909/2014 for så vidt angår en kortere afviklingscyklus i Unionen</w:t>
      </w:r>
      <w:r>
        <w:rPr>
          <w:rStyle w:val="HideTWBExt"/>
        </w:rPr>
        <w:t>&lt;/Titre&gt;</w:t>
      </w:r>
    </w:p>
    <w:p>
      <w:pPr>
        <w:pStyle w:val="CoverNormal"/>
      </w:pPr>
      <w:r>
        <w:rPr>
          <w:rStyle w:val="HideTWBExt"/>
        </w:rPr>
        <w:t>&lt;DocAmend&gt;</w:t>
      </w:r>
      <w:r>
        <w:t>Forslag til forordning</w:t>
      </w:r>
      <w:r>
        <w:rPr>
          <w:rStyle w:val="HideTWBExt"/>
        </w:rPr>
        <w:t>&lt;/DocAmend&gt;</w:t>
      </w:r>
    </w:p>
    <w:p>
      <w:pPr>
        <w:pStyle w:val="CoverNormal24a"/>
      </w:pPr>
      <w:r>
        <w:rPr>
          <w:rStyle w:val="HideTWBExt"/>
        </w:rPr>
        <w:t>&lt;DocRef&gt;</w:t>
      </w:r>
      <w:r>
        <w:t>(COM(2025)0038 – 2025/0022(COD))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Ændringsforslag</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Fabio De Masi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Længere afviklingsperioder for transaktioner i værdipapirer øger risikoen for transaktionsparterne og reducerer køberes og sælgeres muligheder for at indgå andre transaktioner. Af disse grunde er mange tredjelandsjurisdiktioner overgået til, er i færd med at overgå til eller planlægger at overgå til en afviklingsperiode på én arbejdsdag efter handelen ("T+1"). Den globale overgang til kortere afviklingsperioder skaber imidlertid uoverensstemmelser mellem Unionens og de globale finansielle markeder. Disse uoverensstemmelser vil kun stige yderligere, når flere lande overgår til T+1-afvikling, samt øge omkostningerne som følge af sådanne uoverensstemmelser for Unionens markedsdeltagere.</w:t>
            </w:r>
          </w:p>
        </w:tc>
        <w:tc>
          <w:tcPr>
            <w:tcW w:w="4876" w:type="dxa"/>
            <w:tcBorders>
              <w:top w:val="nil"/>
              <w:left w:val="nil"/>
              <w:bottom w:val="nil"/>
              <w:right w:val="nil"/>
            </w:tcBorders>
          </w:tcPr>
          <w:p>
            <w:pPr>
              <w:pStyle w:val="Normal6a"/>
            </w:pPr>
            <w:r>
              <w:t>(2)</w:t>
            </w:r>
            <w:r>
              <w:tab/>
            </w:r>
            <w:r>
              <w:t>Længere afviklingsperioder for transaktioner i værdipapirer øger risikoen for transaktionsparterne og reducerer køberes og sælgeres muligheder for at indgå andre transaktioner.</w:t>
            </w:r>
            <w:r>
              <w:rPr>
                <w:b/>
                <w:i/>
              </w:rPr>
              <w:t> </w:t>
            </w:r>
            <w:r>
              <w:t xml:space="preserve"> Af disse grunde er mange tredjelandsjurisdiktioner overgået til, er i færd med at overgå til eller planlægger at overgå til en afviklingsperiode på én arbejdsdag efter handelen ("T+1"). Den globale overgang til kortere afviklingsperioder skaber imidlertid uoverensstemmelser mellem Unionens og de globale finansielle markeder. Disse uoverensstemmelser vil kun stige yderligere, når flere lande overgår til T+1-afvikling, samt øge omkostningerne som følge af sådanne uoverensstemmelser for Unionens markedsdeltagere. </w:t>
            </w:r>
            <w:r>
              <w:rPr>
                <w:b/>
                <w:i/>
              </w:rPr>
              <w:t>På nogle vigtige internationale markedspladser er afviklingscyklussen desuden allerede blevet yderligere afkortet til T+0, mens Den Europæiske Centralbanks infrastruktur for Target2-Securities endda fungerer i realtid.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2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En kortere afviklingscyklus kan føre til en mere kompliceret likviditetsstyring for handlende med en valutakomponent, da valutamarkederne fungerer med todages afvikling.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2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En kortere afviklingscyklus giver en kortere tidsfrist til at afhjælpe behandlingsfejl, herunder et kortere vindue til at fremskaffe likviditet fra værdipapirudlånsmarkedet til dækning af korte positioner, hvilket kan have særlig betydning for mindre likvide aktier og for short selling, der finder sted sent på handelsdagen.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3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Som markedet tilpasser sig den nye kortere afviklingsordning, kan der i første omgang imidlertid ske en stigning i forsinkede og mislykkede handler, hvilket indebærer en alvorlig likviditetsrisiko og vil øge omkostningerne betydeligt.</w:t>
            </w:r>
            <w:r>
              <w:t xml:space="preserve"> </w:t>
            </w:r>
            <w:r>
              <w:rPr>
                <w:b/>
                <w:i/>
              </w:rPr>
              <w:t>Dette kan igen føre til bøder i henhold til CSD-forordningen og store købsomkostninger pålagt af clearingcentralerne, som ville blive kompenseret af likviditetsudbyderne ved angivelse af højere priser, og dette ville være i strid med målet om at gøre de europæiske kapitalmarkeder mere konkurrencedygtige.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Det er derfor hensigtsmæssigt at indføre en målrettet ændring af forordning (EU) nr. 909/2014 for at afkorte den nuværende obligatoriske afviklingscyklus til én dag efter, at handelen har fundet sted. </w:t>
            </w:r>
            <w:r>
              <w:rPr>
                <w:b/>
                <w:i/>
              </w:rPr>
              <w:t>En sådan afkortning</w:t>
            </w:r>
            <w:r>
              <w:t xml:space="preserve"> af afviklingscyklussen vil ikke forhindre værdipapircentraler i frivilligt at afvikle transaktioner på samme dato som handelsdatoen, hvis det er teknologisk muligt.</w:t>
            </w:r>
          </w:p>
        </w:tc>
        <w:tc>
          <w:tcPr>
            <w:tcW w:w="4876" w:type="dxa"/>
            <w:tcBorders>
              <w:top w:val="nil"/>
              <w:left w:val="nil"/>
              <w:bottom w:val="nil"/>
              <w:right w:val="nil"/>
            </w:tcBorders>
          </w:tcPr>
          <w:p>
            <w:pPr>
              <w:pStyle w:val="Normal6a"/>
            </w:pPr>
            <w:r>
              <w:t>(4)</w:t>
            </w:r>
            <w:r>
              <w:tab/>
            </w:r>
            <w:r>
              <w:t>Det er derfor hensigtsmæssigt at indføre en målrettet ændring af forordning (EU) nr. 909/2014 for at afkorte den nuværende obligatoriske afviklingscyklus til én dag efter, at handelen har fundet sted. </w:t>
            </w:r>
            <w:r>
              <w:rPr>
                <w:b/>
                <w:i/>
              </w:rPr>
              <w:t>Denne obligatoriske afviklingscyklus bør ikke finde anvendelse på værdipapirfinansieringstransaktioner som defineret i artikel 3, nr. 11, i forordning (EU) 2015/2365 i betragtning af den ikkestandardiserede karakter af denne specifikke type transaktioner. Afkortningen</w:t>
            </w:r>
            <w:r>
              <w:t> af afviklingscyklussen vil ikke forhindre værdipapircentraler i frivilligt at afvikle transaktioner på samme dato som handelsdatoen, hvis det er teknologisk muligt.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4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Værdipapirfinansieringstransaktioner gør det muligt for markedsdeltagerne at forvalte deres likviditets- og finansieringsbehov på en fleksibel måde.</w:t>
            </w:r>
            <w:r>
              <w:t xml:space="preserve"> </w:t>
            </w:r>
            <w:r>
              <w:rPr>
                <w:b/>
                <w:i/>
              </w:rPr>
              <w:t>Markedstendenserne tyder på en stigende anvendelse af denne type transaktioner på markedspladserne.</w:t>
            </w:r>
            <w:r>
              <w:t xml:space="preserve"> </w:t>
            </w:r>
            <w:r>
              <w:rPr>
                <w:b/>
                <w:i/>
              </w:rPr>
              <w:t>I betragtning af den ikkestandardiserede karakter af denne specifikke type transaktioner, og navnlig de ikkestandardiserede afviklingsperioder, som det kan være nødvendigt, at parterne i sådanne transaktioner vedtager for at nå deres mål, samt for at undgå at afskrække fra, at de gennemføres på markedspladserne, bør disse transaktioner undtages fra kravet om afviklingscyklus i T+1.</w:t>
            </w:r>
            <w:r>
              <w:t xml:space="preserve"> </w:t>
            </w:r>
            <w:r>
              <w:rPr>
                <w:b/>
                <w:i/>
              </w:rPr>
              <w:t>For så vidt angår buy/sell-back-forretninger og sell/buy-back-forretninger bør en undtagelse, for at undgå enhver risiko for omgåelse af kravet om afviklingscyklus i T+1, imidlertid kun finde anvendelse, hvis disse transaktioner dokumenteres som enkeltstående transaktioner, der består af to indbyrdes forbundne transaktioner.</w:t>
            </w:r>
            <w:r>
              <w:t xml:space="preserve"> </w:t>
            </w:r>
            <w:r>
              <w:rPr>
                <w:b/>
                <w:i/>
              </w:rPr>
              <w:t>Udokumenterede buy/sell-back- og sell/buy-back-forretninger bør behandles som almindelige værdipapirtransaktioner og bør derfor være omfattet af kravet om afviklingscyklus i T+1.</w:t>
            </w:r>
            <w:r>
              <w:t xml:space="preserve"> </w:t>
            </w:r>
            <w:r>
              <w:rPr>
                <w:b/>
                <w:i/>
              </w:rPr>
              <w:t>Desuden er margenlån allerede udelukket fra kravets anvendelsesområde, da de ikke omfatter transaktioner i værdipapirer og derfor falder uden for anvendelsesområdet for forordning (EU) nr. 909/2014.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4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Forordning (EU) nr. 909/2014 indeholder bestemmelser om forskellige foranstaltninger til afhjælpning af afviklingsfejl, herunder bøder, der pålægges misligholdende deltagere.</w:t>
            </w:r>
            <w:r>
              <w:t xml:space="preserve"> </w:t>
            </w:r>
            <w:r>
              <w:rPr>
                <w:b/>
                <w:i/>
              </w:rPr>
              <w:t>Beregningen af disse bøder fastsættes ved hjælp af parametrene i Kommissionens delegerede forordning (EU) 2017/389</w:t>
            </w:r>
            <w:r>
              <w:rPr>
                <w:b/>
                <w:i/>
                <w:vertAlign w:val="superscript"/>
              </w:rPr>
              <w:t>1a</w:t>
            </w:r>
            <w:r>
              <w:rPr>
                <w:b/>
                <w:i/>
              </w:rPr>
              <w:t>.</w:t>
            </w:r>
            <w:r>
              <w:t xml:space="preserve"> </w:t>
            </w:r>
            <w:r>
              <w:rPr>
                <w:b/>
                <w:i/>
              </w:rPr>
              <w:t>Kommissionen forventes at følge markedsudviklingen og industriens parathed til at overholde T+1-afvikling og i overensstemmelse hermed overveje, om der er en betydelig risiko for, at overgangen fra en afviklingscyklus i T+2- til T+1 kan føre til en væsentlig stigning i antallet af afviklingsfejl.</w:t>
            </w:r>
            <w:r>
              <w:t xml:space="preserve"> </w:t>
            </w:r>
            <w:r>
              <w:rPr>
                <w:b/>
                <w:i/>
              </w:rPr>
              <w:t>Hvis der konstateres en sådan risiko, kan Kommissionen om nødvendigt overveje midlertidigt at tilpasse delegeret forordning (EU) 2017/389 i overensstemmelse hermed eller træffe andre passende foranstaltninger inden for rammerne af de beføjelser, der er fastsat i forordning (EU) nr. 909/2014.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Kommissionens delegerede forordning (EU) 2017/389 af 11. november 2016 om supplerende regler til Europa-Parlamentets og Rådets forordning (EU) nr. 909/2014 for så vidt angår parametrene for beregning af bøder for afviklingsfejl samt CSD'ers aktiviteter i værtslande (EUT L 65, 10.3.2017, s.).</w:t>
            </w:r>
            <w:r>
              <w:t xml:space="preserve"> </w:t>
            </w:r>
            <w:r>
              <w:rPr>
                <w:b/>
                <w:i/>
              </w:rPr>
              <w:t>1, ELI: http://data.europa.eu/eli/reg_del/2017/389/oj).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Fabio De Masi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Betragtning 7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Kommissionen bør yderligere undersøge muligheden for i fremtiden at afkorte afviklingscyklussen til T+0.</w:t>
            </w:r>
            <w:r>
              <w:t xml:space="preserve"> </w:t>
            </w:r>
            <w:r>
              <w:rPr>
                <w:b/>
                <w:i/>
              </w:rPr>
              <w:t>Den bør derfor revidere denne forordning senest 36 måneder efter dens ikrafttræden for at sikre, at forordningen og markedsinfrastrukturerne i EU er i overensstemmelse med det stigende omfang af og tempo på de globale finansielle markeder og bedste praksis i andre internationale reguleringssystemer.</w:t>
            </w:r>
            <w:r>
              <w:t xml:space="preserve"> </w:t>
            </w:r>
            <w:r>
              <w:rPr>
                <w:b/>
                <w:i/>
              </w:rPr>
              <w:t>En afviklingscyklus på T+0 er allerede teknisk mulig og kan lettes yderligere af innovationer såsom distributed ledger-teknologien, samtidig med at datasikkerheden og gennemsigtigheden sikres.</w:t>
            </w:r>
            <w:r>
              <w:t xml:space="preserve"> </w:t>
            </w:r>
            <w:r>
              <w:rPr>
                <w:b/>
                <w:i/>
              </w:rPr>
              <w:t>En yderligere afkortning af afviklingscyklussen ville mindske risikoen for ulovlige og hemmelige handelsordninger såsom dividend stripping ("Cum-Ex").</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1 – afsnit 1</w:t>
      </w:r>
      <w:r>
        <w:rPr>
          <w:rStyle w:val="HideTWBExt"/>
        </w:rPr>
        <w:t>&lt;/Article&gt;</w:t>
      </w:r>
    </w:p>
    <w:p>
      <w:r>
        <w:rPr>
          <w:rStyle w:val="HideTWBExt"/>
        </w:rPr>
        <w:t>&lt;DocAmend2&gt;</w:t>
      </w:r>
      <w:r>
        <w:t>Forordning (EU) nr. 909/2014</w:t>
      </w:r>
      <w:r>
        <w:rPr>
          <w:rStyle w:val="HideTWBExt"/>
        </w:rPr>
        <w:t>&lt;/DocAmend2&gt;</w:t>
      </w:r>
    </w:p>
    <w:p>
      <w:r>
        <w:rPr>
          <w:rStyle w:val="HideTWBExt"/>
        </w:rPr>
        <w:t>&lt;Article2&gt;</w:t>
      </w:r>
      <w:r>
        <w:t>Artikel 5 – stk.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For så vidt angår transaktioner med værdipapirer, der er omhandlet i stk. 1, som gennemføres på markedspladser, er den planlagte afviklingsdato senest den første forretningsdag efter, at handelen har fundet sted. Dette krav gælder ikke </w:t>
            </w:r>
            <w:r>
              <w:rPr>
                <w:b/>
                <w:i/>
              </w:rPr>
              <w:t>transaktioner, som forhandles privat, men som gennemføres på markedspladser, transaktioner, som gennemføres bilateralt, men som indberettes til markedspladser, eller den første transaktion, hvor de pågældende værdipapirer er genstand for første registrering i elektronisk form i medfør af artikel 3, stk. 2.</w:t>
            </w:r>
          </w:p>
        </w:tc>
        <w:tc>
          <w:tcPr>
            <w:tcW w:w="4876" w:type="dxa"/>
            <w:tcBorders>
              <w:top w:val="nil"/>
              <w:left w:val="nil"/>
              <w:bottom w:val="nil"/>
              <w:right w:val="nil"/>
            </w:tcBorders>
          </w:tcPr>
          <w:p>
            <w:pPr>
              <w:pStyle w:val="Normal6a"/>
            </w:pPr>
            <w:r>
              <w:t>2.</w:t>
            </w:r>
            <w:r>
              <w:tab/>
            </w:r>
            <w:r>
              <w:t xml:space="preserve">For så vidt angår transaktioner med værdipapirer, der er omhandlet i stk. 1, som gennemføres på markedspladser, er den planlagte afviklingsdato senest den første forretningsdag efter, at handelen har fundet sted. Dette krav gælder ikke </w:t>
            </w:r>
            <w:r>
              <w:rPr>
                <w:b/>
                <w:i/>
              </w:rPr>
              <w:t>nogen af følgende: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transaktioner, som forhandles privat, men som gennemføres på markedspladser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transaktioner, som gennemføres bilateralt, men som indberettes til markedspladser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den første transaktion, hvor de pågældende værdipapirer er genstand for første registrering i elektronisk form i medfør af artikel 3, stk. 2</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værdipapirfinansieringstransaktioner som defineret i artikel 3, nr. 11), i Europa-Parlamentets og Rådets forordning (EU) 2015/2365</w:t>
            </w:r>
            <w:r>
              <w:rPr>
                <w:b/>
                <w:i/>
                <w:vertAlign w:val="superscript"/>
              </w:rPr>
              <w:t>1b</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Europa-Parlamentets og Rådets forordning (EU) 2015/2365 af 25. november 2015 om gennemsigtighed af værdipapirfinansieringstransaktioner og vedrørende genanvendelse samt om ændring af forordning (EU) nr. 648/2012 (EUT L 337 af 23.12.2015, s.</w:t>
            </w:r>
            <w:r>
              <w:t xml:space="preserve"> </w:t>
            </w:r>
            <w:r>
              <w:rPr>
                <w:b/>
                <w:i/>
              </w:rPr>
              <w:t>1, ELI: http://data.europa.eu/eli/reg/2015/2365/oj).</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Begrundelse</w:t>
      </w:r>
      <w:r>
        <w:rPr>
          <w:rStyle w:val="HideTWBExt"/>
        </w:rPr>
        <w:t>&lt;/TitreJust&gt;</w:t>
      </w:r>
    </w:p>
    <w:p>
      <w:pPr>
        <w:pStyle w:val="AmJustText"/>
      </w:pPr>
      <w:r>
        <w:t>Fritagelse af værdipapirfinansieringstransaktioner fra T+1-kravet.</w:t>
      </w:r>
    </w:p>
    <w:p>
      <w:r>
        <w:rPr>
          <w:rStyle w:val="HideTWBExt"/>
        </w:rPr>
        <w:t>&lt;/Amend&gt;</w:t>
      </w:r>
    </w:p>
    <w:p>
      <w:pPr>
        <w:pStyle w:val="AmNumberTabs"/>
      </w:pPr>
      <w:r>
        <w:rPr>
          <w:rStyle w:val="HideTWBExt"/>
        </w:rPr>
        <w:t>&lt;Amend&gt;</w:t>
      </w:r>
      <w:r>
        <w:t>Ændringsforslag</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forordning</w:t>
      </w:r>
      <w:r>
        <w:rPr>
          <w:rStyle w:val="HideTWBExt"/>
        </w:rPr>
        <w:t>&lt;/DocAmend&gt;</w:t>
      </w:r>
    </w:p>
    <w:p>
      <w:pPr>
        <w:pStyle w:val="NormalBold"/>
      </w:pPr>
      <w:r>
        <w:rPr>
          <w:rStyle w:val="HideTWBExt"/>
        </w:rPr>
        <w:t>&lt;Article&gt;</w:t>
      </w:r>
      <w:r>
        <w:t>Artikel 1 – afsnit 1</w:t>
      </w:r>
      <w:r>
        <w:rPr>
          <w:rStyle w:val="HideTWBExt"/>
        </w:rPr>
        <w:t>&lt;/Article&gt;</w:t>
      </w:r>
    </w:p>
    <w:p>
      <w:r>
        <w:rPr>
          <w:rStyle w:val="HideTWBExt"/>
        </w:rPr>
        <w:t>&lt;DocAmend2&gt;</w:t>
      </w:r>
      <w:r>
        <w:t>Forordning (EU) nr. 909/2014</w:t>
      </w:r>
      <w:r>
        <w:rPr>
          <w:rStyle w:val="HideTWBExt"/>
        </w:rPr>
        <w:t>&lt;/DocAmend2&gt;</w:t>
      </w:r>
    </w:p>
    <w:p>
      <w:r>
        <w:rPr>
          <w:rStyle w:val="HideTWBExt"/>
        </w:rPr>
        <w:t>&lt;Article2&gt;</w:t>
      </w:r>
      <w:r>
        <w:t>Artikel 5 – stk.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Kommissionens forslag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For så vidt angår transaktioner med værdipapirer, der er omhandlet i stk. 1, som gennemføres på markedspladser, er den planlagte afviklingsdato senest den første forretningsdag efter, at handelen har fundet sted. Dette krav gælder ikke transaktioner, som forhandles privat, men som gennemføres på markedspladser, transaktioner, som gennemføres bilateralt, men som indberettes til markedspladser, eller den første transaktion, hvor de pågældende værdipapirer er genstand for første registrering i elektronisk form i medfør af artikel 3, stk. 2.</w:t>
            </w:r>
          </w:p>
        </w:tc>
        <w:tc>
          <w:tcPr>
            <w:tcW w:w="4876" w:type="dxa"/>
            <w:tcBorders>
              <w:top w:val="nil"/>
              <w:left w:val="nil"/>
              <w:bottom w:val="nil"/>
              <w:right w:val="nil"/>
            </w:tcBorders>
          </w:tcPr>
          <w:p>
            <w:pPr>
              <w:pStyle w:val="Normal6a"/>
            </w:pPr>
            <w:r>
              <w:t>2.</w:t>
            </w:r>
            <w:r>
              <w:tab/>
            </w:r>
            <w:r>
              <w:t xml:space="preserve">For så vidt angår transaktioner med værdipapirer, der er omhandlet i stk. 1, som gennemføres på markedspladser, er den planlagte afviklingsdato senest den første forretningsdag efter, at handelen har fundet sted. Dette krav gælder ikke </w:t>
            </w:r>
            <w:r>
              <w:rPr>
                <w:b/>
                <w:i/>
              </w:rPr>
              <w:t>værdipapirfinansieringstransaktioner som defineret i artikel 3, nr. 11), i forordning (EU) 2015/2365</w:t>
            </w:r>
            <w:r>
              <w:rPr>
                <w:b/>
                <w:i/>
                <w:vertAlign w:val="superscript"/>
              </w:rPr>
              <w:t>1a</w:t>
            </w:r>
            <w:r>
              <w:rPr>
                <w:b/>
                <w:i/>
              </w:rPr>
              <w:t>,</w:t>
            </w:r>
            <w:r>
              <w:t xml:space="preserve"> transaktioner, som forhandles privat, men som gennemføres på markedspladser, transaktioner, som gennemføres bilateralt, men som indberettes til markedspladser, eller den første transaktion, hvor de pågældende værdipapirer er genstand for første registrering i elektronisk form i medfør af artikel 3, stk. 2.</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Europa-Parlamentets og Rådets forordning (EU) 2015/2365 af 25. november 2015 om gennemsigtighed af værdipapirfinansieringstransaktioner og vedrørende genanvendelse samt om ændring af forordning (EU) nr. 648/2012 (EUT L 337 af 23.12.2015, s.</w:t>
            </w:r>
            <w:r>
              <w:t xml:space="preserve"> </w:t>
            </w:r>
            <w:r>
              <w:rPr>
                <w:b/>
                <w:i/>
              </w:rPr>
              <w:t>1, ELI: http://data.europa.eu/eli/reg/2015/2365/oj).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773.076</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10</w:t>
    </w:r>
    <w:r>
      <w:fldChar w:fldCharType="end"/>
    </w:r>
    <w:r>
      <w:t>/</w:t>
    </w:r>
    <w:r>
      <w:fldChar w:fldCharType="begin"/>
    </w:r>
    <w:r>
      <w:instrText xml:space="preserve"> NUMPAGES </w:instrText>
    </w:r>
    <w:r>
      <w:fldChar w:fldCharType="separate"/>
    </w:r>
    <w:r>
      <w:t>10</w:t>
    </w:r>
    <w:r>
      <w:fldChar w:fldCharType="end"/>
    </w:r>
    <w:r>
      <w:tab/>
    </w:r>
    <w:r>
      <w:rPr>
        <w:rStyle w:val="HideTWBExt"/>
      </w:rPr>
      <w:t>&lt;PathFdR&gt;</w:t>
    </w:r>
    <w:r>
      <w:t>AM\1319740DA.docx</w:t>
    </w:r>
    <w:r>
      <w:rPr>
        <w:rStyle w:val="HideTWBExt"/>
      </w:rPr>
      <w:t>&lt;/PathFdR&gt;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AM\1319740DA.docx</w:t>
    </w:r>
    <w:r>
      <w:rPr>
        <w:rStyle w:val="HideTWBExt"/>
      </w:rPr>
      <w:t>&lt;/PathFdR&gt;</w:t>
    </w:r>
    <w:r>
      <w:tab/>
    </w:r>
    <w:r>
      <w:fldChar w:fldCharType="begin"/>
    </w:r>
    <w:r>
      <w:instrText xml:space="preserve"> PAGE </w:instrText>
    </w:r>
    <w:r>
      <w:fldChar w:fldCharType="separate"/>
    </w:r>
    <w:r>
      <w:t>9</w:t>
    </w:r>
    <w:r>
      <w:fldChar w:fldCharType="end"/>
    </w:r>
    <w:r>
      <w:t>/</w:t>
    </w:r>
    <w:r>
      <w:fldChar w:fldCharType="begin"/>
    </w:r>
    <w:r>
      <w:instrText xml:space="preserve"> NUMPAGES </w:instrText>
    </w:r>
    <w:r>
      <w:fldChar w:fldCharType="separate"/>
    </w:r>
    <w:r>
      <w:t>10</w:t>
    </w:r>
    <w:r>
      <w:fldChar w:fldCharType="end"/>
    </w:r>
    <w:r>
      <w:tab/>
    </w:r>
    <w:r>
      <w:t>PE</w:t>
    </w:r>
    <w:r>
      <w:rPr>
        <w:rStyle w:val="HideTWBExt"/>
      </w:rPr>
      <w:t>&lt;NoPE&gt;</w:t>
    </w:r>
    <w:r>
      <w:t>773.076</w:t>
    </w:r>
    <w:r>
      <w:rPr>
        <w:rStyle w:val="HideTWBExt"/>
      </w:rPr>
      <w:t>&lt;/NoPE&gt;</w:t>
    </w:r>
    <w:r>
      <w:rPr>
        <w:rStyle w:val="HideTWBExt"/>
      </w:rPr>
      <w:t>&lt;Version&gt;</w:t>
    </w:r>
    <w:r>
      <w:t>v01-00</w:t>
    </w:r>
    <w:r>
      <w:rPr>
        <w:rStyle w:val="HideTWBExt"/>
      </w:rPr>
      <w:t>&lt;/Version&gt;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AM\1319740DA.docx</w:t>
    </w:r>
    <w:r>
      <w:rPr>
        <w:rStyle w:val="HideTWBExt"/>
      </w:rPr>
      <w:t>&lt;/PathFdR&gt;</w:t>
    </w:r>
    <w:r>
      <w:tab/>
    </w:r>
    <w:r>
      <w:tab/>
    </w:r>
    <w:r>
      <w:t>PE</w:t>
    </w:r>
    <w:r>
      <w:rPr>
        <w:rStyle w:val="HideTWBExt"/>
      </w:rPr>
      <w:t>&lt;NoPE&gt;</w:t>
    </w:r>
    <w:r>
      <w:t>773.076</w:t>
    </w:r>
    <w:r>
      <w:rPr>
        <w:rStyle w:val="HideTWBExt"/>
      </w:rPr>
      <w:t>&lt;/NoPE&gt;</w:t>
    </w:r>
    <w:r>
      <w:rPr>
        <w:rStyle w:val="HideTWBExt"/>
      </w:rPr>
      <w:t>&lt;Version&gt;</w:t>
    </w:r>
    <w:r>
      <w:t>v01-00</w:t>
    </w:r>
    <w:r>
      <w:rPr>
        <w:rStyle w:val="HideTWBExt"/>
      </w:rPr>
      <w:t>&lt;/Version&gt;</w:t>
    </w:r>
  </w:p>
  <w:p>
    <w:pPr>
      <w:pStyle w:val="EPFooter2"/>
    </w:pPr>
    <w:r>
      <w:t>DA</w:t>
    </w:r>
    <w:r>
      <w:tab/>
    </w:r>
    <w:r>
      <w:rPr>
        <w:rStyle w:val="EPFooter2Motto"/>
      </w:rPr>
      <w:t>Forenet i mangfoldighed</w:t>
    </w:r>
    <w:r>
      <w:tab/>
    </w:r>
    <w:r>
      <w:t>DA</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1550</Words>
  <Characters>10280</Characters>
  <Application>Microsoft Office Word</Application>
  <DocSecurity>0</DocSecurity>
  <Lines>1</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1319740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176027</vt:lpwstr>
  </property>
  <property fmtid="{D5CDD505-2E9C-101B-9397-08002B2CF9AE}" pid="7" name="dmxml.render.traceId">
    <vt:lpwstr>681a0e623f19f2ab17a1ba68ac471562</vt:lpwstr>
  </property>
  <property fmtid="{D5CDD505-2E9C-101B-9397-08002B2CF9AE}" pid="8" name="FooterPath">
    <vt:lpwstr>AM\1319740DA.docx</vt:lpwstr>
  </property>
  <property fmtid="{D5CDD505-2E9C-101B-9397-08002B2CF9AE}" pid="9" name="PE Number">
    <vt:lpwstr>773.076</vt:lpwstr>
  </property>
  <property fmtid="{D5CDD505-2E9C-101B-9397-08002B2CF9AE}" pid="10" name="UID">
    <vt:lpwstr>eu.europa.europarl-DIN1-2025-0000090184_02.00-da-01.00_text-xml</vt:lpwstr>
  </property>
</Properties>
</file>