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Ekonomikos ir pinigų politikos komitetas</w:t>
      </w:r>
      <w:r>
        <w:rPr>
          <w:rStyle w:val="HideTWBExt"/>
        </w:rPr>
        <w:t>&lt;/Commission&gt;</w:t>
      </w:r>
    </w:p>
    <w:p>
      <w:pPr>
        <w:pStyle w:val="LineBottom"/>
      </w:pPr>
      <w:r>
        <w:t xml:space="preserve"> </w:t>
      </w:r>
    </w:p>
    <w:p>
      <w:pPr>
        <w:pStyle w:val="CoverReference"/>
      </w:pPr>
      <w:r>
        <w:rPr>
          <w:rStyle w:val="HideTWBExt"/>
        </w:rPr>
        <w:t>&lt;RefProc&gt;</w:t>
      </w:r>
      <w:r>
        <w:t>2025/0022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{02/05/2025}</w:t>
      </w:r>
      <w:r>
        <w:t>2.5.2025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10</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Johan Van Overtveldt</w:t>
      </w:r>
      <w:r>
        <w:rPr>
          <w:rStyle w:val="HideTWBExt"/>
        </w:rPr>
        <w:t>&lt;/Rapporteur&gt;</w:t>
      </w:r>
    </w:p>
    <w:p>
      <w:pPr>
        <w:pStyle w:val="CoverNormal24a"/>
      </w:pPr>
      <w:r>
        <w:rPr>
          <w:rStyle w:val="HideTWBExt"/>
        </w:rPr>
        <w:t>&lt;DocRefPE&gt;</w:t>
      </w:r>
      <w:r>
        <w:t>(PE770.091v01-00)</w:t>
      </w:r>
      <w:r>
        <w:rPr>
          <w:rStyle w:val="HideTWBExt"/>
        </w:rPr>
        <w:t>&lt;/DocRefPE&gt;</w:t>
      </w:r>
    </w:p>
    <w:p>
      <w:pPr>
        <w:pStyle w:val="CoverNormal24a"/>
      </w:pPr>
      <w:r>
        <w:rPr>
          <w:rStyle w:val="HideTWBExt"/>
        </w:rPr>
        <w:t>&lt;Titre&gt;</w:t>
      </w:r>
      <w:r>
        <w:t>Reglamento (ES) Nr. 909/2014 dalinis keitimas, kiek tai susiję su trumpesniu atsiskaitymo ciklu Sąjungoje</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(COM(2025)0038 – 2025/0022(COD))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ilgesni atsiskaitymo už perleidžiamųjų vertybinių popierių sandorius laikotarpiai didina sandorio šalių riziką ir mažina pirkėjų bei pardavėjų galimybes sudaryti kitus sandorius. Dėl šių priežasčių daugelis trečiosios valstybės jurisdikciją turinčių subjektų perėjo, pereina arba planuoja pereiti prie atsiskaitymo laikotarpio, kuris yra viena darbo diena po sandorio sudarymo (T+1). Tačiau visuotinis perėjimas prie trumpesnių atsiskaitymo laikotarpių lemia nesutapimus tarp Sąjungos ir pasaulinių finansų rinkų. Šių nesutapimų dar daugės, kai daugiau šalių pereis prie T+1 atsiskaitymo ciklo, o dėl tokių nesutapimų išaugs Sąjungos rinkos dalyvių išlaidos;</w:t>
            </w:r>
          </w:p>
        </w:tc>
        <w:tc>
          <w:tcPr>
            <w:tcW w:w="4876" w:type="dxa"/>
            <w:tcBorders>
              <w:top w:val="nil"/>
              <w:left w:val="nil"/>
              <w:bottom w:val="nil"/>
              <w:right w:val="nil"/>
            </w:tcBorders>
          </w:tcPr>
          <w:p>
            <w:pPr>
              <w:pStyle w:val="Normal6a"/>
            </w:pPr>
            <w:r>
              <w:t>(2)</w:t>
            </w:r>
            <w:r>
              <w:tab/>
            </w:r>
            <w:r>
              <w:t>ilgesni atsiskaitymo už perleidžiamųjų vertybinių popierių sandorius laikotarpiai didina sandorio šalių riziką ir mažina pirkėjų bei pardavėjų galimybes sudaryti kitus sandorius. Dėl šių priežasčių daugelis trečiosios valstybės jurisdikciją turinčių subjektų perėjo, pereina arba planuoja pereiti prie atsiskaitymo laikotarpio, kuris yra viena darbo diena po sandorio sudarymo (T+1). Tačiau visuotinis perėjimas prie trumpesnių atsiskaitymo laikotarpių lemia nesutapimus tarp Sąjungos ir pasaulinių finansų rinkų. Šių nesutapimų dar daugės, kai daugiau šalių pereis prie T+1 atsiskaitymo ciklo, o dėl tokių nesutapimų išaugs Sąjungos rinkos dalyvių išlaidos</w:t>
            </w:r>
            <w:r>
              <w:rPr>
                <w:b/>
                <w:i/>
              </w:rPr>
              <w:t>.</w:t>
            </w:r>
            <w:r>
              <w:t xml:space="preserve"> </w:t>
            </w:r>
            <w:r>
              <w:rPr>
                <w:b/>
                <w:i/>
              </w:rPr>
              <w:t>Be to, kai kuriose svarbiose tarptautinėse rinkose atsiskaitymo ciklas jau dar labiau sutrumpintas iki T+0, o Europos Centrinio Banko TARGET2-Securities infrastruktūra netgi veikia realiuoju laiku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trumpesni atsiskaitymo ciklai galėtų lemti sudėtingesnį grynųjų pinigų valdymą prekiautojams, turintiems užsienio valiutos keitimo komponentą, nes valiutos rinkos veikia dviejų dienų atsiskaitymo pagrindu;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trumpesni atsiskaitymo ciklai sutrumpina laikotarpį, kurio reikia apdorojimo klaidoms ištaisyti, įskaitant trumpesnį laikotarpį likvidumui vertybinių popierių skolinimo rinkoje gauti, kad būtų padengtos trumposioms pozicijos, o tai galėtų ypač paveikti mažiau likvidžias akcijas ir skolintų vertybinių popierių pardavimą, kuris vyksta prekybos dienos pabaigoje;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tačiau rinkai prisitaikant prie naujos trumpesnės atsiskaitymo tvarkos, gali iš pradžių padidėti vėluojančių ir neįvykusių sandorių skaičius, o tai kelia didelę likvidumo riziką ir gerokai padidintų išlaidas.</w:t>
            </w:r>
            <w:r>
              <w:t xml:space="preserve"> </w:t>
            </w:r>
            <w:r>
              <w:rPr>
                <w:b/>
                <w:i/>
              </w:rPr>
              <w:t>Tai savo ruožtu galėtų lemti reguliavimo baudas pagal CVPDR ir tarpuskaitos namų taikomas baudžiamąsias supirkimo išlaidas, kurias kompensuotų likvidumo teikėjai, nustatydami didesnes kainas, o tai prieštarautų tikslui didinti Europos kapitalo rinkų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todėl tikslinga atitinkamai iš dalies pakeisti Reglamentą (ES) Nr. 909/2014, kad dabartinis privalomo atsiskaitymo ciklas būtų sutrumpintas iki vienos dienos po sandorio sudarymo. </w:t>
            </w:r>
            <w:r>
              <w:rPr>
                <w:b/>
                <w:i/>
              </w:rPr>
              <w:t>Toks</w:t>
            </w:r>
            <w:r>
              <w:t xml:space="preserve"> atsiskaitymo ciklo sutrumpinimas neužkirstų kelio centriniams vertybinių popierių depozitoriumams savanoriškai atsiskaityti už sandorius tą pačią dieną kaip ir sandorio sudarymo diena, jei tai technologiškai </w:t>
            </w:r>
            <w:r>
              <w:rPr>
                <w:b/>
                <w:i/>
              </w:rPr>
              <w:t>įmanoma</w:t>
            </w:r>
            <w:r>
              <w:t>;</w:t>
            </w:r>
          </w:p>
        </w:tc>
        <w:tc>
          <w:tcPr>
            <w:tcW w:w="4876" w:type="dxa"/>
            <w:tcBorders>
              <w:top w:val="nil"/>
              <w:left w:val="nil"/>
              <w:bottom w:val="nil"/>
              <w:right w:val="nil"/>
            </w:tcBorders>
          </w:tcPr>
          <w:p>
            <w:pPr>
              <w:pStyle w:val="Normal6a"/>
            </w:pPr>
            <w:r>
              <w:t>(4)</w:t>
            </w:r>
            <w:r>
              <w:tab/>
            </w:r>
            <w:r>
              <w:t xml:space="preserve">todėl tikslinga atitinkamai iš dalies pakeisti Reglamentą (ES) Nr. 909/2014, kad dabartinis privalomo atsiskaitymo ciklas būtų sutrumpintas iki vienos dienos po sandorio sudarymo. </w:t>
            </w:r>
            <w:r>
              <w:rPr>
                <w:b/>
                <w:i/>
              </w:rPr>
              <w:t>Tas privalomas atsiskaitymo ciklas neturėtų būti taikomas vertybinių popierių įsigijimo finansavimo sandoriams, kaip apibrėžta Reglamento (ES) 2015/2365 3 straipsnio 11 punkte, atsižvelgiant į nestandartizuotą šios konkrečios rūšies sandorių pobūdį.</w:t>
            </w:r>
            <w:r>
              <w:t xml:space="preserve"> Atsiskaitymo ciklo sutrumpinimas neužkirstų kelio centriniams vertybinių popierių depozitoriumams savanoriškai atsiskaityti už sandorius tą pačią dieną kaip ir sandorio sudarymo diena, jei tai technologiškai </w:t>
            </w:r>
            <w:r>
              <w:rPr>
                <w:b/>
                <w:i/>
              </w:rPr>
              <w:t>įgyvendinama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vertybinių popierių įsigijimo finansavimo sandoriai leidžia rinkos dalyviams lanksčiai valdyti savo likvidumo ir finansavimo poreikius.</w:t>
            </w:r>
            <w:r>
              <w:t xml:space="preserve"> </w:t>
            </w:r>
            <w:r>
              <w:rPr>
                <w:b/>
                <w:i/>
              </w:rPr>
              <w:t>Rinkos tendencijos rodo, kad tokios rūšies sandoriai prekybos vietose vis dažniau naudojami.</w:t>
            </w:r>
            <w:r>
              <w:t xml:space="preserve"> </w:t>
            </w:r>
            <w:r>
              <w:rPr>
                <w:b/>
                <w:i/>
              </w:rPr>
              <w:t>Atsižvelgiant į nestandartizuotą šios konkrečios rūšies sandorių pobūdį ir visų pirma į nestandartizuotus atsiskaitymo laikotarpius, dėl kurių tokių sandorių šalims gali reikėti susitarti, kad būtų pasiekti jų tikslai ir nebūtų atgrasoma nuo jų vykdymo prekybos vietose, šiems sandoriams T+1 atsiskaitymo ciklo reikalavimas neturėtų būti taikomas.</w:t>
            </w:r>
            <w:r>
              <w:t xml:space="preserve"> </w:t>
            </w:r>
            <w:r>
              <w:rPr>
                <w:b/>
                <w:i/>
              </w:rPr>
              <w:t>Tačiau, kalbant apie pirkimo siekiant parduoti atgal sandorius ir pardavimo siekiant atpirkti sandorius, siekiant išvengti rizikos, kad T+1 atsiskaitymo ciklo reikalavimas bus apeinamas, išimtis turėtų būti taikoma tik tuo atveju, kai tie sandoriai dokumentuojami kaip atskiros operacijos, kurias sudaro du susiję sandoriai.</w:t>
            </w:r>
            <w:r>
              <w:t xml:space="preserve"> </w:t>
            </w:r>
            <w:r>
              <w:rPr>
                <w:b/>
                <w:i/>
              </w:rPr>
              <w:t>Nedokumentuoti pirkimo siekiant parduoti atgal sandoriai ir pardavimo siekiant atpirkti sandoriai turėtų būti laikomi įprastiniais vertybinių popierių sandoriais, todėl jiems turėtų būti taikomas T+1 atsiskaitymo ciklo reikalavimas.</w:t>
            </w:r>
            <w:r>
              <w:t xml:space="preserve"> </w:t>
            </w:r>
            <w:r>
              <w:rPr>
                <w:b/>
                <w:i/>
              </w:rPr>
              <w:t>Be to, garantinės įmokos skolinimo sandoriams šis reikalavimas jau netaikomas, nes jie neapima perleidžiamųjų vertybinių popierių sandorių ir todėl nepatenka į Reglamento (ES) Nr. 909/2014 taikymo sritį;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Reglamente (ES) Nr. 909/2014 numatytos įvairios neatsiskaitymo problemos sprendimo priemonės, įskaitant neatsiskaitantiems dalyviams skirtas pinigines baudas.</w:t>
            </w:r>
            <w:r>
              <w:t xml:space="preserve"> </w:t>
            </w:r>
            <w:r>
              <w:rPr>
                <w:b/>
                <w:i/>
              </w:rPr>
              <w:t>Tos piniginės baudos apskaičiuojamos pagal parametrus, nurodytus Komisijos deleguotajame reglamente (ES) 2017/389</w:t>
            </w:r>
            <w:r>
              <w:rPr>
                <w:b/>
                <w:i/>
                <w:vertAlign w:val="superscript"/>
              </w:rPr>
              <w:t>1a</w:t>
            </w:r>
            <w:r>
              <w:rPr>
                <w:b/>
                <w:i/>
              </w:rPr>
              <w:t>.</w:t>
            </w:r>
            <w:r>
              <w:t xml:space="preserve"> </w:t>
            </w:r>
            <w:r>
              <w:rPr>
                <w:b/>
                <w:i/>
              </w:rPr>
              <w:t>Tikimasi, kad Komisija stebės rinkos pokyčius ir sektoriaus pasirengimą laikytis T+1 atsiskaitymo ciklo ir atitinkamai apsvarstys, ar yra didelė rizika, kad pereinant nuo T+2 prie T+1 atsiskaitymo ciklo galėtų gerokai padaugėti neatsiskaitymo atvejų.</w:t>
            </w:r>
            <w:r>
              <w:t xml:space="preserve"> </w:t>
            </w:r>
            <w:r>
              <w:rPr>
                <w:b/>
                <w:i/>
              </w:rPr>
              <w:t>Nustačius tokią riziką, Komisija prireikus galėtų apsvarstyti galimybę atitinkamai laikinai pakoreguoti Deleguotąjį reglamentą (ES) 2017/389 arba imtis bet kokių kitų tinkamų priemonių pagal Reglamente (ES) Nr. 909/2014 nustatytus įgaliojimus;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2016 m. lapkričio 11 d. Komisijos deleguotasis reglamentas (ES) 2017/389, kuriuo Europos Parlamento ir Tarybos reglamentas (ES) Nr. 909/2014 papildomas nuostatomis dėl piniginių baudų už neatsiskaitymą apskaičiavimo parametrų ir centrinių vertybinių popierių depozitoriumų operacijų priimančiosiose valstybėse narėse ( (OL L 65, 2017 3 10, p.</w:t>
            </w:r>
            <w:r>
              <w:t xml:space="preserve"> </w:t>
            </w:r>
            <w:r>
              <w:rPr>
                <w:b/>
                <w:i/>
              </w:rPr>
              <w:t>1, ELI: http://data.europa.eu/eli/reg_del/2017/389/oj).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Komisija turėtų toliau nagrinėti galimybę ateityje sutrumpinti atsiskaitymo ciklą iki T+0.</w:t>
            </w:r>
            <w:r>
              <w:t xml:space="preserve"> </w:t>
            </w:r>
            <w:r>
              <w:rPr>
                <w:b/>
                <w:i/>
              </w:rPr>
              <w:t>Todėl ji turėtų peržiūrėti šį reglamentą ne vėliau kaip per 36 mėnesius nuo jo įsigaliojimo, siekiant užtikrinti, kad reguliavimas ir rinkos infrastruktūra Sąjungoje derėtų su didėjančia pasaulinių finansų rinkų aprėptimi ir tempu bei geriausia kitų tarptautinių reguliavimo sistemų praktika.</w:t>
            </w:r>
            <w:r>
              <w:t xml:space="preserve"> </w:t>
            </w:r>
            <w:r>
              <w:rPr>
                <w:b/>
                <w:i/>
              </w:rPr>
              <w:t>T+0 atsiskaitymo ciklas jau yra techniškai įmanomas ir galėtų būti dar labiau palengvintas diegiant inovacijas, pavyzdžiui, paskirstytojo registro technologiją, kartu užtikrinant duomenų saugumą ir skaidrumą.</w:t>
            </w:r>
            <w:r>
              <w:t xml:space="preserve"> </w:t>
            </w:r>
            <w:r>
              <w:rPr>
                <w:b/>
                <w:i/>
              </w:rPr>
              <w:t>Dar labiau sutrumpinus atsiskaitymo ciklą sumažėtų neteisėtų ir slaptų prekybos schemų, pvz., mokesčių už dividendus vengimo („Cum-Ex“),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pastraipa</w:t>
      </w:r>
      <w:r>
        <w:rPr>
          <w:rStyle w:val="HideTWBExt"/>
        </w:rPr>
        <w:t>&lt;/Article&gt;</w:t>
      </w:r>
    </w:p>
    <w:p>
      <w:r>
        <w:rPr>
          <w:rStyle w:val="HideTWBExt"/>
        </w:rPr>
        <w:t>&lt;DocAmend2&gt;</w:t>
      </w:r>
      <w:r>
        <w:t>Reglamentas (ES) Nr. 909/2014</w:t>
      </w:r>
      <w:r>
        <w:rPr>
          <w:rStyle w:val="HideTWBExt"/>
        </w:rPr>
        <w:t>&lt;/DocAmend2&gt;</w:t>
      </w:r>
    </w:p>
    <w:p>
      <w:r>
        <w:rPr>
          <w:rStyle w:val="HideTWBExt"/>
        </w:rPr>
        <w:t>&lt;Article2&gt;</w:t>
      </w:r>
      <w:r>
        <w:t>5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Kiek tai susiję su 1 dalyje nurodytais perleidžiamųjų vertybinių popierių sandoriais, kurie vykdomi prekybos vietose, numatyta atsiskaitymo diena negali būti vėlesnė kaip pirma darbo diena po sandorio sudarymo. Tas reikalavimas netaikomas </w:t>
            </w:r>
            <w:r>
              <w:rPr>
                <w:b/>
                <w:i/>
              </w:rPr>
              <w:t>sandoriams, dėl kurių susitarta privačiai, tačiau kurie yra vykdomi prekybos vietose, sandoriams, kurie vykdomi dvišaliu pagrindu, tačiau apie kuriuos pranešama prekybos vietai, arba pirmajam sandoriui, kai atitinkamiems perleidžiamiesiems vertybiniams popieriams taikomas pirminis registravimas nematerialia forma pagal 3 straipsnio 2 dalį.</w:t>
            </w:r>
          </w:p>
        </w:tc>
        <w:tc>
          <w:tcPr>
            <w:tcW w:w="4876" w:type="dxa"/>
            <w:tcBorders>
              <w:top w:val="nil"/>
              <w:left w:val="nil"/>
              <w:bottom w:val="nil"/>
              <w:right w:val="nil"/>
            </w:tcBorders>
          </w:tcPr>
          <w:p>
            <w:pPr>
              <w:pStyle w:val="Normal6a"/>
            </w:pPr>
            <w:r>
              <w:t>2.</w:t>
            </w:r>
            <w:r>
              <w:tab/>
            </w:r>
            <w:r>
              <w:t xml:space="preserve">Kiek tai susiję su 1 dalyje nurodytais perleidžiamųjų vertybinių popierių sandoriais, kurie vykdomi prekybos vietose, numatyta atsiskaitymo diena negali būti vėlesnė kaip pirma darbo diena po sandorio sudarymo. Tas reikalavimas netaikomas </w:t>
            </w:r>
            <w:r>
              <w:rPr>
                <w:b/>
                <w:i/>
              </w:rPr>
              <w:t>toliau nurodytais atvejais: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sandoriams, dėl kurių susitarta privačiai, tačiau kurie yra vykdomi prekybos vietose;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sandoriams, kurie vykdomi dvišaliu pagrindu, tačiau apie kuriuos pranešama prekybos vietai;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pirmajam sandoriui, kai atitinkamiems perleidžiamiesiems vertybiniams popieriams taikomas pirminis registravimas nematerialia forma pagal 3 straipsnio 2 dalį;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vertybinių popierių įsigijimo finansavimo sandoriams, kaip apibrėžta Europos Parlamento ir Tarybos reglamento (ES) 2015/2365</w:t>
            </w:r>
            <w:r>
              <w:rPr>
                <w:b/>
                <w:i/>
                <w:vertAlign w:val="superscript"/>
              </w:rPr>
              <w:t>1b</w:t>
            </w:r>
            <w:r>
              <w:t xml:space="preserve"> </w:t>
            </w:r>
            <w:r>
              <w:rPr>
                <w:b/>
                <w:i/>
              </w:rPr>
              <w:t>3 straipsnio 11 punkte.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2015 m. lapkričio 25 d. Europos Parlamento ir Tarybos reglamentas (ES) 2015/2365 dėl vertybinių popierių įsigijimo finansavimo sandorių ir pakartotinio naudojimo skaidrumo ir kuriuo iš dalies keičiamas Reglamentas (ES) Nr. 648/2012 (OL L 337, 2015 12 23, p.</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Vertybinių popierių įsigijimo finansavimo sandoriams T+1 reikalavimas netaikomas.</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pastraipa</w:t>
      </w:r>
      <w:r>
        <w:rPr>
          <w:rStyle w:val="HideTWBExt"/>
        </w:rPr>
        <w:t>&lt;/Article&gt;</w:t>
      </w:r>
    </w:p>
    <w:p>
      <w:r>
        <w:rPr>
          <w:rStyle w:val="HideTWBExt"/>
        </w:rPr>
        <w:t>&lt;DocAmend2&gt;</w:t>
      </w:r>
      <w:r>
        <w:t>Reglamentas (ES) Nr. 909/2014</w:t>
      </w:r>
      <w:r>
        <w:rPr>
          <w:rStyle w:val="HideTWBExt"/>
        </w:rPr>
        <w:t>&lt;/DocAmend2&gt;</w:t>
      </w:r>
    </w:p>
    <w:p>
      <w:r>
        <w:rPr>
          <w:rStyle w:val="HideTWBExt"/>
        </w:rPr>
        <w:t>&lt;Article2&gt;</w:t>
      </w:r>
      <w:r>
        <w:t>5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Kiek tai susiję su 1 dalyje nurodytais perleidžiamųjų vertybinių popierių sandoriais, kurie vykdomi prekybos vietose, numatyta atsiskaitymo diena negali būti vėlesnė kaip pirma darbo diena po sandorio sudarymo. Tas reikalavimas netaikomas sandoriams, dėl kurių susitarta privačiai, tačiau kurie yra vykdomi prekybos vietose, sandoriams, kurie vykdomi dvišaliu pagrindu, tačiau apie kuriuos pranešama prekybos vietai, arba pirmajam sandoriui, kai atitinkamiems perleidžiamiesiems vertybiniams popieriams taikomas pirminis registravimas nematerialia forma pagal 3 straipsnio 2 dalį.</w:t>
            </w:r>
          </w:p>
        </w:tc>
        <w:tc>
          <w:tcPr>
            <w:tcW w:w="4876" w:type="dxa"/>
            <w:tcBorders>
              <w:top w:val="nil"/>
              <w:left w:val="nil"/>
              <w:bottom w:val="nil"/>
              <w:right w:val="nil"/>
            </w:tcBorders>
          </w:tcPr>
          <w:p>
            <w:pPr>
              <w:pStyle w:val="Normal6a"/>
            </w:pPr>
            <w:r>
              <w:t>2.</w:t>
            </w:r>
            <w:r>
              <w:tab/>
            </w:r>
            <w:r>
              <w:t xml:space="preserve">Kiek tai susiję su 1 dalyje nurodytais perleidžiamųjų vertybinių popierių sandoriais, kurie vykdomi prekybos vietose, numatyta atsiskaitymo diena negali būti vėlesnė kaip pirma darbo diena po sandorio sudarymo. Tas reikalavimas netaikomas </w:t>
            </w:r>
            <w:r>
              <w:rPr>
                <w:b/>
                <w:i/>
              </w:rPr>
              <w:t>vertybinių popierių įsigijimo finansavimo sandoriams, kaip apibrėžta Reglamento (ES) 2015/2365</w:t>
            </w:r>
            <w:r>
              <w:rPr>
                <w:b/>
                <w:i/>
                <w:vertAlign w:val="superscript"/>
              </w:rPr>
              <w:t>1a</w:t>
            </w:r>
            <w:r>
              <w:t xml:space="preserve"> </w:t>
            </w:r>
            <w:r>
              <w:rPr>
                <w:b/>
                <w:i/>
              </w:rPr>
              <w:t>3 straipsnio 11 punkte,</w:t>
            </w:r>
            <w:r>
              <w:t xml:space="preserve"> sandoriams, dėl kurių susitarta privačiai, tačiau kurie yra vykdomi prekybos vietose, sandoriams, kurie vykdomi dvišaliu pagrindu, tačiau apie kuriuos pranešama prekybos vietai, arba pirmajam sandoriui, kai atitinkamiems perleidžiamiesiems vertybiniams popieriams taikomas pirminis registravimas nematerialia forma pagal 3 straipsnio 2 dalį.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2015 m. lapkričio 25 d. Europos Parlamento ir Tarybos reglamentas (ES) 2015/2365 dėl vertybinių popierių įsigijimo finansavimo sandorių ir pakartotinio naudojimo skaidrumo ir kuriuo iš dalies keičiamas Reglamentas (ES) Nr. 648/2012 (OL L 337, 2015 12 23, p.</w:t>
            </w:r>
            <w:r>
              <w:t xml:space="preserve"> </w:t>
            </w:r>
            <w:r>
              <w:rPr>
                <w:b/>
                <w:i/>
              </w:rPr>
              <w:t>1, 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773.076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AM\1319740LT.docx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AM\1319740LT.docx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AM\1319740LT.docx</w:t>
    </w:r>
    <w:r>
      <w:rPr>
        <w:rStyle w:val="HideTWBExt"/>
      </w:rPr>
      <w:t>&lt;/PathFdR&gt;</w:t>
    </w:r>
    <w:r>
      <w:tab/>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1505</Words>
  <Characters>10562</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1319740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176010</vt:lpwstr>
  </property>
  <property fmtid="{D5CDD505-2E9C-101B-9397-08002B2CF9AE}" pid="7" name="dmxml.render.traceId">
    <vt:lpwstr>681a0c8225ded129e5d36ca542edcdfc</vt:lpwstr>
  </property>
  <property fmtid="{D5CDD505-2E9C-101B-9397-08002B2CF9AE}" pid="8" name="FooterPath">
    <vt:lpwstr>AM\1319740LT.docx</vt:lpwstr>
  </property>
  <property fmtid="{D5CDD505-2E9C-101B-9397-08002B2CF9AE}" pid="9" name="PE Number">
    <vt:lpwstr>773.076</vt:lpwstr>
  </property>
  <property fmtid="{D5CDD505-2E9C-101B-9397-08002B2CF9AE}" pid="10" name="UID">
    <vt:lpwstr>eu.europa.europarl-DIN1-2025-0000090184_02.00-lt-01.00_text-xml</vt:lpwstr>
  </property>
</Properties>
</file>