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Europees Parlement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{ECON}</w:t>
      </w:r>
      <w:r>
        <w:t>Commissie economische en monetaire zaken</w:t>
      </w:r>
      <w:r>
        <w:rPr>
          <w:rStyle w:val="HideTWBExt"/>
        </w:rPr>
        <w:t>&lt;/Commission&gt;</w:t>
      </w:r>
    </w:p>
    <w:p>
      <w:pPr>
        <w:pStyle w:val="LineBottom"/>
      </w:pPr>
      <w:r>
        <w:t xml:space="preserve"> </w:t>
      </w:r>
    </w:p>
    <w:p>
      <w:pPr>
        <w:pStyle w:val="CoverReference"/>
      </w:pPr>
      <w:r>
        <w:rPr>
          <w:rStyle w:val="HideTWBExt"/>
        </w:rPr>
        <w:t>&lt;RefProc&gt;</w:t>
      </w:r>
      <w:r>
        <w:t>2025/0022</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{02/05/2025}</w:t>
      </w:r>
      <w:r>
        <w:t>2.5.2025</w:t>
      </w:r>
      <w:r>
        <w:rPr>
          <w:rStyle w:val="HideTWBExt"/>
        </w:rPr>
        <w:t>&lt;/Date&gt;</w:t>
      </w:r>
    </w:p>
    <w:p>
      <w:pPr>
        <w:pStyle w:val="CoverDocType"/>
      </w:pPr>
      <w:r>
        <w:rPr>
          <w:rStyle w:val="HideTWBExt"/>
        </w:rPr>
        <w:t>&lt;TypeAM&gt;</w:t>
      </w:r>
      <w:r>
        <w:t>AMENDEMENTEN</w:t>
      </w:r>
      <w:r>
        <w:rPr>
          <w:rStyle w:val="HideTWBExt"/>
        </w:rPr>
        <w:t>&lt;/TypeAM&gt;</w:t>
      </w:r>
    </w:p>
    <w:p>
      <w:pPr>
        <w:pStyle w:val="CoverDocType24a"/>
      </w:pPr>
      <w:r>
        <w:rPr>
          <w:rStyle w:val="HideTWBExt"/>
        </w:rPr>
        <w:t>&lt;RangeAM&gt;</w:t>
      </w:r>
      <w:r>
        <w:t>1</w:t>
      </w:r>
      <w:r>
        <w:t xml:space="preserve"> - </w:t>
      </w:r>
      <w:r>
        <w:t>10</w:t>
      </w:r>
      <w:r>
        <w:rPr>
          <w:rStyle w:val="HideTWBExt"/>
        </w:rPr>
        <w:t>&lt;/RangeAM&gt;</w:t>
      </w:r>
    </w:p>
    <w:p>
      <w:pPr>
        <w:pStyle w:val="CoverBold"/>
      </w:pPr>
      <w:r>
        <w:rPr>
          <w:rStyle w:val="HideTWBExt"/>
        </w:rPr>
        <w:t>&lt;TitreType&gt;</w:t>
      </w:r>
      <w:r>
        <w:t>Ontwerpverslag</w:t>
      </w:r>
      <w:r>
        <w:rPr>
          <w:rStyle w:val="HideTWBExt"/>
        </w:rPr>
        <w:t>&lt;/TitreType&gt;</w:t>
      </w:r>
    </w:p>
    <w:p>
      <w:pPr>
        <w:pStyle w:val="CoverBold"/>
      </w:pPr>
      <w:r>
        <w:rPr>
          <w:rStyle w:val="HideTWBExt"/>
        </w:rPr>
        <w:t>&lt;Rapporteur&gt;</w:t>
      </w:r>
      <w:r>
        <w:t>Johan Van Overtveldt</w:t>
      </w:r>
      <w:r>
        <w:rPr>
          <w:rStyle w:val="HideTWBExt"/>
        </w:rPr>
        <w:t>&lt;/Rapporteur&gt;</w:t>
      </w:r>
    </w:p>
    <w:p>
      <w:pPr>
        <w:pStyle w:val="CoverNormal24a"/>
      </w:pPr>
      <w:r>
        <w:rPr>
          <w:rStyle w:val="HideTWBExt"/>
        </w:rPr>
        <w:t>&lt;DocRefPE&gt;</w:t>
      </w:r>
      <w:r>
        <w:t>(PE770.091v01-00)</w:t>
      </w:r>
      <w:r>
        <w:rPr>
          <w:rStyle w:val="HideTWBExt"/>
        </w:rPr>
        <w:t>&lt;/DocRefPE&gt;</w:t>
      </w:r>
    </w:p>
    <w:p>
      <w:pPr>
        <w:pStyle w:val="CoverNormal24a"/>
      </w:pPr>
      <w:r>
        <w:rPr>
          <w:rStyle w:val="HideTWBExt"/>
        </w:rPr>
        <w:t>&lt;Titre&gt;</w:t>
      </w:r>
      <w:r>
        <w:t>Wijziging van Verordening (EU) nr. 909/2014 wat betreft een kortere afwikkelingscyclus in de Unie</w:t>
      </w:r>
      <w:r>
        <w:rPr>
          <w:rStyle w:val="HideTWBExt"/>
        </w:rPr>
        <w:t>&lt;/Titre&gt;</w:t>
      </w:r>
    </w:p>
    <w:p>
      <w:pPr>
        <w:pStyle w:val="CoverNormal"/>
      </w:pPr>
      <w:r>
        <w:rPr>
          <w:rStyle w:val="HideTWBExt"/>
        </w:rPr>
        <w:t>&lt;DocAmend&gt;</w:t>
      </w:r>
      <w:r>
        <w:t>Voorstel voor een verordening</w:t>
      </w:r>
      <w:r>
        <w:rPr>
          <w:rStyle w:val="HideTWBExt"/>
        </w:rPr>
        <w:t>&lt;/DocAmend&gt;</w:t>
      </w:r>
    </w:p>
    <w:p>
      <w:pPr>
        <w:pStyle w:val="CoverNormal24a"/>
      </w:pPr>
      <w:r>
        <w:rPr>
          <w:rStyle w:val="HideTWBExt"/>
        </w:rPr>
        <w:t>&lt;DocRef&gt;</w:t>
      </w:r>
      <w:r>
        <w:t>(COM(2025)0038 – 2025/0022(COD))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Fabio De Masi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Langere afwikkelingstermijnen voor transacties in effecten verhogen de risico’s voor transactiepartijen en beperken de mogelijkheden voor kopers en verkopers om andere transacties aan te gaan. Om die redenen zijn veel rechtsgebieden van derde landen overgestapt naar een afwikkelingsperiode van één werkdag na de transactie (“T+1”) of zijn ze bezig of van plan deze overstap te maken. De wereldwijde verschuiving naar kortere afwikkelingsperioden leidt echter tot discrepanties tussen de financiële markten van de Unie en de mondiale financiële markten. Deze discrepanties zullen alleen nog toenemen wanneer meer landen overstappen naar T+1-afwikkeling en zullen de kosten voor marktdeelnemers in de Unie doen stijgen.</w:t>
            </w:r>
          </w:p>
        </w:tc>
        <w:tc>
          <w:tcPr>
            <w:tcW w:w="4876" w:type="dxa"/>
            <w:tcBorders>
              <w:top w:val="nil"/>
              <w:left w:val="nil"/>
              <w:bottom w:val="nil"/>
              <w:right w:val="nil"/>
            </w:tcBorders>
          </w:tcPr>
          <w:p>
            <w:pPr>
              <w:pStyle w:val="Normal6a"/>
            </w:pPr>
            <w:r>
              <w:t>(2)</w:t>
            </w:r>
            <w:r>
              <w:tab/>
            </w:r>
            <w:r>
              <w:t xml:space="preserve">Langere afwikkelingstermijnen voor transacties in effecten verhogen de risico’s voor transactiepartijen en beperken de mogelijkheden voor kopers en verkopers om andere transacties aan te gaan. Om die redenen zijn veel rechtsgebieden van derde landen overgestapt naar een afwikkelingsperiode van één werkdag na de transactie (“T+1”) of zijn ze bezig of van plan deze overstap te maken. De wereldwijde verschuiving naar kortere afwikkelingsperioden leidt echter tot discrepanties tussen de financiële markten van de Unie en de mondiale financiële markten. Deze discrepanties zullen alleen nog toenemen wanneer meer landen overstappen naar T+1-afwikkeling en zullen de kosten voor marktdeelnemers in de Unie doen stijgen. </w:t>
            </w:r>
            <w:r>
              <w:rPr>
                <w:b/>
                <w:i/>
              </w:rPr>
              <w:t>Bovendien is de afwikkelingscyclus op een aantal belangrijke internationale markten reeds verder verkort tot T+0 en werkt de Target2-Securities-infrastructuur van de Europese Centrale Bank zelfs in real time.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Kortere afwikkelingscycli kunnen leiden tot een ingewikkelder liquiditeitsbeheer voor handelaren met een deviezencomponent, aangezien valutamarkten werken op basis van tweedaagse afwikkeling.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ter)</w:t>
            </w:r>
            <w:r>
              <w:tab/>
            </w:r>
            <w:r>
              <w:rPr>
                <w:b/>
                <w:i/>
              </w:rPr>
              <w:t>Kortere afwikkelingscycli verkorten de termijn voor het oplossen van verwerkingsfouten, alsook de termijn voor het betrekken van liquiditeit van de effectenuitleenmarkt om korte posities te dekken, wat met name gevolgen kan hebben voor minder liquide obligaties en voor short­sel­ling die laat op de handelsdag plaatsvindt.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Naarmate de markt zich echter aanpast aan de nieuwe regeling inzake kortere afwikkeling, zou zich aanvankelijk een piek kunnen voordoen in vertraagde en mislukte transacties, wat een ernstig liquiditeitsrisico met zich meebrengt en de kosten aanzienlijk zou verhogen.</w:t>
            </w:r>
            <w:r>
              <w:t xml:space="preserve"> </w:t>
            </w:r>
            <w:r>
              <w:rPr>
                <w:b/>
                <w:i/>
              </w:rPr>
              <w:t>Dit zou op zijn beurt kunnen leiden tot in de regelgeving voorgeschreven boeten in het kader van de CSDR en door clearinginstellingen opgelegde koopstrafkosten, die door liquiditeitsverstrekkers zouden worden gecompenseerd door hogere prijzen te noteren, wat in strijd zou zijn met de doelstelling om de Europese kapitaalmarkten concurrerender te maken.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Daarom is het passend een gerichte wijziging van Verordening (EU) nr. 909/2014 in te voeren om de huidige verplichte afwikkelingscyclus te verkorten tot één dag nadat de transactie plaatsvindt. Een dergelijke verkorting van de afwikkelingscyclus zou centrale effectenbewaarinstellingen er niet van weerhouden transacties vrijwillig af te wikkelen op dezelfde datum als de transactiedatum, indien dat technologisch </w:t>
            </w:r>
            <w:r>
              <w:rPr>
                <w:b/>
                <w:i/>
              </w:rPr>
              <w:t>mogelijk</w:t>
            </w:r>
            <w:r>
              <w:t xml:space="preserve"> is.</w:t>
            </w:r>
          </w:p>
        </w:tc>
        <w:tc>
          <w:tcPr>
            <w:tcW w:w="4876" w:type="dxa"/>
            <w:tcBorders>
              <w:top w:val="nil"/>
              <w:left w:val="nil"/>
              <w:bottom w:val="nil"/>
              <w:right w:val="nil"/>
            </w:tcBorders>
          </w:tcPr>
          <w:p>
            <w:pPr>
              <w:pStyle w:val="Normal6a"/>
            </w:pPr>
            <w:r>
              <w:t>(4)</w:t>
            </w:r>
            <w:r>
              <w:tab/>
            </w:r>
            <w:r>
              <w:t xml:space="preserve">Daarom is het passend een gerichte wijziging van Verordening (EU) nr. 909/2014 in te voeren om de huidige verplichte afwikkelingscyclus te verkorten tot één dag nadat de transactie plaatsvindt. </w:t>
            </w:r>
            <w:r>
              <w:rPr>
                <w:b/>
                <w:i/>
              </w:rPr>
              <w:t>Deze verplichte afwikkelingscyclus mag niet van toepassing zijn op effectenfinancieringstransacties als gedefinieerd in artikel 3, punt 11, van Verordening (EU) 2015/2365, met het oog op de niet-gestandaardiseerde aard van dit specifieke soort transacties.</w:t>
            </w:r>
            <w:r>
              <w:t xml:space="preserve"> Een dergelijke verkorting van de afwikkelingscyclus zou centrale effectenbewaarinstellingen er niet van weerhouden transacties vrijwillig af te wikkelen op dezelfde datum als de transactiedatum, indien dat technologisch </w:t>
            </w:r>
            <w:r>
              <w:rPr>
                <w:b/>
                <w:i/>
              </w:rPr>
              <w:t>haalbaar</w:t>
            </w:r>
            <w:r>
              <w:t xml:space="preserve">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Effectenfinancieringstransacties stellen marktdeelnemers in staat hun liquiditeits- en financieringsbehoeften op flexibele wijze te beheren.</w:t>
            </w:r>
            <w:r>
              <w:t xml:space="preserve"> </w:t>
            </w:r>
            <w:r>
              <w:rPr>
                <w:b/>
                <w:i/>
              </w:rPr>
              <w:t>Markttrends wijzen op een toenemend gebruik van dit soort transacties op handelsplatforms.</w:t>
            </w:r>
            <w:r>
              <w:t xml:space="preserve"> </w:t>
            </w:r>
            <w:r>
              <w:rPr>
                <w:b/>
                <w:i/>
              </w:rPr>
              <w:t>Met het oog op de niet-gestandaardiseerde aard van dit specifieke soort transacties, en met name op de niet-gestandaardiseerde afwikkelingsperioden die de partijen bij dergelijke transacties mogelijk moeten overeenkomen om hun doelstellingen te verwezenlijken en te voorkomen dat de uitvoering ervan op handelsplatforms wordt ontmoedigd, moeten deze transacties worden vrijgesteld van het voorschrift van T+1-afwikkeling.</w:t>
            </w:r>
            <w:r>
              <w:t xml:space="preserve"> </w:t>
            </w:r>
            <w:r>
              <w:rPr>
                <w:b/>
                <w:i/>
              </w:rPr>
              <w:t>Wat kooptransacties met wederverkoop en verkooptransacties met wederinkoop betreft, mogen vrijstellingen, om het risico op omzeiling van het voorschrift van T+1-afwikkeling te voorkomen, echter alleen van toepassing zijn indien de betreffende transacties worden gedocumenteerd als afzonderlijke verrichtingen bestaande uit twee onderling samenhangende transacties.</w:t>
            </w:r>
            <w:r>
              <w:t xml:space="preserve"> </w:t>
            </w:r>
            <w:r>
              <w:rPr>
                <w:b/>
                <w:i/>
              </w:rPr>
              <w:t>Niet-gedocumenteerde kooptransacties met wederverkoop en verkooptransacties met wederinkoop moeten worden behandeld als reguliere effectentransacties en moeten daarom onderworpen zijn aan het voorschrift van T+1-afwikkeling.</w:t>
            </w:r>
            <w:r>
              <w:t xml:space="preserve"> </w:t>
            </w:r>
            <w:r>
              <w:rPr>
                <w:b/>
                <w:i/>
              </w:rPr>
              <w:t>Voorts zijn margeleningstransacties reeds uitgesloten van het toepassingsgebied van het voorschrift, aangezien zij geen transacties in effecten betreffen en daarmee buiten het toepassingsgebied van Verordening (EU) nr. 909/2014 vallen.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4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ter)</w:t>
            </w:r>
            <w:r>
              <w:tab/>
            </w:r>
            <w:r>
              <w:rPr>
                <w:b/>
                <w:i/>
              </w:rPr>
              <w:t>Verordening (EU) nr. 909/2014 voorziet in verschillende maatregelen voor het aanpakken van mislukte afwikkelingsoperaties, waaronder de oplegging van geldboeten aan nalatige deelnemers.</w:t>
            </w:r>
            <w:r>
              <w:t xml:space="preserve"> </w:t>
            </w:r>
            <w:r>
              <w:rPr>
                <w:b/>
                <w:i/>
              </w:rPr>
              <w:t>De berekening van die geldboeten wordt bepaald aan de hand van in Gedelegeerde Verordening (EU) 2017/389</w:t>
            </w:r>
            <w:r>
              <w:rPr>
                <w:b/>
                <w:i/>
                <w:vertAlign w:val="superscript"/>
              </w:rPr>
              <w:t>1 bis</w:t>
            </w:r>
            <w:r>
              <w:t xml:space="preserve"> </w:t>
            </w:r>
            <w:r>
              <w:rPr>
                <w:b/>
                <w:i/>
              </w:rPr>
              <w:t>van de Commissie gespecificeerde parameters.</w:t>
            </w:r>
            <w:r>
              <w:t xml:space="preserve"> </w:t>
            </w:r>
            <w:r>
              <w:rPr>
                <w:b/>
                <w:i/>
              </w:rPr>
              <w:t>Van de Commissie wordt verwacht dat zij de marktontwikkelingen en de bereidheid van de sector om aan het voorschrift van T+1-afwikkeling te voldoen, volgt en in dat verband nagaat of er een significant risico bestaat dat de overstap van T+2-afwikkeling naar T+1-afwikkeling zal leiden tot een wezenlijke toename van het aantal mislukte afwikkelingsoperaties.</w:t>
            </w:r>
            <w:r>
              <w:t xml:space="preserve"> </w:t>
            </w:r>
            <w:r>
              <w:rPr>
                <w:b/>
                <w:i/>
              </w:rPr>
              <w:t>Indien een dergelijk risico wordt vastgesteld, kan de Commissie, in voorkomend geval, overwegen Gedelegeerde Verordening (EU) 2017/389 tijdelijk dienovereenkomstig aan te passen of een andere passende maatregel te nemen binnen het toepassingsgebied van de in Verordening (EU) nr. 909/2014 vastgestelde bevoegdheden.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Gedelegeerde Verordening (EU) 2017/389 van de Commissie van 11 november 2016 tot aanvulling van Verordening (EU) nr. 909/2014 van het Europees Parlement en de Raad wat betreft de parameters voor de berekening van geldboetes voor mislukte afwikkelingsoperaties en de bedrijfsactiviteiten van CSD’s in lidstaten van ontvangst (PB L 65 van 10.3.2017, blz. 1,</w:t>
            </w:r>
            <w:r>
              <w:t xml:space="preserve"> </w:t>
            </w:r>
            <w:r>
              <w:rPr>
                <w:b/>
                <w:i/>
              </w:rPr>
              <w:t>ELI: http://data.europa.eu/eli/reg_del/2017/389/oj).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Fabio De Masi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De Commissie moet nader onderzoeken of het haalbaar is de afwikkelingscyclus in de toekomst te verkorten tot T+0.</w:t>
            </w:r>
            <w:r>
              <w:t xml:space="preserve"> </w:t>
            </w:r>
            <w:r>
              <w:rPr>
                <w:b/>
                <w:i/>
              </w:rPr>
              <w:t>Hiertoe moet zij deze verordening uiterlijk 36 maanden na de inwerkingtreding ervan herzien om ervoor te zorgen dat de regelgeving en de marktinfrastructuren in de Unie in overeenstemming zijn met het ruimer wordende toepassingsgebied en het toenemende tempo van de mondiale financiële markten en de beste praktijken van andere internationale regelgeving.</w:t>
            </w:r>
            <w:r>
              <w:t xml:space="preserve"> </w:t>
            </w:r>
            <w:r>
              <w:rPr>
                <w:b/>
                <w:i/>
              </w:rPr>
              <w:t>T+0-afwikkeling is reeds technisch haalbaar en kan verder worden gefaciliteerd door middel van innovaties zoals “distributed ledger”-technologie, met waarborging van gegevensveiligheid en transparantie.</w:t>
            </w:r>
            <w:r>
              <w:t xml:space="preserve"> </w:t>
            </w:r>
            <w:r>
              <w:rPr>
                <w:b/>
                <w:i/>
              </w:rPr>
              <w:t>Een verdere verkorting van de afwikkelingscyclus zou het risico op illegale en frauduleuze handelsregelingen zoals dividendstripping (“cum-ex-regelingen”) verlagen.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 – alinea 1</w:t>
      </w:r>
      <w:r>
        <w:rPr>
          <w:rStyle w:val="HideTWBExt"/>
        </w:rPr>
        <w:t>&lt;/Article&gt;</w:t>
      </w:r>
    </w:p>
    <w:p>
      <w:r>
        <w:rPr>
          <w:rStyle w:val="HideTWBExt"/>
        </w:rPr>
        <w:t>&lt;DocAmend2&gt;</w:t>
      </w:r>
      <w:r>
        <w:t>Verordening (EU) nr. 909/2014</w:t>
      </w:r>
      <w:r>
        <w:rPr>
          <w:rStyle w:val="HideTWBExt"/>
        </w:rPr>
        <w:t>&lt;/DocAmend2&gt;</w:t>
      </w:r>
    </w:p>
    <w:p>
      <w:r>
        <w:rPr>
          <w:rStyle w:val="HideTWBExt"/>
        </w:rPr>
        <w:t>&lt;Article2&gt;</w:t>
      </w:r>
      <w:r>
        <w:t>Artikel 5 – lid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Ten aanzien van in lid 1 bedoelde transacties in effecten die worden verricht op handelsplatforms, valt de voorgenomen afwikkelingsdatum niet later dan op de eerste werkdag nadat de transactie plaatsvindt. </w:t>
            </w:r>
            <w:r>
              <w:rPr>
                <w:b/>
                <w:i/>
              </w:rPr>
              <w:t>Dat</w:t>
            </w:r>
            <w:r>
              <w:t xml:space="preserve"> voorschrift is niet van toepassing op </w:t>
            </w:r>
            <w:r>
              <w:rPr>
                <w:b/>
                <w:i/>
              </w:rPr>
              <w:t>afzonderlijk onderhandelde maar op een handelsplatform verrichte transacties, op bilateraal verrichte maar aan een handelsplatform gemelde transacties, of op de eerste transactie indien voor de betrokken effecten initiële vastlegging in girale vorm overeenkomstig artikel 3, lid 2, geldt.</w:t>
            </w:r>
          </w:p>
        </w:tc>
        <w:tc>
          <w:tcPr>
            <w:tcW w:w="4876" w:type="dxa"/>
            <w:tcBorders>
              <w:top w:val="nil"/>
              <w:left w:val="nil"/>
              <w:bottom w:val="nil"/>
              <w:right w:val="nil"/>
            </w:tcBorders>
          </w:tcPr>
          <w:p>
            <w:pPr>
              <w:pStyle w:val="Normal6a"/>
            </w:pPr>
            <w:r>
              <w:t>2.</w:t>
            </w:r>
            <w:r>
              <w:tab/>
            </w:r>
            <w:r>
              <w:t xml:space="preserve">Ten aanzien van in lid 1 bedoelde transacties in effecten die worden verricht op handelsplatforms, valt de voorgenomen afwikkelingsdatum niet later dan op de eerste werkdag nadat de transactie plaatsvindt. </w:t>
            </w:r>
            <w:r>
              <w:rPr>
                <w:b/>
                <w:i/>
              </w:rPr>
              <w:t>Dit</w:t>
            </w:r>
            <w:r>
              <w:t xml:space="preserve"> voorschrift is niet van toepassing op </w:t>
            </w:r>
            <w:r>
              <w:rPr>
                <w:b/>
                <w:i/>
              </w:rPr>
              <w:t>de volgende transacties: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afzonderlijk onderhandelde maar op een handelsplatform verrichte transacties;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bilateraal verrichte maar aan een handelsplatform gemelde transacties;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de eerste transactie indien voor de betrokken effecten initiële vastlegging in girale vorm overeenkomstig artikel 3, lid 2, geldt;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effectenfinancieringstransacties als gedefinieerd in artikel 3, punt 11, van Verordening (EU) 2015/2365 van het Europees Parlement en de Raad</w:t>
            </w:r>
            <w:r>
              <w:rPr>
                <w:b/>
                <w:i/>
                <w:vertAlign w:val="superscript"/>
              </w:rPr>
              <w:t>1 ter</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ter</w:t>
            </w:r>
            <w:r>
              <w:t xml:space="preserve"> </w:t>
            </w:r>
            <w:r>
              <w:rPr>
                <w:b/>
                <w:i/>
              </w:rPr>
              <w:t>Verordening (EU) 2015/2365 van het Europees Parlement en de Raad van 25 november 2015 betreffende de transparantie van effectenfinancieringstransacties en van hergebruik en tot wijziging van Verordening (EU) nr. 648/2012 (PB L 337 van 23.12.2015, blz. 1,</w:t>
            </w:r>
            <w:r>
              <w:t xml:space="preserve"> </w:t>
            </w:r>
            <w:r>
              <w:rPr>
                <w:b/>
                <w:i/>
              </w:rPr>
              <w:t>ELI: http://data.europa.eu/eli/reg/2015/2365/oj).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Dit amendement betreft de vrijstelling van effectenfinancieringstransacties van het toepassingsgebied van het voorschrift van T+1-afwikkeling.</w:t>
      </w:r>
    </w:p>
    <w:p>
      <w:r>
        <w:rPr>
          <w:rStyle w:val="HideTWBExt"/>
        </w:rPr>
        <w:t>&lt;/Amend&gt;</w:t>
      </w:r>
    </w:p>
    <w:p>
      <w:pPr>
        <w:pStyle w:val="AmNumberTabs"/>
      </w:pPr>
      <w:r>
        <w:rPr>
          <w:rStyle w:val="HideTWBExt"/>
        </w:rPr>
        <w:t>&lt;Amend&gt;</w:t>
      </w:r>
      <w:r>
        <w:t>Amendement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 – alinea 1</w:t>
      </w:r>
      <w:r>
        <w:rPr>
          <w:rStyle w:val="HideTWBExt"/>
        </w:rPr>
        <w:t>&lt;/Article&gt;</w:t>
      </w:r>
    </w:p>
    <w:p>
      <w:r>
        <w:rPr>
          <w:rStyle w:val="HideTWBExt"/>
        </w:rPr>
        <w:t>&lt;DocAmend2&gt;</w:t>
      </w:r>
      <w:r>
        <w:t>Verordening (EU) nr. 909/2014</w:t>
      </w:r>
      <w:r>
        <w:rPr>
          <w:rStyle w:val="HideTWBExt"/>
        </w:rPr>
        <w:t>&lt;/DocAmend2&gt;</w:t>
      </w:r>
    </w:p>
    <w:p>
      <w:r>
        <w:rPr>
          <w:rStyle w:val="HideTWBExt"/>
        </w:rPr>
        <w:t>&lt;Article2&gt;</w:t>
      </w:r>
      <w:r>
        <w:t>Artikel 5 – lid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Ten aanzien van in lid 1 bedoelde transacties in effecten die worden verricht op handelsplatforms, valt de voorgenomen afwikkelingsdatum niet later dan op de eerste werkdag nadat de transactie plaatsvindt. Dat voorschrift is niet van toepassing op afzonderlijk onderhandelde maar op een handelsplatform verrichte transacties, op bilateraal verrichte maar aan een handelsplatform gemelde transacties, of op de eerste transactie indien voor de betrokken effecten initiële vastlegging in girale vorm overeenkomstig artikel 3, lid 2, geldt.</w:t>
            </w:r>
          </w:p>
        </w:tc>
        <w:tc>
          <w:tcPr>
            <w:tcW w:w="4876" w:type="dxa"/>
            <w:tcBorders>
              <w:top w:val="nil"/>
              <w:left w:val="nil"/>
              <w:bottom w:val="nil"/>
              <w:right w:val="nil"/>
            </w:tcBorders>
          </w:tcPr>
          <w:p>
            <w:pPr>
              <w:pStyle w:val="Normal6a"/>
            </w:pPr>
            <w:r>
              <w:t>2.</w:t>
            </w:r>
            <w:r>
              <w:tab/>
            </w:r>
            <w:r>
              <w:t xml:space="preserve">Ten aanzien van in lid 1 bedoelde transacties in effecten die worden verricht op handelsplatforms, valt de voorgenomen afwikkelingsdatum niet later dan op de eerste werkdag nadat de transactie plaatsvindt. Dat voorschrift is niet van toepassing op </w:t>
            </w:r>
            <w:r>
              <w:rPr>
                <w:b/>
                <w:i/>
              </w:rPr>
              <w:t>effectenfinancieringstransacties als gedefinieerd in artikel 3, punt 11, van Verordening (EU) 2015/2365</w:t>
            </w:r>
            <w:r>
              <w:rPr>
                <w:b/>
                <w:i/>
                <w:vertAlign w:val="superscript"/>
              </w:rPr>
              <w:t>1 bis</w:t>
            </w:r>
            <w:r>
              <w:rPr>
                <w:b/>
                <w:i/>
              </w:rPr>
              <w:t>, op</w:t>
            </w:r>
            <w:r>
              <w:t xml:space="preserve"> afzonderlijk onderhandelde maar op een handelsplatform verrichte transacties, op bilateraal verrichte maar aan een handelsplatform gemelde transacties, of op de eerste transactie indien voor de betrokken effecten initiële vastlegging in girale vorm overeenkomstig artikel 3, lid 2, geldt.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Verordening (EU) 2015/2365 van het Europees Parlement en de Raad van 25 november 2015 betreffende de transparantie van effectenfinancieringstransacties en van hergebruik en tot wijziging van Verordening (EU) nr. 648/2012 (PB L 337 van 23.12.2015, blz. 1,</w:t>
            </w:r>
            <w:r>
              <w:t xml:space="preserve"> </w:t>
            </w:r>
            <w:r>
              <w:rPr>
                <w:b/>
                <w:i/>
              </w:rPr>
              <w:t>ELI: http://data.europa.eu/eli/reg/2015/2365/oj).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773.076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w:t>
    </w:r>
    <w:r>
      <w:fldChar w:fldCharType="end"/>
    </w:r>
    <w:r>
      <w:t>/</w:t>
    </w:r>
    <w:r>
      <w:fldChar w:fldCharType="begin"/>
    </w:r>
    <w:r>
      <w:instrText xml:space="preserve"> NUMPAGES </w:instrText>
    </w:r>
    <w:r>
      <w:fldChar w:fldCharType="separate"/>
    </w:r>
    <w:r>
      <w:t>10</w:t>
    </w:r>
    <w:r>
      <w:fldChar w:fldCharType="end"/>
    </w:r>
    <w:r>
      <w:tab/>
    </w:r>
    <w:r>
      <w:rPr>
        <w:rStyle w:val="HideTWBExt"/>
      </w:rPr>
      <w:t>&lt;PathFdR&gt;</w:t>
    </w:r>
    <w:r>
      <w:t>AM\1319740NL.docx</w:t>
    </w:r>
    <w:r>
      <w:rPr>
        <w:rStyle w:val="HideTWBExt"/>
      </w:rPr>
      <w:t>&lt;/PathFdR&gt;</w:t>
    </w:r>
  </w:p>
  <w:p>
    <w:pPr>
      <w:pStyle w:val="EPFooter2"/>
    </w:pPr>
    <w:r>
      <w:t>NL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AM\1319740NL.docx</w:t>
    </w:r>
    <w:r>
      <w:rPr>
        <w:rStyle w:val="HideTWBExt"/>
      </w:rPr>
      <w:t>&lt;/PathFdR&gt;</w:t>
    </w:r>
    <w:r>
      <w:tab/>
    </w:r>
    <w:r>
      <w:fldChar w:fldCharType="begin"/>
    </w:r>
    <w:r>
      <w:instrText xml:space="preserve"> PAGE </w:instrText>
    </w:r>
    <w:r>
      <w:fldChar w:fldCharType="separate"/>
    </w:r>
    <w:r>
      <w:t>9</w:t>
    </w:r>
    <w:r>
      <w:fldChar w:fldCharType="end"/>
    </w:r>
    <w:r>
      <w:t>/</w:t>
    </w:r>
    <w:r>
      <w:fldChar w:fldCharType="begin"/>
    </w:r>
    <w:r>
      <w:instrText xml:space="preserve"> NUMPAGES </w:instrText>
    </w:r>
    <w:r>
      <w:fldChar w:fldCharType="separate"/>
    </w:r>
    <w:r>
      <w:t>10</w:t>
    </w:r>
    <w:r>
      <w:fldChar w:fldCharType="end"/>
    </w:r>
    <w:r>
      <w:tab/>
    </w:r>
    <w:r>
      <w:t>PE</w:t>
    </w:r>
    <w:r>
      <w:rPr>
        <w:rStyle w:val="HideTWBExt"/>
      </w:rPr>
      <w:t>&lt;NoPE&gt;</w:t>
    </w:r>
    <w:r>
      <w:t>773.076</w:t>
    </w:r>
    <w:r>
      <w:rPr>
        <w:rStyle w:val="HideTWBExt"/>
      </w:rPr>
      <w:t>&lt;/NoPE&gt;</w:t>
    </w:r>
    <w:r>
      <w:rPr>
        <w:rStyle w:val="HideTWBExt"/>
      </w:rPr>
      <w:t>&lt;Version&gt;</w:t>
    </w:r>
    <w:r>
      <w:t>v01-00</w:t>
    </w:r>
    <w:r>
      <w:rPr>
        <w:rStyle w:val="HideTWBExt"/>
      </w:rPr>
      <w:t>&lt;/Version&gt;</w:t>
    </w:r>
  </w:p>
  <w:p>
    <w:pPr>
      <w:pStyle w:val="EPFooter2"/>
    </w:pPr>
    <w:r>
      <w:tab/>
    </w:r>
    <w:r>
      <w:tab/>
    </w:r>
    <w:r>
      <w:t>NL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AM\1319740NL.docx</w:t>
    </w:r>
    <w:r>
      <w:rPr>
        <w:rStyle w:val="HideTWBExt"/>
      </w:rPr>
      <w:t>&lt;/PathFdR&gt;</w:t>
    </w:r>
    <w:r>
      <w:tab/>
    </w:r>
    <w:r>
      <w:tab/>
    </w:r>
    <w:r>
      <w:t>PE</w:t>
    </w:r>
    <w:r>
      <w:rPr>
        <w:rStyle w:val="HideTWBExt"/>
      </w:rPr>
      <w:t>&lt;NoPE&gt;</w:t>
    </w:r>
    <w:r>
      <w:t>773.076</w:t>
    </w:r>
    <w:r>
      <w:rPr>
        <w:rStyle w:val="HideTWBExt"/>
      </w:rPr>
      <w:t>&lt;/NoPE&gt;</w:t>
    </w:r>
    <w:r>
      <w:rPr>
        <w:rStyle w:val="HideTWBExt"/>
      </w:rPr>
      <w:t>&lt;Version&gt;</w:t>
    </w:r>
    <w:r>
      <w:t>v01-00</w:t>
    </w:r>
    <w:r>
      <w:rPr>
        <w:rStyle w:val="HideTWBExt"/>
      </w:rPr>
      <w:t>&lt;/Version&gt;</w:t>
    </w:r>
  </w:p>
  <w:p>
    <w:pPr>
      <w:pStyle w:val="EPFooter2"/>
    </w:pPr>
    <w:r>
      <w:t>NL</w:t>
    </w:r>
    <w:r>
      <w:tab/>
    </w:r>
    <w:r>
      <w:rPr>
        <w:rStyle w:val="EPFooter2Motto"/>
      </w:rPr>
      <w:t>In verscheidenheid verenigd</w:t>
    </w:r>
    <w:r>
      <w:tab/>
    </w:r>
    <w:r>
      <w:t>NL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NormalBold">
    <w:name w:val="NormalBold"/>
    <w:basedOn w:val="Normal"/>
    <w:pPr>
      <w:widowControl w:val="0"/>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Pages>
  <Words>1727</Words>
  <Characters>11037</Characters>
  <Application>Microsoft Office Word</Application>
  <DocSecurity>0</DocSecurity>
  <Lines>1</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1319740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176846</vt:lpwstr>
  </property>
  <property fmtid="{D5CDD505-2E9C-101B-9397-08002B2CF9AE}" pid="7" name="dmxml.render.traceId">
    <vt:lpwstr>681b6200bd6c3f0634dcaa59e5819489</vt:lpwstr>
  </property>
  <property fmtid="{D5CDD505-2E9C-101B-9397-08002B2CF9AE}" pid="8" name="FooterPath">
    <vt:lpwstr>AM\1319740NL.docx</vt:lpwstr>
  </property>
  <property fmtid="{D5CDD505-2E9C-101B-9397-08002B2CF9AE}" pid="9" name="PE Number">
    <vt:lpwstr>773.076</vt:lpwstr>
  </property>
  <property fmtid="{D5CDD505-2E9C-101B-9397-08002B2CF9AE}" pid="10" name="UID">
    <vt:lpwstr>eu.europa.europarl-DIN1-2025-0000090184_02.00-nl-01.00_text-xml</vt:lpwstr>
  </property>
</Properties>
</file>