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Odbor za ekonomske in monetarne zadeve</w:t>
      </w:r>
      <w:r>
        <w:rPr>
          <w:rStyle w:val="HideTWBExt"/>
        </w:rPr>
        <w:t>&lt;/Commission&gt;</w:t>
      </w:r>
    </w:p>
    <w:p>
      <w:pPr>
        <w:pStyle w:val="LineBottom"/>
      </w:pPr>
      <w:r>
        <w:t xml:space="preserve"> </w:t>
      </w:r>
    </w:p>
    <w:p>
      <w:pPr>
        <w:pStyle w:val="CoverReference"/>
      </w:pPr>
      <w:r>
        <w:rPr>
          <w:rStyle w:val="HideTWBExt"/>
        </w:rPr>
        <w:t>&lt;RefProc&gt;</w:t>
      </w:r>
      <w:r>
        <w:t>2025/0022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{02/05/2025}</w:t>
      </w:r>
      <w:r>
        <w:t>2.5.2025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10</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Johan Van Overtveldt</w:t>
      </w:r>
      <w:r>
        <w:rPr>
          <w:rStyle w:val="HideTWBExt"/>
        </w:rPr>
        <w:t>&lt;/Rapporteur&gt;</w:t>
      </w:r>
    </w:p>
    <w:p>
      <w:pPr>
        <w:pStyle w:val="CoverNormal24a"/>
      </w:pPr>
      <w:r>
        <w:rPr>
          <w:rStyle w:val="HideTWBExt"/>
        </w:rPr>
        <w:t>&lt;DocRefPE&gt;</w:t>
      </w:r>
      <w:r>
        <w:t>(PE770.091v01-00)</w:t>
      </w:r>
      <w:r>
        <w:rPr>
          <w:rStyle w:val="HideTWBExt"/>
        </w:rPr>
        <w:t>&lt;/DocRefPE&gt;</w:t>
      </w:r>
    </w:p>
    <w:p>
      <w:pPr>
        <w:pStyle w:val="CoverNormal24a"/>
      </w:pPr>
      <w:r>
        <w:rPr>
          <w:rStyle w:val="HideTWBExt"/>
        </w:rPr>
        <w:t>&lt;Titre&gt;</w:t>
      </w:r>
      <w:r>
        <w:t>Sprememba Uredbe (EU) št. 909/2014 glede krajšega cikla poravnave v Uniji</w:t>
      </w:r>
      <w:r>
        <w:rPr>
          <w:rStyle w:val="HideTWBExt"/>
        </w:rPr>
        <w:t>&lt;/Titre&gt;</w:t>
      </w:r>
    </w:p>
    <w:p>
      <w:pPr>
        <w:pStyle w:val="CoverNormal"/>
      </w:pPr>
      <w:r>
        <w:rPr>
          <w:rStyle w:val="HideTWBExt"/>
        </w:rPr>
        <w:t>&lt;DocAmend&gt;</w:t>
      </w:r>
      <w:r>
        <w:t>Predlog uredbe</w:t>
      </w:r>
      <w:r>
        <w:rPr>
          <w:rStyle w:val="HideTWBExt"/>
        </w:rPr>
        <w:t>&lt;/DocAmend&gt;</w:t>
      </w:r>
    </w:p>
    <w:p>
      <w:pPr>
        <w:pStyle w:val="CoverNormal24a"/>
      </w:pPr>
      <w:r>
        <w:rPr>
          <w:rStyle w:val="HideTWBExt"/>
        </w:rPr>
        <w:t>&lt;DocRef&gt;</w:t>
      </w:r>
      <w:r>
        <w:t>(COM(2025)0038 – 2025/0022(COD))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Daljša obdobja poravnave za posle s prenosljivimi vrednostnimi papirji povečujejo tveganja za stranke v poslu in zmanjšujejo možnosti kupcev in prodajalcev za sklepanje drugih poslov. Iz teh razlogov so številne jurisdikcije tretjih držav prešle na obdobje poravnave enega delovnega dne po izvedenem poslu (v nadaljnjem besedilu: T+1), so v postopku prehoda ali pa prehod načrtujejo. Vendar globalni prehod na krajša obdobja poravnave povzroča neskladja med finančnimi trgi Unije in svetovnimi finančnimi trgi. Te neusklajenosti se bodo le še povečale, ko bo več držav prešlo na poravnavo T+1 in se bodo povečali stroški, ki jih takšna neusklajenost povzroča udeležencem na trgu Unije.</w:t>
            </w:r>
          </w:p>
        </w:tc>
        <w:tc>
          <w:tcPr>
            <w:tcW w:w="4876" w:type="dxa"/>
            <w:tcBorders>
              <w:top w:val="nil"/>
              <w:left w:val="nil"/>
              <w:bottom w:val="nil"/>
              <w:right w:val="nil"/>
            </w:tcBorders>
          </w:tcPr>
          <w:p>
            <w:pPr>
              <w:pStyle w:val="Normal6a"/>
            </w:pPr>
            <w:r>
              <w:t>(2)</w:t>
            </w:r>
            <w:r>
              <w:tab/>
            </w:r>
            <w:r>
              <w:t xml:space="preserve">Daljša obdobja poravnave za posle s prenosljivimi vrednostnimi papirji povečujejo tveganja za stranke v poslu in zmanjšujejo možnosti kupcev in prodajalcev za sklepanje drugih poslov. Iz teh razlogov so številne jurisdikcije tretjih držav prešle na obdobje poravnave enega delovnega dne po izvedenem poslu (v nadaljnjem besedilu: T+1), so v postopku prehoda ali pa prehod načrtujejo. Vendar globalni prehod na krajša obdobja poravnave povzroča neskladja med finančnimi trgi Unije in svetovnimi finančnimi trgi. Te neusklajenosti se bodo le še povečale, ko bo več držav prešlo na poravnavo T+1 in se bodo povečali stroški, ki jih takšna neusklajenost povzroča udeležencem na trgu Unije. </w:t>
            </w:r>
            <w:r>
              <w:rPr>
                <w:b/>
                <w:i/>
              </w:rPr>
              <w:t>Poleg tega je bil na nekaterih pomembnih mednarodnih trgih cikel poravnave že dodatno skrajšan na T+0, infrastruktura Evropske centralne banke Target2-Securities pa celo deluje v realnem času.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Krajši cikli poravnave bi lahko privedli do bolj zapletenega upravljanja denarnih sredstev za trgovce s komponento tujih valut, saj trgi tujih valut delujejo na dvodnevni poravnavi.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Krajši cikli poravnave skrajšajo obdobje za odpravo napak pri obdelavi, vključno s krajšim obdobjem za pridobivanje likvidnosti s trga posojanja vrednostnih papirjev za kritje kratkih pozicij, kar bi lahko zlasti vplivalo na manj likvidne delnice in prodaje na kratko, do katerih pride pozno v trgovalnem dnevu.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Vendar bi v času prilagajanja trga novi krajši ureditvi poravnave na začetku lahko prišlo do porasta zapoznelih in neuspešnih poslov, kar pomeni resno likvidnostno tveganje in bi znatno povečalo stroške.</w:t>
            </w:r>
            <w:r>
              <w:t xml:space="preserve"> </w:t>
            </w:r>
            <w:r>
              <w:rPr>
                <w:b/>
                <w:i/>
              </w:rPr>
              <w:t>To bi lahko privedlo do regulativnih glob v skladu z uredbo o centralnih depotnih družbah in kaznovalnih stroškov odkupa, ki bi jih naložile klirinške družbe in ki bi jih ponudniki likvidnosti nadomestili z navajanjem širših cen, kar bi bilo v nasprotju s ciljem povečanja konkurenčnosti evropskih kapitalskih trgov.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Zato je primerno uvesti ciljno usmerjeno spremembo Uredbe (EU) št. 909/2014, da se sedanji obvezni cikel poravnave skrajša na en dan po izvedenem poslu. </w:t>
            </w:r>
            <w:r>
              <w:rPr>
                <w:b/>
                <w:i/>
              </w:rPr>
              <w:t>Tako</w:t>
            </w:r>
            <w:r>
              <w:t xml:space="preserve"> skrajšanje cikla poravnave centralnim depotnim družbam ne bi preprečilo, da prostovoljno poravnajo posle na isti datum, kot je datum sklenitve posla, če </w:t>
            </w:r>
            <w:r>
              <w:rPr>
                <w:b/>
                <w:i/>
              </w:rPr>
              <w:t>imajo</w:t>
            </w:r>
            <w:r>
              <w:t xml:space="preserve"> tehnološko </w:t>
            </w:r>
            <w:r>
              <w:rPr>
                <w:b/>
                <w:i/>
              </w:rPr>
              <w:t>zmogljivost za to</w:t>
            </w:r>
            <w:r>
              <w:t>.</w:t>
            </w:r>
          </w:p>
        </w:tc>
        <w:tc>
          <w:tcPr>
            <w:tcW w:w="4876" w:type="dxa"/>
            <w:tcBorders>
              <w:top w:val="nil"/>
              <w:left w:val="nil"/>
              <w:bottom w:val="nil"/>
              <w:right w:val="nil"/>
            </w:tcBorders>
          </w:tcPr>
          <w:p>
            <w:pPr>
              <w:pStyle w:val="Normal6a"/>
            </w:pPr>
            <w:r>
              <w:t>(4)</w:t>
            </w:r>
            <w:r>
              <w:tab/>
            </w:r>
            <w:r>
              <w:t xml:space="preserve">Zato je primerno uvesti ciljno usmerjeno spremembo Uredbe (EU) št. 909/2014, da se sedanji obvezni cikel poravnave skrajša na en dan po izvedenem poslu. </w:t>
            </w:r>
            <w:r>
              <w:rPr>
                <w:b/>
                <w:i/>
              </w:rPr>
              <w:t>Ta obvezni cikel poravnave ne bi smel veljati za posle financiranja z vrednostnimi papirji, kot so opredeljeni v členu 3(11) Uredbe (EU) 2015/2365 zaradi nestandardizirane narave te vrste posla.</w:t>
            </w:r>
            <w:r>
              <w:t xml:space="preserve"> Skrajšanje cikla poravnave centralnim depotnim družbam ne bi preprečilo, da prostovoljno poravnajo posle na isti datum, kot je datum sklenitve posla, če </w:t>
            </w:r>
            <w:r>
              <w:rPr>
                <w:b/>
                <w:i/>
              </w:rPr>
              <w:t>je to</w:t>
            </w:r>
            <w:r>
              <w:t xml:space="preserve"> tehnološko </w:t>
            </w:r>
            <w:r>
              <w:rPr>
                <w:b/>
                <w:i/>
              </w:rPr>
              <w:t>izvedljivo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Posli financiranja z vrednostnimi papirji udeležencem na trgu omogočajo prožno upravljanje njihovih likvidnostnih potreb in potreb po financiranju.</w:t>
            </w:r>
            <w:r>
              <w:t xml:space="preserve"> </w:t>
            </w:r>
            <w:r>
              <w:rPr>
                <w:b/>
                <w:i/>
              </w:rPr>
              <w:t>Tržni trendi kažejo na vse večjo uporabo te vrste poslov na mestih trgovanja.</w:t>
            </w:r>
            <w:r>
              <w:t xml:space="preserve"> </w:t>
            </w:r>
            <w:r>
              <w:rPr>
                <w:b/>
                <w:i/>
              </w:rPr>
              <w:t>Glede na nestandardizirano naravo te vrste posla in zlasti nestandardiziranih obdobij poravnave, o katerih se bodo stranke v takih poslih morda morale dogovoriti, da bi dosegle svoje cilje, in da se prepreči odvračanje od njihovega izvrševanja na mestih trgovanja, bi bilo treba te posle izvzeti iz zahteve glede cikla poravnave T+1.</w:t>
            </w:r>
            <w:r>
              <w:t xml:space="preserve"> </w:t>
            </w:r>
            <w:r>
              <w:rPr>
                <w:b/>
                <w:i/>
              </w:rPr>
              <w:t>Vendar bi bilo treba v zvezi s posli nakupa in ponovne prodaje ter prodaje in ponovnega nakupa, da se prepreči tveganje izogibanja zahtevi glede cikla poravnave T+1, izvzetje uporabljati le, če so ti posli dokumentirani kot ena sama operacija, sestavljena iz dveh povezanih poslov.</w:t>
            </w:r>
            <w:r>
              <w:t xml:space="preserve"> </w:t>
            </w:r>
            <w:r>
              <w:rPr>
                <w:b/>
                <w:i/>
              </w:rPr>
              <w:t>Nedokumentirane posle nakupa in ponovne prodaje ter prodaje in ponovnega nakupa bi bilo treba obravnavati kot redne posle z vrednostnimi papirji, zato bi zanje morala veljati zahteva glede cikla poravnave T+1.</w:t>
            </w:r>
            <w:r>
              <w:t xml:space="preserve"> </w:t>
            </w:r>
            <w:r>
              <w:rPr>
                <w:b/>
                <w:i/>
              </w:rPr>
              <w:t>Poleg tega so posli kreditiranja za povečanje trgovalnega portfelja že izključeni iz področja uporabe zahteve, saj ne vključujejo poslov s prenosljivimi vrednostnimi papirji, zato ne spadajo na področje uporabe Uredbe (EU) št. 909/2014.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Uredba (EU) št. 909/2014 določa različne ukrepe za obravnavanje neuspešnih poravnav, vključno z denarnimi kaznimi, naloženimi neuspešnim udeležencem.</w:t>
            </w:r>
            <w:r>
              <w:t xml:space="preserve"> </w:t>
            </w:r>
            <w:r>
              <w:rPr>
                <w:b/>
                <w:i/>
              </w:rPr>
              <w:t>Izračun teh denarnih kazni je določen s parametri, določenimi v Delegirani uredbi Komisije (EU) 2017/389</w:t>
            </w:r>
            <w:r>
              <w:rPr>
                <w:b/>
                <w:i/>
                <w:vertAlign w:val="superscript"/>
              </w:rPr>
              <w:t>1a</w:t>
            </w:r>
            <w:r>
              <w:rPr>
                <w:b/>
                <w:i/>
              </w:rPr>
              <w:t>.</w:t>
            </w:r>
            <w:r>
              <w:t xml:space="preserve"> </w:t>
            </w:r>
            <w:r>
              <w:rPr>
                <w:b/>
                <w:i/>
              </w:rPr>
              <w:t>Pričakuje se, da bo Komisija spremljala razvoj trga in pripravljenost industrije za uskladitev s poravnavo T+1 ter ustrezno preučila, ali obstaja znatno tveganje, da bi prehod s cikla poravnave T+2 na cikel poravnave T+1 povzročil bistveno povečanje neuspešnih poravnav.</w:t>
            </w:r>
            <w:r>
              <w:t xml:space="preserve"> </w:t>
            </w:r>
            <w:r>
              <w:rPr>
                <w:b/>
                <w:i/>
              </w:rPr>
              <w:t>Kadar se ugotovi tako tveganje, lahko Komisija po potrebi razmisli o ustrezni začasni prilagoditvi Delegirane uredbe (EU) 2017/389 ali sprejetju drugega ustreznega ukrepa v okviru pooblastil iz Uredbe (EU) št. 909/2014.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Delegirana uredba Komisije (EU) 2017/389 z dne 11. novembra 2016 o dopolnitvi Uredbe (EU) št. 909/2014 Evropskega parlamenta in Sveta v zvezi s parametri za izračun denarnih kazni za neuspešne poravnave in dejavnostmi CDD v državah članicah gostiteljicah (UL L 65, 10.3.2017, str.</w:t>
            </w:r>
            <w:r>
              <w:t xml:space="preserve"> </w:t>
            </w:r>
            <w:r>
              <w:rPr>
                <w:b/>
                <w:i/>
              </w:rPr>
              <w:t>1, ELI: http://data.europa.eu/eli/reg_del/2017/389/oj).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Komisija bi morala nadalje preučiti izvedljivost skrajšanja cikla poravnave v prihodnosti na T+0.</w:t>
            </w:r>
            <w:r>
              <w:t xml:space="preserve"> </w:t>
            </w:r>
            <w:r>
              <w:rPr>
                <w:b/>
                <w:i/>
              </w:rPr>
              <w:t>Zato bi morala to uredbo pregledati najpozneje 36 mesecev po začetku njene veljavnosti, da se zagotovi usklajenost ureditve in tržnih infrastruktur v Uniji z vse večjim obsegom in hitrostjo svetovnih finančnih trgov ter primeri dobre prakse v drugih mednarodnih regulativnih ureditvah.</w:t>
            </w:r>
            <w:r>
              <w:t xml:space="preserve"> </w:t>
            </w:r>
            <w:r>
              <w:rPr>
                <w:b/>
                <w:i/>
              </w:rPr>
              <w:t>Cikel poravnave T+0 je že tehnično izvedljiv in bi ga lahko dodatno olajšale inovacije, kot je tehnologija razpršene evidence, ob hkratnem zagotavljanju varnosti podatkov in preglednosti.</w:t>
            </w:r>
            <w:r>
              <w:t xml:space="preserve"> </w:t>
            </w:r>
            <w:r>
              <w:rPr>
                <w:b/>
                <w:i/>
              </w:rPr>
              <w:t>Nadaljnje skrajšanje cikla poravnave bi zmanjšalo tveganje nezakonitih in tajnih trgovinskih shem, kot je „stripping“ dividend („Cum-Ex“).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p>
      <w:r>
        <w:rPr>
          <w:rStyle w:val="HideTWBExt"/>
        </w:rPr>
        <w:t>&lt;DocAmend2&gt;</w:t>
      </w:r>
      <w:r>
        <w:t>Uredba (EU) št. 909/2014</w:t>
      </w:r>
      <w:r>
        <w:rPr>
          <w:rStyle w:val="HideTWBExt"/>
        </w:rPr>
        <w:t>&lt;/DocAmend2&gt;</w:t>
      </w:r>
    </w:p>
    <w:p>
      <w:r>
        <w:rPr>
          <w:rStyle w:val="HideTWBExt"/>
        </w:rPr>
        <w:t>&lt;Article2&gt;</w:t>
      </w:r>
      <w:r>
        <w:t>Člen 5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 poslih s prenosljivimi vrednostnimi papirji iz odstavka 1, ki se izvedejo na mestih trgovanja, je načrtovani datum poravnave najpozneje prvi delovni dan po izvedenem poslu. Ta zahteva se ne uporablja za </w:t>
            </w:r>
            <w:r>
              <w:rPr>
                <w:b/>
                <w:i/>
              </w:rPr>
              <w:t>posle, ki so sicer izpogajani zasebno, a se izvedejo na mestu trgovanja, za posle, ki so sicer izvedeni dvostransko, a se o njih poroča na mestu trgovanja, niti za prvi posel, pri katerem so zadevni prenosljivi vrednostni papirji predmet začetnega evidentiranja v nematerializirani obliki v skladu s členom 3(2)..</w:t>
            </w:r>
          </w:p>
        </w:tc>
        <w:tc>
          <w:tcPr>
            <w:tcW w:w="4876" w:type="dxa"/>
            <w:tcBorders>
              <w:top w:val="nil"/>
              <w:left w:val="nil"/>
              <w:bottom w:val="nil"/>
              <w:right w:val="nil"/>
            </w:tcBorders>
          </w:tcPr>
          <w:p>
            <w:pPr>
              <w:pStyle w:val="Normal6a"/>
            </w:pPr>
            <w:r>
              <w:t>2.</w:t>
            </w:r>
            <w:r>
              <w:tab/>
            </w:r>
            <w:r>
              <w:t>Pri poslih s prenosljivimi vrednostnimi papirji iz odstavka 1, ki se izvedejo na mestih trgovanja, je načrtovani datum poravnave najpozneje prvi delovni dan po izvedenem poslu. Ta zahteva se ne uporablja za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posle, ki so sicer izpogajani zasebno, a se izvedejo na mestu trgovanja,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posle, ki so sicer izvedeni dvostransko, a se o njih poroča na mestu trgovanja,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prvi posel, pri katerem so zadevni prenosljivi vrednostni papirji predmet začetnega evidentiranja v nematerializirani obliki v skladu s členom 3(2),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posle financiranja z vrednostnimi papirji, kot so opredeljeni v členu 3, točka 11, Uredbe (EU) 2015/2365 Evropskega parlamenta in Sveta</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Uredba (EU) 2015/2365 Evropskega parlamenta in Sveta z dne 25. novembra 2015 o preglednosti poslov financiranja z vrednostnimi papirji in ponovne uporabe ter spremembi Uredbe (EU) št. 648/2012 (UL L 337, 23.12.2015, str. </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Izvzetje poslov financiranja z vrednostnimi papirji iz področja uporabe zahteve T+1.</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p>
      <w:r>
        <w:rPr>
          <w:rStyle w:val="HideTWBExt"/>
        </w:rPr>
        <w:t>&lt;DocAmend2&gt;</w:t>
      </w:r>
      <w:r>
        <w:t>Uredba (EU) št. 909/2014</w:t>
      </w:r>
      <w:r>
        <w:rPr>
          <w:rStyle w:val="HideTWBExt"/>
        </w:rPr>
        <w:t>&lt;/DocAmend2&gt;</w:t>
      </w:r>
    </w:p>
    <w:p>
      <w:r>
        <w:rPr>
          <w:rStyle w:val="HideTWBExt"/>
        </w:rPr>
        <w:t>&lt;Article2&gt;</w:t>
      </w:r>
      <w:r>
        <w:t>Člen 5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 poslih s prenosljivimi vrednostnimi papirji iz odstavka 1, ki se izvedejo na mestih trgovanja, je načrtovani datum poravnave najpozneje prvi delovni dan po izvedenem poslu. Ta zahteva se ne uporablja za posle, ki so sicer izpogajani zasebno, a se izvedejo na mestu trgovanja, za posle, ki so sicer izvedeni dvostransko, a se o njih poroča na mestu trgovanja, niti za prvi posel, pri katerem so zadevni prenosljivi vrednostni papirji predmet začetnega evidentiranja v nematerializirani obliki v skladu s členom 3(2).</w:t>
            </w:r>
            <w:r>
              <w:rPr>
                <w:b/>
                <w:i/>
              </w:rPr>
              <w:t>.</w:t>
            </w:r>
          </w:p>
        </w:tc>
        <w:tc>
          <w:tcPr>
            <w:tcW w:w="4876" w:type="dxa"/>
            <w:tcBorders>
              <w:top w:val="nil"/>
              <w:left w:val="nil"/>
              <w:bottom w:val="nil"/>
              <w:right w:val="nil"/>
            </w:tcBorders>
          </w:tcPr>
          <w:p>
            <w:pPr>
              <w:pStyle w:val="Normal6a"/>
            </w:pPr>
            <w:r>
              <w:t>2.</w:t>
            </w:r>
            <w:r>
              <w:tab/>
            </w:r>
            <w:r>
              <w:t xml:space="preserve">Pri poslih s prenosljivimi vrednostnimi papirji iz odstavka 1, ki se izvedejo na mestih trgovanja, je načrtovani datum poravnave najpozneje prvi delovni dan po izvedenem poslu. Ta zahteva se ne uporablja za posle </w:t>
            </w:r>
            <w:r>
              <w:rPr>
                <w:b/>
                <w:i/>
              </w:rPr>
              <w:t>financiranja z vrednostnimi papirji, kot so opredeljeni v členu 3, točka 11, Uredbe (EU) 2015/2365</w:t>
            </w:r>
            <w:r>
              <w:rPr>
                <w:b/>
                <w:i/>
                <w:vertAlign w:val="superscript"/>
              </w:rPr>
              <w:t>1a</w:t>
            </w:r>
            <w:r>
              <w:rPr>
                <w:b/>
                <w:i/>
              </w:rPr>
              <w:t>, za posle</w:t>
            </w:r>
            <w:r>
              <w:t>, ki so sicer izpogajani zasebno, a se izvedejo na mestu trgovanja, za posle, ki so sicer izvedeni dvostransko, a se o njih poroča na mestu trgovanja, niti za prvi posel, pri katerem so zadevni prenosljivi vrednostni papirji predmet začetnega evidentiranja v nematerializirani obliki v skladu s členom 3(2).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2015/2365 Evropskega parlamenta in Sveta z dne 25. novembra 2015 o preglednosti poslov financiranja z vrednostnimi papirji in ponovne uporabe ter spremembi Uredbe (EU) št. 648/2012 (UL L 337, 23.12.2015, str. </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773.076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AM\1319740SL.docx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AM\1319740SL.docx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AM\1319740SL.docx</w:t>
    </w:r>
    <w:r>
      <w:rPr>
        <w:rStyle w:val="HideTWBExt"/>
      </w:rPr>
      <w:t>&lt;/PathFdR&gt;</w:t>
    </w:r>
    <w:r>
      <w:tab/>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1672</Words>
  <Characters>9674</Characters>
  <Application>Microsoft Office Word</Application>
  <DocSecurity>0</DocSecurity>
  <Lines>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1319740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176803</vt:lpwstr>
  </property>
  <property fmtid="{D5CDD505-2E9C-101B-9397-08002B2CF9AE}" pid="7" name="dmxml.render.traceId">
    <vt:lpwstr>681b5b349b81e56d2102d20568a842cf</vt:lpwstr>
  </property>
  <property fmtid="{D5CDD505-2E9C-101B-9397-08002B2CF9AE}" pid="8" name="FooterPath">
    <vt:lpwstr>AM\1319740SL.docx</vt:lpwstr>
  </property>
  <property fmtid="{D5CDD505-2E9C-101B-9397-08002B2CF9AE}" pid="9" name="PE Number">
    <vt:lpwstr>773.076</vt:lpwstr>
  </property>
  <property fmtid="{D5CDD505-2E9C-101B-9397-08002B2CF9AE}" pid="10" name="UID">
    <vt:lpwstr>eu.europa.europarl-DIN1-2025-0000090184_02.00-sl-01.00_text-xml</vt:lpwstr>
  </property>
</Properties>
</file>