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FD5DEA" w:rsidRPr="001A4499" w:rsidTr="00C4069E">
        <w:trPr>
          <w:trHeight w:hRule="exact" w:val="1418"/>
        </w:trPr>
        <w:tc>
          <w:tcPr>
            <w:tcW w:w="6804" w:type="dxa"/>
            <w:shd w:val="clear" w:color="auto" w:fill="auto"/>
            <w:vAlign w:val="center"/>
          </w:tcPr>
          <w:p w:rsidR="005E5FA1" w:rsidRPr="001A4499" w:rsidRDefault="00FF5B9D" w:rsidP="00C4069E">
            <w:pPr>
              <w:pStyle w:val="EPName"/>
            </w:pPr>
            <w:r w:rsidRPr="001A4499">
              <w:t>Parlamento europeo</w:t>
            </w:r>
          </w:p>
          <w:p w:rsidR="005E5FA1" w:rsidRPr="001A4499" w:rsidRDefault="00FF5B9D" w:rsidP="004B3808">
            <w:pPr>
              <w:pStyle w:val="EPTerm"/>
            </w:pPr>
            <w:r w:rsidRPr="001A4499">
              <w:t>2024-2029</w:t>
            </w:r>
          </w:p>
        </w:tc>
        <w:tc>
          <w:tcPr>
            <w:tcW w:w="2268" w:type="dxa"/>
            <w:shd w:val="clear" w:color="auto" w:fill="auto"/>
          </w:tcPr>
          <w:p w:rsidR="005E5FA1" w:rsidRPr="001A4499" w:rsidRDefault="00FF5B9D" w:rsidP="00C4069E">
            <w:pPr>
              <w:pStyle w:val="EPLogo"/>
            </w:pPr>
            <w:r w:rsidRPr="001A4499">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CF4E9D" w:rsidRPr="001A4499" w:rsidRDefault="00CF4E9D" w:rsidP="00CF4E9D">
      <w:pPr>
        <w:pStyle w:val="LineTop"/>
      </w:pPr>
    </w:p>
    <w:p w:rsidR="00CF4E9D" w:rsidRPr="001A4499" w:rsidRDefault="00FF5B9D" w:rsidP="00CF4E9D">
      <w:pPr>
        <w:pStyle w:val="EPBody"/>
      </w:pPr>
      <w:r w:rsidRPr="001A4499">
        <w:rPr>
          <w:rStyle w:val="HideTWBExt"/>
          <w:color w:val="auto"/>
        </w:rPr>
        <w:t>&lt;</w:t>
      </w:r>
      <w:r w:rsidRPr="001A4499">
        <w:rPr>
          <w:rStyle w:val="HideTWBExt"/>
          <w:i w:val="0"/>
          <w:color w:val="auto"/>
        </w:rPr>
        <w:t>Commission</w:t>
      </w:r>
      <w:r w:rsidRPr="001A4499">
        <w:rPr>
          <w:rStyle w:val="HideTWBExt"/>
          <w:color w:val="auto"/>
        </w:rPr>
        <w:t>&gt;</w:t>
      </w:r>
      <w:r w:rsidRPr="001A4499">
        <w:rPr>
          <w:rStyle w:val="HideTWBInt"/>
          <w:color w:val="auto"/>
        </w:rPr>
        <w:t>{ECON}</w:t>
      </w:r>
      <w:r w:rsidRPr="001A4499">
        <w:t>Commissione per i problemi economici e monetari</w:t>
      </w:r>
      <w:r w:rsidRPr="001A4499">
        <w:rPr>
          <w:rStyle w:val="HideTWBExt"/>
          <w:color w:val="auto"/>
        </w:rPr>
        <w:t>&lt;/</w:t>
      </w:r>
      <w:r w:rsidRPr="001A4499">
        <w:rPr>
          <w:rStyle w:val="HideTWBExt"/>
          <w:i w:val="0"/>
          <w:color w:val="auto"/>
        </w:rPr>
        <w:t>Commission</w:t>
      </w:r>
      <w:r w:rsidRPr="001A4499">
        <w:rPr>
          <w:rStyle w:val="HideTWBExt"/>
          <w:color w:val="auto"/>
        </w:rPr>
        <w:t>&gt;</w:t>
      </w:r>
    </w:p>
    <w:p w:rsidR="00CF4E9D" w:rsidRPr="001A4499" w:rsidRDefault="00CF4E9D" w:rsidP="00CF4E9D">
      <w:pPr>
        <w:pStyle w:val="LineBottom"/>
      </w:pPr>
    </w:p>
    <w:p w:rsidR="00794E41" w:rsidRPr="001A4499" w:rsidRDefault="00FF5B9D" w:rsidP="00794E41">
      <w:pPr>
        <w:pStyle w:val="CoverReference"/>
      </w:pPr>
      <w:r w:rsidRPr="001A4499">
        <w:rPr>
          <w:rStyle w:val="HideTWBExt"/>
          <w:b w:val="0"/>
          <w:color w:val="auto"/>
        </w:rPr>
        <w:t>&lt;RefProc&gt;</w:t>
      </w:r>
      <w:r w:rsidRPr="001A4499">
        <w:t>2024/2118</w:t>
      </w:r>
      <w:r w:rsidRPr="001A4499">
        <w:rPr>
          <w:rStyle w:val="HideTWBExt"/>
          <w:b w:val="0"/>
          <w:color w:val="auto"/>
        </w:rPr>
        <w:t>&lt;/RefProc&gt;&lt;RefTypeProc&gt;</w:t>
      </w:r>
      <w:r w:rsidRPr="001A4499">
        <w:t>(INI)</w:t>
      </w:r>
      <w:r w:rsidRPr="001A4499">
        <w:rPr>
          <w:rStyle w:val="HideTWBExt"/>
          <w:b w:val="0"/>
          <w:color w:val="auto"/>
        </w:rPr>
        <w:t>&lt;/RefTypeProc&gt;</w:t>
      </w:r>
    </w:p>
    <w:p w:rsidR="00794E41" w:rsidRPr="001A4499" w:rsidRDefault="00FF5B9D" w:rsidP="00794E41">
      <w:pPr>
        <w:pStyle w:val="CoverDate"/>
      </w:pPr>
      <w:r w:rsidRPr="001A4499">
        <w:rPr>
          <w:rStyle w:val="HideTWBExt"/>
          <w:color w:val="auto"/>
        </w:rPr>
        <w:t>&lt;Date&gt;</w:t>
      </w:r>
      <w:r w:rsidRPr="001A4499">
        <w:rPr>
          <w:rStyle w:val="HideTWBInt"/>
          <w:color w:val="auto"/>
        </w:rPr>
        <w:t>{02/05/2025}</w:t>
      </w:r>
      <w:r w:rsidRPr="001A4499">
        <w:t>2.5.2025</w:t>
      </w:r>
      <w:r w:rsidRPr="001A4499">
        <w:rPr>
          <w:rStyle w:val="HideTWBExt"/>
          <w:color w:val="auto"/>
        </w:rPr>
        <w:t>&lt;/Date&gt;</w:t>
      </w:r>
    </w:p>
    <w:p w:rsidR="00794E41" w:rsidRPr="001A4499" w:rsidRDefault="00FF5B9D" w:rsidP="00794E41">
      <w:pPr>
        <w:pStyle w:val="CoverDocType"/>
      </w:pPr>
      <w:r w:rsidRPr="001A4499">
        <w:rPr>
          <w:rStyle w:val="HideTWBExt"/>
          <w:b w:val="0"/>
          <w:color w:val="auto"/>
        </w:rPr>
        <w:t>&lt;TypeAM&gt;</w:t>
      </w:r>
      <w:r w:rsidRPr="001A4499">
        <w:t>EMENDAMENTI</w:t>
      </w:r>
      <w:r w:rsidRPr="001A4499">
        <w:rPr>
          <w:rStyle w:val="HideTWBExt"/>
          <w:b w:val="0"/>
          <w:color w:val="auto"/>
        </w:rPr>
        <w:t>&lt;/TypeAM&gt;</w:t>
      </w:r>
    </w:p>
    <w:p w:rsidR="00794E41" w:rsidRPr="001A4499" w:rsidRDefault="00FF5B9D" w:rsidP="00794E41">
      <w:pPr>
        <w:pStyle w:val="CoverDocType24a"/>
      </w:pPr>
      <w:r w:rsidRPr="001A4499">
        <w:rPr>
          <w:rStyle w:val="HideTWBExt"/>
          <w:b w:val="0"/>
          <w:color w:val="auto"/>
        </w:rPr>
        <w:t>&lt;RangeAM&gt;</w:t>
      </w:r>
      <w:r w:rsidRPr="001A4499">
        <w:t>1 - 245</w:t>
      </w:r>
      <w:r w:rsidRPr="001A4499">
        <w:rPr>
          <w:rStyle w:val="HideTWBExt"/>
          <w:b w:val="0"/>
          <w:color w:val="auto"/>
        </w:rPr>
        <w:t>&lt;/RangeAM&gt;</w:t>
      </w:r>
    </w:p>
    <w:p w:rsidR="00794E41" w:rsidRPr="001A4499" w:rsidRDefault="00FF5B9D" w:rsidP="007B1846">
      <w:pPr>
        <w:pStyle w:val="CoverBold"/>
      </w:pPr>
      <w:r w:rsidRPr="001A4499">
        <w:rPr>
          <w:rStyle w:val="HideTWBExt"/>
          <w:b w:val="0"/>
          <w:color w:val="auto"/>
        </w:rPr>
        <w:t>&lt;TitreType&gt;</w:t>
      </w:r>
      <w:r w:rsidRPr="001A4499">
        <w:t>Progetto di relazione</w:t>
      </w:r>
      <w:r w:rsidRPr="001A4499">
        <w:rPr>
          <w:rStyle w:val="HideTWBExt"/>
          <w:b w:val="0"/>
          <w:color w:val="auto"/>
        </w:rPr>
        <w:t>&lt;/TitreType&gt;</w:t>
      </w:r>
    </w:p>
    <w:p w:rsidR="00794E41" w:rsidRPr="001A4499" w:rsidRDefault="00FF5B9D" w:rsidP="007B1846">
      <w:pPr>
        <w:pStyle w:val="CoverBold"/>
      </w:pPr>
      <w:r w:rsidRPr="001A4499">
        <w:rPr>
          <w:rStyle w:val="HideTWBExt"/>
          <w:b w:val="0"/>
          <w:color w:val="auto"/>
        </w:rPr>
        <w:t>&lt;Rapporteur&gt;</w:t>
      </w:r>
      <w:r w:rsidRPr="001A4499">
        <w:t>Michalis Hadjipantela</w:t>
      </w:r>
      <w:r w:rsidRPr="001A4499">
        <w:rPr>
          <w:rStyle w:val="HideTWBExt"/>
          <w:b w:val="0"/>
          <w:color w:val="auto"/>
        </w:rPr>
        <w:t>&lt;/Rapporteur&gt;</w:t>
      </w:r>
    </w:p>
    <w:p w:rsidR="00794E41" w:rsidRPr="001A4499" w:rsidRDefault="00FF5B9D" w:rsidP="00794E41">
      <w:pPr>
        <w:pStyle w:val="CoverNormal24a"/>
      </w:pPr>
      <w:r w:rsidRPr="001A4499">
        <w:rPr>
          <w:rStyle w:val="HideTWBExt"/>
          <w:color w:val="auto"/>
        </w:rPr>
        <w:t>&lt;DocRefPE&gt;</w:t>
      </w:r>
      <w:r w:rsidRPr="001A4499">
        <w:t>(PE770.261v01-00)</w:t>
      </w:r>
      <w:r w:rsidRPr="001A4499">
        <w:rPr>
          <w:rStyle w:val="HideTWBExt"/>
          <w:color w:val="auto"/>
        </w:rPr>
        <w:t>&lt;/DocRefPE&gt;</w:t>
      </w:r>
    </w:p>
    <w:p w:rsidR="00794E41" w:rsidRPr="001A4499" w:rsidRDefault="00FF5B9D" w:rsidP="00794E41">
      <w:pPr>
        <w:pStyle w:val="CoverNormal"/>
      </w:pPr>
      <w:r w:rsidRPr="001A4499">
        <w:rPr>
          <w:rStyle w:val="HideTWBExt"/>
          <w:color w:val="auto"/>
        </w:rPr>
        <w:t>&lt;Titre&gt;</w:t>
      </w:r>
      <w:r w:rsidRPr="001A4499">
        <w:t>Il ruolo della semplicità delle norme fiscali e della frammentazione fiscale nella competitività europea</w:t>
      </w:r>
      <w:r w:rsidRPr="001A4499">
        <w:rPr>
          <w:rStyle w:val="HideTWBExt"/>
          <w:color w:val="auto"/>
        </w:rPr>
        <w:t>&lt;/Titre&gt;</w:t>
      </w:r>
    </w:p>
    <w:p w:rsidR="00794E41" w:rsidRPr="001A4499" w:rsidRDefault="00FF5B9D" w:rsidP="00794E41">
      <w:pPr>
        <w:pStyle w:val="CoverNormal24a"/>
      </w:pPr>
      <w:r w:rsidRPr="001A4499">
        <w:rPr>
          <w:rStyle w:val="HideTWBExt"/>
          <w:color w:val="auto"/>
        </w:rPr>
        <w:t>&lt;DocRef&gt;</w:t>
      </w:r>
      <w:r w:rsidRPr="001A4499">
        <w:t>(2024/2118(INI))</w:t>
      </w:r>
      <w:r w:rsidRPr="001A4499">
        <w:rPr>
          <w:rStyle w:val="HideTWBExt"/>
          <w:color w:val="auto"/>
        </w:rPr>
        <w:t>&lt;/DocRef&gt;</w:t>
      </w:r>
    </w:p>
    <w:p w:rsidR="00794E41" w:rsidRPr="001A4499" w:rsidRDefault="00FF5B9D" w:rsidP="008B040A">
      <w:pPr>
        <w:widowControl/>
        <w:tabs>
          <w:tab w:val="center" w:pos="4677"/>
        </w:tabs>
      </w:pPr>
      <w:r w:rsidRPr="001A4499">
        <w:br w:type="page"/>
      </w:r>
      <w:r w:rsidRPr="001A4499">
        <w:lastRenderedPageBreak/>
        <w:t>AM_Com_NonLegReport</w:t>
      </w:r>
    </w:p>
    <w:p w:rsidR="00794E41" w:rsidRPr="001A4499" w:rsidRDefault="00FF5B9D" w:rsidP="00D20070">
      <w:pPr>
        <w:pStyle w:val="AmNumberTabs"/>
        <w:keepNext/>
      </w:pPr>
      <w:r w:rsidRPr="001A4499">
        <w:br w:type="page"/>
      </w:r>
    </w:p>
    <w:p w:rsidR="00D20070" w:rsidRPr="001A4499" w:rsidRDefault="00FF5B9D" w:rsidP="00D20070">
      <w:pPr>
        <w:pStyle w:val="AmNumberTabs"/>
      </w:pPr>
      <w:r w:rsidRPr="001A4499">
        <w:rPr>
          <w:rStyle w:val="HideTWBExt"/>
          <w:color w:val="auto"/>
        </w:rPr>
        <w:lastRenderedPageBreak/>
        <w:t>&lt;RepeatBlock-Amend&gt;&lt;Amend&gt;</w:t>
      </w:r>
      <w:r w:rsidRPr="001A4499">
        <w:t>Emendamento</w:t>
      </w:r>
      <w:r w:rsidRPr="001A4499">
        <w:tab/>
      </w:r>
      <w:r w:rsidRPr="001A4499">
        <w:tab/>
      </w:r>
      <w:r w:rsidRPr="001A4499">
        <w:rPr>
          <w:rStyle w:val="HideTWBExt"/>
          <w:color w:val="auto"/>
        </w:rPr>
        <w:t>&lt;NumAm&gt;</w:t>
      </w:r>
      <w:r w:rsidRPr="001A4499">
        <w:t>1</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Pasquale Tridico, Jussi Saramo, Manon Aubry, Marc Botenga</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Visto 11 bis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w:t>
            </w:r>
            <w:r w:rsidRPr="001A4499">
              <w:tab/>
            </w:r>
            <w:r w:rsidRPr="001A4499">
              <w:rPr>
                <w:b/>
                <w:i/>
              </w:rPr>
              <w:t>vista la risoluzione 79/235 adottata dall'Assemblea generale delle Nazioni Unite il 24 dicembre 2024 sulla promozione di una cooperazione fiscale internazionale inclusiva ed efficace presso le Nazioni Unite,</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2FB1" w:rsidRPr="001A4499" w:rsidRDefault="00FF5B9D" w:rsidP="00D22FB1">
      <w:pPr>
        <w:pStyle w:val="AmNumberTabs"/>
      </w:pPr>
      <w:r w:rsidRPr="001A4499">
        <w:rPr>
          <w:rStyle w:val="HideTWBExt"/>
          <w:color w:val="auto"/>
        </w:rPr>
        <w:t>&lt;Amend</w:t>
      </w:r>
      <w:r w:rsidRPr="001A4499">
        <w:rPr>
          <w:rStyle w:val="HideTWBExt"/>
          <w:color w:val="auto"/>
        </w:rPr>
        <w:t>&gt;</w:t>
      </w:r>
      <w:r w:rsidRPr="001A4499">
        <w:t>Emendamento</w:t>
      </w:r>
      <w:r w:rsidRPr="001A4499">
        <w:tab/>
      </w:r>
      <w:r w:rsidRPr="001A4499">
        <w:tab/>
      </w:r>
      <w:r w:rsidRPr="001A4499">
        <w:rPr>
          <w:rStyle w:val="HideTWBExt"/>
          <w:color w:val="auto"/>
        </w:rPr>
        <w:t>&lt;NumAm&gt;</w:t>
      </w:r>
      <w:r w:rsidRPr="001A4499">
        <w:t>2</w:t>
      </w:r>
      <w:r w:rsidRPr="001A4499">
        <w:rPr>
          <w:rStyle w:val="HideTWBExt"/>
          <w:color w:val="auto"/>
        </w:rPr>
        <w:t>&lt;/NumAm&gt;</w:t>
      </w:r>
    </w:p>
    <w:p w:rsidR="00D22FB1" w:rsidRPr="001A4499" w:rsidRDefault="00FF5B9D" w:rsidP="00D22FB1">
      <w:pPr>
        <w:pStyle w:val="NormalBold"/>
      </w:pPr>
      <w:r w:rsidRPr="001A4499">
        <w:rPr>
          <w:rStyle w:val="HideTWBExt"/>
          <w:b w:val="0"/>
          <w:color w:val="auto"/>
        </w:rPr>
        <w:t>&lt;RepeatBlock-By&gt;&lt;Members&gt;</w:t>
      </w:r>
      <w:r w:rsidRPr="001A4499">
        <w:t>Pascal Canfin, Stéphanie Yon-Courtin</w:t>
      </w:r>
      <w:r w:rsidRPr="001A4499">
        <w:rPr>
          <w:rStyle w:val="HideTWBExt"/>
          <w:b w:val="0"/>
          <w:color w:val="auto"/>
        </w:rPr>
        <w:t>&lt;/Members&gt;</w:t>
      </w:r>
    </w:p>
    <w:p w:rsidR="00D22FB1" w:rsidRPr="001A4499" w:rsidRDefault="00FF5B9D" w:rsidP="00D22FB1">
      <w:pPr>
        <w:pStyle w:val="NormalBold"/>
      </w:pPr>
      <w:r w:rsidRPr="001A4499">
        <w:rPr>
          <w:rStyle w:val="HideTWBExt"/>
          <w:b w:val="0"/>
          <w:color w:val="auto"/>
        </w:rPr>
        <w:t>&lt;/RepeatBlock-By&gt;</w:t>
      </w:r>
    </w:p>
    <w:p w:rsidR="00D22FB1" w:rsidRPr="001A4499" w:rsidRDefault="00FF5B9D" w:rsidP="00D22FB1">
      <w:pPr>
        <w:pStyle w:val="NormalBold"/>
      </w:pPr>
      <w:r w:rsidRPr="001A4499">
        <w:rPr>
          <w:rStyle w:val="HideTWBExt"/>
          <w:color w:val="auto"/>
        </w:rPr>
        <w:t>&lt;DocAmend&gt;</w:t>
      </w:r>
      <w:r w:rsidRPr="001A4499">
        <w:t>Proposta di risoluzione</w:t>
      </w:r>
      <w:r w:rsidRPr="001A4499">
        <w:rPr>
          <w:rStyle w:val="HideTWBExt"/>
          <w:color w:val="auto"/>
        </w:rPr>
        <w:t>&lt;/DocAmend&gt;</w:t>
      </w:r>
    </w:p>
    <w:p w:rsidR="00D22FB1" w:rsidRPr="001A4499" w:rsidRDefault="00FF5B9D" w:rsidP="00D22FB1">
      <w:pPr>
        <w:pStyle w:val="NormalBold"/>
      </w:pPr>
      <w:r w:rsidRPr="001A4499">
        <w:rPr>
          <w:rStyle w:val="HideTWBExt"/>
          <w:color w:val="auto"/>
        </w:rPr>
        <w:t>&lt;Article&gt;</w:t>
      </w:r>
      <w:r w:rsidRPr="001A4499">
        <w:t>Visto 11 bis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C4069E">
        <w:trPr>
          <w:trHeight w:val="240"/>
          <w:jc w:val="center"/>
        </w:trPr>
        <w:tc>
          <w:tcPr>
            <w:tcW w:w="9752" w:type="dxa"/>
            <w:gridSpan w:val="2"/>
            <w:tcBorders>
              <w:top w:val="nil"/>
              <w:left w:val="nil"/>
              <w:bottom w:val="nil"/>
              <w:right w:val="nil"/>
            </w:tcBorders>
          </w:tcPr>
          <w:p w:rsidR="00D22FB1" w:rsidRPr="001A4499" w:rsidRDefault="00D22FB1" w:rsidP="00C4069E"/>
        </w:tc>
      </w:tr>
      <w:tr w:rsidR="001A4499" w:rsidRPr="001A4499" w:rsidTr="00C4069E">
        <w:trPr>
          <w:trHeight w:val="240"/>
          <w:jc w:val="center"/>
        </w:trPr>
        <w:tc>
          <w:tcPr>
            <w:tcW w:w="4876" w:type="dxa"/>
            <w:tcBorders>
              <w:top w:val="nil"/>
              <w:left w:val="nil"/>
              <w:bottom w:val="nil"/>
              <w:right w:val="nil"/>
            </w:tcBorders>
            <w:hideMark/>
          </w:tcPr>
          <w:p w:rsidR="00D22FB1" w:rsidRPr="001A4499" w:rsidRDefault="00FF5B9D" w:rsidP="00C4069E">
            <w:pPr>
              <w:pStyle w:val="AmColumnHeading"/>
            </w:pPr>
            <w:r w:rsidRPr="001A4499">
              <w:t>Proposta di risoluzione</w:t>
            </w:r>
          </w:p>
        </w:tc>
        <w:tc>
          <w:tcPr>
            <w:tcW w:w="4876" w:type="dxa"/>
            <w:tcBorders>
              <w:top w:val="nil"/>
              <w:left w:val="nil"/>
              <w:bottom w:val="nil"/>
              <w:right w:val="nil"/>
            </w:tcBorders>
            <w:hideMark/>
          </w:tcPr>
          <w:p w:rsidR="00D22FB1" w:rsidRPr="001A4499" w:rsidRDefault="00FF5B9D" w:rsidP="00C4069E">
            <w:pPr>
              <w:pStyle w:val="AmColumnHeading"/>
            </w:pPr>
            <w:r w:rsidRPr="001A4499">
              <w:t>Emendamento</w:t>
            </w:r>
          </w:p>
        </w:tc>
      </w:tr>
      <w:tr w:rsidR="001A4499" w:rsidRPr="001A4499" w:rsidTr="00C4069E">
        <w:trPr>
          <w:jc w:val="center"/>
        </w:trPr>
        <w:tc>
          <w:tcPr>
            <w:tcW w:w="4876" w:type="dxa"/>
            <w:tcBorders>
              <w:top w:val="nil"/>
              <w:left w:val="nil"/>
              <w:bottom w:val="nil"/>
              <w:right w:val="nil"/>
            </w:tcBorders>
          </w:tcPr>
          <w:p w:rsidR="00D22FB1" w:rsidRPr="001A4499" w:rsidRDefault="00D22FB1" w:rsidP="00C4069E">
            <w:pPr>
              <w:pStyle w:val="Normal6a"/>
            </w:pPr>
          </w:p>
        </w:tc>
        <w:tc>
          <w:tcPr>
            <w:tcW w:w="4876" w:type="dxa"/>
            <w:tcBorders>
              <w:top w:val="nil"/>
              <w:left w:val="nil"/>
              <w:bottom w:val="nil"/>
              <w:right w:val="nil"/>
            </w:tcBorders>
            <w:hideMark/>
          </w:tcPr>
          <w:p w:rsidR="00D22FB1" w:rsidRPr="001A4499" w:rsidRDefault="00FF5B9D" w:rsidP="00C4069E">
            <w:pPr>
              <w:pStyle w:val="Normal6a"/>
            </w:pPr>
            <w:r w:rsidRPr="001A4499">
              <w:rPr>
                <w:b/>
                <w:i/>
              </w:rPr>
              <w:t>–</w:t>
            </w:r>
            <w:r w:rsidRPr="001A4499">
              <w:tab/>
            </w:r>
            <w:r w:rsidRPr="001A4499">
              <w:rPr>
                <w:b/>
                <w:i/>
              </w:rPr>
              <w:t>viste la dichiarazione dei leader del G20 di Rio de Janeiro del 19 novembre 2024 e la dichiarazione ministeriale del G20 di Rio de Janeiro sulla cooperazione fiscale internazionale</w:t>
            </w:r>
            <w:r w:rsidRPr="001A4499">
              <w:rPr>
                <w:b/>
                <w:i/>
                <w:vertAlign w:val="superscript"/>
              </w:rPr>
              <w:t>1 bis</w:t>
            </w:r>
            <w:r w:rsidRPr="001A4499">
              <w:rPr>
                <w:b/>
                <w:i/>
              </w:rPr>
              <w:t>,</w:t>
            </w:r>
          </w:p>
        </w:tc>
      </w:tr>
      <w:tr w:rsidR="001A4499" w:rsidRPr="001A4499" w:rsidTr="00C4069E">
        <w:trPr>
          <w:jc w:val="center"/>
        </w:trPr>
        <w:tc>
          <w:tcPr>
            <w:tcW w:w="4876" w:type="dxa"/>
            <w:tcBorders>
              <w:top w:val="nil"/>
              <w:left w:val="nil"/>
              <w:bottom w:val="nil"/>
              <w:right w:val="nil"/>
            </w:tcBorders>
          </w:tcPr>
          <w:p w:rsidR="00D22FB1" w:rsidRPr="001A4499" w:rsidRDefault="00D22FB1" w:rsidP="00C4069E"/>
        </w:tc>
        <w:tc>
          <w:tcPr>
            <w:tcW w:w="4876" w:type="dxa"/>
            <w:tcBorders>
              <w:top w:val="nil"/>
              <w:left w:val="nil"/>
              <w:bottom w:val="nil"/>
              <w:right w:val="nil"/>
            </w:tcBorders>
            <w:hideMark/>
          </w:tcPr>
          <w:p w:rsidR="00D22FB1" w:rsidRPr="001A4499" w:rsidRDefault="00FF5B9D" w:rsidP="00C4069E">
            <w:pPr>
              <w:pStyle w:val="Normal6a"/>
            </w:pPr>
            <w:r w:rsidRPr="001A4499">
              <w:rPr>
                <w:b/>
                <w:i/>
              </w:rPr>
              <w:t>_________________</w:t>
            </w:r>
          </w:p>
        </w:tc>
      </w:tr>
      <w:tr w:rsidR="001A4499" w:rsidRPr="001A4499" w:rsidTr="00C4069E">
        <w:trPr>
          <w:jc w:val="center"/>
        </w:trPr>
        <w:tc>
          <w:tcPr>
            <w:tcW w:w="4876" w:type="dxa"/>
            <w:tcBorders>
              <w:top w:val="nil"/>
              <w:left w:val="nil"/>
              <w:bottom w:val="nil"/>
              <w:right w:val="nil"/>
            </w:tcBorders>
          </w:tcPr>
          <w:p w:rsidR="00D22FB1" w:rsidRPr="001A4499" w:rsidRDefault="00D22FB1" w:rsidP="00C4069E"/>
        </w:tc>
        <w:tc>
          <w:tcPr>
            <w:tcW w:w="4876" w:type="dxa"/>
            <w:tcBorders>
              <w:top w:val="nil"/>
              <w:left w:val="nil"/>
              <w:bottom w:val="nil"/>
              <w:right w:val="nil"/>
            </w:tcBorders>
            <w:hideMark/>
          </w:tcPr>
          <w:p w:rsidR="00D22FB1" w:rsidRPr="001A4499" w:rsidRDefault="00FF5B9D" w:rsidP="00C4069E">
            <w:pPr>
              <w:pStyle w:val="Normal6a"/>
            </w:pPr>
            <w:r w:rsidRPr="001A4499">
              <w:rPr>
                <w:b/>
                <w:i/>
                <w:vertAlign w:val="superscript"/>
              </w:rPr>
              <w:t>1 bis</w:t>
            </w:r>
            <w:r w:rsidRPr="001A4499">
              <w:t xml:space="preserve"> </w:t>
            </w:r>
            <w:r w:rsidRPr="001A4499">
              <w:rPr>
                <w:b/>
                <w:i/>
              </w:rPr>
              <w:t>https://g20.org/wp-content/uploads/2024/11/G20-Rio-de-Janeiro-Leaders-Declaration-EN.pdf</w:t>
            </w:r>
          </w:p>
        </w:tc>
      </w:tr>
    </w:tbl>
    <w:p w:rsidR="00D22FB1" w:rsidRPr="001A4499" w:rsidRDefault="00FF5B9D" w:rsidP="00D22FB1">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2FB1" w:rsidRPr="001A4499" w:rsidRDefault="00FF5B9D" w:rsidP="00D22FB1">
      <w:r w:rsidRPr="001A4499">
        <w:rPr>
          <w:rStyle w:val="HideTWBExt"/>
          <w:color w:val="auto"/>
        </w:rPr>
        <w:t>&lt;/Amend&gt;</w:t>
      </w:r>
    </w:p>
    <w:p w:rsidR="00D22FB1" w:rsidRPr="001A4499" w:rsidRDefault="00FF5B9D" w:rsidP="00D22FB1">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3</w:t>
      </w:r>
      <w:r w:rsidRPr="001A4499">
        <w:rPr>
          <w:rStyle w:val="HideTWBExt"/>
          <w:color w:val="auto"/>
        </w:rPr>
        <w:t>&lt;/NumAm&gt;</w:t>
      </w:r>
    </w:p>
    <w:p w:rsidR="00D22FB1" w:rsidRPr="001A4499" w:rsidRDefault="00FF5B9D" w:rsidP="00D22FB1">
      <w:pPr>
        <w:pStyle w:val="NormalBold"/>
      </w:pPr>
      <w:r w:rsidRPr="001A4499">
        <w:rPr>
          <w:rStyle w:val="HideTWBExt"/>
          <w:b w:val="0"/>
          <w:color w:val="auto"/>
        </w:rPr>
        <w:t>&lt;RepeatBlock-By&gt;&lt;Members&gt;</w:t>
      </w:r>
      <w:r w:rsidRPr="001A4499">
        <w:t>Fabio De Masi</w:t>
      </w:r>
      <w:r w:rsidRPr="001A4499">
        <w:rPr>
          <w:rStyle w:val="HideTWBExt"/>
          <w:b w:val="0"/>
          <w:color w:val="auto"/>
        </w:rPr>
        <w:t>&lt;/Members&gt;</w:t>
      </w:r>
    </w:p>
    <w:p w:rsidR="00D22FB1" w:rsidRPr="001A4499" w:rsidRDefault="00FF5B9D" w:rsidP="00D22FB1">
      <w:pPr>
        <w:pStyle w:val="NormalBold"/>
      </w:pPr>
      <w:r w:rsidRPr="001A4499">
        <w:rPr>
          <w:rStyle w:val="HideTWBExt"/>
          <w:b w:val="0"/>
          <w:color w:val="auto"/>
        </w:rPr>
        <w:t>&lt;/RepeatBlock-By&gt;</w:t>
      </w:r>
    </w:p>
    <w:p w:rsidR="00D22FB1" w:rsidRPr="001A4499" w:rsidRDefault="00FF5B9D" w:rsidP="00D22FB1">
      <w:pPr>
        <w:pStyle w:val="NormalBold"/>
      </w:pPr>
      <w:r w:rsidRPr="001A4499">
        <w:rPr>
          <w:rStyle w:val="HideTWBExt"/>
          <w:color w:val="auto"/>
        </w:rPr>
        <w:t>&lt;DocAmend&gt;</w:t>
      </w:r>
      <w:r w:rsidRPr="001A4499">
        <w:t>Proposta di</w:t>
      </w:r>
      <w:r w:rsidRPr="001A4499">
        <w:t xml:space="preserve"> risoluzione</w:t>
      </w:r>
      <w:r w:rsidRPr="001A4499">
        <w:rPr>
          <w:rStyle w:val="HideTWBExt"/>
          <w:color w:val="auto"/>
        </w:rPr>
        <w:t>&lt;/DocAmend&gt;</w:t>
      </w:r>
    </w:p>
    <w:p w:rsidR="00D22FB1" w:rsidRPr="001A4499" w:rsidRDefault="00FF5B9D" w:rsidP="00D22FB1">
      <w:pPr>
        <w:pStyle w:val="NormalBold"/>
      </w:pPr>
      <w:r w:rsidRPr="001A4499">
        <w:rPr>
          <w:rStyle w:val="HideTWBExt"/>
          <w:color w:val="auto"/>
        </w:rPr>
        <w:t>&lt;Article&gt;</w:t>
      </w:r>
      <w:r w:rsidRPr="001A4499">
        <w:t>Visto 11 bis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C4069E">
        <w:trPr>
          <w:trHeight w:val="240"/>
          <w:jc w:val="center"/>
        </w:trPr>
        <w:tc>
          <w:tcPr>
            <w:tcW w:w="9752" w:type="dxa"/>
            <w:gridSpan w:val="2"/>
            <w:tcBorders>
              <w:top w:val="nil"/>
              <w:left w:val="nil"/>
              <w:bottom w:val="nil"/>
              <w:right w:val="nil"/>
            </w:tcBorders>
          </w:tcPr>
          <w:p w:rsidR="00D22FB1" w:rsidRPr="001A4499" w:rsidRDefault="00D22FB1" w:rsidP="00C4069E"/>
        </w:tc>
      </w:tr>
      <w:tr w:rsidR="001A4499" w:rsidRPr="001A4499" w:rsidTr="00C4069E">
        <w:trPr>
          <w:trHeight w:val="240"/>
          <w:jc w:val="center"/>
        </w:trPr>
        <w:tc>
          <w:tcPr>
            <w:tcW w:w="4876" w:type="dxa"/>
            <w:tcBorders>
              <w:top w:val="nil"/>
              <w:left w:val="nil"/>
              <w:bottom w:val="nil"/>
              <w:right w:val="nil"/>
            </w:tcBorders>
            <w:hideMark/>
          </w:tcPr>
          <w:p w:rsidR="00D22FB1" w:rsidRPr="001A4499" w:rsidRDefault="00FF5B9D" w:rsidP="00C4069E">
            <w:pPr>
              <w:pStyle w:val="AmColumnHeading"/>
            </w:pPr>
            <w:r w:rsidRPr="001A4499">
              <w:lastRenderedPageBreak/>
              <w:t>Proposta di risoluzione</w:t>
            </w:r>
          </w:p>
        </w:tc>
        <w:tc>
          <w:tcPr>
            <w:tcW w:w="4876" w:type="dxa"/>
            <w:tcBorders>
              <w:top w:val="nil"/>
              <w:left w:val="nil"/>
              <w:bottom w:val="nil"/>
              <w:right w:val="nil"/>
            </w:tcBorders>
            <w:hideMark/>
          </w:tcPr>
          <w:p w:rsidR="00D22FB1" w:rsidRPr="001A4499" w:rsidRDefault="00FF5B9D" w:rsidP="00C4069E">
            <w:pPr>
              <w:pStyle w:val="AmColumnHeading"/>
            </w:pPr>
            <w:r w:rsidRPr="001A4499">
              <w:t>Emendamento</w:t>
            </w:r>
          </w:p>
        </w:tc>
      </w:tr>
      <w:tr w:rsidR="001A4499" w:rsidRPr="001A4499" w:rsidTr="00C4069E">
        <w:trPr>
          <w:jc w:val="center"/>
        </w:trPr>
        <w:tc>
          <w:tcPr>
            <w:tcW w:w="4876" w:type="dxa"/>
            <w:tcBorders>
              <w:top w:val="nil"/>
              <w:left w:val="nil"/>
              <w:bottom w:val="nil"/>
              <w:right w:val="nil"/>
            </w:tcBorders>
          </w:tcPr>
          <w:p w:rsidR="00D22FB1" w:rsidRPr="001A4499" w:rsidRDefault="00D22FB1" w:rsidP="00C4069E">
            <w:pPr>
              <w:pStyle w:val="Normal6a"/>
            </w:pPr>
          </w:p>
        </w:tc>
        <w:tc>
          <w:tcPr>
            <w:tcW w:w="4876" w:type="dxa"/>
            <w:tcBorders>
              <w:top w:val="nil"/>
              <w:left w:val="nil"/>
              <w:bottom w:val="nil"/>
              <w:right w:val="nil"/>
            </w:tcBorders>
            <w:hideMark/>
          </w:tcPr>
          <w:p w:rsidR="00D22FB1" w:rsidRPr="001A4499" w:rsidRDefault="00FF5B9D" w:rsidP="00C4069E">
            <w:pPr>
              <w:pStyle w:val="Normal6a"/>
            </w:pPr>
            <w:r w:rsidRPr="001A4499">
              <w:rPr>
                <w:b/>
                <w:i/>
              </w:rPr>
              <w:t>–</w:t>
            </w:r>
            <w:r w:rsidRPr="001A4499">
              <w:tab/>
            </w:r>
            <w:r w:rsidRPr="001A4499">
              <w:rPr>
                <w:b/>
                <w:i/>
              </w:rPr>
              <w:t>visto il piano per una tassazione effettiva minima coordinata per le persone con disponibilità patrimoniali molto ampie, del 25 giugno 2024, elaborato per la presidenza brasiliana del G20,</w:t>
            </w:r>
          </w:p>
        </w:tc>
      </w:tr>
    </w:tbl>
    <w:p w:rsidR="00D22FB1" w:rsidRPr="001A4499" w:rsidRDefault="00FF5B9D" w:rsidP="00D22FB1">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2FB1" w:rsidRPr="001A4499" w:rsidRDefault="00FF5B9D" w:rsidP="00D22FB1">
      <w:r w:rsidRPr="001A4499">
        <w:rPr>
          <w:rStyle w:val="HideTWBExt"/>
          <w:color w:val="auto"/>
        </w:rPr>
        <w:t>&lt;/Amend&gt;</w:t>
      </w:r>
    </w:p>
    <w:p w:rsidR="00D22FB1" w:rsidRPr="001A4499" w:rsidRDefault="00FF5B9D" w:rsidP="00D22FB1">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4</w:t>
      </w:r>
      <w:r w:rsidRPr="001A4499">
        <w:rPr>
          <w:rStyle w:val="HideTWBExt"/>
          <w:color w:val="auto"/>
        </w:rPr>
        <w:t>&lt;/NumAm&gt;</w:t>
      </w:r>
    </w:p>
    <w:p w:rsidR="00D22FB1" w:rsidRPr="001A4499" w:rsidRDefault="00FF5B9D" w:rsidP="00D22FB1">
      <w:pPr>
        <w:pStyle w:val="NormalBold"/>
      </w:pPr>
      <w:r w:rsidRPr="001A4499">
        <w:rPr>
          <w:rStyle w:val="HideTWBExt"/>
          <w:b w:val="0"/>
          <w:color w:val="auto"/>
        </w:rPr>
        <w:t>&lt;RepeatBlock-By&gt;&lt;Members&gt;</w:t>
      </w:r>
      <w:r w:rsidRPr="001A4499">
        <w:t>Fabio De Masi</w:t>
      </w:r>
      <w:r w:rsidRPr="001A4499">
        <w:rPr>
          <w:rStyle w:val="HideTWBExt"/>
          <w:b w:val="0"/>
          <w:color w:val="auto"/>
        </w:rPr>
        <w:t>&lt;/Members&gt;</w:t>
      </w:r>
    </w:p>
    <w:p w:rsidR="00D22FB1" w:rsidRPr="001A4499" w:rsidRDefault="00FF5B9D" w:rsidP="00D22FB1">
      <w:pPr>
        <w:pStyle w:val="NormalBold"/>
      </w:pPr>
      <w:r w:rsidRPr="001A4499">
        <w:rPr>
          <w:rStyle w:val="HideTWBExt"/>
          <w:b w:val="0"/>
          <w:color w:val="auto"/>
        </w:rPr>
        <w:t>&lt;/RepeatBlock-By&gt;</w:t>
      </w:r>
    </w:p>
    <w:p w:rsidR="00D22FB1" w:rsidRPr="001A4499" w:rsidRDefault="00FF5B9D" w:rsidP="00D22FB1">
      <w:pPr>
        <w:pStyle w:val="NormalBold"/>
      </w:pPr>
      <w:r w:rsidRPr="001A4499">
        <w:rPr>
          <w:rStyle w:val="HideTWBExt"/>
          <w:color w:val="auto"/>
        </w:rPr>
        <w:t>&lt;DocAmend&gt;</w:t>
      </w:r>
      <w:r w:rsidRPr="001A4499">
        <w:t>Proposta di risoluzione</w:t>
      </w:r>
      <w:r w:rsidRPr="001A4499">
        <w:rPr>
          <w:rStyle w:val="HideTWBExt"/>
          <w:color w:val="auto"/>
        </w:rPr>
        <w:t>&lt;/DocAmend&gt;</w:t>
      </w:r>
    </w:p>
    <w:p w:rsidR="00D22FB1" w:rsidRPr="001A4499" w:rsidRDefault="00FF5B9D" w:rsidP="00D22FB1">
      <w:pPr>
        <w:pStyle w:val="NormalBold"/>
      </w:pPr>
      <w:r w:rsidRPr="001A4499">
        <w:rPr>
          <w:rStyle w:val="HideTWBExt"/>
          <w:color w:val="auto"/>
        </w:rPr>
        <w:t>&lt;Article&gt;</w:t>
      </w:r>
      <w:r w:rsidRPr="001A4499">
        <w:t>Visto 11 ter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C4069E">
        <w:trPr>
          <w:trHeight w:val="240"/>
          <w:jc w:val="center"/>
        </w:trPr>
        <w:tc>
          <w:tcPr>
            <w:tcW w:w="9752" w:type="dxa"/>
            <w:gridSpan w:val="2"/>
            <w:tcBorders>
              <w:top w:val="nil"/>
              <w:left w:val="nil"/>
              <w:bottom w:val="nil"/>
              <w:right w:val="nil"/>
            </w:tcBorders>
          </w:tcPr>
          <w:p w:rsidR="00D22FB1" w:rsidRPr="001A4499" w:rsidRDefault="00D22FB1" w:rsidP="00C4069E"/>
        </w:tc>
      </w:tr>
      <w:tr w:rsidR="001A4499" w:rsidRPr="001A4499" w:rsidTr="00C4069E">
        <w:trPr>
          <w:trHeight w:val="240"/>
          <w:jc w:val="center"/>
        </w:trPr>
        <w:tc>
          <w:tcPr>
            <w:tcW w:w="4876" w:type="dxa"/>
            <w:tcBorders>
              <w:top w:val="nil"/>
              <w:left w:val="nil"/>
              <w:bottom w:val="nil"/>
              <w:right w:val="nil"/>
            </w:tcBorders>
            <w:hideMark/>
          </w:tcPr>
          <w:p w:rsidR="00D22FB1" w:rsidRPr="001A4499" w:rsidRDefault="00FF5B9D" w:rsidP="00C4069E">
            <w:pPr>
              <w:pStyle w:val="AmColumnHeading"/>
            </w:pPr>
            <w:r w:rsidRPr="001A4499">
              <w:t>Proposta di risoluzione</w:t>
            </w:r>
          </w:p>
        </w:tc>
        <w:tc>
          <w:tcPr>
            <w:tcW w:w="4876" w:type="dxa"/>
            <w:tcBorders>
              <w:top w:val="nil"/>
              <w:left w:val="nil"/>
              <w:bottom w:val="nil"/>
              <w:right w:val="nil"/>
            </w:tcBorders>
            <w:hideMark/>
          </w:tcPr>
          <w:p w:rsidR="00D22FB1" w:rsidRPr="001A4499" w:rsidRDefault="00FF5B9D" w:rsidP="00C4069E">
            <w:pPr>
              <w:pStyle w:val="AmColumnHeading"/>
            </w:pPr>
            <w:r w:rsidRPr="001A4499">
              <w:t>Emendamento</w:t>
            </w:r>
          </w:p>
        </w:tc>
      </w:tr>
      <w:tr w:rsidR="001A4499" w:rsidRPr="001A4499" w:rsidTr="00C4069E">
        <w:trPr>
          <w:jc w:val="center"/>
        </w:trPr>
        <w:tc>
          <w:tcPr>
            <w:tcW w:w="4876" w:type="dxa"/>
            <w:tcBorders>
              <w:top w:val="nil"/>
              <w:left w:val="nil"/>
              <w:bottom w:val="nil"/>
              <w:right w:val="nil"/>
            </w:tcBorders>
          </w:tcPr>
          <w:p w:rsidR="00D22FB1" w:rsidRPr="001A4499" w:rsidRDefault="00D22FB1" w:rsidP="00C4069E">
            <w:pPr>
              <w:pStyle w:val="Normal6a"/>
            </w:pPr>
          </w:p>
        </w:tc>
        <w:tc>
          <w:tcPr>
            <w:tcW w:w="4876" w:type="dxa"/>
            <w:tcBorders>
              <w:top w:val="nil"/>
              <w:left w:val="nil"/>
              <w:bottom w:val="nil"/>
              <w:right w:val="nil"/>
            </w:tcBorders>
            <w:hideMark/>
          </w:tcPr>
          <w:p w:rsidR="00D22FB1" w:rsidRPr="001A4499" w:rsidRDefault="00FF5B9D" w:rsidP="00C4069E">
            <w:pPr>
              <w:pStyle w:val="Normal6a"/>
            </w:pPr>
            <w:r w:rsidRPr="001A4499">
              <w:rPr>
                <w:b/>
                <w:i/>
              </w:rPr>
              <w:t>–</w:t>
            </w:r>
            <w:r w:rsidRPr="001A4499">
              <w:tab/>
            </w:r>
            <w:r w:rsidRPr="001A4499">
              <w:rPr>
                <w:b/>
                <w:i/>
              </w:rPr>
              <w:t>vista la dichiarazione dei leader del G20 di Rio de Janeiro del 19 novembre 2024,</w:t>
            </w:r>
          </w:p>
        </w:tc>
      </w:tr>
    </w:tbl>
    <w:p w:rsidR="00D22FB1" w:rsidRPr="001A4499" w:rsidRDefault="00FF5B9D" w:rsidP="00D22FB1">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2FB1" w:rsidRPr="001A4499" w:rsidRDefault="00FF5B9D" w:rsidP="00D22FB1">
      <w:r w:rsidRPr="001A4499">
        <w:rPr>
          <w:rStyle w:val="HideTWBExt"/>
          <w:color w:val="auto"/>
        </w:rPr>
        <w:t>&lt;/Amend&gt;</w:t>
      </w:r>
    </w:p>
    <w:p w:rsidR="003E552A" w:rsidRPr="001A4499" w:rsidRDefault="00FF5B9D" w:rsidP="003E552A">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5</w:t>
      </w:r>
      <w:r w:rsidRPr="001A4499">
        <w:rPr>
          <w:rStyle w:val="HideTWBExt"/>
          <w:color w:val="auto"/>
        </w:rPr>
        <w:t>&lt;/NumAm&gt;</w:t>
      </w:r>
    </w:p>
    <w:p w:rsidR="003E552A" w:rsidRPr="001A4499" w:rsidRDefault="00FF5B9D" w:rsidP="003E552A">
      <w:pPr>
        <w:pStyle w:val="NormalBold"/>
      </w:pPr>
      <w:r w:rsidRPr="001A4499">
        <w:rPr>
          <w:rStyle w:val="HideTWBExt"/>
          <w:b w:val="0"/>
          <w:color w:val="auto"/>
        </w:rPr>
        <w:t>&lt;RepeatBlock-By&gt;&lt;Members&gt;</w:t>
      </w:r>
      <w:r w:rsidRPr="001A4499">
        <w:t>Fabio De Masi</w:t>
      </w:r>
      <w:r w:rsidRPr="001A4499">
        <w:rPr>
          <w:rStyle w:val="HideTWBExt"/>
          <w:b w:val="0"/>
          <w:color w:val="auto"/>
        </w:rPr>
        <w:t>&lt;/Members&gt;</w:t>
      </w:r>
    </w:p>
    <w:p w:rsidR="003E552A" w:rsidRPr="001A4499" w:rsidRDefault="00FF5B9D" w:rsidP="003E552A">
      <w:pPr>
        <w:pStyle w:val="NormalBold"/>
      </w:pPr>
      <w:r w:rsidRPr="001A4499">
        <w:rPr>
          <w:rStyle w:val="HideTWBExt"/>
          <w:b w:val="0"/>
          <w:color w:val="auto"/>
        </w:rPr>
        <w:t>&lt;/RepeatBlock-By&gt;</w:t>
      </w:r>
    </w:p>
    <w:p w:rsidR="003E552A" w:rsidRPr="001A4499" w:rsidRDefault="00FF5B9D" w:rsidP="003E552A">
      <w:pPr>
        <w:pStyle w:val="NormalBold"/>
      </w:pPr>
      <w:r w:rsidRPr="001A4499">
        <w:rPr>
          <w:rStyle w:val="HideTWBExt"/>
          <w:color w:val="auto"/>
        </w:rPr>
        <w:t>&lt;DocAmend&gt;</w:t>
      </w:r>
      <w:r w:rsidRPr="001A4499">
        <w:t>Proposta di risoluzione</w:t>
      </w:r>
      <w:r w:rsidRPr="001A4499">
        <w:rPr>
          <w:rStyle w:val="HideTWBExt"/>
          <w:color w:val="auto"/>
        </w:rPr>
        <w:t>&lt;/DocAmend&gt;</w:t>
      </w:r>
    </w:p>
    <w:p w:rsidR="003E552A" w:rsidRPr="001A4499" w:rsidRDefault="00FF5B9D" w:rsidP="003E552A">
      <w:pPr>
        <w:pStyle w:val="NormalBold"/>
      </w:pPr>
      <w:r w:rsidRPr="001A4499">
        <w:rPr>
          <w:rStyle w:val="HideTWBExt"/>
          <w:color w:val="auto"/>
        </w:rPr>
        <w:t>&lt;Article&gt;</w:t>
      </w:r>
      <w:r w:rsidRPr="001A4499">
        <w:t>Visto 26 bis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C4069E">
        <w:trPr>
          <w:trHeight w:val="240"/>
          <w:jc w:val="center"/>
        </w:trPr>
        <w:tc>
          <w:tcPr>
            <w:tcW w:w="9752" w:type="dxa"/>
            <w:gridSpan w:val="2"/>
            <w:tcBorders>
              <w:top w:val="nil"/>
              <w:left w:val="nil"/>
              <w:bottom w:val="nil"/>
              <w:right w:val="nil"/>
            </w:tcBorders>
          </w:tcPr>
          <w:p w:rsidR="003E552A" w:rsidRPr="001A4499" w:rsidRDefault="003E552A" w:rsidP="00C4069E"/>
        </w:tc>
      </w:tr>
      <w:tr w:rsidR="001A4499" w:rsidRPr="001A4499" w:rsidTr="00C4069E">
        <w:trPr>
          <w:trHeight w:val="240"/>
          <w:jc w:val="center"/>
        </w:trPr>
        <w:tc>
          <w:tcPr>
            <w:tcW w:w="4876" w:type="dxa"/>
            <w:tcBorders>
              <w:top w:val="nil"/>
              <w:left w:val="nil"/>
              <w:bottom w:val="nil"/>
              <w:right w:val="nil"/>
            </w:tcBorders>
            <w:hideMark/>
          </w:tcPr>
          <w:p w:rsidR="003E552A" w:rsidRPr="001A4499" w:rsidRDefault="00FF5B9D" w:rsidP="00C4069E">
            <w:pPr>
              <w:pStyle w:val="AmColumnHeading"/>
            </w:pPr>
            <w:r w:rsidRPr="001A4499">
              <w:t>Proposta di risoluzione</w:t>
            </w:r>
          </w:p>
        </w:tc>
        <w:tc>
          <w:tcPr>
            <w:tcW w:w="4876" w:type="dxa"/>
            <w:tcBorders>
              <w:top w:val="nil"/>
              <w:left w:val="nil"/>
              <w:bottom w:val="nil"/>
              <w:right w:val="nil"/>
            </w:tcBorders>
            <w:hideMark/>
          </w:tcPr>
          <w:p w:rsidR="003E552A" w:rsidRPr="001A4499" w:rsidRDefault="00FF5B9D" w:rsidP="00C4069E">
            <w:pPr>
              <w:pStyle w:val="AmColumnHeading"/>
            </w:pPr>
            <w:r w:rsidRPr="001A4499">
              <w:t>Emendamento</w:t>
            </w:r>
          </w:p>
        </w:tc>
      </w:tr>
      <w:tr w:rsidR="001A4499" w:rsidRPr="001A4499" w:rsidTr="00C4069E">
        <w:trPr>
          <w:jc w:val="center"/>
        </w:trPr>
        <w:tc>
          <w:tcPr>
            <w:tcW w:w="4876" w:type="dxa"/>
            <w:tcBorders>
              <w:top w:val="nil"/>
              <w:left w:val="nil"/>
              <w:bottom w:val="nil"/>
              <w:right w:val="nil"/>
            </w:tcBorders>
          </w:tcPr>
          <w:p w:rsidR="003E552A" w:rsidRPr="001A4499" w:rsidRDefault="003E552A" w:rsidP="00C4069E">
            <w:pPr>
              <w:pStyle w:val="Normal6a"/>
            </w:pPr>
          </w:p>
        </w:tc>
        <w:tc>
          <w:tcPr>
            <w:tcW w:w="4876" w:type="dxa"/>
            <w:tcBorders>
              <w:top w:val="nil"/>
              <w:left w:val="nil"/>
              <w:bottom w:val="nil"/>
              <w:right w:val="nil"/>
            </w:tcBorders>
            <w:hideMark/>
          </w:tcPr>
          <w:p w:rsidR="003E552A" w:rsidRPr="001A4499" w:rsidRDefault="00FF5B9D" w:rsidP="00C4069E">
            <w:pPr>
              <w:pStyle w:val="Normal6a"/>
            </w:pPr>
            <w:r w:rsidRPr="001A4499">
              <w:rPr>
                <w:b/>
                <w:i/>
              </w:rPr>
              <w:t>–</w:t>
            </w:r>
            <w:r w:rsidRPr="001A4499">
              <w:tab/>
            </w:r>
            <w:r w:rsidRPr="001A4499">
              <w:rPr>
                <w:b/>
                <w:i/>
              </w:rPr>
              <w:t>vista la sua relazione del 25 novembre 2015 sulle decisioni anticipate in materia fiscale (tax ruling) e altre misure analoghe per natura o effetto (in base alle risultanze emerse dalla commissione speciale TAXE 1),</w:t>
            </w:r>
          </w:p>
        </w:tc>
      </w:tr>
    </w:tbl>
    <w:p w:rsidR="003E552A" w:rsidRPr="001A4499" w:rsidRDefault="00FF5B9D" w:rsidP="003E552A">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3E552A" w:rsidRPr="001A4499" w:rsidRDefault="00FF5B9D" w:rsidP="003E552A">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6</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Fabio De Masi</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lastRenderedPageBreak/>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Visto 26 ter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w:t>
            </w:r>
            <w:r w:rsidRPr="001A4499">
              <w:tab/>
            </w:r>
            <w:r w:rsidRPr="001A4499">
              <w:rPr>
                <w:b/>
                <w:i/>
              </w:rPr>
              <w:t>vista la sua relazione del 6 luglio 2016 sulle decisioni anticipate in materia fiscale (tax ruling) e altre misure analoghe per natura o effetto (in base alle risultanze emerse dalla commissione speciale TAX 2),</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3E552A" w:rsidRPr="001A4499" w:rsidRDefault="00FF5B9D" w:rsidP="003E552A">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7</w:t>
      </w:r>
      <w:r w:rsidRPr="001A4499">
        <w:rPr>
          <w:rStyle w:val="HideTWBExt"/>
          <w:color w:val="auto"/>
        </w:rPr>
        <w:t>&lt;/NumAm&gt;</w:t>
      </w:r>
    </w:p>
    <w:p w:rsidR="003E552A" w:rsidRPr="001A4499" w:rsidRDefault="00FF5B9D" w:rsidP="003E552A">
      <w:pPr>
        <w:pStyle w:val="NormalBold"/>
      </w:pPr>
      <w:r w:rsidRPr="001A4499">
        <w:rPr>
          <w:rStyle w:val="HideTWBExt"/>
          <w:b w:val="0"/>
          <w:color w:val="auto"/>
        </w:rPr>
        <w:t>&lt;RepeatBlock-By&gt;&lt;Members&gt;</w:t>
      </w:r>
      <w:r w:rsidRPr="001A4499">
        <w:t>Fabio De Masi</w:t>
      </w:r>
      <w:r w:rsidRPr="001A4499">
        <w:rPr>
          <w:rStyle w:val="HideTWBExt"/>
          <w:b w:val="0"/>
          <w:color w:val="auto"/>
        </w:rPr>
        <w:t>&lt;/Members&gt;</w:t>
      </w:r>
    </w:p>
    <w:p w:rsidR="003E552A" w:rsidRPr="001A4499" w:rsidRDefault="00FF5B9D" w:rsidP="003E552A">
      <w:pPr>
        <w:pStyle w:val="NormalBold"/>
      </w:pPr>
      <w:r w:rsidRPr="001A4499">
        <w:rPr>
          <w:rStyle w:val="HideTWBExt"/>
          <w:b w:val="0"/>
          <w:color w:val="auto"/>
        </w:rPr>
        <w:t>&lt;/RepeatBlock-By&gt;</w:t>
      </w:r>
    </w:p>
    <w:p w:rsidR="003E552A" w:rsidRPr="001A4499" w:rsidRDefault="00FF5B9D" w:rsidP="003E552A">
      <w:pPr>
        <w:pStyle w:val="NormalBold"/>
      </w:pPr>
      <w:r w:rsidRPr="001A4499">
        <w:rPr>
          <w:rStyle w:val="HideTWBExt"/>
          <w:color w:val="auto"/>
        </w:rPr>
        <w:t>&lt;DocAmend&gt;</w:t>
      </w:r>
      <w:r w:rsidRPr="001A4499">
        <w:t>Proposta di risoluzione</w:t>
      </w:r>
      <w:r w:rsidRPr="001A4499">
        <w:rPr>
          <w:rStyle w:val="HideTWBExt"/>
          <w:color w:val="auto"/>
        </w:rPr>
        <w:t>&lt;/DocAmend&gt;</w:t>
      </w:r>
    </w:p>
    <w:p w:rsidR="003E552A" w:rsidRPr="001A4499" w:rsidRDefault="00FF5B9D" w:rsidP="003E552A">
      <w:pPr>
        <w:pStyle w:val="NormalBold"/>
      </w:pPr>
      <w:r w:rsidRPr="001A4499">
        <w:rPr>
          <w:rStyle w:val="HideTWBExt"/>
          <w:color w:val="auto"/>
        </w:rPr>
        <w:t>&lt;Article&gt;</w:t>
      </w:r>
      <w:r w:rsidRPr="001A4499">
        <w:t>Visto 26 quater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C4069E">
        <w:trPr>
          <w:trHeight w:val="240"/>
          <w:jc w:val="center"/>
        </w:trPr>
        <w:tc>
          <w:tcPr>
            <w:tcW w:w="9752" w:type="dxa"/>
            <w:gridSpan w:val="2"/>
            <w:tcBorders>
              <w:top w:val="nil"/>
              <w:left w:val="nil"/>
              <w:bottom w:val="nil"/>
              <w:right w:val="nil"/>
            </w:tcBorders>
          </w:tcPr>
          <w:p w:rsidR="003E552A" w:rsidRPr="001A4499" w:rsidRDefault="003E552A" w:rsidP="00C4069E"/>
        </w:tc>
      </w:tr>
      <w:tr w:rsidR="001A4499" w:rsidRPr="001A4499" w:rsidTr="00C4069E">
        <w:trPr>
          <w:trHeight w:val="240"/>
          <w:jc w:val="center"/>
        </w:trPr>
        <w:tc>
          <w:tcPr>
            <w:tcW w:w="4876" w:type="dxa"/>
            <w:tcBorders>
              <w:top w:val="nil"/>
              <w:left w:val="nil"/>
              <w:bottom w:val="nil"/>
              <w:right w:val="nil"/>
            </w:tcBorders>
            <w:hideMark/>
          </w:tcPr>
          <w:p w:rsidR="003E552A" w:rsidRPr="001A4499" w:rsidRDefault="00FF5B9D" w:rsidP="00C4069E">
            <w:pPr>
              <w:pStyle w:val="AmColumnHeading"/>
            </w:pPr>
            <w:r w:rsidRPr="001A4499">
              <w:t>Proposta di risoluzione</w:t>
            </w:r>
          </w:p>
        </w:tc>
        <w:tc>
          <w:tcPr>
            <w:tcW w:w="4876" w:type="dxa"/>
            <w:tcBorders>
              <w:top w:val="nil"/>
              <w:left w:val="nil"/>
              <w:bottom w:val="nil"/>
              <w:right w:val="nil"/>
            </w:tcBorders>
            <w:hideMark/>
          </w:tcPr>
          <w:p w:rsidR="003E552A" w:rsidRPr="001A4499" w:rsidRDefault="00FF5B9D" w:rsidP="00C4069E">
            <w:pPr>
              <w:pStyle w:val="AmColumnHeading"/>
            </w:pPr>
            <w:r w:rsidRPr="001A4499">
              <w:t>Emendamento</w:t>
            </w:r>
          </w:p>
        </w:tc>
      </w:tr>
      <w:tr w:rsidR="001A4499" w:rsidRPr="001A4499" w:rsidTr="00C4069E">
        <w:trPr>
          <w:jc w:val="center"/>
        </w:trPr>
        <w:tc>
          <w:tcPr>
            <w:tcW w:w="4876" w:type="dxa"/>
            <w:tcBorders>
              <w:top w:val="nil"/>
              <w:left w:val="nil"/>
              <w:bottom w:val="nil"/>
              <w:right w:val="nil"/>
            </w:tcBorders>
          </w:tcPr>
          <w:p w:rsidR="003E552A" w:rsidRPr="001A4499" w:rsidRDefault="003E552A" w:rsidP="00C4069E">
            <w:pPr>
              <w:pStyle w:val="Normal6a"/>
            </w:pPr>
          </w:p>
        </w:tc>
        <w:tc>
          <w:tcPr>
            <w:tcW w:w="4876" w:type="dxa"/>
            <w:tcBorders>
              <w:top w:val="nil"/>
              <w:left w:val="nil"/>
              <w:bottom w:val="nil"/>
              <w:right w:val="nil"/>
            </w:tcBorders>
            <w:hideMark/>
          </w:tcPr>
          <w:p w:rsidR="003E552A" w:rsidRPr="001A4499" w:rsidRDefault="00FF5B9D" w:rsidP="00C4069E">
            <w:pPr>
              <w:pStyle w:val="Normal6a"/>
            </w:pPr>
            <w:r w:rsidRPr="001A4499">
              <w:rPr>
                <w:b/>
                <w:i/>
              </w:rPr>
              <w:t>–</w:t>
            </w:r>
            <w:r w:rsidRPr="001A4499">
              <w:tab/>
            </w:r>
            <w:r w:rsidRPr="001A4499">
              <w:rPr>
                <w:b/>
                <w:i/>
              </w:rPr>
              <w:t>vista la sua risoluzione del 26 marzo 2019 sui reati finanziari, l'evasione fiscale e l'elusione fiscale (sulla base della relazione d'iniziativa della commissione speciale per i reati finanziari, l'evasione fiscale e l'elusione fiscale - TAX 3),</w:t>
            </w:r>
          </w:p>
        </w:tc>
      </w:tr>
    </w:tbl>
    <w:p w:rsidR="003E552A" w:rsidRPr="001A4499" w:rsidRDefault="00FF5B9D" w:rsidP="003E552A">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3E552A" w:rsidRPr="001A4499" w:rsidRDefault="00FF5B9D" w:rsidP="003E552A">
      <w:r w:rsidRPr="001A4499">
        <w:rPr>
          <w:rStyle w:val="HideTWBExt"/>
          <w:color w:val="auto"/>
        </w:rPr>
        <w:t>&lt;/Amend&gt;</w:t>
      </w:r>
    </w:p>
    <w:p w:rsidR="00734882" w:rsidRPr="001A4499" w:rsidRDefault="00FF5B9D" w:rsidP="00734882">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8</w:t>
      </w:r>
      <w:r w:rsidRPr="001A4499">
        <w:rPr>
          <w:rStyle w:val="HideTWBExt"/>
          <w:color w:val="auto"/>
        </w:rPr>
        <w:t>&lt;/NumAm&gt;</w:t>
      </w:r>
    </w:p>
    <w:p w:rsidR="00734882" w:rsidRPr="001A4499" w:rsidRDefault="00FF5B9D" w:rsidP="00734882">
      <w:pPr>
        <w:pStyle w:val="NormalBold"/>
      </w:pPr>
      <w:r w:rsidRPr="001A4499">
        <w:rPr>
          <w:rStyle w:val="HideTWBExt"/>
          <w:b w:val="0"/>
          <w:color w:val="auto"/>
        </w:rPr>
        <w:t>&lt;RepeatBlock-By&gt;&lt;Members&gt;</w:t>
      </w:r>
      <w:r w:rsidRPr="001A4499">
        <w:t>Michalis Hadjipantela</w:t>
      </w:r>
      <w:r w:rsidRPr="001A4499">
        <w:rPr>
          <w:rStyle w:val="HideTWBExt"/>
          <w:b w:val="0"/>
          <w:color w:val="auto"/>
        </w:rPr>
        <w:t>&lt;/Members&gt;</w:t>
      </w:r>
    </w:p>
    <w:p w:rsidR="00734882" w:rsidRPr="001A4499" w:rsidRDefault="00FF5B9D" w:rsidP="00734882">
      <w:pPr>
        <w:pStyle w:val="NormalBold"/>
      </w:pPr>
      <w:r w:rsidRPr="001A4499">
        <w:rPr>
          <w:rStyle w:val="HideTWBExt"/>
          <w:b w:val="0"/>
          <w:color w:val="auto"/>
        </w:rPr>
        <w:t>&lt;/RepeatBlock-By&gt;</w:t>
      </w:r>
    </w:p>
    <w:p w:rsidR="00734882" w:rsidRPr="001A4499" w:rsidRDefault="00FF5B9D" w:rsidP="00734882">
      <w:pPr>
        <w:pStyle w:val="NormalBold"/>
      </w:pPr>
      <w:r w:rsidRPr="001A4499">
        <w:rPr>
          <w:rStyle w:val="HideTWBExt"/>
          <w:color w:val="auto"/>
        </w:rPr>
        <w:t>&lt;DocAmend&gt;</w:t>
      </w:r>
      <w:r w:rsidRPr="001A4499">
        <w:t>Proposta di risoluzione</w:t>
      </w:r>
      <w:r w:rsidRPr="001A4499">
        <w:rPr>
          <w:rStyle w:val="HideTWBExt"/>
          <w:color w:val="auto"/>
        </w:rPr>
        <w:t>&lt;/DocAmend&gt;</w:t>
      </w:r>
    </w:p>
    <w:p w:rsidR="00734882" w:rsidRPr="001A4499" w:rsidRDefault="00FF5B9D" w:rsidP="00734882">
      <w:pPr>
        <w:pStyle w:val="NormalBold"/>
      </w:pPr>
      <w:r w:rsidRPr="001A4499">
        <w:rPr>
          <w:rStyle w:val="HideTWBExt"/>
          <w:color w:val="auto"/>
        </w:rPr>
        <w:t>&lt;Article&gt;</w:t>
      </w:r>
      <w:r w:rsidRPr="001A4499">
        <w:t>Visto 33 bis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C4069E">
        <w:trPr>
          <w:trHeight w:val="240"/>
          <w:jc w:val="center"/>
        </w:trPr>
        <w:tc>
          <w:tcPr>
            <w:tcW w:w="9752" w:type="dxa"/>
            <w:gridSpan w:val="2"/>
            <w:tcBorders>
              <w:top w:val="nil"/>
              <w:left w:val="nil"/>
              <w:bottom w:val="nil"/>
              <w:right w:val="nil"/>
            </w:tcBorders>
          </w:tcPr>
          <w:p w:rsidR="00734882" w:rsidRPr="001A4499" w:rsidRDefault="00734882" w:rsidP="00C4069E"/>
        </w:tc>
      </w:tr>
      <w:tr w:rsidR="001A4499" w:rsidRPr="001A4499" w:rsidTr="00C4069E">
        <w:trPr>
          <w:trHeight w:val="240"/>
          <w:jc w:val="center"/>
        </w:trPr>
        <w:tc>
          <w:tcPr>
            <w:tcW w:w="4876" w:type="dxa"/>
            <w:tcBorders>
              <w:top w:val="nil"/>
              <w:left w:val="nil"/>
              <w:bottom w:val="nil"/>
              <w:right w:val="nil"/>
            </w:tcBorders>
            <w:hideMark/>
          </w:tcPr>
          <w:p w:rsidR="00734882" w:rsidRPr="001A4499" w:rsidRDefault="00FF5B9D" w:rsidP="00C4069E">
            <w:pPr>
              <w:pStyle w:val="AmColumnHeading"/>
            </w:pPr>
            <w:r w:rsidRPr="001A4499">
              <w:t>Proposta di risoluzione</w:t>
            </w:r>
          </w:p>
        </w:tc>
        <w:tc>
          <w:tcPr>
            <w:tcW w:w="4876" w:type="dxa"/>
            <w:tcBorders>
              <w:top w:val="nil"/>
              <w:left w:val="nil"/>
              <w:bottom w:val="nil"/>
              <w:right w:val="nil"/>
            </w:tcBorders>
            <w:hideMark/>
          </w:tcPr>
          <w:p w:rsidR="00734882" w:rsidRPr="001A4499" w:rsidRDefault="00FF5B9D" w:rsidP="00C4069E">
            <w:pPr>
              <w:pStyle w:val="AmColumnHeading"/>
            </w:pPr>
            <w:r w:rsidRPr="001A4499">
              <w:t>Emendamento</w:t>
            </w:r>
          </w:p>
        </w:tc>
      </w:tr>
      <w:tr w:rsidR="001A4499" w:rsidRPr="001A4499" w:rsidTr="00C4069E">
        <w:trPr>
          <w:jc w:val="center"/>
        </w:trPr>
        <w:tc>
          <w:tcPr>
            <w:tcW w:w="4876" w:type="dxa"/>
            <w:tcBorders>
              <w:top w:val="nil"/>
              <w:left w:val="nil"/>
              <w:bottom w:val="nil"/>
              <w:right w:val="nil"/>
            </w:tcBorders>
          </w:tcPr>
          <w:p w:rsidR="00734882" w:rsidRPr="001A4499" w:rsidRDefault="00734882" w:rsidP="00C4069E">
            <w:pPr>
              <w:pStyle w:val="Normal6a"/>
            </w:pPr>
          </w:p>
        </w:tc>
        <w:tc>
          <w:tcPr>
            <w:tcW w:w="4876" w:type="dxa"/>
            <w:tcBorders>
              <w:top w:val="nil"/>
              <w:left w:val="nil"/>
              <w:bottom w:val="nil"/>
              <w:right w:val="nil"/>
            </w:tcBorders>
            <w:hideMark/>
          </w:tcPr>
          <w:p w:rsidR="00734882" w:rsidRPr="001A4499" w:rsidRDefault="00FF5B9D" w:rsidP="00C4069E">
            <w:pPr>
              <w:pStyle w:val="Normal6a"/>
            </w:pPr>
            <w:r w:rsidRPr="001A4499">
              <w:rPr>
                <w:b/>
                <w:i/>
              </w:rPr>
              <w:t>–</w:t>
            </w:r>
            <w:r w:rsidRPr="001A4499">
              <w:tab/>
            </w:r>
            <w:r w:rsidRPr="001A4499">
              <w:rPr>
                <w:b/>
                <w:i/>
              </w:rPr>
              <w:t xml:space="preserve">visto lo studio del 2022 del Centro comune di ricerca (JRC) della Commissione europea sulle imposte locali nell'ambito dell'attività economica nei </w:t>
            </w:r>
            <w:r w:rsidRPr="001A4499">
              <w:rPr>
                <w:b/>
                <w:i/>
              </w:rPr>
              <w:lastRenderedPageBreak/>
              <w:t>comuni degli Stati membri dell'UE,</w:t>
            </w:r>
          </w:p>
        </w:tc>
      </w:tr>
    </w:tbl>
    <w:p w:rsidR="00734882" w:rsidRPr="001A4499" w:rsidRDefault="00FF5B9D" w:rsidP="00734882">
      <w:pPr>
        <w:pStyle w:val="AmOrLang"/>
        <w:rPr>
          <w:lang w:eastAsia="en-US"/>
        </w:rPr>
      </w:pPr>
      <w:r w:rsidRPr="001A4499">
        <w:lastRenderedPageBreak/>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734882" w:rsidRPr="001A4499" w:rsidRDefault="00FF5B9D" w:rsidP="00734882">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9</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Fabio De Masi</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Visto 38 bis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w:t>
            </w:r>
            <w:r w:rsidRPr="001A4499">
              <w:tab/>
            </w:r>
            <w:r w:rsidRPr="001A4499">
              <w:rPr>
                <w:b/>
                <w:i/>
              </w:rPr>
              <w:t>visti i contributi del Simposio fiscale dell'UE per il 2025,</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10</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Niels Fuglsang, Matthias Ecke, Bruno Gonçalves, Aurore Lalucq, Evelyn Regner</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Considerando -A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-A.</w:t>
            </w:r>
            <w:r w:rsidRPr="001A4499">
              <w:tab/>
            </w:r>
            <w:r w:rsidRPr="001A4499">
              <w:rPr>
                <w:b/>
                <w:i/>
              </w:rPr>
              <w:t>considerando che politiche fiscali efficaci, eque ed efficienti svolgono un ruolo fondamentale nel promuovere una crescita sostenibile a lungo termine e società inclusive, generando i fondi necessari per fornire beni e servizi pubblici essenziali, promuove</w:t>
            </w:r>
            <w:r w:rsidRPr="001A4499">
              <w:rPr>
                <w:b/>
                <w:i/>
              </w:rPr>
              <w:t>re gli investimenti e ridurre le disuguaglianze sociali ed economiche;</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11</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Niels Fuglsang, Matthias Ecke, Bruno Gonçalves, Aurore Lalucq, Evelyn Regner</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lastRenderedPageBreak/>
        <w:t>&lt;Article&gt;</w:t>
      </w:r>
      <w:r w:rsidRPr="001A4499">
        <w:t>Considerando A bis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A bis.</w:t>
            </w:r>
            <w:r w:rsidRPr="001A4499">
              <w:tab/>
            </w:r>
            <w:r w:rsidRPr="001A4499">
              <w:rPr>
                <w:b/>
                <w:i/>
              </w:rPr>
              <w:t>considerando che l'UE si trova ad affrontare una significativa carenza di investimenti compresa tra 750 e 800 miliardi di EUR all'anno</w:t>
            </w:r>
            <w:r w:rsidRPr="001A4499">
              <w:rPr>
                <w:b/>
                <w:i/>
                <w:vertAlign w:val="superscript"/>
              </w:rPr>
              <w:t>1 bis</w:t>
            </w:r>
            <w:r w:rsidRPr="001A4499">
              <w:rPr>
                <w:b/>
                <w:i/>
              </w:rPr>
              <w:t>; che colmare tale divario è fondamentale per garantire una crescita economica sostenibile, rafforzare la competitivi</w:t>
            </w:r>
            <w:r w:rsidRPr="001A4499">
              <w:rPr>
                <w:b/>
                <w:i/>
              </w:rPr>
              <w:t>tà e conseguire gli obiettivi della transizione verde e digitale dell'UE;</w:t>
            </w:r>
          </w:p>
        </w:tc>
      </w:tr>
      <w:tr w:rsidR="001A4499" w:rsidRPr="001A4499" w:rsidTr="00D20070">
        <w:trPr>
          <w:jc w:val="center"/>
        </w:trPr>
        <w:tc>
          <w:tcPr>
            <w:tcW w:w="4876" w:type="dxa"/>
            <w:tcBorders>
              <w:top w:val="nil"/>
              <w:left w:val="nil"/>
              <w:bottom w:val="nil"/>
              <w:right w:val="nil"/>
            </w:tcBorders>
          </w:tcPr>
          <w:p w:rsidR="00D20070" w:rsidRPr="001A4499" w:rsidRDefault="00D20070"/>
        </w:tc>
        <w:tc>
          <w:tcPr>
            <w:tcW w:w="4876" w:type="dxa"/>
            <w:tcBorders>
              <w:top w:val="nil"/>
              <w:left w:val="nil"/>
              <w:bottom w:val="nil"/>
              <w:right w:val="nil"/>
            </w:tcBorders>
            <w:hideMark/>
          </w:tcPr>
          <w:p w:rsidR="00D20070" w:rsidRPr="001A4499" w:rsidRDefault="00FF5B9D">
            <w:pPr>
              <w:pStyle w:val="Normal6a"/>
            </w:pPr>
            <w:r w:rsidRPr="001A4499">
              <w:rPr>
                <w:b/>
                <w:i/>
              </w:rPr>
              <w:t>_________________</w:t>
            </w:r>
          </w:p>
        </w:tc>
      </w:tr>
      <w:tr w:rsidR="001A4499" w:rsidRPr="001A4499" w:rsidTr="00D20070">
        <w:trPr>
          <w:jc w:val="center"/>
        </w:trPr>
        <w:tc>
          <w:tcPr>
            <w:tcW w:w="4876" w:type="dxa"/>
            <w:tcBorders>
              <w:top w:val="nil"/>
              <w:left w:val="nil"/>
              <w:bottom w:val="nil"/>
              <w:right w:val="nil"/>
            </w:tcBorders>
          </w:tcPr>
          <w:p w:rsidR="00D20070" w:rsidRPr="001A4499" w:rsidRDefault="00D20070"/>
        </w:tc>
        <w:tc>
          <w:tcPr>
            <w:tcW w:w="4876" w:type="dxa"/>
            <w:tcBorders>
              <w:top w:val="nil"/>
              <w:left w:val="nil"/>
              <w:bottom w:val="nil"/>
              <w:right w:val="nil"/>
            </w:tcBorders>
            <w:hideMark/>
          </w:tcPr>
          <w:p w:rsidR="00D20070" w:rsidRPr="001A4499" w:rsidRDefault="00FF5B9D">
            <w:pPr>
              <w:pStyle w:val="Normal6a"/>
            </w:pPr>
            <w:r w:rsidRPr="001A4499">
              <w:rPr>
                <w:b/>
                <w:i/>
                <w:vertAlign w:val="superscript"/>
              </w:rPr>
              <w:t>1 bis</w:t>
            </w:r>
            <w:r w:rsidRPr="001A4499">
              <w:t xml:space="preserve"> </w:t>
            </w:r>
            <w:r w:rsidRPr="001A4499">
              <w:rPr>
                <w:b/>
                <w:i/>
              </w:rPr>
              <w:t xml:space="preserve"> Mario Draghi, "The future of European competitiveness" (Il futuro della competitività europea). </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12</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Lídia Pereira</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Considerando B</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B.</w:t>
            </w:r>
            <w:r w:rsidRPr="001A4499">
              <w:tab/>
            </w:r>
            <w:r w:rsidRPr="001A4499">
              <w:t>considerando che nel 2023 il gettito fiscale complessivo in percentuale del PIL nell'UE si è attestato al 39,0 % del PIL, segnando una leggera diminuzione rispetto al 2022</w:t>
            </w:r>
            <w:r w:rsidRPr="001A4499">
              <w:rPr>
                <w:vertAlign w:val="superscript"/>
              </w:rPr>
              <w:t>16</w:t>
            </w:r>
            <w:r w:rsidRPr="001A4499">
              <w:t>;</w:t>
            </w:r>
          </w:p>
        </w:tc>
        <w:tc>
          <w:tcPr>
            <w:tcW w:w="4876" w:type="dxa"/>
            <w:tcBorders>
              <w:top w:val="nil"/>
              <w:left w:val="nil"/>
              <w:bottom w:val="nil"/>
              <w:right w:val="nil"/>
            </w:tcBorders>
            <w:hideMark/>
          </w:tcPr>
          <w:p w:rsidR="00D20070" w:rsidRPr="001A4499" w:rsidRDefault="00FF5B9D">
            <w:pPr>
              <w:pStyle w:val="Normal6a"/>
            </w:pPr>
            <w:r w:rsidRPr="001A4499">
              <w:t>B.</w:t>
            </w:r>
            <w:r w:rsidRPr="001A4499">
              <w:tab/>
            </w:r>
            <w:r w:rsidRPr="001A4499">
              <w:t>considerando che nel 2023 il gettito fiscale complessivo in percentuale del PIL nell'UE si è attestato al 39,0 % del PIL, segnando una leggera diminuzione rispetto al 2022</w:t>
            </w:r>
            <w:r w:rsidRPr="001A4499">
              <w:rPr>
                <w:vertAlign w:val="superscript"/>
              </w:rPr>
              <w:t>16</w:t>
            </w:r>
            <w:r w:rsidRPr="001A4499">
              <w:rPr>
                <w:b/>
                <w:i/>
              </w:rPr>
              <w:t>, pur confermandosi una percentuale ancora significativamente alta</w:t>
            </w:r>
            <w:r w:rsidRPr="001A4499">
              <w:t xml:space="preserve">; </w:t>
            </w:r>
            <w:r w:rsidRPr="001A4499">
              <w:rPr>
                <w:b/>
                <w:i/>
              </w:rPr>
              <w:t xml:space="preserve">che, in alcuni </w:t>
            </w:r>
            <w:r w:rsidRPr="001A4499">
              <w:rPr>
                <w:b/>
                <w:i/>
              </w:rPr>
              <w:t>Stati membri, tale percentuale è aumentata nell'ultimo decennio;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rPr>
                <w:b/>
                <w:i/>
              </w:rPr>
              <w:t>_________________</w:t>
            </w:r>
          </w:p>
        </w:tc>
        <w:tc>
          <w:tcPr>
            <w:tcW w:w="4876" w:type="dxa"/>
            <w:tcBorders>
              <w:top w:val="nil"/>
              <w:left w:val="nil"/>
              <w:bottom w:val="nil"/>
              <w:right w:val="nil"/>
            </w:tcBorders>
            <w:hideMark/>
          </w:tcPr>
          <w:p w:rsidR="00D20070" w:rsidRPr="001A4499" w:rsidRDefault="00FF5B9D">
            <w:pPr>
              <w:pStyle w:val="Normal6a"/>
            </w:pPr>
            <w:r w:rsidRPr="001A4499">
              <w:rPr>
                <w:b/>
                <w:i/>
              </w:rPr>
              <w:t>_________________</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rPr>
                <w:vertAlign w:val="superscript"/>
              </w:rPr>
              <w:t>16</w:t>
            </w:r>
            <w:r w:rsidRPr="001A4499">
              <w:t xml:space="preserve"> Commissione europea, Dati sulle tendenze in ambito fiscale, ultimo aggiornamento del 10 marzo 2025.</w:t>
            </w:r>
          </w:p>
        </w:tc>
        <w:tc>
          <w:tcPr>
            <w:tcW w:w="4876" w:type="dxa"/>
            <w:tcBorders>
              <w:top w:val="nil"/>
              <w:left w:val="nil"/>
              <w:bottom w:val="nil"/>
              <w:right w:val="nil"/>
            </w:tcBorders>
            <w:hideMark/>
          </w:tcPr>
          <w:p w:rsidR="00D20070" w:rsidRPr="001A4499" w:rsidRDefault="00FF5B9D">
            <w:pPr>
              <w:pStyle w:val="Normal6a"/>
            </w:pPr>
            <w:r w:rsidRPr="001A4499">
              <w:rPr>
                <w:vertAlign w:val="superscript"/>
              </w:rPr>
              <w:t>16</w:t>
            </w:r>
            <w:r w:rsidRPr="001A4499">
              <w:t xml:space="preserve"> Commissione europea, Dati sulle tendenze in ambito fiscale, ultimo aggiornamento del 10 marzo 2025.</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A72F81" w:rsidRPr="001A4499" w:rsidRDefault="00FF5B9D" w:rsidP="00A72F81">
      <w:pPr>
        <w:pStyle w:val="AmNumberTabs"/>
      </w:pPr>
      <w:r w:rsidRPr="001A4499">
        <w:rPr>
          <w:rStyle w:val="HideTWBExt"/>
          <w:color w:val="auto"/>
        </w:rPr>
        <w:lastRenderedPageBreak/>
        <w:t>&lt;Amend&gt;</w:t>
      </w:r>
      <w:r w:rsidRPr="001A4499">
        <w:t>Emendamento</w:t>
      </w:r>
      <w:r w:rsidRPr="001A4499">
        <w:tab/>
      </w:r>
      <w:r w:rsidRPr="001A4499">
        <w:tab/>
      </w:r>
      <w:r w:rsidRPr="001A4499">
        <w:rPr>
          <w:rStyle w:val="HideTWBExt"/>
          <w:color w:val="auto"/>
        </w:rPr>
        <w:t>&lt;NumAm&gt;</w:t>
      </w:r>
      <w:r w:rsidRPr="001A4499">
        <w:t>13</w:t>
      </w:r>
      <w:r w:rsidRPr="001A4499">
        <w:rPr>
          <w:rStyle w:val="HideTWBExt"/>
          <w:color w:val="auto"/>
        </w:rPr>
        <w:t>&lt;/NumAm&gt;</w:t>
      </w:r>
    </w:p>
    <w:p w:rsidR="00A72F81" w:rsidRPr="001A4499" w:rsidRDefault="00FF5B9D" w:rsidP="00A72F81">
      <w:pPr>
        <w:pStyle w:val="NormalBold"/>
      </w:pPr>
      <w:r w:rsidRPr="001A4499">
        <w:rPr>
          <w:rStyle w:val="HideTWBExt"/>
          <w:b w:val="0"/>
          <w:color w:val="auto"/>
        </w:rPr>
        <w:t>&lt;RepeatBlock-By&gt;&lt;Members&gt;</w:t>
      </w:r>
      <w:r w:rsidRPr="001A4499">
        <w:t>Sirpa Pietikäinen</w:t>
      </w:r>
      <w:r w:rsidRPr="001A4499">
        <w:rPr>
          <w:rStyle w:val="HideTWBExt"/>
          <w:b w:val="0"/>
          <w:color w:val="auto"/>
        </w:rPr>
        <w:t>&lt;/Members&gt;</w:t>
      </w:r>
    </w:p>
    <w:p w:rsidR="00A72F81" w:rsidRPr="001A4499" w:rsidRDefault="00FF5B9D" w:rsidP="00A72F81">
      <w:pPr>
        <w:pStyle w:val="NormalBold"/>
      </w:pPr>
      <w:r w:rsidRPr="001A4499">
        <w:rPr>
          <w:rStyle w:val="HideTWBExt"/>
          <w:b w:val="0"/>
          <w:color w:val="auto"/>
        </w:rPr>
        <w:t>&lt;/RepeatBlock-By&gt;</w:t>
      </w:r>
    </w:p>
    <w:p w:rsidR="00A72F81" w:rsidRPr="001A4499" w:rsidRDefault="00FF5B9D" w:rsidP="00A72F81">
      <w:pPr>
        <w:pStyle w:val="NormalBold"/>
      </w:pPr>
      <w:r w:rsidRPr="001A4499">
        <w:rPr>
          <w:rStyle w:val="HideTWBExt"/>
          <w:color w:val="auto"/>
        </w:rPr>
        <w:t>&lt;Doc</w:t>
      </w:r>
      <w:r w:rsidRPr="001A4499">
        <w:rPr>
          <w:rStyle w:val="HideTWBExt"/>
          <w:color w:val="auto"/>
        </w:rPr>
        <w:t>Amend&gt;</w:t>
      </w:r>
      <w:r w:rsidRPr="001A4499">
        <w:t>Proposta di risoluzione</w:t>
      </w:r>
      <w:r w:rsidRPr="001A4499">
        <w:rPr>
          <w:rStyle w:val="HideTWBExt"/>
          <w:color w:val="auto"/>
        </w:rPr>
        <w:t>&lt;/DocAmend&gt;</w:t>
      </w:r>
    </w:p>
    <w:p w:rsidR="00A72F81" w:rsidRPr="001A4499" w:rsidRDefault="00FF5B9D" w:rsidP="00A72F81">
      <w:pPr>
        <w:pStyle w:val="NormalBold"/>
      </w:pPr>
      <w:r w:rsidRPr="001A4499">
        <w:rPr>
          <w:rStyle w:val="HideTWBExt"/>
          <w:color w:val="auto"/>
        </w:rPr>
        <w:t>&lt;Article&gt;</w:t>
      </w:r>
      <w:r w:rsidRPr="001A4499">
        <w:t>Considerando B bis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C4069E">
        <w:trPr>
          <w:trHeight w:val="240"/>
          <w:jc w:val="center"/>
        </w:trPr>
        <w:tc>
          <w:tcPr>
            <w:tcW w:w="9752" w:type="dxa"/>
            <w:gridSpan w:val="2"/>
            <w:tcBorders>
              <w:top w:val="nil"/>
              <w:left w:val="nil"/>
              <w:bottom w:val="nil"/>
              <w:right w:val="nil"/>
            </w:tcBorders>
          </w:tcPr>
          <w:p w:rsidR="00A72F81" w:rsidRPr="001A4499" w:rsidRDefault="00A72F81" w:rsidP="00C4069E"/>
        </w:tc>
      </w:tr>
      <w:tr w:rsidR="001A4499" w:rsidRPr="001A4499" w:rsidTr="00C4069E">
        <w:trPr>
          <w:trHeight w:val="240"/>
          <w:jc w:val="center"/>
        </w:trPr>
        <w:tc>
          <w:tcPr>
            <w:tcW w:w="4876" w:type="dxa"/>
            <w:tcBorders>
              <w:top w:val="nil"/>
              <w:left w:val="nil"/>
              <w:bottom w:val="nil"/>
              <w:right w:val="nil"/>
            </w:tcBorders>
            <w:hideMark/>
          </w:tcPr>
          <w:p w:rsidR="00A72F81" w:rsidRPr="001A4499" w:rsidRDefault="00FF5B9D" w:rsidP="00C4069E">
            <w:pPr>
              <w:pStyle w:val="AmColumnHeading"/>
            </w:pPr>
            <w:r w:rsidRPr="001A4499">
              <w:t>Proposta di risoluzione</w:t>
            </w:r>
          </w:p>
        </w:tc>
        <w:tc>
          <w:tcPr>
            <w:tcW w:w="4876" w:type="dxa"/>
            <w:tcBorders>
              <w:top w:val="nil"/>
              <w:left w:val="nil"/>
              <w:bottom w:val="nil"/>
              <w:right w:val="nil"/>
            </w:tcBorders>
            <w:hideMark/>
          </w:tcPr>
          <w:p w:rsidR="00A72F81" w:rsidRPr="001A4499" w:rsidRDefault="00FF5B9D" w:rsidP="00C4069E">
            <w:pPr>
              <w:pStyle w:val="AmColumnHeading"/>
            </w:pPr>
            <w:r w:rsidRPr="001A4499">
              <w:t>Emendamento</w:t>
            </w:r>
          </w:p>
        </w:tc>
      </w:tr>
      <w:tr w:rsidR="001A4499" w:rsidRPr="001A4499" w:rsidTr="00C4069E">
        <w:trPr>
          <w:jc w:val="center"/>
        </w:trPr>
        <w:tc>
          <w:tcPr>
            <w:tcW w:w="4876" w:type="dxa"/>
            <w:tcBorders>
              <w:top w:val="nil"/>
              <w:left w:val="nil"/>
              <w:bottom w:val="nil"/>
              <w:right w:val="nil"/>
            </w:tcBorders>
          </w:tcPr>
          <w:p w:rsidR="00A72F81" w:rsidRPr="001A4499" w:rsidRDefault="00A72F81" w:rsidP="00C4069E">
            <w:pPr>
              <w:pStyle w:val="Normal6a"/>
            </w:pPr>
          </w:p>
        </w:tc>
        <w:tc>
          <w:tcPr>
            <w:tcW w:w="4876" w:type="dxa"/>
            <w:tcBorders>
              <w:top w:val="nil"/>
              <w:left w:val="nil"/>
              <w:bottom w:val="nil"/>
              <w:right w:val="nil"/>
            </w:tcBorders>
            <w:hideMark/>
          </w:tcPr>
          <w:p w:rsidR="00A72F81" w:rsidRPr="001A4499" w:rsidRDefault="00FF5B9D" w:rsidP="00C4069E">
            <w:pPr>
              <w:pStyle w:val="Normal6a"/>
            </w:pPr>
            <w:r w:rsidRPr="001A4499">
              <w:rPr>
                <w:b/>
                <w:i/>
              </w:rPr>
              <w:t>B bis.</w:t>
            </w:r>
            <w:r w:rsidRPr="001A4499">
              <w:tab/>
            </w:r>
            <w:r w:rsidRPr="001A4499">
              <w:rPr>
                <w:b/>
                <w:i/>
              </w:rPr>
              <w:t xml:space="preserve">considerando che, secondo le stime, le perdite globali dovute all'evasione fiscale ammontano a circa 500 miliardi di EUR, di cui 100 miliardi nell'area dell'UE; </w:t>
            </w:r>
            <w:r w:rsidRPr="001A4499">
              <w:rPr>
                <w:b/>
                <w:i/>
                <w:vertAlign w:val="superscript"/>
              </w:rPr>
              <w:t>1 bis</w:t>
            </w:r>
          </w:p>
        </w:tc>
      </w:tr>
      <w:tr w:rsidR="001A4499" w:rsidRPr="001A4499" w:rsidTr="00C4069E">
        <w:trPr>
          <w:jc w:val="center"/>
        </w:trPr>
        <w:tc>
          <w:tcPr>
            <w:tcW w:w="4876" w:type="dxa"/>
            <w:tcBorders>
              <w:top w:val="nil"/>
              <w:left w:val="nil"/>
              <w:bottom w:val="nil"/>
              <w:right w:val="nil"/>
            </w:tcBorders>
          </w:tcPr>
          <w:p w:rsidR="00A72F81" w:rsidRPr="001A4499" w:rsidRDefault="00A72F81" w:rsidP="00C4069E"/>
        </w:tc>
        <w:tc>
          <w:tcPr>
            <w:tcW w:w="4876" w:type="dxa"/>
            <w:tcBorders>
              <w:top w:val="nil"/>
              <w:left w:val="nil"/>
              <w:bottom w:val="nil"/>
              <w:right w:val="nil"/>
            </w:tcBorders>
            <w:hideMark/>
          </w:tcPr>
          <w:p w:rsidR="00A72F81" w:rsidRPr="001A4499" w:rsidRDefault="00FF5B9D" w:rsidP="00C4069E">
            <w:pPr>
              <w:pStyle w:val="Normal6a"/>
            </w:pPr>
            <w:r w:rsidRPr="001A4499">
              <w:rPr>
                <w:b/>
                <w:i/>
              </w:rPr>
              <w:t>_________________</w:t>
            </w:r>
          </w:p>
        </w:tc>
      </w:tr>
      <w:tr w:rsidR="001A4499" w:rsidRPr="001A4499" w:rsidTr="00C4069E">
        <w:trPr>
          <w:jc w:val="center"/>
        </w:trPr>
        <w:tc>
          <w:tcPr>
            <w:tcW w:w="4876" w:type="dxa"/>
            <w:tcBorders>
              <w:top w:val="nil"/>
              <w:left w:val="nil"/>
              <w:bottom w:val="nil"/>
              <w:right w:val="nil"/>
            </w:tcBorders>
          </w:tcPr>
          <w:p w:rsidR="00A72F81" w:rsidRPr="001A4499" w:rsidRDefault="00A72F81" w:rsidP="00C4069E"/>
        </w:tc>
        <w:tc>
          <w:tcPr>
            <w:tcW w:w="4876" w:type="dxa"/>
            <w:tcBorders>
              <w:top w:val="nil"/>
              <w:left w:val="nil"/>
              <w:bottom w:val="nil"/>
              <w:right w:val="nil"/>
            </w:tcBorders>
            <w:hideMark/>
          </w:tcPr>
          <w:p w:rsidR="00A72F81" w:rsidRPr="001A4499" w:rsidRDefault="00FF5B9D" w:rsidP="00C4069E">
            <w:pPr>
              <w:pStyle w:val="Normal6a"/>
            </w:pPr>
            <w:r w:rsidRPr="001A4499">
              <w:rPr>
                <w:b/>
                <w:i/>
                <w:vertAlign w:val="superscript"/>
              </w:rPr>
              <w:t>1 bis</w:t>
            </w:r>
            <w:r w:rsidRPr="001A4499">
              <w:t xml:space="preserve"> </w:t>
            </w:r>
            <w:r w:rsidRPr="001A4499">
              <w:rPr>
                <w:b/>
                <w:i/>
              </w:rPr>
              <w:t xml:space="preserve">Corte dei conti europea, Relazione speciale n. 27/2024: </w:t>
            </w:r>
            <w:r w:rsidRPr="001A4499">
              <w:rPr>
                <w:b/>
                <w:i/>
              </w:rPr>
              <w:t>Lotta ai regimi fiscali dannosi e all'elusione dell'imposta sulle società</w:t>
            </w:r>
          </w:p>
        </w:tc>
      </w:tr>
    </w:tbl>
    <w:p w:rsidR="00A72F81" w:rsidRPr="001A4499" w:rsidRDefault="00FF5B9D" w:rsidP="00A72F81">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A72F81" w:rsidRPr="001A4499" w:rsidRDefault="00FF5B9D" w:rsidP="00A72F81">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14</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Niels Fuglsang, Matthias Ecke, Bruno Gonçalves, Aurore Lalucq, Evelyn Regner</w:t>
      </w:r>
      <w:r w:rsidRPr="001A4499">
        <w:rPr>
          <w:rStyle w:val="HideTWBExt"/>
          <w:b w:val="0"/>
          <w:color w:val="auto"/>
        </w:rPr>
        <w:t>&lt;</w:t>
      </w:r>
      <w:r w:rsidRPr="001A4499">
        <w:rPr>
          <w:rStyle w:val="HideTWBExt"/>
          <w:b w:val="0"/>
          <w:color w:val="auto"/>
        </w:rPr>
        <w: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Considerando B bis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rsidP="00AC7CDE">
            <w:pPr>
              <w:pStyle w:val="Normal6a"/>
            </w:pPr>
            <w:r w:rsidRPr="001A4499">
              <w:rPr>
                <w:b/>
                <w:i/>
              </w:rPr>
              <w:t>B bis.</w:t>
            </w:r>
            <w:r w:rsidRPr="001A4499">
              <w:tab/>
            </w:r>
            <w:r w:rsidRPr="001A4499">
              <w:rPr>
                <w:b/>
                <w:i/>
              </w:rPr>
              <w:t>considerando che l'UE perde centinaia di miliardi di euro di gettito fiscale ogni anno a causa dell'elusione fiscale, dell'evasione fiscale e della pianificazione fiscale aggressiva impiegate da imprese multinazionali e individui facoltosi</w:t>
            </w:r>
            <w:r w:rsidRPr="001A4499">
              <w:rPr>
                <w:b/>
                <w:i/>
                <w:vertAlign w:val="superscript"/>
              </w:rPr>
              <w:t>1 ter</w:t>
            </w:r>
            <w:r w:rsidRPr="001A4499">
              <w:rPr>
                <w:b/>
                <w:i/>
              </w:rPr>
              <w:t>, in partico</w:t>
            </w:r>
            <w:r w:rsidRPr="001A4499">
              <w:rPr>
                <w:b/>
                <w:i/>
              </w:rPr>
              <w:t>lare sfruttando le differenze nei sistemi fiscali nazionali e la frammentazione fiscale; che tali perdite privano gli Stati membri di finanziamenti pubblici essenziali che potrebbero essere utilizzati per sostenere le infrastrutture, l'innovazione e le pol</w:t>
            </w:r>
            <w:r w:rsidRPr="001A4499">
              <w:rPr>
                <w:b/>
                <w:i/>
              </w:rPr>
              <w:t xml:space="preserve">itiche sociali necessarie per rafforzare la competitività e la resilienza economica </w:t>
            </w:r>
            <w:r w:rsidRPr="001A4499">
              <w:rPr>
                <w:b/>
                <w:i/>
              </w:rPr>
              <w:lastRenderedPageBreak/>
              <w:t>dell'UE;</w:t>
            </w:r>
          </w:p>
        </w:tc>
      </w:tr>
      <w:tr w:rsidR="001A4499" w:rsidRPr="001A4499" w:rsidTr="00D20070">
        <w:trPr>
          <w:jc w:val="center"/>
        </w:trPr>
        <w:tc>
          <w:tcPr>
            <w:tcW w:w="4876" w:type="dxa"/>
            <w:tcBorders>
              <w:top w:val="nil"/>
              <w:left w:val="nil"/>
              <w:bottom w:val="nil"/>
              <w:right w:val="nil"/>
            </w:tcBorders>
          </w:tcPr>
          <w:p w:rsidR="00D20070" w:rsidRPr="001A4499" w:rsidRDefault="00D20070"/>
        </w:tc>
        <w:tc>
          <w:tcPr>
            <w:tcW w:w="4876" w:type="dxa"/>
            <w:tcBorders>
              <w:top w:val="nil"/>
              <w:left w:val="nil"/>
              <w:bottom w:val="nil"/>
              <w:right w:val="nil"/>
            </w:tcBorders>
            <w:hideMark/>
          </w:tcPr>
          <w:p w:rsidR="00D20070" w:rsidRPr="001A4499" w:rsidRDefault="00FF5B9D">
            <w:pPr>
              <w:pStyle w:val="Normal6a"/>
            </w:pPr>
            <w:r w:rsidRPr="001A4499">
              <w:rPr>
                <w:b/>
                <w:i/>
              </w:rPr>
              <w:t>_________________</w:t>
            </w:r>
          </w:p>
        </w:tc>
      </w:tr>
      <w:tr w:rsidR="001A4499" w:rsidRPr="001A4499" w:rsidTr="00D20070">
        <w:trPr>
          <w:jc w:val="center"/>
        </w:trPr>
        <w:tc>
          <w:tcPr>
            <w:tcW w:w="4876" w:type="dxa"/>
            <w:tcBorders>
              <w:top w:val="nil"/>
              <w:left w:val="nil"/>
              <w:bottom w:val="nil"/>
              <w:right w:val="nil"/>
            </w:tcBorders>
          </w:tcPr>
          <w:p w:rsidR="00D20070" w:rsidRPr="001A4499" w:rsidRDefault="00D20070"/>
        </w:tc>
        <w:tc>
          <w:tcPr>
            <w:tcW w:w="4876" w:type="dxa"/>
            <w:tcBorders>
              <w:top w:val="nil"/>
              <w:left w:val="nil"/>
              <w:bottom w:val="nil"/>
              <w:right w:val="nil"/>
            </w:tcBorders>
            <w:hideMark/>
          </w:tcPr>
          <w:p w:rsidR="00D20070" w:rsidRPr="001A4499" w:rsidRDefault="00FF5B9D">
            <w:pPr>
              <w:pStyle w:val="Normal6a"/>
            </w:pPr>
            <w:r w:rsidRPr="001A4499">
              <w:rPr>
                <w:b/>
                <w:i/>
                <w:vertAlign w:val="superscript"/>
              </w:rPr>
              <w:t>1 ter</w:t>
            </w:r>
            <w:r w:rsidRPr="001A4499">
              <w:t xml:space="preserve"> </w:t>
            </w:r>
            <w:r w:rsidRPr="001A4499">
              <w:rPr>
                <w:b/>
                <w:i/>
              </w:rPr>
              <w:t>Murphy, R. (2019). "The European tax gap. A report for the Socialists and Democrats Group in the European Parliament" (Il divario fisca</w:t>
            </w:r>
            <w:r w:rsidRPr="001A4499">
              <w:rPr>
                <w:b/>
                <w:i/>
              </w:rPr>
              <w:t xml:space="preserve">le europeo, relazione del gruppo dei Socialisti e Democratici del Parlamento europeo). Global Policy, 2019-01. </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15</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Niels Fuglsang, Matthias Ecke, Bruno Gonçalves, Aurore Lalucq, Evelyn Regner</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Considerando B ter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rsidP="00385C54">
            <w:pPr>
              <w:pStyle w:val="Normal6a"/>
            </w:pPr>
            <w:r w:rsidRPr="001A4499">
              <w:rPr>
                <w:b/>
                <w:i/>
              </w:rPr>
              <w:t>B ter.</w:t>
            </w:r>
            <w:r w:rsidRPr="001A4499">
              <w:tab/>
            </w:r>
            <w:r w:rsidRPr="001A4499">
              <w:rPr>
                <w:b/>
                <w:i/>
              </w:rPr>
              <w:t>considerando che gli abusi nella tassazione delle imprese a livello transfrontaliero continuano a contribuire in larga parte alle perdite fiscali globali; che tali abusi fiscali costituiscono una grande sfida economica globale, privando i governi delle ent</w:t>
            </w:r>
            <w:r w:rsidRPr="001A4499">
              <w:rPr>
                <w:b/>
                <w:i/>
              </w:rPr>
              <w:t>rate fiscali essenziali necessarie per gli investimenti pubblici, esacerbando le disuguaglianze sia tra i paesi che al loro interno, e distorcendo la concorrenza minando le imprese più piccole e nazionali che generano la maggior parte dell'occupazione;</w:t>
            </w:r>
          </w:p>
        </w:tc>
      </w:tr>
    </w:tbl>
    <w:p w:rsidR="00D20070" w:rsidRPr="001A4499" w:rsidRDefault="00FF5B9D" w:rsidP="00D20070">
      <w:pPr>
        <w:pStyle w:val="AmOrLang"/>
        <w:rPr>
          <w:lang w:eastAsia="en-US"/>
        </w:rPr>
      </w:pPr>
      <w:r w:rsidRPr="001A4499">
        <w:t>Or</w:t>
      </w:r>
      <w:r w:rsidRPr="001A4499">
        <w:t xml:space="preserve">.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16</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Niels Fuglsang, Matthias Ecke, Bruno Gonçalves, Aurore Lalucq, Evelyn Regner</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Considerando D</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lastRenderedPageBreak/>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D.</w:t>
            </w:r>
            <w:r w:rsidRPr="001A4499">
              <w:tab/>
              <w:t>considerando che, secondo la Commissione, nel 2022 l'ammanco di gettito IVA ammontava a 89,3 miliardi di EUR</w:t>
            </w:r>
            <w:r w:rsidRPr="001A4499">
              <w:rPr>
                <w:b/>
                <w:i/>
                <w:vertAlign w:val="superscript"/>
              </w:rPr>
              <w:t>18</w:t>
            </w:r>
            <w:r w:rsidRPr="001A4499">
              <w:t>;</w:t>
            </w:r>
          </w:p>
        </w:tc>
        <w:tc>
          <w:tcPr>
            <w:tcW w:w="4876" w:type="dxa"/>
            <w:tcBorders>
              <w:top w:val="nil"/>
              <w:left w:val="nil"/>
              <w:bottom w:val="nil"/>
              <w:right w:val="nil"/>
            </w:tcBorders>
            <w:hideMark/>
          </w:tcPr>
          <w:p w:rsidR="00D20070" w:rsidRPr="001A4499" w:rsidRDefault="00FF5B9D">
            <w:pPr>
              <w:pStyle w:val="Normal6a"/>
            </w:pPr>
            <w:r w:rsidRPr="001A4499">
              <w:t>D.</w:t>
            </w:r>
            <w:r w:rsidRPr="001A4499">
              <w:tab/>
              <w:t xml:space="preserve">considerando che, secondo la Commissione, nel 2022 </w:t>
            </w:r>
            <w:r w:rsidRPr="001A4499">
              <w:rPr>
                <w:b/>
                <w:i/>
              </w:rPr>
              <w:t>solo</w:t>
            </w:r>
            <w:r w:rsidRPr="001A4499">
              <w:t xml:space="preserve"> l'ammanco di gettito IVA ammontava a 89,3 miliardi di EUR</w:t>
            </w:r>
            <w:r w:rsidRPr="001A4499">
              <w:rPr>
                <w:b/>
                <w:i/>
              </w:rPr>
              <w:t>, ovvero circa il 7 % del gettito IVA totale previsto</w:t>
            </w:r>
            <w:r w:rsidRPr="001A4499">
              <w:t xml:space="preserve"> </w:t>
            </w:r>
            <w:r w:rsidRPr="001A4499">
              <w:rPr>
                <w:b/>
                <w:i/>
                <w:vertAlign w:val="superscript"/>
              </w:rPr>
              <w:t>1 quinquies</w:t>
            </w:r>
            <w:r w:rsidRPr="001A4499">
              <w:t xml:space="preserve">; </w:t>
            </w:r>
            <w:r w:rsidRPr="001A4499">
              <w:rPr>
                <w:b/>
                <w:i/>
              </w:rPr>
              <w:t>che, secondo le stime, un quarto del divario dell'IVA è direttamente collegato a frodi nel campo dell'IVA</w:t>
            </w:r>
            <w:r w:rsidRPr="001A4499">
              <w:rPr>
                <w:b/>
                <w:i/>
                <w:vertAlign w:val="superscript"/>
              </w:rPr>
              <w:t>2 quinquies</w:t>
            </w:r>
            <w:r w:rsidRPr="001A4499">
              <w:rPr>
                <w:b/>
                <w:i/>
              </w:rPr>
              <w:t>;</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rPr>
                <w:b/>
                <w:i/>
              </w:rPr>
              <w:t>_________________</w:t>
            </w:r>
          </w:p>
        </w:tc>
        <w:tc>
          <w:tcPr>
            <w:tcW w:w="4876" w:type="dxa"/>
            <w:tcBorders>
              <w:top w:val="nil"/>
              <w:left w:val="nil"/>
              <w:bottom w:val="nil"/>
              <w:right w:val="nil"/>
            </w:tcBorders>
            <w:hideMark/>
          </w:tcPr>
          <w:p w:rsidR="00D20070" w:rsidRPr="001A4499" w:rsidRDefault="00FF5B9D">
            <w:pPr>
              <w:pStyle w:val="Normal6a"/>
            </w:pPr>
            <w:r w:rsidRPr="001A4499">
              <w:rPr>
                <w:b/>
                <w:i/>
              </w:rPr>
              <w:t>_________________</w:t>
            </w:r>
          </w:p>
        </w:tc>
      </w:tr>
      <w:tr w:rsidR="001A4499" w:rsidRPr="001A4499" w:rsidTr="00D20070">
        <w:trPr>
          <w:jc w:val="center"/>
        </w:trPr>
        <w:tc>
          <w:tcPr>
            <w:tcW w:w="4876" w:type="dxa"/>
            <w:tcBorders>
              <w:top w:val="nil"/>
              <w:left w:val="nil"/>
              <w:bottom w:val="nil"/>
              <w:right w:val="nil"/>
            </w:tcBorders>
          </w:tcPr>
          <w:p w:rsidR="00D20070" w:rsidRPr="001A4499" w:rsidRDefault="00D20070"/>
        </w:tc>
        <w:tc>
          <w:tcPr>
            <w:tcW w:w="4876" w:type="dxa"/>
            <w:tcBorders>
              <w:top w:val="nil"/>
              <w:left w:val="nil"/>
              <w:bottom w:val="nil"/>
              <w:right w:val="nil"/>
            </w:tcBorders>
            <w:hideMark/>
          </w:tcPr>
          <w:p w:rsidR="00D20070" w:rsidRPr="001A4499" w:rsidRDefault="00FF5B9D">
            <w:pPr>
              <w:pStyle w:val="Normal6a"/>
            </w:pPr>
            <w:r w:rsidRPr="001A4499">
              <w:rPr>
                <w:b/>
                <w:i/>
                <w:vertAlign w:val="superscript"/>
              </w:rPr>
              <w:t>1 quinquies</w:t>
            </w:r>
            <w:r w:rsidRPr="001A4499">
              <w:t xml:space="preserve"> </w:t>
            </w:r>
            <w:r w:rsidRPr="001A4499">
              <w:rPr>
                <w:b/>
                <w:i/>
              </w:rPr>
              <w:t xml:space="preserve">Commissione europea, "VAT gap in the EU – 2024 report" (Divario dell'IVA nell'UE – Relazione 2024), 2024. </w:t>
            </w:r>
          </w:p>
        </w:tc>
      </w:tr>
      <w:tr w:rsidR="001A4499" w:rsidRPr="001A4499" w:rsidTr="00D20070">
        <w:trPr>
          <w:jc w:val="center"/>
        </w:trPr>
        <w:tc>
          <w:tcPr>
            <w:tcW w:w="4876" w:type="dxa"/>
            <w:tcBorders>
              <w:top w:val="nil"/>
              <w:left w:val="nil"/>
              <w:bottom w:val="nil"/>
              <w:right w:val="nil"/>
            </w:tcBorders>
          </w:tcPr>
          <w:p w:rsidR="00D20070" w:rsidRPr="001A4499" w:rsidRDefault="00D20070"/>
        </w:tc>
        <w:tc>
          <w:tcPr>
            <w:tcW w:w="4876" w:type="dxa"/>
            <w:tcBorders>
              <w:top w:val="nil"/>
              <w:left w:val="nil"/>
              <w:bottom w:val="nil"/>
              <w:right w:val="nil"/>
            </w:tcBorders>
            <w:hideMark/>
          </w:tcPr>
          <w:p w:rsidR="00D20070" w:rsidRPr="001A4499" w:rsidRDefault="00FF5B9D">
            <w:pPr>
              <w:pStyle w:val="Normal6a"/>
            </w:pPr>
            <w:r w:rsidRPr="001A4499">
              <w:rPr>
                <w:b/>
                <w:i/>
                <w:vertAlign w:val="superscript"/>
              </w:rPr>
              <w:t>2 quinquies</w:t>
            </w:r>
            <w:r w:rsidRPr="001A4499">
              <w:t xml:space="preserve"> </w:t>
            </w:r>
            <w:r w:rsidRPr="001A4499">
              <w:rPr>
                <w:b/>
                <w:i/>
              </w:rPr>
              <w:t xml:space="preserve">"Questions and Answers: VAT Gap 2022 report" (Domande e risposte: relazione 2022 sul </w:t>
            </w:r>
            <w:r w:rsidRPr="001A4499">
              <w:rPr>
                <w:b/>
                <w:i/>
              </w:rPr>
              <w:t xml:space="preserve">divario dell'IVA) https://ec.europa.eu/commission/presscorner/detail/en/qanda_22_7519 </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rPr>
                <w:b/>
                <w:i/>
                <w:vertAlign w:val="superscript"/>
              </w:rPr>
              <w:t>18</w:t>
            </w:r>
            <w:r w:rsidRPr="001A4499">
              <w:t xml:space="preserve"> </w:t>
            </w:r>
            <w:r w:rsidRPr="001A4499">
              <w:rPr>
                <w:b/>
                <w:i/>
              </w:rPr>
              <w:t>Commissione europea, VAT gap in the EU – 2024 report (Divario dell'IVA nell'UE – Relazione 2024), 2024.</w:t>
            </w:r>
          </w:p>
        </w:tc>
        <w:tc>
          <w:tcPr>
            <w:tcW w:w="4876" w:type="dxa"/>
            <w:tcBorders>
              <w:top w:val="nil"/>
              <w:left w:val="nil"/>
              <w:bottom w:val="nil"/>
              <w:right w:val="nil"/>
            </w:tcBorders>
          </w:tcPr>
          <w:p w:rsidR="00D20070" w:rsidRPr="001A4499" w:rsidRDefault="00D20070"/>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17</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Michalis Hadjipantela</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Considerando E bis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E bis.</w:t>
            </w:r>
            <w:r w:rsidRPr="001A4499">
              <w:tab/>
            </w:r>
            <w:r w:rsidRPr="001A4499">
              <w:rPr>
                <w:b/>
                <w:i/>
              </w:rPr>
              <w:t>considerando che i costi di conformità fiscale impongono un onere finanziario aggiuntivo alle imprese che si accumula al debito d'imposta stesso, distogliendo tempo e risorse da altre opportunità di investimento;</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w:t>
      </w:r>
      <w:r w:rsidRPr="001A4499">
        <w:rPr>
          <w:rStyle w:val="HideTWBExt"/>
          <w:color w:val="auto"/>
        </w:rPr>
        <w:t>Amend&gt;</w:t>
      </w:r>
      <w:r w:rsidRPr="001A4499">
        <w:t>Emendamento</w:t>
      </w:r>
      <w:r w:rsidRPr="001A4499">
        <w:tab/>
      </w:r>
      <w:r w:rsidRPr="001A4499">
        <w:tab/>
      </w:r>
      <w:r w:rsidRPr="001A4499">
        <w:rPr>
          <w:rStyle w:val="HideTWBExt"/>
          <w:color w:val="auto"/>
        </w:rPr>
        <w:t>&lt;NumAm&gt;</w:t>
      </w:r>
      <w:r w:rsidRPr="001A4499">
        <w:t>18</w:t>
      </w:r>
      <w:r w:rsidRPr="001A4499">
        <w:rPr>
          <w:rStyle w:val="HideTWBExt"/>
          <w:color w:val="auto"/>
        </w:rPr>
        <w:t>&lt;/NumAm&gt;</w:t>
      </w:r>
    </w:p>
    <w:p w:rsidR="00D20070" w:rsidRPr="001A4499" w:rsidRDefault="00FF5B9D" w:rsidP="00D20070">
      <w:pPr>
        <w:pStyle w:val="NormalBold"/>
      </w:pPr>
      <w:r w:rsidRPr="001A4499">
        <w:rPr>
          <w:rStyle w:val="HideTWBExt"/>
          <w:b w:val="0"/>
          <w:color w:val="auto"/>
        </w:rPr>
        <w:lastRenderedPageBreak/>
        <w:t>&lt;RepeatBlock-By&gt;&lt;Members&gt;</w:t>
      </w:r>
      <w:r w:rsidRPr="001A4499">
        <w:t>Niels Fuglsang, Matthias Ecke, Bruno Gonçalves, Aurore Lalucq, Evelyn Regner</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Considerando E bis (nuovo)</w:t>
      </w:r>
      <w:r w:rsidRPr="001A4499">
        <w:rPr>
          <w:rStyle w:val="HideTWBExt"/>
          <w:color w:val="auto"/>
        </w:rPr>
        <w:t>&lt;/Article</w:t>
      </w:r>
      <w:r w:rsidRPr="001A4499">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E bis.</w:t>
            </w:r>
            <w:r w:rsidRPr="001A4499">
              <w:tab/>
            </w:r>
            <w:r w:rsidRPr="001A4499">
              <w:rPr>
                <w:b/>
                <w:i/>
              </w:rPr>
              <w:t xml:space="preserve">considerando che, secondo le stime, i costi totali di conformità fiscale nei 27 Stati membri dell'UE e nel Regno Unito sono stimati a 204 miliardi di EUR, pari all'1,3 % del loro PIL combinato; </w:t>
            </w:r>
            <w:r w:rsidRPr="001A4499">
              <w:rPr>
                <w:b/>
                <w:i/>
              </w:rPr>
              <w:t>sottolinea che le microimprese sostengono la stragrande maggioranza di tali costi (87 %), seguite dalle piccole imprese (10 %), il che comporta un onere amministrativo sproporzionato per le imprese più piccole</w:t>
            </w:r>
            <w:r w:rsidRPr="001A4499">
              <w:rPr>
                <w:b/>
                <w:i/>
                <w:vertAlign w:val="superscript"/>
              </w:rPr>
              <w:t>1 sexies</w:t>
            </w:r>
            <w:r w:rsidRPr="001A4499">
              <w:rPr>
                <w:b/>
                <w:i/>
              </w:rPr>
              <w:t>;</w:t>
            </w:r>
          </w:p>
        </w:tc>
      </w:tr>
      <w:tr w:rsidR="001A4499" w:rsidRPr="001A4499" w:rsidTr="00D20070">
        <w:trPr>
          <w:jc w:val="center"/>
        </w:trPr>
        <w:tc>
          <w:tcPr>
            <w:tcW w:w="4876" w:type="dxa"/>
            <w:tcBorders>
              <w:top w:val="nil"/>
              <w:left w:val="nil"/>
              <w:bottom w:val="nil"/>
              <w:right w:val="nil"/>
            </w:tcBorders>
          </w:tcPr>
          <w:p w:rsidR="00D20070" w:rsidRPr="001A4499" w:rsidRDefault="00D20070"/>
        </w:tc>
        <w:tc>
          <w:tcPr>
            <w:tcW w:w="4876" w:type="dxa"/>
            <w:tcBorders>
              <w:top w:val="nil"/>
              <w:left w:val="nil"/>
              <w:bottom w:val="nil"/>
              <w:right w:val="nil"/>
            </w:tcBorders>
            <w:hideMark/>
          </w:tcPr>
          <w:p w:rsidR="00D20070" w:rsidRPr="001A4499" w:rsidRDefault="00FF5B9D">
            <w:pPr>
              <w:pStyle w:val="Normal6a"/>
            </w:pPr>
            <w:r w:rsidRPr="001A4499">
              <w:rPr>
                <w:b/>
                <w:i/>
              </w:rPr>
              <w:t>_________________</w:t>
            </w:r>
          </w:p>
        </w:tc>
      </w:tr>
      <w:tr w:rsidR="001A4499" w:rsidRPr="001A4499" w:rsidTr="00D20070">
        <w:trPr>
          <w:jc w:val="center"/>
        </w:trPr>
        <w:tc>
          <w:tcPr>
            <w:tcW w:w="4876" w:type="dxa"/>
            <w:tcBorders>
              <w:top w:val="nil"/>
              <w:left w:val="nil"/>
              <w:bottom w:val="nil"/>
              <w:right w:val="nil"/>
            </w:tcBorders>
          </w:tcPr>
          <w:p w:rsidR="00D20070" w:rsidRPr="001A4499" w:rsidRDefault="00D20070"/>
        </w:tc>
        <w:tc>
          <w:tcPr>
            <w:tcW w:w="4876" w:type="dxa"/>
            <w:tcBorders>
              <w:top w:val="nil"/>
              <w:left w:val="nil"/>
              <w:bottom w:val="nil"/>
              <w:right w:val="nil"/>
            </w:tcBorders>
            <w:hideMark/>
          </w:tcPr>
          <w:p w:rsidR="00D20070" w:rsidRPr="001A4499" w:rsidRDefault="00FF5B9D">
            <w:pPr>
              <w:pStyle w:val="Normal6a"/>
            </w:pPr>
            <w:r w:rsidRPr="001A4499">
              <w:rPr>
                <w:b/>
                <w:i/>
                <w:vertAlign w:val="superscript"/>
              </w:rPr>
              <w:t>1 sexies</w:t>
            </w:r>
            <w:r w:rsidRPr="001A4499">
              <w:t xml:space="preserve"> </w:t>
            </w:r>
            <w:r w:rsidRPr="001A4499">
              <w:rPr>
                <w:b/>
                <w:i/>
              </w:rPr>
              <w:t xml:space="preserve">VVA/KPMG, "Study on the Cumulated Impacts of Tax Compliance Costs for SMEs and Micro-Enterprises" (Studio sugli impatti cumulativi dei costi di conformità fiscale per le PMI e le microimprese), Commissione europea, DG TAXUD, 2022. </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w:t>
      </w:r>
      <w:r w:rsidRPr="001A4499">
        <w:rPr>
          <w:rStyle w:val="HideTWBExt"/>
          <w:color w:val="auto"/>
        </w:rPr>
        <w:t>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19</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Thomas Bajada, Costas Mavrides</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Considerando E bis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E bis.</w:t>
            </w:r>
            <w:r w:rsidRPr="001A4499">
              <w:tab/>
            </w:r>
            <w:r w:rsidRPr="001A4499">
              <w:rPr>
                <w:b/>
                <w:i/>
              </w:rPr>
              <w:t>considerando che l'onere relativo della conformità fiscale è sproporzionatamente più elevato per le PMI rispetto alle imprese più grandi;</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lastRenderedPageBreak/>
        <w:t>&lt;Amend&gt;</w:t>
      </w:r>
      <w:r w:rsidRPr="001A4499">
        <w:t>Emendamento</w:t>
      </w:r>
      <w:r w:rsidRPr="001A4499">
        <w:tab/>
      </w:r>
      <w:r w:rsidRPr="001A4499">
        <w:tab/>
      </w:r>
      <w:r w:rsidRPr="001A4499">
        <w:rPr>
          <w:rStyle w:val="HideTWBExt"/>
          <w:color w:val="auto"/>
        </w:rPr>
        <w:t>&lt;NumAm&gt;</w:t>
      </w:r>
      <w:r w:rsidRPr="001A4499">
        <w:t>20</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Kira Marie Peter-Hansen</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Considerando E bis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E bis.</w:t>
            </w:r>
            <w:r w:rsidRPr="001A4499">
              <w:tab/>
            </w:r>
            <w:r w:rsidRPr="001A4499">
              <w:rPr>
                <w:b/>
                <w:i/>
              </w:rPr>
              <w:t>considerando che gli Stati membri si trovano ad affrontare sfide importanti che potrebbero incidere sul loro gettito e mix fiscale, come i significativi cambiamenti demografici, la crisi climatica, la digitalizzazione e l'automazione;</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C47511" w:rsidRPr="001A4499" w:rsidRDefault="00FF5B9D" w:rsidP="00C47511">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21</w:t>
      </w:r>
      <w:r w:rsidRPr="001A4499">
        <w:rPr>
          <w:rStyle w:val="HideTWBExt"/>
          <w:color w:val="auto"/>
        </w:rPr>
        <w:t>&lt;/NumAm&gt;</w:t>
      </w:r>
    </w:p>
    <w:p w:rsidR="00C47511" w:rsidRPr="001A4499" w:rsidRDefault="00FF5B9D" w:rsidP="00C47511">
      <w:pPr>
        <w:pStyle w:val="NormalBold"/>
      </w:pPr>
      <w:r w:rsidRPr="001A4499">
        <w:rPr>
          <w:rStyle w:val="HideTWBExt"/>
          <w:b w:val="0"/>
          <w:color w:val="auto"/>
        </w:rPr>
        <w:t>&lt;RepeatBlock-By&gt;&lt;Members&gt;</w:t>
      </w:r>
      <w:r w:rsidRPr="001A4499">
        <w:t>Lídia Pereira</w:t>
      </w:r>
      <w:r w:rsidRPr="001A4499">
        <w:rPr>
          <w:rStyle w:val="HideTWBExt"/>
          <w:b w:val="0"/>
          <w:color w:val="auto"/>
        </w:rPr>
        <w:t>&lt;/Members&gt;</w:t>
      </w:r>
    </w:p>
    <w:p w:rsidR="00C47511" w:rsidRPr="001A4499" w:rsidRDefault="00FF5B9D" w:rsidP="00C47511">
      <w:pPr>
        <w:pStyle w:val="NormalBold"/>
      </w:pPr>
      <w:r w:rsidRPr="001A4499">
        <w:rPr>
          <w:rStyle w:val="HideTWBExt"/>
          <w:b w:val="0"/>
          <w:color w:val="auto"/>
        </w:rPr>
        <w:t>&lt;/RepeatBlock-By&gt;</w:t>
      </w:r>
    </w:p>
    <w:p w:rsidR="00C47511" w:rsidRPr="001A4499" w:rsidRDefault="00FF5B9D" w:rsidP="00C47511">
      <w:pPr>
        <w:pStyle w:val="NormalBold"/>
      </w:pPr>
      <w:r w:rsidRPr="001A4499">
        <w:rPr>
          <w:rStyle w:val="HideTWBExt"/>
          <w:color w:val="auto"/>
        </w:rPr>
        <w:t>&lt;DocAmend&gt;</w:t>
      </w:r>
      <w:r w:rsidRPr="001A4499">
        <w:t>Proposta di risoluzione</w:t>
      </w:r>
      <w:r w:rsidRPr="001A4499">
        <w:rPr>
          <w:rStyle w:val="HideTWBExt"/>
          <w:color w:val="auto"/>
        </w:rPr>
        <w:t>&lt;/DocAmend&gt;</w:t>
      </w:r>
    </w:p>
    <w:p w:rsidR="00C47511" w:rsidRPr="001A4499" w:rsidRDefault="00FF5B9D" w:rsidP="00C47511">
      <w:pPr>
        <w:pStyle w:val="NormalBold"/>
      </w:pPr>
      <w:r w:rsidRPr="001A4499">
        <w:rPr>
          <w:rStyle w:val="HideTWBExt"/>
          <w:color w:val="auto"/>
        </w:rPr>
        <w:t>&lt;Article&gt;</w:t>
      </w:r>
      <w:r w:rsidRPr="001A4499">
        <w:t>Considerando E bis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CC2762">
        <w:trPr>
          <w:trHeight w:val="240"/>
          <w:jc w:val="center"/>
        </w:trPr>
        <w:tc>
          <w:tcPr>
            <w:tcW w:w="9752" w:type="dxa"/>
            <w:gridSpan w:val="2"/>
            <w:tcBorders>
              <w:top w:val="nil"/>
              <w:left w:val="nil"/>
              <w:bottom w:val="nil"/>
              <w:right w:val="nil"/>
            </w:tcBorders>
          </w:tcPr>
          <w:p w:rsidR="00C47511" w:rsidRPr="001A4499" w:rsidRDefault="00C47511" w:rsidP="00CC2762"/>
        </w:tc>
      </w:tr>
      <w:tr w:rsidR="001A4499" w:rsidRPr="001A4499" w:rsidTr="00CC2762">
        <w:trPr>
          <w:trHeight w:val="240"/>
          <w:jc w:val="center"/>
        </w:trPr>
        <w:tc>
          <w:tcPr>
            <w:tcW w:w="4876" w:type="dxa"/>
            <w:tcBorders>
              <w:top w:val="nil"/>
              <w:left w:val="nil"/>
              <w:bottom w:val="nil"/>
              <w:right w:val="nil"/>
            </w:tcBorders>
            <w:hideMark/>
          </w:tcPr>
          <w:p w:rsidR="00C47511" w:rsidRPr="001A4499" w:rsidRDefault="00FF5B9D" w:rsidP="00CC2762">
            <w:pPr>
              <w:pStyle w:val="AmColumnHeading"/>
            </w:pPr>
            <w:r w:rsidRPr="001A4499">
              <w:t>Proposta di risoluzione</w:t>
            </w:r>
          </w:p>
        </w:tc>
        <w:tc>
          <w:tcPr>
            <w:tcW w:w="4876" w:type="dxa"/>
            <w:tcBorders>
              <w:top w:val="nil"/>
              <w:left w:val="nil"/>
              <w:bottom w:val="nil"/>
              <w:right w:val="nil"/>
            </w:tcBorders>
            <w:hideMark/>
          </w:tcPr>
          <w:p w:rsidR="00C47511" w:rsidRPr="001A4499" w:rsidRDefault="00FF5B9D" w:rsidP="00CC2762">
            <w:pPr>
              <w:pStyle w:val="AmColumnHeading"/>
            </w:pPr>
            <w:r w:rsidRPr="001A4499">
              <w:t>Emendamento</w:t>
            </w:r>
          </w:p>
        </w:tc>
      </w:tr>
      <w:tr w:rsidR="001A4499" w:rsidRPr="001A4499" w:rsidTr="00CC2762">
        <w:trPr>
          <w:jc w:val="center"/>
        </w:trPr>
        <w:tc>
          <w:tcPr>
            <w:tcW w:w="4876" w:type="dxa"/>
            <w:tcBorders>
              <w:top w:val="nil"/>
              <w:left w:val="nil"/>
              <w:bottom w:val="nil"/>
              <w:right w:val="nil"/>
            </w:tcBorders>
          </w:tcPr>
          <w:p w:rsidR="00C47511" w:rsidRPr="001A4499" w:rsidRDefault="00C47511" w:rsidP="00CC2762">
            <w:pPr>
              <w:pStyle w:val="Normal6a"/>
            </w:pPr>
          </w:p>
        </w:tc>
        <w:tc>
          <w:tcPr>
            <w:tcW w:w="4876" w:type="dxa"/>
            <w:tcBorders>
              <w:top w:val="nil"/>
              <w:left w:val="nil"/>
              <w:bottom w:val="nil"/>
              <w:right w:val="nil"/>
            </w:tcBorders>
            <w:hideMark/>
          </w:tcPr>
          <w:p w:rsidR="00C47511" w:rsidRPr="001A4499" w:rsidRDefault="00FF5B9D" w:rsidP="00CC2762">
            <w:pPr>
              <w:pStyle w:val="Normal6a"/>
            </w:pPr>
            <w:r w:rsidRPr="001A4499">
              <w:rPr>
                <w:b/>
                <w:i/>
              </w:rPr>
              <w:t>E bis.</w:t>
            </w:r>
            <w:r w:rsidRPr="001A4499">
              <w:tab/>
            </w:r>
            <w:r w:rsidRPr="001A4499">
              <w:rPr>
                <w:b/>
                <w:i/>
              </w:rPr>
              <w:t>considerando che la tassazione è principalmente di competenza nazionale degli Stati membri, conformemente ai trattati;</w:t>
            </w:r>
          </w:p>
        </w:tc>
      </w:tr>
    </w:tbl>
    <w:p w:rsidR="00C47511" w:rsidRPr="001A4499" w:rsidRDefault="00FF5B9D" w:rsidP="00C47511">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C47511" w:rsidRPr="001A4499" w:rsidRDefault="00FF5B9D" w:rsidP="00C47511">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22</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Dirk Gotink</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Considerando E bis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E bis.</w:t>
            </w:r>
            <w:r w:rsidRPr="001A4499">
              <w:tab/>
            </w:r>
            <w:r w:rsidRPr="001A4499">
              <w:rPr>
                <w:b/>
                <w:i/>
              </w:rPr>
              <w:t xml:space="preserve">considerando che la tassazione è una prerogativa degli Stati membri e che l'UE ha competenze limitate, come </w:t>
            </w:r>
            <w:r w:rsidRPr="001A4499">
              <w:rPr>
                <w:b/>
                <w:i/>
              </w:rPr>
              <w:lastRenderedPageBreak/>
              <w:t>previsto dal TFUE;</w:t>
            </w:r>
          </w:p>
        </w:tc>
      </w:tr>
    </w:tbl>
    <w:p w:rsidR="00D20070" w:rsidRPr="001A4499" w:rsidRDefault="00FF5B9D" w:rsidP="00D20070">
      <w:pPr>
        <w:pStyle w:val="AmOrLang"/>
        <w:rPr>
          <w:lang w:eastAsia="en-US"/>
        </w:rPr>
      </w:pPr>
      <w:r w:rsidRPr="001A4499">
        <w:lastRenderedPageBreak/>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23</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Niels Fuglsang, Matthias Ecke, Bruno Gonçalves, Aurore Lalucq, Evelyn Regner</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Considerando E ter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E ter.</w:t>
            </w:r>
            <w:r w:rsidRPr="001A4499">
              <w:tab/>
            </w:r>
            <w:r w:rsidRPr="001A4499">
              <w:rPr>
                <w:b/>
                <w:i/>
              </w:rPr>
              <w:t>considerando che la crescente mobilità dei capitali, insieme alle più ampie tendenze della globalizzazione e della digitalizzazione degli ultimi decenni, ha progressivamente ridotto la capacità dei singoli paesi di garantire l'efficacia della loro politica</w:t>
            </w:r>
            <w:r w:rsidRPr="001A4499">
              <w:rPr>
                <w:b/>
                <w:i/>
              </w:rPr>
              <w:t xml:space="preserve"> fiscale e la protezione della loro base imponibile, in particolare per quanto concerne la tassazione delle imprese, ma anche, in misura crescente, le imposte sul reddito delle persone fisiche, erodendo in tal modo le basi delle entrate pubbliche</w:t>
            </w:r>
            <w:r w:rsidRPr="001A4499">
              <w:rPr>
                <w:b/>
                <w:i/>
                <w:vertAlign w:val="superscript"/>
              </w:rPr>
              <w:t>2 sexies</w:t>
            </w:r>
            <w:r w:rsidRPr="001A4499">
              <w:rPr>
                <w:b/>
                <w:i/>
              </w:rPr>
              <w:t>;</w:t>
            </w:r>
          </w:p>
        </w:tc>
      </w:tr>
      <w:tr w:rsidR="001A4499" w:rsidRPr="001A4499" w:rsidTr="00D20070">
        <w:trPr>
          <w:jc w:val="center"/>
        </w:trPr>
        <w:tc>
          <w:tcPr>
            <w:tcW w:w="4876" w:type="dxa"/>
            <w:tcBorders>
              <w:top w:val="nil"/>
              <w:left w:val="nil"/>
              <w:bottom w:val="nil"/>
              <w:right w:val="nil"/>
            </w:tcBorders>
          </w:tcPr>
          <w:p w:rsidR="00D20070" w:rsidRPr="001A4499" w:rsidRDefault="00D20070"/>
        </w:tc>
        <w:tc>
          <w:tcPr>
            <w:tcW w:w="4876" w:type="dxa"/>
            <w:tcBorders>
              <w:top w:val="nil"/>
              <w:left w:val="nil"/>
              <w:bottom w:val="nil"/>
              <w:right w:val="nil"/>
            </w:tcBorders>
            <w:hideMark/>
          </w:tcPr>
          <w:p w:rsidR="00D20070" w:rsidRPr="001A4499" w:rsidRDefault="00FF5B9D">
            <w:pPr>
              <w:pStyle w:val="Normal6a"/>
            </w:pPr>
            <w:r w:rsidRPr="001A4499">
              <w:rPr>
                <w:b/>
                <w:i/>
              </w:rPr>
              <w:t>_________________</w:t>
            </w:r>
          </w:p>
        </w:tc>
      </w:tr>
      <w:tr w:rsidR="001A4499" w:rsidRPr="001A4499" w:rsidTr="00D20070">
        <w:trPr>
          <w:jc w:val="center"/>
        </w:trPr>
        <w:tc>
          <w:tcPr>
            <w:tcW w:w="4876" w:type="dxa"/>
            <w:tcBorders>
              <w:top w:val="nil"/>
              <w:left w:val="nil"/>
              <w:bottom w:val="nil"/>
              <w:right w:val="nil"/>
            </w:tcBorders>
          </w:tcPr>
          <w:p w:rsidR="00D20070" w:rsidRPr="001A4499" w:rsidRDefault="00D20070"/>
        </w:tc>
        <w:tc>
          <w:tcPr>
            <w:tcW w:w="4876" w:type="dxa"/>
            <w:tcBorders>
              <w:top w:val="nil"/>
              <w:left w:val="nil"/>
              <w:bottom w:val="nil"/>
              <w:right w:val="nil"/>
            </w:tcBorders>
            <w:hideMark/>
          </w:tcPr>
          <w:p w:rsidR="00D20070" w:rsidRPr="001A4499" w:rsidRDefault="00FF5B9D">
            <w:pPr>
              <w:pStyle w:val="Normal6a"/>
            </w:pPr>
            <w:r w:rsidRPr="001A4499">
              <w:rPr>
                <w:b/>
                <w:i/>
                <w:vertAlign w:val="superscript"/>
              </w:rPr>
              <w:t>2 sexies</w:t>
            </w:r>
            <w:r w:rsidRPr="001A4499">
              <w:t xml:space="preserve"> </w:t>
            </w:r>
            <w:r w:rsidRPr="001A4499">
              <w:rPr>
                <w:b/>
                <w:i/>
              </w:rPr>
              <w:t xml:space="preserve">de la Feria, R. (2023). Secondo pilastro, "Fiat, and the EU Unanimity rule on tax matters" (Fiat e la regola dell'unanimità dell'UE in materia fiscale), 3 gennaio 2023, 2-8. </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w:t>
      </w:r>
      <w:r w:rsidRPr="001A4499">
        <w:t>mendamento</w:t>
      </w:r>
      <w:r w:rsidRPr="001A4499">
        <w:tab/>
      </w:r>
      <w:r w:rsidRPr="001A4499">
        <w:tab/>
      </w:r>
      <w:r w:rsidRPr="001A4499">
        <w:rPr>
          <w:rStyle w:val="HideTWBExt"/>
          <w:color w:val="auto"/>
        </w:rPr>
        <w:t>&lt;NumAm&gt;</w:t>
      </w:r>
      <w:r w:rsidRPr="001A4499">
        <w:t>24</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Michalis Hadjipantela</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Considerando E ter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E ter.</w:t>
            </w:r>
            <w:r w:rsidRPr="001A4499">
              <w:tab/>
            </w:r>
            <w:r w:rsidRPr="001A4499">
              <w:rPr>
                <w:b/>
                <w:i/>
              </w:rPr>
              <w:t>considerando che uno studio della Commissione europea</w:t>
            </w:r>
            <w:r w:rsidRPr="001A4499">
              <w:rPr>
                <w:b/>
                <w:i/>
                <w:vertAlign w:val="superscript"/>
              </w:rPr>
              <w:t>1 bis</w:t>
            </w:r>
            <w:r w:rsidRPr="001A4499">
              <w:rPr>
                <w:b/>
                <w:i/>
              </w:rPr>
              <w:t xml:space="preserve"> ha stimato che le imprese nell'UE-28 hanno sostenuto in media un costo annuo di conformità fiscale pari all'1,9 % del loro fatturato nel 2019; che, tra le varie imposte, le imprese hanno considerat</w:t>
            </w:r>
            <w:r w:rsidRPr="001A4499">
              <w:rPr>
                <w:b/>
                <w:i/>
              </w:rPr>
              <w:t>o l'IVA e l'imposta sulle società come quelle con l'onere di conformità più elevato;</w:t>
            </w:r>
          </w:p>
        </w:tc>
      </w:tr>
      <w:tr w:rsidR="001A4499" w:rsidRPr="001A4499" w:rsidTr="00D20070">
        <w:trPr>
          <w:jc w:val="center"/>
        </w:trPr>
        <w:tc>
          <w:tcPr>
            <w:tcW w:w="4876" w:type="dxa"/>
            <w:tcBorders>
              <w:top w:val="nil"/>
              <w:left w:val="nil"/>
              <w:bottom w:val="nil"/>
              <w:right w:val="nil"/>
            </w:tcBorders>
          </w:tcPr>
          <w:p w:rsidR="00D20070" w:rsidRPr="001A4499" w:rsidRDefault="00D20070"/>
        </w:tc>
        <w:tc>
          <w:tcPr>
            <w:tcW w:w="4876" w:type="dxa"/>
            <w:tcBorders>
              <w:top w:val="nil"/>
              <w:left w:val="nil"/>
              <w:bottom w:val="nil"/>
              <w:right w:val="nil"/>
            </w:tcBorders>
            <w:hideMark/>
          </w:tcPr>
          <w:p w:rsidR="00D20070" w:rsidRPr="001A4499" w:rsidRDefault="00FF5B9D">
            <w:pPr>
              <w:pStyle w:val="Normal6a"/>
            </w:pPr>
            <w:r w:rsidRPr="001A4499">
              <w:rPr>
                <w:b/>
                <w:i/>
              </w:rPr>
              <w:t>_________________</w:t>
            </w:r>
          </w:p>
        </w:tc>
      </w:tr>
      <w:tr w:rsidR="001A4499" w:rsidRPr="001A4499" w:rsidTr="00D20070">
        <w:trPr>
          <w:jc w:val="center"/>
        </w:trPr>
        <w:tc>
          <w:tcPr>
            <w:tcW w:w="4876" w:type="dxa"/>
            <w:tcBorders>
              <w:top w:val="nil"/>
              <w:left w:val="nil"/>
              <w:bottom w:val="nil"/>
              <w:right w:val="nil"/>
            </w:tcBorders>
          </w:tcPr>
          <w:p w:rsidR="00D20070" w:rsidRPr="001A4499" w:rsidRDefault="00D20070"/>
        </w:tc>
        <w:tc>
          <w:tcPr>
            <w:tcW w:w="4876" w:type="dxa"/>
            <w:tcBorders>
              <w:top w:val="nil"/>
              <w:left w:val="nil"/>
              <w:bottom w:val="nil"/>
              <w:right w:val="nil"/>
            </w:tcBorders>
            <w:hideMark/>
          </w:tcPr>
          <w:p w:rsidR="00D20070" w:rsidRPr="001A4499" w:rsidRDefault="00FF5B9D">
            <w:pPr>
              <w:pStyle w:val="Normal6a"/>
            </w:pPr>
            <w:r w:rsidRPr="001A4499">
              <w:rPr>
                <w:b/>
                <w:i/>
                <w:vertAlign w:val="superscript"/>
              </w:rPr>
              <w:t>1 bis</w:t>
            </w:r>
            <w:r w:rsidRPr="001A4499">
              <w:t xml:space="preserve"> </w:t>
            </w:r>
            <w:r w:rsidRPr="001A4499">
              <w:rPr>
                <w:b/>
                <w:i/>
              </w:rPr>
              <w:t xml:space="preserve">Commissione europea "Tax compliance costs for SMEs: </w:t>
            </w:r>
            <w:r w:rsidRPr="001A4499">
              <w:rPr>
                <w:b/>
                <w:i/>
              </w:rPr>
              <w:t>An update and a complement Final Report 2022" (I costi della conformità fiscale per le PMI: un aggiornamento e un'integrazione, relazione finale 2022), https://op.europa.eu/en/publication-detail/-/publication/70a486a9-b61d-11ec-b6f4-01aa75ed71a1</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w:t>
      </w:r>
      <w:r w:rsidRPr="001A4499">
        <w:rPr>
          <w:rStyle w:val="HideTWBExt"/>
          <w:color w:val="auto"/>
        </w:rPr>
        <w:t>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25</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Fabio De Masi</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Considerando F</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F.</w:t>
            </w:r>
            <w:r w:rsidRPr="001A4499">
              <w:tab/>
              <w:t>considerando che Mario Draghi, nella sua relazione approfondita sulla situazione economica dell'Unione europea, ha messo in guarda dal calo della produttività e dalla perdita di competitività dell'UE, ha avvertito che, senza un intervento deciso, l'UE d</w:t>
            </w:r>
            <w:r w:rsidRPr="001A4499">
              <w:t xml:space="preserve">ovrà far fronte a un declino lento e agonizzante e ha messo altresì in evidenza la necessità di </w:t>
            </w:r>
            <w:r w:rsidRPr="001A4499">
              <w:rPr>
                <w:b/>
                <w:i/>
              </w:rPr>
              <w:t>coordinare le politiche</w:t>
            </w:r>
            <w:r w:rsidRPr="001A4499">
              <w:t xml:space="preserve">, di ridurre gli ostacoli burocratici per aumentare la competitività e di individuare ed eliminare le norme superflue, anche nel settore </w:t>
            </w:r>
            <w:r w:rsidRPr="001A4499">
              <w:t>fiscale;</w:t>
            </w:r>
          </w:p>
        </w:tc>
        <w:tc>
          <w:tcPr>
            <w:tcW w:w="4876" w:type="dxa"/>
            <w:tcBorders>
              <w:top w:val="nil"/>
              <w:left w:val="nil"/>
              <w:bottom w:val="nil"/>
              <w:right w:val="nil"/>
            </w:tcBorders>
            <w:hideMark/>
          </w:tcPr>
          <w:p w:rsidR="00D20070" w:rsidRPr="001A4499" w:rsidRDefault="00FF5B9D">
            <w:pPr>
              <w:pStyle w:val="Normal6a"/>
            </w:pPr>
            <w:r w:rsidRPr="001A4499">
              <w:t>F.</w:t>
            </w:r>
            <w:r w:rsidRPr="001A4499">
              <w:tab/>
              <w:t>considerando che Mario Draghi, nella sua relazione approfondita sulla situazione economica dell'Unione europea, ha messo in guarda dal calo della produttività e dalla perdita di competitività dell'UE, ha avvertito che, senza un intervento decis</w:t>
            </w:r>
            <w:r w:rsidRPr="001A4499">
              <w:t xml:space="preserve">o, l'UE dovrà far fronte a un declino lento e agonizzante e ha messo altresì in evidenza la necessità di </w:t>
            </w:r>
            <w:r w:rsidRPr="001A4499">
              <w:rPr>
                <w:b/>
                <w:i/>
              </w:rPr>
              <w:t>aumentare gli investimenti sia pubblici che privati</w:t>
            </w:r>
            <w:r w:rsidRPr="001A4499">
              <w:t>, di ridurre gli ostacoli burocratici per aumentare la competitività e di individuare ed eliminare l</w:t>
            </w:r>
            <w:r w:rsidRPr="001A4499">
              <w:t>e norme superflue, anche nel settore fiscale;</w:t>
            </w:r>
          </w:p>
        </w:tc>
      </w:tr>
    </w:tbl>
    <w:p w:rsidR="00D20070" w:rsidRPr="001A4499" w:rsidRDefault="00FF5B9D" w:rsidP="00D20070">
      <w:pPr>
        <w:pStyle w:val="AmOrLang"/>
        <w:rPr>
          <w:lang w:eastAsia="en-US"/>
        </w:rPr>
      </w:pPr>
      <w:r w:rsidRPr="001A4499">
        <w:lastRenderedPageBreak/>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26</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Roberts Zīle</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Considerando F</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F.</w:t>
            </w:r>
            <w:r w:rsidRPr="001A4499">
              <w:tab/>
            </w:r>
            <w:r w:rsidRPr="001A4499">
              <w:t>considerando che Mario Draghi, nella sua relazione approfondita sulla situazione economica dell'Unione europea, ha messo in guarda dal calo della produttività e dalla perdita di competitività dell'UE, ha avvertito che, senza un intervento deciso, l'UE dovr</w:t>
            </w:r>
            <w:r w:rsidRPr="001A4499">
              <w:t xml:space="preserve">à far fronte a un declino lento e agonizzante e ha messo altresì in evidenza la necessità di coordinare le politiche, </w:t>
            </w:r>
            <w:r w:rsidRPr="001A4499">
              <w:rPr>
                <w:b/>
                <w:i/>
              </w:rPr>
              <w:t>di ridurre gli</w:t>
            </w:r>
            <w:r w:rsidRPr="001A4499">
              <w:t xml:space="preserve"> ostacoli burocratici </w:t>
            </w:r>
            <w:r w:rsidRPr="001A4499">
              <w:rPr>
                <w:b/>
                <w:i/>
              </w:rPr>
              <w:t>per aumentare la competitività e di individuare ed eliminare le norme superflue, anche nel settore fis</w:t>
            </w:r>
            <w:r w:rsidRPr="001A4499">
              <w:rPr>
                <w:b/>
                <w:i/>
              </w:rPr>
              <w:t>cale</w:t>
            </w:r>
            <w:r w:rsidRPr="001A4499">
              <w:t>;</w:t>
            </w:r>
          </w:p>
        </w:tc>
        <w:tc>
          <w:tcPr>
            <w:tcW w:w="4876" w:type="dxa"/>
            <w:tcBorders>
              <w:top w:val="nil"/>
              <w:left w:val="nil"/>
              <w:bottom w:val="nil"/>
              <w:right w:val="nil"/>
            </w:tcBorders>
            <w:hideMark/>
          </w:tcPr>
          <w:p w:rsidR="00D20070" w:rsidRPr="001A4499" w:rsidRDefault="00FF5B9D">
            <w:pPr>
              <w:pStyle w:val="Normal6a"/>
            </w:pPr>
            <w:r w:rsidRPr="001A4499">
              <w:t>F.</w:t>
            </w:r>
            <w:r w:rsidRPr="001A4499">
              <w:tab/>
              <w:t xml:space="preserve">considerando che Mario Draghi, nella sua relazione approfondita sulla situazione economica dell'Unione europea, ha messo in guarda dal calo della produttività e dalla perdita di competitività dell'UE, ha avvertito che, senza un intervento deciso, </w:t>
            </w:r>
            <w:r w:rsidRPr="001A4499">
              <w:t xml:space="preserve">l'UE dovrà far fronte a un declino lento e agonizzante e ha messo altresì in evidenza la necessità di coordinare le politiche </w:t>
            </w:r>
            <w:r w:rsidRPr="001A4499">
              <w:rPr>
                <w:b/>
                <w:i/>
              </w:rPr>
              <w:t>limitate all'eliminazione delle barriere superflue e alla riduzione degli</w:t>
            </w:r>
            <w:r w:rsidRPr="001A4499">
              <w:t xml:space="preserve"> ostacoli burocratici </w:t>
            </w:r>
            <w:r w:rsidRPr="001A4499">
              <w:rPr>
                <w:b/>
                <w:i/>
              </w:rPr>
              <w:t xml:space="preserve">legati alla tassazione nell'ambito </w:t>
            </w:r>
            <w:r w:rsidRPr="001A4499">
              <w:rPr>
                <w:b/>
                <w:i/>
              </w:rPr>
              <w:t>dello snellimento del mercato unico</w:t>
            </w:r>
            <w:r w:rsidRPr="001A4499">
              <w:t>;</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27</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Kira Marie Peter-Hansen</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Considerando F</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F.</w:t>
            </w:r>
            <w:r w:rsidRPr="001A4499">
              <w:tab/>
            </w:r>
            <w:r w:rsidRPr="001A4499">
              <w:t>considerando che Mario Draghi, nella sua relazione approfondita sulla situazione economica dell'Unione europea, ha messo in guarda dal calo della produttività e dalla perdita di competitività dell'UE, ha avvertito che, senza un intervento deciso, l'UE dovr</w:t>
            </w:r>
            <w:r w:rsidRPr="001A4499">
              <w:t xml:space="preserve">à far fronte a un declino lento e agonizzante e ha messo altresì in evidenza la necessità di coordinare le politiche, di ridurre gli </w:t>
            </w:r>
            <w:r w:rsidRPr="001A4499">
              <w:lastRenderedPageBreak/>
              <w:t xml:space="preserve">ostacoli burocratici per aumentare la competitività e di individuare </w:t>
            </w:r>
            <w:r w:rsidRPr="001A4499">
              <w:rPr>
                <w:b/>
                <w:i/>
              </w:rPr>
              <w:t>ed eliminare</w:t>
            </w:r>
            <w:r w:rsidRPr="001A4499">
              <w:t xml:space="preserve"> le norme </w:t>
            </w:r>
            <w:r w:rsidRPr="001A4499">
              <w:rPr>
                <w:b/>
                <w:i/>
              </w:rPr>
              <w:t>superflue, anche nel settore fis</w:t>
            </w:r>
            <w:r w:rsidRPr="001A4499">
              <w:rPr>
                <w:b/>
                <w:i/>
              </w:rPr>
              <w:t>cale</w:t>
            </w:r>
            <w:r w:rsidRPr="001A4499">
              <w:t>;</w:t>
            </w:r>
          </w:p>
        </w:tc>
        <w:tc>
          <w:tcPr>
            <w:tcW w:w="4876" w:type="dxa"/>
            <w:tcBorders>
              <w:top w:val="nil"/>
              <w:left w:val="nil"/>
              <w:bottom w:val="nil"/>
              <w:right w:val="nil"/>
            </w:tcBorders>
            <w:hideMark/>
          </w:tcPr>
          <w:p w:rsidR="00D20070" w:rsidRPr="001A4499" w:rsidRDefault="00FF5B9D">
            <w:pPr>
              <w:pStyle w:val="Normal6a"/>
            </w:pPr>
            <w:r w:rsidRPr="001A4499">
              <w:lastRenderedPageBreak/>
              <w:t>F.</w:t>
            </w:r>
            <w:r w:rsidRPr="001A4499">
              <w:tab/>
              <w:t xml:space="preserve">considerando che Mario Draghi, nella sua relazione approfondita sulla situazione economica dell'Unione europea, ha messo in guarda dal calo della produttività e dalla perdita di competitività dell'UE, ha avvertito che, senza un intervento deciso, </w:t>
            </w:r>
            <w:r w:rsidRPr="001A4499">
              <w:t xml:space="preserve">l'UE dovrà far fronte a un declino lento e agonizzante e ha messo altresì in evidenza la necessità di coordinare le politiche, di ridurre gli </w:t>
            </w:r>
            <w:r w:rsidRPr="001A4499">
              <w:lastRenderedPageBreak/>
              <w:t xml:space="preserve">ostacoli burocratici per aumentare la competitività e di individuare </w:t>
            </w:r>
            <w:r w:rsidRPr="001A4499">
              <w:rPr>
                <w:b/>
                <w:i/>
              </w:rPr>
              <w:t>la necessità di armonizzare</w:t>
            </w:r>
            <w:r w:rsidRPr="001A4499">
              <w:t xml:space="preserve"> le norme </w:t>
            </w:r>
            <w:r w:rsidRPr="001A4499">
              <w:rPr>
                <w:b/>
                <w:i/>
              </w:rPr>
              <w:t xml:space="preserve">fiscali </w:t>
            </w:r>
            <w:r w:rsidRPr="001A4499">
              <w:rPr>
                <w:b/>
                <w:i/>
              </w:rPr>
              <w:t>per rafforzare il mercato interno</w:t>
            </w:r>
            <w:r w:rsidRPr="001A4499">
              <w:t>;</w:t>
            </w:r>
          </w:p>
        </w:tc>
      </w:tr>
    </w:tbl>
    <w:p w:rsidR="00D20070" w:rsidRPr="001A4499" w:rsidRDefault="00FF5B9D" w:rsidP="00D20070">
      <w:pPr>
        <w:pStyle w:val="AmOrLang"/>
        <w:rPr>
          <w:lang w:eastAsia="en-US"/>
        </w:rPr>
      </w:pPr>
      <w:r w:rsidRPr="001A4499">
        <w:lastRenderedPageBreak/>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28</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Niels Fuglsang, Matthias Ecke, Bruno Gonçalves, Aurore Lalucq, Evelyn Regner</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Considerando F bis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F bis.</w:t>
            </w:r>
            <w:r w:rsidRPr="001A4499">
              <w:tab/>
            </w:r>
            <w:r w:rsidRPr="001A4499">
              <w:rPr>
                <w:b/>
                <w:i/>
              </w:rPr>
              <w:t xml:space="preserve">considerando che la relazione globale di Draghi riconosce altresì la necessità di "eliminare gli ostacoli fiscali agli investimenti transfrontalieri nell'UE per ridurre la frammentazione del mercato dei capitali" quale modo per ridurre la frammentazione e </w:t>
            </w:r>
            <w:r w:rsidRPr="001A4499">
              <w:rPr>
                <w:b/>
                <w:i/>
              </w:rPr>
              <w:t>rafforzare l'Unione dei mercati dei capitali; che la relazione sottolinea che "i cittadini dell'UE dovrebbero essere in grado di investire in altri Stati membri senza complesse procedure fiscali, che di fatto comportano una doppia imposizione" e insiste su</w:t>
            </w:r>
            <w:r w:rsidRPr="001A4499">
              <w:rPr>
                <w:b/>
                <w:i/>
              </w:rPr>
              <w:t>l fatto che "la tassazione relativa agli investimenti di capitale dovrebbe essere sincronizzata il più possibile per ridurre la frammentazione in termini di incentivi";</w:t>
            </w:r>
            <w:r w:rsidRPr="001A4499">
              <w:rPr>
                <w:b/>
                <w:i/>
                <w:vertAlign w:val="superscript"/>
              </w:rPr>
              <w:t>1 septies</w:t>
            </w:r>
          </w:p>
        </w:tc>
      </w:tr>
      <w:tr w:rsidR="001A4499" w:rsidRPr="001A4499" w:rsidTr="00D20070">
        <w:trPr>
          <w:jc w:val="center"/>
        </w:trPr>
        <w:tc>
          <w:tcPr>
            <w:tcW w:w="4876" w:type="dxa"/>
            <w:tcBorders>
              <w:top w:val="nil"/>
              <w:left w:val="nil"/>
              <w:bottom w:val="nil"/>
              <w:right w:val="nil"/>
            </w:tcBorders>
          </w:tcPr>
          <w:p w:rsidR="00D20070" w:rsidRPr="001A4499" w:rsidRDefault="00D20070"/>
        </w:tc>
        <w:tc>
          <w:tcPr>
            <w:tcW w:w="4876" w:type="dxa"/>
            <w:tcBorders>
              <w:top w:val="nil"/>
              <w:left w:val="nil"/>
              <w:bottom w:val="nil"/>
              <w:right w:val="nil"/>
            </w:tcBorders>
            <w:hideMark/>
          </w:tcPr>
          <w:p w:rsidR="00D20070" w:rsidRPr="001A4499" w:rsidRDefault="00FF5B9D">
            <w:pPr>
              <w:pStyle w:val="Normal6a"/>
            </w:pPr>
            <w:r w:rsidRPr="001A4499">
              <w:rPr>
                <w:b/>
                <w:i/>
              </w:rPr>
              <w:t>_________________</w:t>
            </w:r>
          </w:p>
        </w:tc>
      </w:tr>
      <w:tr w:rsidR="001A4499" w:rsidRPr="001A4499" w:rsidTr="00D20070">
        <w:trPr>
          <w:jc w:val="center"/>
        </w:trPr>
        <w:tc>
          <w:tcPr>
            <w:tcW w:w="4876" w:type="dxa"/>
            <w:tcBorders>
              <w:top w:val="nil"/>
              <w:left w:val="nil"/>
              <w:bottom w:val="nil"/>
              <w:right w:val="nil"/>
            </w:tcBorders>
          </w:tcPr>
          <w:p w:rsidR="00D20070" w:rsidRPr="001A4499" w:rsidRDefault="00D20070"/>
        </w:tc>
        <w:tc>
          <w:tcPr>
            <w:tcW w:w="4876" w:type="dxa"/>
            <w:tcBorders>
              <w:top w:val="nil"/>
              <w:left w:val="nil"/>
              <w:bottom w:val="nil"/>
              <w:right w:val="nil"/>
            </w:tcBorders>
            <w:hideMark/>
          </w:tcPr>
          <w:p w:rsidR="00D20070" w:rsidRPr="001A4499" w:rsidRDefault="00FF5B9D">
            <w:pPr>
              <w:pStyle w:val="Normal6a"/>
            </w:pPr>
            <w:r w:rsidRPr="001A4499">
              <w:rPr>
                <w:b/>
                <w:i/>
                <w:vertAlign w:val="superscript"/>
              </w:rPr>
              <w:t>1 septies</w:t>
            </w:r>
            <w:r w:rsidRPr="001A4499">
              <w:t xml:space="preserve"> </w:t>
            </w:r>
            <w:r w:rsidRPr="001A4499">
              <w:rPr>
                <w:b/>
                <w:i/>
              </w:rPr>
              <w:t xml:space="preserve">Mario Draghi, "The Future of European Competitiveness" "Part B-In-depth analysis and recommendations" (Il futuro della competitività europea)(Parte B - Analisi approfondita e raccomandazioni), settembre 2024, pag. 293 </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lastRenderedPageBreak/>
        <w:t>&lt;/Am</w:t>
      </w:r>
      <w:r w:rsidRPr="001A4499">
        <w:rPr>
          <w:rStyle w:val="HideTWBExt"/>
          <w:color w:val="auto"/>
        </w:rPr>
        <w:t>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29</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Markus Ferber</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Considerando F bis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F bis.</w:t>
            </w:r>
            <w:r w:rsidRPr="001A4499">
              <w:tab/>
            </w:r>
            <w:r w:rsidRPr="001A4499">
              <w:rPr>
                <w:b/>
                <w:i/>
              </w:rPr>
              <w:t>considerando che la frammentazione della politica fiscale e l'elaborazione eccessivamente complicata della politica fiscale creano vari ostacoli per le imprese e i cittadini nel mercato unico: incertezza giuridica, burocrazia, rischio di doppia imposizione</w:t>
            </w:r>
            <w:r w:rsidRPr="001A4499">
              <w:rPr>
                <w:b/>
                <w:i/>
              </w:rPr>
              <w:t>, difficoltà nel richiedere i rimborsi fiscali; che tali ostacoli scoraggiano l'attività economica transfrontaliera nel mercato unico; che la frammentazione della politica fiscale e l'elaborazione eccessivamente complicata della politica fiscale creano alt</w:t>
            </w:r>
            <w:r w:rsidRPr="001A4499">
              <w:rPr>
                <w:b/>
                <w:i/>
              </w:rPr>
              <w:t>resì rischi per le autorità fiscali, come la doppia non imposizione e le possibilità di arbitraggio;</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30</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Fabio De Masi</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Considerando F bis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F bis.</w:t>
            </w:r>
            <w:r w:rsidRPr="001A4499">
              <w:tab/>
            </w:r>
            <w:r w:rsidRPr="001A4499">
              <w:rPr>
                <w:b/>
                <w:i/>
              </w:rPr>
              <w:t>considerando che la dichiarazione dei leader del G20 di Rio de Janeiro ha sottolineato che la tassazione progressiva è uno degli strumenti chiave per ridurre le disuguaglianze interne, rafforzare la sostenibilità di bilancio, stimolare il risanamento di bi</w:t>
            </w:r>
            <w:r w:rsidRPr="001A4499">
              <w:rPr>
                <w:b/>
                <w:i/>
              </w:rPr>
              <w:t xml:space="preserve">lancio, promuovere una crescita forte, sostenibile, equilibrata e inclusiva e facilitare il conseguimento degli OSS e si è impegnata a garantire che le persone con disponibilità </w:t>
            </w:r>
            <w:r w:rsidRPr="001A4499">
              <w:rPr>
                <w:b/>
                <w:i/>
              </w:rPr>
              <w:lastRenderedPageBreak/>
              <w:t>patrimoniali molto ampie siano effettivamente tassate;</w:t>
            </w:r>
          </w:p>
        </w:tc>
      </w:tr>
    </w:tbl>
    <w:p w:rsidR="00D20070" w:rsidRPr="001A4499" w:rsidRDefault="00FF5B9D" w:rsidP="00D20070">
      <w:pPr>
        <w:pStyle w:val="AmOrLang"/>
        <w:rPr>
          <w:lang w:eastAsia="en-US"/>
        </w:rPr>
      </w:pPr>
      <w:r w:rsidRPr="001A4499">
        <w:lastRenderedPageBreak/>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31</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Niels Fuglsang, Matthias Ecke, Bruno Gonçalves, Aurore Lalucq, Evelyn Regner</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 xml:space="preserve">Considerando </w:t>
      </w:r>
      <w:r w:rsidRPr="001A4499">
        <w:t>F ter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F ter.</w:t>
            </w:r>
            <w:r w:rsidRPr="001A4499">
              <w:tab/>
            </w:r>
            <w:r w:rsidRPr="001A4499">
              <w:rPr>
                <w:b/>
                <w:i/>
              </w:rPr>
              <w:t>considerando che la relazione Letta sottolinea che un finanziamento efficace e sostenibile dei servizi di interesse generale è essenziale per sostenere il modello sociale europeo e garantire l'accesso universale a servizi di alta qualità, tra cui l'assiste</w:t>
            </w:r>
            <w:r w:rsidRPr="001A4499">
              <w:rPr>
                <w:b/>
                <w:i/>
              </w:rPr>
              <w:t>nza sanitaria, l'alloggio, l'energia e le comunicazioni digitali, che sono alla base della protezione sociale, dell'inclusione e della competitività</w:t>
            </w:r>
            <w:r w:rsidRPr="001A4499">
              <w:rPr>
                <w:b/>
                <w:i/>
                <w:vertAlign w:val="superscript"/>
              </w:rPr>
              <w:t>2 septies</w:t>
            </w:r>
            <w:r w:rsidRPr="001A4499">
              <w:rPr>
                <w:b/>
                <w:i/>
              </w:rPr>
              <w:t>;</w:t>
            </w:r>
          </w:p>
        </w:tc>
      </w:tr>
      <w:tr w:rsidR="001A4499" w:rsidRPr="001A4499" w:rsidTr="00D20070">
        <w:trPr>
          <w:jc w:val="center"/>
        </w:trPr>
        <w:tc>
          <w:tcPr>
            <w:tcW w:w="4876" w:type="dxa"/>
            <w:tcBorders>
              <w:top w:val="nil"/>
              <w:left w:val="nil"/>
              <w:bottom w:val="nil"/>
              <w:right w:val="nil"/>
            </w:tcBorders>
          </w:tcPr>
          <w:p w:rsidR="00D20070" w:rsidRPr="001A4499" w:rsidRDefault="00D20070"/>
        </w:tc>
        <w:tc>
          <w:tcPr>
            <w:tcW w:w="4876" w:type="dxa"/>
            <w:tcBorders>
              <w:top w:val="nil"/>
              <w:left w:val="nil"/>
              <w:bottom w:val="nil"/>
              <w:right w:val="nil"/>
            </w:tcBorders>
            <w:hideMark/>
          </w:tcPr>
          <w:p w:rsidR="00D20070" w:rsidRPr="001A4499" w:rsidRDefault="00FF5B9D">
            <w:pPr>
              <w:pStyle w:val="Normal6a"/>
            </w:pPr>
            <w:r w:rsidRPr="001A4499">
              <w:rPr>
                <w:b/>
                <w:i/>
              </w:rPr>
              <w:t>_________________</w:t>
            </w:r>
          </w:p>
        </w:tc>
      </w:tr>
      <w:tr w:rsidR="001A4499" w:rsidRPr="001A4499" w:rsidTr="00D20070">
        <w:trPr>
          <w:jc w:val="center"/>
        </w:trPr>
        <w:tc>
          <w:tcPr>
            <w:tcW w:w="4876" w:type="dxa"/>
            <w:tcBorders>
              <w:top w:val="nil"/>
              <w:left w:val="nil"/>
              <w:bottom w:val="nil"/>
              <w:right w:val="nil"/>
            </w:tcBorders>
          </w:tcPr>
          <w:p w:rsidR="00D20070" w:rsidRPr="001A4499" w:rsidRDefault="00D20070"/>
        </w:tc>
        <w:tc>
          <w:tcPr>
            <w:tcW w:w="4876" w:type="dxa"/>
            <w:tcBorders>
              <w:top w:val="nil"/>
              <w:left w:val="nil"/>
              <w:bottom w:val="nil"/>
              <w:right w:val="nil"/>
            </w:tcBorders>
            <w:hideMark/>
          </w:tcPr>
          <w:p w:rsidR="00D20070" w:rsidRPr="001A4499" w:rsidRDefault="00FF5B9D">
            <w:pPr>
              <w:pStyle w:val="Normal6a"/>
            </w:pPr>
            <w:r w:rsidRPr="001A4499">
              <w:rPr>
                <w:b/>
                <w:i/>
                <w:vertAlign w:val="superscript"/>
              </w:rPr>
              <w:t>2 septies</w:t>
            </w:r>
            <w:r w:rsidRPr="001A4499">
              <w:t xml:space="preserve"> </w:t>
            </w:r>
            <w:r w:rsidRPr="001A4499">
              <w:rPr>
                <w:b/>
                <w:i/>
              </w:rPr>
              <w:t>Enrico Letta, "Much more than a market, Speed, Security and Solidarity, Empowering the Single Market to deliver a sustainable future and prosperity for all EU Citizens" (Molto più di un mercato – Rafforzare il mercato unico per garantire a tutti i cittadin</w:t>
            </w:r>
            <w:r w:rsidRPr="001A4499">
              <w:rPr>
                <w:b/>
                <w:i/>
              </w:rPr>
              <w:t xml:space="preserve">i dell'UE un futuro sostenibile e prosperità), aprile 2024, pag. 98. </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32</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Niels Fuglsang, Matthias Ecke, Bruno Gonçalves, Aurore Lalucq, Evelyn Regner</w:t>
      </w:r>
      <w:r w:rsidRPr="001A4499">
        <w:rPr>
          <w:rStyle w:val="HideTWBExt"/>
          <w:b w:val="0"/>
          <w:color w:val="auto"/>
        </w:rPr>
        <w:t>&lt;/Mem</w:t>
      </w:r>
      <w:r w:rsidRPr="001A4499">
        <w:rPr>
          <w:rStyle w:val="HideTWBExt"/>
          <w:b w:val="0"/>
          <w:color w:val="auto"/>
        </w:rPr>
        <w:t>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Considerando F quater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F quater.</w:t>
            </w:r>
            <w:r w:rsidRPr="001A4499">
              <w:tab/>
            </w:r>
            <w:r w:rsidRPr="001A4499">
              <w:rPr>
                <w:b/>
                <w:i/>
              </w:rPr>
              <w:t>considerando che la relazione Letta sottolinea che la frammentazione fiscale rimane uno dei principali ostacoli soprattutto per le imprese e le PMI dell'UE e che un migliore allineamento attraverso un quadro fiscale armonizzato dell'UE è fondamentale per a</w:t>
            </w:r>
            <w:r w:rsidRPr="001A4499">
              <w:rPr>
                <w:b/>
                <w:i/>
              </w:rPr>
              <w:t>gevolare la libera circolazione di lavoratori, beni e servizi, e per sostenere la crescita e gli investimenti privati</w:t>
            </w:r>
            <w:r w:rsidRPr="001A4499">
              <w:rPr>
                <w:b/>
                <w:i/>
                <w:vertAlign w:val="superscript"/>
              </w:rPr>
              <w:t>3 septies</w:t>
            </w:r>
            <w:r w:rsidRPr="001A4499">
              <w:rPr>
                <w:b/>
                <w:i/>
              </w:rPr>
              <w:t>; che una tassazione solida ed equa è uno strumento fondamentale per generare le entrate necessarie per investire e mantenere i se</w:t>
            </w:r>
            <w:r w:rsidRPr="001A4499">
              <w:rPr>
                <w:b/>
                <w:i/>
              </w:rPr>
              <w:t>rvizi di interesse generale in tutte le regioni dell'Unione;</w:t>
            </w:r>
          </w:p>
        </w:tc>
      </w:tr>
      <w:tr w:rsidR="001A4499" w:rsidRPr="001A4499" w:rsidTr="00D20070">
        <w:trPr>
          <w:jc w:val="center"/>
        </w:trPr>
        <w:tc>
          <w:tcPr>
            <w:tcW w:w="4876" w:type="dxa"/>
            <w:tcBorders>
              <w:top w:val="nil"/>
              <w:left w:val="nil"/>
              <w:bottom w:val="nil"/>
              <w:right w:val="nil"/>
            </w:tcBorders>
          </w:tcPr>
          <w:p w:rsidR="00D20070" w:rsidRPr="001A4499" w:rsidRDefault="00D20070"/>
        </w:tc>
        <w:tc>
          <w:tcPr>
            <w:tcW w:w="4876" w:type="dxa"/>
            <w:tcBorders>
              <w:top w:val="nil"/>
              <w:left w:val="nil"/>
              <w:bottom w:val="nil"/>
              <w:right w:val="nil"/>
            </w:tcBorders>
            <w:hideMark/>
          </w:tcPr>
          <w:p w:rsidR="00D20070" w:rsidRPr="001A4499" w:rsidRDefault="00FF5B9D">
            <w:pPr>
              <w:pStyle w:val="Normal6a"/>
            </w:pPr>
            <w:r w:rsidRPr="001A4499">
              <w:rPr>
                <w:b/>
                <w:i/>
              </w:rPr>
              <w:t>_________________</w:t>
            </w:r>
          </w:p>
        </w:tc>
      </w:tr>
      <w:tr w:rsidR="001A4499" w:rsidRPr="001A4499" w:rsidTr="00D20070">
        <w:trPr>
          <w:jc w:val="center"/>
        </w:trPr>
        <w:tc>
          <w:tcPr>
            <w:tcW w:w="4876" w:type="dxa"/>
            <w:tcBorders>
              <w:top w:val="nil"/>
              <w:left w:val="nil"/>
              <w:bottom w:val="nil"/>
              <w:right w:val="nil"/>
            </w:tcBorders>
          </w:tcPr>
          <w:p w:rsidR="00D20070" w:rsidRPr="001A4499" w:rsidRDefault="00D20070"/>
        </w:tc>
        <w:tc>
          <w:tcPr>
            <w:tcW w:w="4876" w:type="dxa"/>
            <w:tcBorders>
              <w:top w:val="nil"/>
              <w:left w:val="nil"/>
              <w:bottom w:val="nil"/>
              <w:right w:val="nil"/>
            </w:tcBorders>
            <w:hideMark/>
          </w:tcPr>
          <w:p w:rsidR="00D20070" w:rsidRPr="001A4499" w:rsidRDefault="00FF5B9D">
            <w:pPr>
              <w:pStyle w:val="Normal6a"/>
            </w:pPr>
            <w:r w:rsidRPr="001A4499">
              <w:rPr>
                <w:b/>
                <w:i/>
                <w:vertAlign w:val="superscript"/>
              </w:rPr>
              <w:t>3 septies</w:t>
            </w:r>
            <w:r w:rsidRPr="001A4499">
              <w:t xml:space="preserve"> </w:t>
            </w:r>
            <w:r w:rsidRPr="001A4499">
              <w:rPr>
                <w:b/>
                <w:i/>
              </w:rPr>
              <w:t>Enrico Letta, "Much more than a market - Empowering the Single Market to deliver a sustainable future and prosperity for all EU Citizens" (Molto più di un mercato – Rafforzare il mercato unico per garantire a tutti i cittadini dell'UE un futuro sostenibile</w:t>
            </w:r>
            <w:r w:rsidRPr="001A4499">
              <w:rPr>
                <w:b/>
                <w:i/>
              </w:rPr>
              <w:t xml:space="preserve"> e prosperità), aprile 2024, pag. 91, 111.</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33</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Regina Doherty</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1.</w:t>
            </w:r>
            <w:r w:rsidRPr="001A4499">
              <w:tab/>
              <w:t>sottolinea che la semplicità e la prevedibilità delle norme fiscali dovrebbe agevolare i contribuenti nel versamento delle imposte, nonché la gestione e la riscossione delle entrate da parte dei governi;</w:t>
            </w:r>
            <w:r w:rsidRPr="001A4499">
              <w:t xml:space="preserve"> evidenzia la necessità di creare un'Unione europea che favorisca la </w:t>
            </w:r>
            <w:r w:rsidRPr="001A4499">
              <w:lastRenderedPageBreak/>
              <w:t>conformità e sostenga le imprese, nella quale i settori produttivi possano essere competitivi e prosperare e i lavoratori possano guadagnare un reddito adeguato;</w:t>
            </w:r>
          </w:p>
        </w:tc>
        <w:tc>
          <w:tcPr>
            <w:tcW w:w="4876" w:type="dxa"/>
            <w:tcBorders>
              <w:top w:val="nil"/>
              <w:left w:val="nil"/>
              <w:bottom w:val="nil"/>
              <w:right w:val="nil"/>
            </w:tcBorders>
            <w:hideMark/>
          </w:tcPr>
          <w:p w:rsidR="00D20070" w:rsidRPr="001A4499" w:rsidRDefault="00FF5B9D">
            <w:pPr>
              <w:pStyle w:val="Normal6a"/>
            </w:pPr>
            <w:r w:rsidRPr="001A4499">
              <w:lastRenderedPageBreak/>
              <w:t>1.</w:t>
            </w:r>
            <w:r w:rsidRPr="001A4499">
              <w:tab/>
              <w:t>sottolinea che la semp</w:t>
            </w:r>
            <w:r w:rsidRPr="001A4499">
              <w:t xml:space="preserve">licità e la prevedibilità delle norme fiscali dovrebbe agevolare i contribuenti nel versamento delle imposte, nonché la gestione e la riscossione delle entrate da parte dei governi; evidenzia la necessità di creare un'Unione europea che favorisca la </w:t>
            </w:r>
            <w:r w:rsidRPr="001A4499">
              <w:lastRenderedPageBreak/>
              <w:t>confor</w:t>
            </w:r>
            <w:r w:rsidRPr="001A4499">
              <w:t xml:space="preserve">mità e sostenga le imprese, nella quale i settori produttivi possano essere competitivi e prosperare e i lavoratori possano guadagnare un reddito adeguato; </w:t>
            </w:r>
            <w:r w:rsidRPr="001A4499">
              <w:rPr>
                <w:b/>
                <w:i/>
              </w:rPr>
              <w:t>sottolinea che norme fiscali eccessivamente complesse e onerose scoraggiano gli investimenti, riduco</w:t>
            </w:r>
            <w:r w:rsidRPr="001A4499">
              <w:rPr>
                <w:b/>
                <w:i/>
              </w:rPr>
              <w:t>no la prosperità, aumentano il costo della vita e compromettono il tenore di vita; sottolinea che la tassazione è un mezzo per raggiungere un fine e non un fine in sé;</w:t>
            </w:r>
          </w:p>
        </w:tc>
      </w:tr>
    </w:tbl>
    <w:p w:rsidR="00D20070" w:rsidRPr="001A4499" w:rsidRDefault="00FF5B9D" w:rsidP="00D20070">
      <w:pPr>
        <w:pStyle w:val="AmOrLang"/>
        <w:rPr>
          <w:lang w:eastAsia="en-US"/>
        </w:rPr>
      </w:pPr>
      <w:r w:rsidRPr="001A4499">
        <w:lastRenderedPageBreak/>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34</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Kira Marie Peter-Hansen</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1.</w:t>
            </w:r>
            <w:r w:rsidRPr="001A4499">
              <w:tab/>
            </w:r>
            <w:r w:rsidRPr="001A4499">
              <w:t>sottolinea che la semplicità e la prevedibilità delle norme fiscali dovrebbe agevolare i contribuenti nel versamento delle imposte, nonché la gestione e la riscossione delle entrate da parte dei governi; evidenzia la necessità di creare un'Unione europea c</w:t>
            </w:r>
            <w:r w:rsidRPr="001A4499">
              <w:t xml:space="preserve">he favorisca la conformità e sostenga le imprese, nella quale i settori produttivi possano essere competitivi e prosperare </w:t>
            </w:r>
            <w:r w:rsidRPr="001A4499">
              <w:rPr>
                <w:b/>
                <w:i/>
              </w:rPr>
              <w:t>e</w:t>
            </w:r>
            <w:r w:rsidRPr="001A4499">
              <w:t xml:space="preserve"> i lavoratori possano guadagnare un reddito adeguato;</w:t>
            </w:r>
          </w:p>
        </w:tc>
        <w:tc>
          <w:tcPr>
            <w:tcW w:w="4876" w:type="dxa"/>
            <w:tcBorders>
              <w:top w:val="nil"/>
              <w:left w:val="nil"/>
              <w:bottom w:val="nil"/>
              <w:right w:val="nil"/>
            </w:tcBorders>
            <w:hideMark/>
          </w:tcPr>
          <w:p w:rsidR="00D20070" w:rsidRPr="001A4499" w:rsidRDefault="00FF5B9D">
            <w:pPr>
              <w:pStyle w:val="Normal6a"/>
            </w:pPr>
            <w:r w:rsidRPr="001A4499">
              <w:t>1.</w:t>
            </w:r>
            <w:r w:rsidRPr="001A4499">
              <w:tab/>
            </w:r>
            <w:r w:rsidRPr="001A4499">
              <w:t>sottolinea che la semplicità e la prevedibilità delle norme fiscali dovrebbe agevolare i contribuenti nel versamento delle imposte, nonché la gestione e la riscossione delle entrate da parte dei governi; evidenzia la necessità di creare un'Unione europea c</w:t>
            </w:r>
            <w:r w:rsidRPr="001A4499">
              <w:t>he favorisca la conformità e sostenga le imprese, nella quale i settori produttivi possano essere competitivi e prosperare</w:t>
            </w:r>
            <w:r w:rsidRPr="001A4499">
              <w:rPr>
                <w:b/>
                <w:i/>
              </w:rPr>
              <w:t>,</w:t>
            </w:r>
            <w:r w:rsidRPr="001A4499">
              <w:t xml:space="preserve"> i lavoratori possano guadagnare un reddito adeguato </w:t>
            </w:r>
            <w:r w:rsidRPr="001A4499">
              <w:rPr>
                <w:b/>
                <w:i/>
              </w:rPr>
              <w:t>e l'ambiente sia protetto</w:t>
            </w:r>
            <w:r w:rsidRPr="001A4499">
              <w:t>;</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35</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Niels Fuglsang, Matthias Ecke, Bruno Gonçalves, Aurore Lalucq, Evelyn Regner</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lastRenderedPageBreak/>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1.</w:t>
            </w:r>
            <w:r w:rsidRPr="001A4499">
              <w:tab/>
              <w:t>sottolinea che la semplicità e la prevedibilità delle norme fiscali dovrebbe agevolare i contribuenti nel versamento delle imposte, nonché la gestione e la riscossione delle entrate da parte dei governi; evidenzia la</w:t>
            </w:r>
            <w:r w:rsidRPr="001A4499">
              <w:t xml:space="preserve"> necessità di creare un'Unione europea che favorisca la conformità e sostenga le imprese, nella quale i settori produttivi possano essere competitivi e prosperare e i lavoratori possano guadagnare un </w:t>
            </w:r>
            <w:r w:rsidRPr="001A4499">
              <w:rPr>
                <w:b/>
                <w:i/>
              </w:rPr>
              <w:t>reddito adeguato</w:t>
            </w:r>
            <w:r w:rsidRPr="001A4499">
              <w:t>;</w:t>
            </w:r>
          </w:p>
        </w:tc>
        <w:tc>
          <w:tcPr>
            <w:tcW w:w="4876" w:type="dxa"/>
            <w:tcBorders>
              <w:top w:val="nil"/>
              <w:left w:val="nil"/>
              <w:bottom w:val="nil"/>
              <w:right w:val="nil"/>
            </w:tcBorders>
            <w:hideMark/>
          </w:tcPr>
          <w:p w:rsidR="00D20070" w:rsidRPr="001A4499" w:rsidRDefault="00FF5B9D">
            <w:pPr>
              <w:pStyle w:val="Normal6a"/>
            </w:pPr>
            <w:r w:rsidRPr="001A4499">
              <w:t>1.</w:t>
            </w:r>
            <w:r w:rsidRPr="001A4499">
              <w:tab/>
              <w:t>sottolinea che la semplicità e la p</w:t>
            </w:r>
            <w:r w:rsidRPr="001A4499">
              <w:t>revedibilità delle norme fiscali dovrebbe agevolare i contribuenti nel versamento delle imposte, nonché la gestione e la riscossione delle entrate da parte dei governi; evidenzia la necessità di creare un'Unione europea che favorisca la conformità e sosten</w:t>
            </w:r>
            <w:r w:rsidRPr="001A4499">
              <w:t xml:space="preserve">ga le imprese, nella quale i settori produttivi possano essere competitivi e prosperare e i lavoratori possano guadagnare un </w:t>
            </w:r>
            <w:r w:rsidRPr="001A4499">
              <w:rPr>
                <w:b/>
                <w:i/>
              </w:rPr>
              <w:t>salario equo</w:t>
            </w:r>
            <w:r w:rsidRPr="001A4499">
              <w:t>;</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36</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Roberts Zīle</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1.</w:t>
            </w:r>
            <w:r w:rsidRPr="001A4499">
              <w:tab/>
            </w:r>
            <w:r w:rsidRPr="001A4499">
              <w:t xml:space="preserve">sottolinea che la semplicità e la prevedibilità delle norme fiscali dovrebbe agevolare i contribuenti nel versamento delle imposte, nonché la gestione e la riscossione delle entrate da parte dei governi; evidenzia la necessità di creare </w:t>
            </w:r>
            <w:r w:rsidRPr="001A4499">
              <w:rPr>
                <w:b/>
                <w:i/>
              </w:rPr>
              <w:t>un'Unione europea</w:t>
            </w:r>
            <w:r w:rsidRPr="001A4499">
              <w:t xml:space="preserve"> c</w:t>
            </w:r>
            <w:r w:rsidRPr="001A4499">
              <w:t>he favorisca la conformità e sostenga le imprese, nella quale i settori produttivi possano essere competitivi e prosperare e i lavoratori possano guadagnare un reddito adeguato;</w:t>
            </w:r>
          </w:p>
        </w:tc>
        <w:tc>
          <w:tcPr>
            <w:tcW w:w="4876" w:type="dxa"/>
            <w:tcBorders>
              <w:top w:val="nil"/>
              <w:left w:val="nil"/>
              <w:bottom w:val="nil"/>
              <w:right w:val="nil"/>
            </w:tcBorders>
            <w:hideMark/>
          </w:tcPr>
          <w:p w:rsidR="00D20070" w:rsidRPr="001A4499" w:rsidRDefault="00FF5B9D">
            <w:pPr>
              <w:pStyle w:val="Normal6a"/>
            </w:pPr>
            <w:r w:rsidRPr="001A4499">
              <w:t>1.</w:t>
            </w:r>
            <w:r w:rsidRPr="001A4499">
              <w:tab/>
              <w:t>sottolinea che la semplicità e la prevedibilità delle norme fiscali dovrebb</w:t>
            </w:r>
            <w:r w:rsidRPr="001A4499">
              <w:t xml:space="preserve">e agevolare i contribuenti nel versamento delle imposte, nonché la gestione e la riscossione delle entrate da parte dei governi; evidenzia la necessità di creare </w:t>
            </w:r>
            <w:r w:rsidRPr="001A4499">
              <w:rPr>
                <w:b/>
                <w:i/>
              </w:rPr>
              <w:t>un approccio</w:t>
            </w:r>
            <w:r w:rsidRPr="001A4499">
              <w:t xml:space="preserve"> che favorisca la conformità e sostenga le imprese, nella quale i settori produtti</w:t>
            </w:r>
            <w:r w:rsidRPr="001A4499">
              <w:t>vi possano essere competitivi e prosperare e i lavoratori possano guadagnare un reddito adeguato;</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37</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Billy Kelleher, Stéphanie Yon-Courtin</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 bis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lastRenderedPageBreak/>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1 bis.</w:t>
            </w:r>
            <w:r w:rsidRPr="001A4499">
              <w:tab/>
            </w:r>
            <w:r w:rsidRPr="001A4499">
              <w:rPr>
                <w:b/>
                <w:i/>
              </w:rPr>
              <w:t xml:space="preserve">sottolinea che le guerre commerciali ledono le imprese, sia a livello nazionale che mondiale; </w:t>
            </w:r>
            <w:r w:rsidRPr="001A4499">
              <w:rPr>
                <w:b/>
                <w:i/>
              </w:rPr>
              <w:t>sottolinea che le imprese prosperano grazie alla certezza e alla prevedibilità, in quanto ciò consente loro di prendere decisioni a lungo termine in materia di investimenti e crescita; esorta la Commissione e gli Stati membri a cercare di limitare il più p</w:t>
            </w:r>
            <w:r w:rsidRPr="001A4499">
              <w:rPr>
                <w:b/>
                <w:i/>
              </w:rPr>
              <w:t>ossibile le turbolenze commerciali e a garantire che le imprese europee siano coinvolte e consultate al momento di prendere decisioni in risposta ai dazi;</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38</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Markus Ferber</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 bis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1 bis.</w:t>
            </w:r>
            <w:r w:rsidRPr="001A4499">
              <w:tab/>
            </w:r>
            <w:r w:rsidRPr="001A4499">
              <w:rPr>
                <w:b/>
                <w:i/>
              </w:rPr>
              <w:t>sottolinea che l'elaborazione della politica fiscale e i livelli fiscali complessivi non dovrebbero distorcere il processo decisionale degli attori economici né limitare le loro opzioni economiche;</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39</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Niels Fuglsang, Matthias Ecke, Aurore Lalucq, Evelyn Regner</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2</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2.</w:t>
            </w:r>
            <w:r w:rsidRPr="001A4499">
              <w:tab/>
              <w:t xml:space="preserve">sottolinea che il </w:t>
            </w:r>
            <w:r w:rsidRPr="001A4499">
              <w:rPr>
                <w:b/>
                <w:i/>
              </w:rPr>
              <w:t>sistema fiscale dell'UE</w:t>
            </w:r>
            <w:r w:rsidRPr="001A4499">
              <w:t xml:space="preserve"> dovrebbe sostenere i principi di </w:t>
            </w:r>
            <w:r w:rsidRPr="001A4499">
              <w:lastRenderedPageBreak/>
              <w:t xml:space="preserve">sussidiarietà e proporzionalità </w:t>
            </w:r>
            <w:r w:rsidRPr="001A4499">
              <w:rPr>
                <w:b/>
                <w:i/>
              </w:rPr>
              <w:t>e</w:t>
            </w:r>
            <w:r w:rsidRPr="001A4499">
              <w:t xml:space="preserve"> che gli Stati membri hanno la facoltà di adattare i propri sistemi fiscali alle esigenze nazionali specifiche</w:t>
            </w:r>
            <w:r w:rsidRPr="001A4499">
              <w:rPr>
                <w:b/>
                <w:i/>
              </w:rPr>
              <w:t>, rispettando nel cont</w:t>
            </w:r>
            <w:r w:rsidRPr="001A4499">
              <w:rPr>
                <w:b/>
                <w:i/>
              </w:rPr>
              <w:t>empo norme comuni e garantendo un utilizzo efficiente delle entrate</w:t>
            </w:r>
            <w:r w:rsidRPr="001A4499">
              <w:t>;</w:t>
            </w:r>
          </w:p>
        </w:tc>
        <w:tc>
          <w:tcPr>
            <w:tcW w:w="4876" w:type="dxa"/>
            <w:tcBorders>
              <w:top w:val="nil"/>
              <w:left w:val="nil"/>
              <w:bottom w:val="nil"/>
              <w:right w:val="nil"/>
            </w:tcBorders>
            <w:hideMark/>
          </w:tcPr>
          <w:p w:rsidR="00D20070" w:rsidRPr="001A4499" w:rsidRDefault="00FF5B9D">
            <w:pPr>
              <w:pStyle w:val="Normal6a"/>
            </w:pPr>
            <w:r w:rsidRPr="001A4499">
              <w:lastRenderedPageBreak/>
              <w:t>2.</w:t>
            </w:r>
            <w:r w:rsidRPr="001A4499">
              <w:tab/>
              <w:t xml:space="preserve">sottolinea che il </w:t>
            </w:r>
            <w:r w:rsidRPr="001A4499">
              <w:rPr>
                <w:b/>
                <w:i/>
              </w:rPr>
              <w:t>quadro fiscale nell'Unione</w:t>
            </w:r>
            <w:r w:rsidRPr="001A4499">
              <w:t xml:space="preserve"> dovrebbe sostenere i principi </w:t>
            </w:r>
            <w:r w:rsidRPr="001A4499">
              <w:lastRenderedPageBreak/>
              <w:t>di sussidiarietà e proporzionalità</w:t>
            </w:r>
            <w:r w:rsidRPr="001A4499">
              <w:rPr>
                <w:b/>
                <w:i/>
              </w:rPr>
              <w:t>; prende atto</w:t>
            </w:r>
            <w:r w:rsidRPr="001A4499">
              <w:t xml:space="preserve"> che gli Stati membri hanno la facoltà di adattare i propri si</w:t>
            </w:r>
            <w:r w:rsidRPr="001A4499">
              <w:t xml:space="preserve">stemi fiscali alle esigenze nazionali specifiche </w:t>
            </w:r>
            <w:r w:rsidRPr="001A4499">
              <w:rPr>
                <w:b/>
                <w:i/>
              </w:rPr>
              <w:t>nella misura in cui tali norme non sono armonizzate secondo il diritto dell'Unione</w:t>
            </w:r>
            <w:r w:rsidRPr="001A4499">
              <w:t>;</w:t>
            </w:r>
          </w:p>
        </w:tc>
      </w:tr>
    </w:tbl>
    <w:p w:rsidR="00D20070" w:rsidRPr="001A4499" w:rsidRDefault="00FF5B9D" w:rsidP="00D20070">
      <w:pPr>
        <w:pStyle w:val="AmOrLang"/>
        <w:rPr>
          <w:lang w:eastAsia="en-US"/>
        </w:rPr>
      </w:pPr>
      <w:r w:rsidRPr="001A4499">
        <w:lastRenderedPageBreak/>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40</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Lídia Pereira</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2</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2.</w:t>
            </w:r>
            <w:r w:rsidRPr="001A4499">
              <w:tab/>
            </w:r>
            <w:r w:rsidRPr="001A4499">
              <w:t>sottolinea che il sistema fiscale dell'UE dovrebbe sostenere i principi di sussidiarietà e proporzionalità e che gli Stati membri hanno la facoltà di adattare i propri sistemi fiscali alle esigenze nazionali specifiche, rispettando nel contempo norme comun</w:t>
            </w:r>
            <w:r w:rsidRPr="001A4499">
              <w:t>i e garantendo un utilizzo efficiente delle entrate;</w:t>
            </w:r>
          </w:p>
        </w:tc>
        <w:tc>
          <w:tcPr>
            <w:tcW w:w="4876" w:type="dxa"/>
            <w:tcBorders>
              <w:top w:val="nil"/>
              <w:left w:val="nil"/>
              <w:bottom w:val="nil"/>
              <w:right w:val="nil"/>
            </w:tcBorders>
            <w:hideMark/>
          </w:tcPr>
          <w:p w:rsidR="00D20070" w:rsidRPr="001A4499" w:rsidRDefault="00FF5B9D">
            <w:pPr>
              <w:pStyle w:val="Normal6a"/>
            </w:pPr>
            <w:r w:rsidRPr="001A4499">
              <w:t>2.</w:t>
            </w:r>
            <w:r w:rsidRPr="001A4499">
              <w:tab/>
              <w:t>sottolinea che il sistema fiscale dell'UE dovrebbe sostenere i principi di sussidiarietà e proporzionalità e che gli Stati membri hanno la facoltà di adattare i propri sistemi fiscali alle esigenze na</w:t>
            </w:r>
            <w:r w:rsidRPr="001A4499">
              <w:t>zionali specifiche, rispettando nel contempo norme comuni</w:t>
            </w:r>
            <w:r w:rsidRPr="001A4499">
              <w:rPr>
                <w:b/>
                <w:i/>
              </w:rPr>
              <w:t>, coordinando gli sforzi per la lotta contro l'evasione e l'elusione fiscali, scambiando informazioni in maniera fluida ed efficace</w:t>
            </w:r>
            <w:r w:rsidRPr="001A4499">
              <w:t xml:space="preserve"> e garantendo un utilizzo efficiente delle entrate;</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41</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Markus Ferber</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2</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2.</w:t>
            </w:r>
            <w:r w:rsidRPr="001A4499">
              <w:tab/>
            </w:r>
            <w:r w:rsidRPr="001A4499">
              <w:t xml:space="preserve">sottolinea che il sistema fiscale dell'UE dovrebbe sostenere i principi di sussidiarietà e proporzionalità e che gli Stati membri hanno la facoltà di adattare i propri sistemi fiscali alle esigenze </w:t>
            </w:r>
            <w:r w:rsidRPr="001A4499">
              <w:lastRenderedPageBreak/>
              <w:t>nazionali specifiche, rispettando nel contempo norme comun</w:t>
            </w:r>
            <w:r w:rsidRPr="001A4499">
              <w:t>i e garantendo un utilizzo efficiente delle entrate;</w:t>
            </w:r>
          </w:p>
        </w:tc>
        <w:tc>
          <w:tcPr>
            <w:tcW w:w="4876" w:type="dxa"/>
            <w:tcBorders>
              <w:top w:val="nil"/>
              <w:left w:val="nil"/>
              <w:bottom w:val="nil"/>
              <w:right w:val="nil"/>
            </w:tcBorders>
            <w:hideMark/>
          </w:tcPr>
          <w:p w:rsidR="00D20070" w:rsidRPr="001A4499" w:rsidRDefault="00FF5B9D">
            <w:pPr>
              <w:pStyle w:val="Normal6a"/>
            </w:pPr>
            <w:r w:rsidRPr="001A4499">
              <w:lastRenderedPageBreak/>
              <w:t>2.</w:t>
            </w:r>
            <w:r w:rsidRPr="001A4499">
              <w:tab/>
              <w:t xml:space="preserve">sottolinea che il sistema fiscale dell'UE dovrebbe sostenere i principi di sussidiarietà e proporzionalità e che gli Stati membri hanno la facoltà di adattare i propri sistemi fiscali alle esigenze </w:t>
            </w:r>
            <w:r w:rsidRPr="001A4499">
              <w:lastRenderedPageBreak/>
              <w:t>na</w:t>
            </w:r>
            <w:r w:rsidRPr="001A4499">
              <w:t xml:space="preserve">zionali specifiche, rispettando nel contempo norme comuni e </w:t>
            </w:r>
            <w:r w:rsidRPr="001A4499">
              <w:rPr>
                <w:b/>
                <w:i/>
              </w:rPr>
              <w:t>il principio dell'onesta cooperazione e</w:t>
            </w:r>
            <w:r w:rsidRPr="001A4499">
              <w:t xml:space="preserve"> garantendo un utilizzo efficiente delle entrate;</w:t>
            </w:r>
          </w:p>
        </w:tc>
      </w:tr>
    </w:tbl>
    <w:p w:rsidR="00D20070" w:rsidRPr="001A4499" w:rsidRDefault="00FF5B9D" w:rsidP="00D20070">
      <w:pPr>
        <w:pStyle w:val="AmOrLang"/>
        <w:rPr>
          <w:lang w:eastAsia="en-US"/>
        </w:rPr>
      </w:pPr>
      <w:r w:rsidRPr="001A4499">
        <w:lastRenderedPageBreak/>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42</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Billy Kelleher</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2</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2.</w:t>
            </w:r>
            <w:r w:rsidRPr="001A4499">
              <w:tab/>
            </w:r>
            <w:r w:rsidRPr="001A4499">
              <w:t>sottolinea che il sistema fiscale dell'UE dovrebbe sostenere i principi di sussidiarietà e proporzionalità e che gli Stati membri hanno la facoltà di adattare i propri sistemi fiscali alle esigenze nazionali specifiche, rispettando nel contempo norme comun</w:t>
            </w:r>
            <w:r w:rsidRPr="001A4499">
              <w:t>i e garantendo un utilizzo efficiente delle entrate;</w:t>
            </w:r>
          </w:p>
        </w:tc>
        <w:tc>
          <w:tcPr>
            <w:tcW w:w="4876" w:type="dxa"/>
            <w:tcBorders>
              <w:top w:val="nil"/>
              <w:left w:val="nil"/>
              <w:bottom w:val="nil"/>
              <w:right w:val="nil"/>
            </w:tcBorders>
            <w:hideMark/>
          </w:tcPr>
          <w:p w:rsidR="00D20070" w:rsidRPr="001A4499" w:rsidRDefault="00FF5B9D">
            <w:pPr>
              <w:pStyle w:val="Normal6a"/>
            </w:pPr>
            <w:r w:rsidRPr="001A4499">
              <w:t>2.</w:t>
            </w:r>
            <w:r w:rsidRPr="001A4499">
              <w:tab/>
              <w:t>sottolinea che il sistema fiscale dell'UE dovrebbe sostenere i principi di sussidiarietà e proporzionalità e che gli Stati membri hanno la facoltà di adattare i propri sistemi fiscali alle esigenze na</w:t>
            </w:r>
            <w:r w:rsidRPr="001A4499">
              <w:t xml:space="preserve">zionali specifiche, rispettando nel contempo norme comuni e garantendo un utilizzo efficiente delle entrate; </w:t>
            </w:r>
            <w:r w:rsidRPr="001A4499">
              <w:rPr>
                <w:b/>
                <w:i/>
              </w:rPr>
              <w:t xml:space="preserve">ritiene che si possa trovare un equilibrio tra il rispetto delle competenze degli Stati membri e la garanzia di un'interpretazione e un'attuazione </w:t>
            </w:r>
            <w:r w:rsidRPr="001A4499">
              <w:rPr>
                <w:b/>
                <w:i/>
              </w:rPr>
              <w:t>coerenti dell'acquis fiscale dell'UE;</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43</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Kira Marie Peter-Hansen</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2</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2.</w:t>
            </w:r>
            <w:r w:rsidRPr="001A4499">
              <w:tab/>
            </w:r>
            <w:r w:rsidRPr="001A4499">
              <w:t xml:space="preserve">sottolinea che il sistema fiscale dell'UE dovrebbe sostenere i principi di sussidiarietà e proporzionalità e che gli Stati membri hanno la facoltà di adattare i propri sistemi fiscali alle esigenze nazionali specifiche, rispettando nel </w:t>
            </w:r>
            <w:r w:rsidRPr="001A4499">
              <w:lastRenderedPageBreak/>
              <w:t>contempo norme comun</w:t>
            </w:r>
            <w:r w:rsidRPr="001A4499">
              <w:t xml:space="preserve">i e garantendo </w:t>
            </w:r>
            <w:r w:rsidRPr="001A4499">
              <w:rPr>
                <w:b/>
                <w:i/>
              </w:rPr>
              <w:t>un utilizzo efficiente delle entrate</w:t>
            </w:r>
            <w:r w:rsidRPr="001A4499">
              <w:t>;</w:t>
            </w:r>
          </w:p>
        </w:tc>
        <w:tc>
          <w:tcPr>
            <w:tcW w:w="4876" w:type="dxa"/>
            <w:tcBorders>
              <w:top w:val="nil"/>
              <w:left w:val="nil"/>
              <w:bottom w:val="nil"/>
              <w:right w:val="nil"/>
            </w:tcBorders>
            <w:hideMark/>
          </w:tcPr>
          <w:p w:rsidR="00D20070" w:rsidRPr="001A4499" w:rsidRDefault="00FF5B9D">
            <w:pPr>
              <w:pStyle w:val="Normal6a"/>
            </w:pPr>
            <w:r w:rsidRPr="001A4499">
              <w:lastRenderedPageBreak/>
              <w:t>2.</w:t>
            </w:r>
            <w:r w:rsidRPr="001A4499">
              <w:tab/>
              <w:t>sottolinea</w:t>
            </w:r>
            <w:r w:rsidRPr="001A4499">
              <w:rPr>
                <w:b/>
                <w:i/>
              </w:rPr>
              <w:t>, come affermato nella relazione Draghi</w:t>
            </w:r>
            <w:r w:rsidRPr="001A4499">
              <w:rPr>
                <w:b/>
                <w:i/>
                <w:vertAlign w:val="superscript"/>
              </w:rPr>
              <w:t>19 bis</w:t>
            </w:r>
            <w:r w:rsidRPr="001A4499">
              <w:rPr>
                <w:b/>
                <w:i/>
              </w:rPr>
              <w:t>, che norme fiscali divergenti in tutta l'Unione sono un ostacolo significativo per raggiungere un vero mercato unico; riconosce</w:t>
            </w:r>
            <w:r w:rsidRPr="001A4499">
              <w:t xml:space="preserve"> che il sistema f</w:t>
            </w:r>
            <w:r w:rsidRPr="001A4499">
              <w:t xml:space="preserve">iscale dell'UE dovrebbe sostenere </w:t>
            </w:r>
            <w:r w:rsidRPr="001A4499">
              <w:lastRenderedPageBreak/>
              <w:t xml:space="preserve">i principi di sussidiarietà e proporzionalità e che gli Stati membri hanno la facoltà di adattare i propri sistemi fiscali alle esigenze nazionali specifiche, rispettando nel contempo norme comuni e garantendo </w:t>
            </w:r>
            <w:r w:rsidRPr="001A4499">
              <w:rPr>
                <w:b/>
                <w:i/>
              </w:rPr>
              <w:t>condizioni d</w:t>
            </w:r>
            <w:r w:rsidRPr="001A4499">
              <w:rPr>
                <w:b/>
                <w:i/>
              </w:rPr>
              <w:t>i parità</w:t>
            </w:r>
            <w:r w:rsidRPr="001A4499">
              <w:t>;</w:t>
            </w:r>
          </w:p>
        </w:tc>
      </w:tr>
      <w:tr w:rsidR="001A4499" w:rsidRPr="001A4499" w:rsidTr="00D20070">
        <w:trPr>
          <w:jc w:val="center"/>
        </w:trPr>
        <w:tc>
          <w:tcPr>
            <w:tcW w:w="4876" w:type="dxa"/>
            <w:tcBorders>
              <w:top w:val="nil"/>
              <w:left w:val="nil"/>
              <w:bottom w:val="nil"/>
              <w:right w:val="nil"/>
            </w:tcBorders>
          </w:tcPr>
          <w:p w:rsidR="00D20070" w:rsidRPr="001A4499" w:rsidRDefault="00D20070"/>
        </w:tc>
        <w:tc>
          <w:tcPr>
            <w:tcW w:w="4876" w:type="dxa"/>
            <w:tcBorders>
              <w:top w:val="nil"/>
              <w:left w:val="nil"/>
              <w:bottom w:val="nil"/>
              <w:right w:val="nil"/>
            </w:tcBorders>
            <w:hideMark/>
          </w:tcPr>
          <w:p w:rsidR="00D20070" w:rsidRPr="001A4499" w:rsidRDefault="00FF5B9D">
            <w:pPr>
              <w:pStyle w:val="Normal6a"/>
            </w:pPr>
            <w:r w:rsidRPr="001A4499">
              <w:rPr>
                <w:b/>
                <w:i/>
              </w:rPr>
              <w:t>_________________</w:t>
            </w:r>
          </w:p>
        </w:tc>
      </w:tr>
      <w:tr w:rsidR="001A4499" w:rsidRPr="001A4499" w:rsidTr="00D20070">
        <w:trPr>
          <w:jc w:val="center"/>
        </w:trPr>
        <w:tc>
          <w:tcPr>
            <w:tcW w:w="4876" w:type="dxa"/>
            <w:tcBorders>
              <w:top w:val="nil"/>
              <w:left w:val="nil"/>
              <w:bottom w:val="nil"/>
              <w:right w:val="nil"/>
            </w:tcBorders>
          </w:tcPr>
          <w:p w:rsidR="00D20070" w:rsidRPr="001A4499" w:rsidRDefault="00D20070"/>
        </w:tc>
        <w:tc>
          <w:tcPr>
            <w:tcW w:w="4876" w:type="dxa"/>
            <w:tcBorders>
              <w:top w:val="nil"/>
              <w:left w:val="nil"/>
              <w:bottom w:val="nil"/>
              <w:right w:val="nil"/>
            </w:tcBorders>
            <w:hideMark/>
          </w:tcPr>
          <w:p w:rsidR="00D20070" w:rsidRPr="001A4499" w:rsidRDefault="00FF5B9D">
            <w:pPr>
              <w:pStyle w:val="Normal6a"/>
            </w:pPr>
            <w:r w:rsidRPr="001A4499">
              <w:rPr>
                <w:b/>
                <w:i/>
                <w:vertAlign w:val="superscript"/>
              </w:rPr>
              <w:t>19 bis</w:t>
            </w:r>
            <w:r w:rsidRPr="001A4499">
              <w:t xml:space="preserve"> </w:t>
            </w:r>
            <w:r w:rsidRPr="001A4499">
              <w:rPr>
                <w:b/>
                <w:i/>
              </w:rPr>
              <w:t>https://commission.europa.eu/topics/eu-competitiveness/draghi-report_en#paragraph_47059</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44</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Fabio De Masi</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2</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2.</w:t>
            </w:r>
            <w:r w:rsidRPr="001A4499">
              <w:tab/>
            </w:r>
            <w:r w:rsidRPr="001A4499">
              <w:t>sottolinea che il sistema fiscale dell'UE dovrebbe sostenere i principi di sussidiarietà e proporzionalità e che gli Stati membri hanno la facoltà di adattare i propri sistemi fiscali alle esigenze nazionali specifiche, rispettando nel contempo norme comun</w:t>
            </w:r>
            <w:r w:rsidRPr="001A4499">
              <w:t>i e garantendo un utilizzo efficiente delle entrate;</w:t>
            </w:r>
          </w:p>
        </w:tc>
        <w:tc>
          <w:tcPr>
            <w:tcW w:w="4876" w:type="dxa"/>
            <w:tcBorders>
              <w:top w:val="nil"/>
              <w:left w:val="nil"/>
              <w:bottom w:val="nil"/>
              <w:right w:val="nil"/>
            </w:tcBorders>
            <w:hideMark/>
          </w:tcPr>
          <w:p w:rsidR="00D20070" w:rsidRPr="001A4499" w:rsidRDefault="00FF5B9D">
            <w:pPr>
              <w:pStyle w:val="Normal6a"/>
            </w:pPr>
            <w:r w:rsidRPr="001A4499">
              <w:t>2.</w:t>
            </w:r>
            <w:r w:rsidRPr="001A4499">
              <w:tab/>
              <w:t>sottolinea che il sistema fiscale dell'UE dovrebbe sostenere i principi di sussidiarietà e proporzionalità e che gli Stati membri hanno la facoltà di adattare i propri sistemi fiscali alle esigenze na</w:t>
            </w:r>
            <w:r w:rsidRPr="001A4499">
              <w:t xml:space="preserve">zionali specifiche, </w:t>
            </w:r>
            <w:r w:rsidRPr="001A4499">
              <w:rPr>
                <w:b/>
                <w:i/>
              </w:rPr>
              <w:t>compresa una base imponibile per la tassazione delle imprese sufficientemente ampia e aliquote fiscali effettive che impediscano la corsa al ribasso e proteggano le PMI dalle pratiche fiscali sleali delle multinazionali,</w:t>
            </w:r>
            <w:r w:rsidRPr="001A4499">
              <w:t xml:space="preserve"> rispettando nel</w:t>
            </w:r>
            <w:r w:rsidRPr="001A4499">
              <w:t xml:space="preserve"> contempo norme comuni e garantendo un utilizzo efficiente delle entrate;</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45</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Roberts Zīle</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2</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2.</w:t>
            </w:r>
            <w:r w:rsidRPr="001A4499">
              <w:tab/>
              <w:t xml:space="preserve">sottolinea che il sistema fiscale dell'UE </w:t>
            </w:r>
            <w:r w:rsidRPr="001A4499">
              <w:rPr>
                <w:b/>
                <w:i/>
              </w:rPr>
              <w:t>dovrebbe</w:t>
            </w:r>
            <w:r w:rsidRPr="001A4499">
              <w:t xml:space="preserve"> sostenere i principi di sussidiarietà e proporzionalità </w:t>
            </w:r>
            <w:r w:rsidRPr="001A4499">
              <w:rPr>
                <w:b/>
                <w:i/>
              </w:rPr>
              <w:t>e che gli</w:t>
            </w:r>
            <w:r w:rsidRPr="001A4499">
              <w:t xml:space="preserve"> Stati membri </w:t>
            </w:r>
            <w:r w:rsidRPr="001A4499">
              <w:rPr>
                <w:b/>
                <w:i/>
              </w:rPr>
              <w:t>hanno</w:t>
            </w:r>
            <w:r w:rsidRPr="001A4499">
              <w:t xml:space="preserve"> la facoltà di adattare i propri sistemi fiscali alle esigenze nazionali specifiche</w:t>
            </w:r>
            <w:r w:rsidRPr="001A4499">
              <w:rPr>
                <w:b/>
                <w:i/>
              </w:rPr>
              <w:t>, rispettando nel contempo</w:t>
            </w:r>
            <w:r w:rsidRPr="001A4499">
              <w:t xml:space="preserve"> norme comuni </w:t>
            </w:r>
            <w:r w:rsidRPr="001A4499">
              <w:rPr>
                <w:b/>
                <w:i/>
              </w:rPr>
              <w:t>e garantendo un utilizzo efficiente delle entrate</w:t>
            </w:r>
            <w:r w:rsidRPr="001A4499">
              <w:t>;</w:t>
            </w:r>
          </w:p>
        </w:tc>
        <w:tc>
          <w:tcPr>
            <w:tcW w:w="4876" w:type="dxa"/>
            <w:tcBorders>
              <w:top w:val="nil"/>
              <w:left w:val="nil"/>
              <w:bottom w:val="nil"/>
              <w:right w:val="nil"/>
            </w:tcBorders>
            <w:hideMark/>
          </w:tcPr>
          <w:p w:rsidR="00D20070" w:rsidRPr="001A4499" w:rsidRDefault="00FF5B9D">
            <w:pPr>
              <w:pStyle w:val="Normal6a"/>
            </w:pPr>
            <w:r w:rsidRPr="001A4499">
              <w:t>2.</w:t>
            </w:r>
            <w:r w:rsidRPr="001A4499">
              <w:tab/>
              <w:t xml:space="preserve">sottolinea che il sistema fiscale dell'UE </w:t>
            </w:r>
            <w:r w:rsidRPr="001A4499">
              <w:rPr>
                <w:b/>
                <w:i/>
              </w:rPr>
              <w:t>deve</w:t>
            </w:r>
            <w:r w:rsidRPr="001A4499">
              <w:t xml:space="preserve"> sostenere </w:t>
            </w:r>
            <w:r w:rsidRPr="001A4499">
              <w:rPr>
                <w:b/>
                <w:i/>
              </w:rPr>
              <w:t>rigorosamente</w:t>
            </w:r>
            <w:r w:rsidRPr="001A4499">
              <w:t xml:space="preserve"> i princi</w:t>
            </w:r>
            <w:r w:rsidRPr="001A4499">
              <w:t xml:space="preserve">pi di sussidiarietà e proporzionalità </w:t>
            </w:r>
            <w:r w:rsidRPr="001A4499">
              <w:rPr>
                <w:b/>
                <w:i/>
              </w:rPr>
              <w:t>come tutelati nei trattati, garantendo agli</w:t>
            </w:r>
            <w:r w:rsidRPr="001A4499">
              <w:t xml:space="preserve"> Stati membri la facoltà di </w:t>
            </w:r>
            <w:r w:rsidRPr="001A4499">
              <w:rPr>
                <w:b/>
                <w:i/>
              </w:rPr>
              <w:t>mantenere la piena e primaria responsabilità di</w:t>
            </w:r>
            <w:r w:rsidRPr="001A4499">
              <w:t xml:space="preserve"> adattare i propri sistemi fiscali alle esigenze nazionali specifiche</w:t>
            </w:r>
            <w:r w:rsidRPr="001A4499">
              <w:rPr>
                <w:b/>
                <w:i/>
              </w:rPr>
              <w:t xml:space="preserve">; </w:t>
            </w:r>
            <w:r w:rsidRPr="001A4499">
              <w:t>sottolinea che</w:t>
            </w:r>
            <w:r w:rsidRPr="001A4499">
              <w:rPr>
                <w:b/>
                <w:i/>
              </w:rPr>
              <w:t>, per affrontar</w:t>
            </w:r>
            <w:r w:rsidRPr="001A4499">
              <w:rPr>
                <w:b/>
                <w:i/>
              </w:rPr>
              <w:t>e gli ostacoli chiari e dimostrabili al funzionamento del mercato unico, le</w:t>
            </w:r>
            <w:r w:rsidRPr="001A4499">
              <w:t xml:space="preserve"> norme comuni </w:t>
            </w:r>
            <w:r w:rsidRPr="001A4499">
              <w:rPr>
                <w:b/>
                <w:i/>
              </w:rPr>
              <w:t>devono essere adattate senza invadere la sovranità fiscale nazionale</w:t>
            </w:r>
            <w:r w:rsidRPr="001A4499">
              <w:t>;</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46</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w:t>
      </w:r>
      <w:r w:rsidRPr="001A4499">
        <w:rPr>
          <w:rStyle w:val="HideTWBExt"/>
          <w:b w:val="0"/>
          <w:color w:val="auto"/>
        </w:rPr>
        <w:t>Members&gt;</w:t>
      </w:r>
      <w:r w:rsidRPr="001A4499">
        <w:t>Regina Doherty</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2</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2.</w:t>
            </w:r>
            <w:r w:rsidRPr="001A4499">
              <w:tab/>
            </w:r>
            <w:r w:rsidRPr="001A4499">
              <w:t>sottolinea che il sistema fiscale dell'UE dovrebbe sostenere i principi di sussidiarietà e proporzionalità e che gli Stati membri hanno la facoltà di adattare i propri sistemi fiscali alle esigenze nazionali specifiche, rispettando nel contempo norme comun</w:t>
            </w:r>
            <w:r w:rsidRPr="001A4499">
              <w:t>i e garantendo un utilizzo efficiente delle entrate;</w:t>
            </w:r>
          </w:p>
        </w:tc>
        <w:tc>
          <w:tcPr>
            <w:tcW w:w="4876" w:type="dxa"/>
            <w:tcBorders>
              <w:top w:val="nil"/>
              <w:left w:val="nil"/>
              <w:bottom w:val="nil"/>
              <w:right w:val="nil"/>
            </w:tcBorders>
            <w:hideMark/>
          </w:tcPr>
          <w:p w:rsidR="00D20070" w:rsidRPr="001A4499" w:rsidRDefault="00FF5B9D">
            <w:pPr>
              <w:pStyle w:val="Normal6a"/>
            </w:pPr>
            <w:r w:rsidRPr="001A4499">
              <w:t>2.</w:t>
            </w:r>
            <w:r w:rsidRPr="001A4499">
              <w:tab/>
            </w:r>
            <w:r w:rsidRPr="001A4499">
              <w:rPr>
                <w:b/>
                <w:i/>
              </w:rPr>
              <w:t>sottolinea che la tassazione è e dovrebbe restare una competenza nazionale ed è soggetta all'unanimità; </w:t>
            </w:r>
            <w:r w:rsidRPr="001A4499">
              <w:t>sottolinea che il sistema fiscale dell'UE dovrebbe sostenere i principi di sussidiarietà e propo</w:t>
            </w:r>
            <w:r w:rsidRPr="001A4499">
              <w:t>rzionalità e che gli Stati membri hanno la facoltà di adattare i propri sistemi fiscali alle esigenze nazionali specifiche, rispettando nel contempo norme comuni e garantendo un utilizzo efficiente delle entrate;</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47</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Fernand Kartheiser</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lastRenderedPageBreak/>
        <w:t>&lt;Article&gt;</w:t>
      </w:r>
      <w:r w:rsidRPr="001A4499">
        <w:t>Paragrafo 2</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2.</w:t>
            </w:r>
            <w:r w:rsidRPr="001A4499">
              <w:tab/>
            </w:r>
            <w:r w:rsidRPr="001A4499">
              <w:t xml:space="preserve">sottolinea che il sistema fiscale dell'UE dovrebbe sostenere i principi di sussidiarietà e proporzionalità e che gli Stati membri hanno la </w:t>
            </w:r>
            <w:r w:rsidRPr="001A4499">
              <w:rPr>
                <w:b/>
                <w:i/>
              </w:rPr>
              <w:t>facoltà di adattare i</w:t>
            </w:r>
            <w:r w:rsidRPr="001A4499">
              <w:t xml:space="preserve"> propri sistemi fiscali </w:t>
            </w:r>
            <w:r w:rsidRPr="001A4499">
              <w:rPr>
                <w:b/>
                <w:i/>
              </w:rPr>
              <w:t>alle esigenze nazionali specifiche, rispettando nel contempo norme comun</w:t>
            </w:r>
            <w:r w:rsidRPr="001A4499">
              <w:rPr>
                <w:b/>
                <w:i/>
              </w:rPr>
              <w:t>i e garantendo un utilizzo efficiente delle entrate;</w:t>
            </w:r>
          </w:p>
        </w:tc>
        <w:tc>
          <w:tcPr>
            <w:tcW w:w="4876" w:type="dxa"/>
            <w:tcBorders>
              <w:top w:val="nil"/>
              <w:left w:val="nil"/>
              <w:bottom w:val="nil"/>
              <w:right w:val="nil"/>
            </w:tcBorders>
            <w:hideMark/>
          </w:tcPr>
          <w:p w:rsidR="00D20070" w:rsidRPr="001A4499" w:rsidRDefault="00FF5B9D">
            <w:pPr>
              <w:pStyle w:val="Normal6a"/>
            </w:pPr>
            <w:r w:rsidRPr="001A4499">
              <w:t>2.</w:t>
            </w:r>
            <w:r w:rsidRPr="001A4499">
              <w:tab/>
              <w:t xml:space="preserve">sottolinea che il sistema fiscale dell'UE dovrebbe sostenere i principi di sussidiarietà e proporzionalità e che gli Stati membri hanno la </w:t>
            </w:r>
            <w:r w:rsidRPr="001A4499">
              <w:rPr>
                <w:b/>
                <w:i/>
              </w:rPr>
              <w:t>competenza per decidere sui</w:t>
            </w:r>
            <w:r w:rsidRPr="001A4499">
              <w:t xml:space="preserve"> propri sistemi fiscali;</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48</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Pasquale Tridico, Jussi Saramo, Manon Aubry</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2 bis (nuovo)</w:t>
      </w:r>
      <w:r w:rsidRPr="001A4499">
        <w:rPr>
          <w:rStyle w:val="HideTWBExt"/>
          <w:color w:val="auto"/>
        </w:rPr>
        <w:t>&lt;/Artic</w:t>
      </w:r>
      <w:r w:rsidRPr="001A4499">
        <w:rPr>
          <w:rStyle w:val="HideTWBExt"/>
          <w:color w:val="auto"/>
        </w:rPr>
        <w:t>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2 bis.</w:t>
            </w:r>
            <w:r w:rsidRPr="001A4499">
              <w:tab/>
            </w:r>
            <w:r w:rsidRPr="001A4499">
              <w:rPr>
                <w:b/>
                <w:i/>
              </w:rPr>
              <w:t xml:space="preserve">sottolinea l'importanza di una maggiore armonizzazione fiscale tra gli Stati membri quale strategia per ridurre il costo della conformità fiscale per le imprese; </w:t>
            </w:r>
            <w:r w:rsidRPr="001A4499">
              <w:rPr>
                <w:b/>
                <w:i/>
              </w:rPr>
              <w:t>sottolinea che tali sviluppi possono ridurre sensibilmente l'elusione e l'evasione fiscali;</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49</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Niels Fuglsang, Matthias Ecke, Bruno Gonçalves, Aurore Lalucq, Evelyn Regner</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2 bis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2 bis.</w:t>
            </w:r>
            <w:r w:rsidRPr="001A4499">
              <w:tab/>
            </w:r>
            <w:r w:rsidRPr="001A4499">
              <w:rPr>
                <w:b/>
                <w:i/>
              </w:rPr>
              <w:t xml:space="preserve">osserva che, di conseguenza, l'attuale quadro fiscale nell'Unione è costituito da 27 diversi sistemi di </w:t>
            </w:r>
            <w:r w:rsidRPr="001A4499">
              <w:rPr>
                <w:b/>
                <w:i/>
              </w:rPr>
              <w:lastRenderedPageBreak/>
              <w:t>tassazione delle imprese, il che costituisce un grave ostacolo all'attività delle imprese nel mercato interno; sottolinea che la complessità e le discre</w:t>
            </w:r>
            <w:r w:rsidRPr="001A4499">
              <w:rPr>
                <w:b/>
                <w:i/>
              </w:rPr>
              <w:t>panze nell'interazione tra i diversi sistemi fiscali creano disparità di condizioni e aumentano l'incertezza fiscale e i costi di conformità fiscale per le imprese che operano in più di uno Stato membro; evidenzia che le disparità tra gli Stati membri crea</w:t>
            </w:r>
            <w:r w:rsidRPr="001A4499">
              <w:rPr>
                <w:b/>
                <w:i/>
              </w:rPr>
              <w:t>no disallineamenti che possono portare a una doppia non imposizione e a vantaggi fiscali non intenzionali</w:t>
            </w:r>
            <w:r w:rsidRPr="001A4499">
              <w:rPr>
                <w:b/>
                <w:i/>
                <w:vertAlign w:val="superscript"/>
              </w:rPr>
              <w:t>1 bis</w:t>
            </w:r>
            <w:r w:rsidRPr="001A4499">
              <w:rPr>
                <w:b/>
                <w:i/>
              </w:rPr>
              <w:t>;</w:t>
            </w:r>
          </w:p>
        </w:tc>
      </w:tr>
      <w:tr w:rsidR="001A4499" w:rsidRPr="001A4499" w:rsidTr="00D20070">
        <w:trPr>
          <w:jc w:val="center"/>
        </w:trPr>
        <w:tc>
          <w:tcPr>
            <w:tcW w:w="4876" w:type="dxa"/>
            <w:tcBorders>
              <w:top w:val="nil"/>
              <w:left w:val="nil"/>
              <w:bottom w:val="nil"/>
              <w:right w:val="nil"/>
            </w:tcBorders>
          </w:tcPr>
          <w:p w:rsidR="00D20070" w:rsidRPr="001A4499" w:rsidRDefault="00D20070"/>
        </w:tc>
        <w:tc>
          <w:tcPr>
            <w:tcW w:w="4876" w:type="dxa"/>
            <w:tcBorders>
              <w:top w:val="nil"/>
              <w:left w:val="nil"/>
              <w:bottom w:val="nil"/>
              <w:right w:val="nil"/>
            </w:tcBorders>
            <w:hideMark/>
          </w:tcPr>
          <w:p w:rsidR="00D20070" w:rsidRPr="001A4499" w:rsidRDefault="00FF5B9D">
            <w:pPr>
              <w:pStyle w:val="Normal6a"/>
            </w:pPr>
            <w:r w:rsidRPr="001A4499">
              <w:rPr>
                <w:b/>
                <w:i/>
              </w:rPr>
              <w:t>_________________</w:t>
            </w:r>
          </w:p>
        </w:tc>
      </w:tr>
      <w:tr w:rsidR="001A4499" w:rsidRPr="001A4499" w:rsidTr="00D20070">
        <w:trPr>
          <w:jc w:val="center"/>
        </w:trPr>
        <w:tc>
          <w:tcPr>
            <w:tcW w:w="4876" w:type="dxa"/>
            <w:tcBorders>
              <w:top w:val="nil"/>
              <w:left w:val="nil"/>
              <w:bottom w:val="nil"/>
              <w:right w:val="nil"/>
            </w:tcBorders>
          </w:tcPr>
          <w:p w:rsidR="00D20070" w:rsidRPr="001A4499" w:rsidRDefault="00D20070"/>
        </w:tc>
        <w:tc>
          <w:tcPr>
            <w:tcW w:w="4876" w:type="dxa"/>
            <w:tcBorders>
              <w:top w:val="nil"/>
              <w:left w:val="nil"/>
              <w:bottom w:val="nil"/>
              <w:right w:val="nil"/>
            </w:tcBorders>
            <w:hideMark/>
          </w:tcPr>
          <w:p w:rsidR="00D20070" w:rsidRPr="001A4499" w:rsidRDefault="00FF5B9D" w:rsidP="001A4499">
            <w:pPr>
              <w:pStyle w:val="Normal6a"/>
            </w:pPr>
            <w:r w:rsidRPr="001A4499">
              <w:rPr>
                <w:b/>
                <w:i/>
                <w:vertAlign w:val="superscript"/>
              </w:rPr>
              <w:t>1 bis</w:t>
            </w:r>
            <w:r w:rsidRPr="001A4499">
              <w:t xml:space="preserve"> </w:t>
            </w:r>
            <w:r w:rsidRPr="001A4499">
              <w:rPr>
                <w:b/>
                <w:i/>
              </w:rPr>
              <w:t xml:space="preserve">Commissione europea, Proposta di direttiva del Consiglio su Imprese in Europa: </w:t>
            </w:r>
            <w:r w:rsidRPr="001A4499">
              <w:rPr>
                <w:b/>
                <w:i/>
              </w:rPr>
              <w:t xml:space="preserve">quadro per l'imposizione dei redditi (BEFIT), relazione illustrativa, pag. 8. </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50</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Kira Marie Peter-Hansen</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w:t>
      </w:r>
      <w:r w:rsidRPr="001A4499">
        <w:t>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2 bis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2 bis.</w:t>
            </w:r>
            <w:r w:rsidRPr="001A4499">
              <w:tab/>
            </w:r>
            <w:r w:rsidRPr="001A4499">
              <w:rPr>
                <w:b/>
                <w:i/>
              </w:rPr>
              <w:t>esprime profonda preoccupazione per la minaccia alla sovranità fiscale europea espressa nelle dichiarazioni del presidente degli Stati Uniti del 2 aprile 2025 sull'IVA negli Stati membri dell'UE come parte della giustificazione per l'imposizione dei dazi s</w:t>
            </w:r>
            <w:r w:rsidRPr="001A4499">
              <w:rPr>
                <w:b/>
                <w:i/>
              </w:rPr>
              <w:t>ulle importazioni statunitensi dall'UE; invita la Commissione e gli Stati membri a riaffermare la sovranità fiscale degli Stati membri in queste e altre questioni fiscali, comprese le future imposte europee sui servizi digitali, e l'inaccettabilità del ten</w:t>
            </w:r>
            <w:r w:rsidRPr="001A4499">
              <w:rPr>
                <w:b/>
                <w:i/>
              </w:rPr>
              <w:t xml:space="preserve">tativo di talune potenze straniere volto </w:t>
            </w:r>
            <w:r w:rsidRPr="001A4499">
              <w:rPr>
                <w:b/>
                <w:i/>
              </w:rPr>
              <w:lastRenderedPageBreak/>
              <w:t>a minare la sovranità fiscale nell'UE;</w:t>
            </w:r>
          </w:p>
        </w:tc>
      </w:tr>
    </w:tbl>
    <w:p w:rsidR="00D20070" w:rsidRPr="001A4499" w:rsidRDefault="00FF5B9D" w:rsidP="00D20070">
      <w:pPr>
        <w:pStyle w:val="AmOrLang"/>
        <w:rPr>
          <w:lang w:eastAsia="en-US"/>
        </w:rPr>
      </w:pPr>
      <w:r w:rsidRPr="001A4499">
        <w:lastRenderedPageBreak/>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51</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Niels Fuglsang, Matthias Ecke, Bruno Gonçalves, Aurore Lalucq, Evelyn Regner</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2 ter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2 ter.</w:t>
            </w:r>
            <w:r w:rsidRPr="001A4499">
              <w:tab/>
            </w:r>
            <w:r w:rsidRPr="001A4499">
              <w:rPr>
                <w:b/>
                <w:i/>
              </w:rPr>
              <w:t>fa notare che ciò ha un effetto negativo sul funzionamento del mercato interno in quanto scoraggia gli investimenti transfrontalieri e pone le imprese dell'Unione in una posizione di svantaggio in termini di concorrenza rispetto alle imprese che operano in</w:t>
            </w:r>
            <w:r w:rsidRPr="001A4499">
              <w:rPr>
                <w:b/>
                <w:i/>
              </w:rPr>
              <w:t xml:space="preserve"> mercati di dimensioni comparabili altrove nel mondo</w:t>
            </w:r>
            <w:r w:rsidRPr="001A4499">
              <w:rPr>
                <w:b/>
                <w:i/>
                <w:vertAlign w:val="superscript"/>
              </w:rPr>
              <w:t>1 ter</w:t>
            </w:r>
            <w:r w:rsidRPr="001A4499">
              <w:rPr>
                <w:b/>
                <w:i/>
              </w:rPr>
              <w:t>; sottolinea che questo panorama frammentato svantaggia in modo sproporzionato le PMI e le imprese puramente nazionali, che non dispongono delle risorse per impegnarsi in complessi regimi di pianific</w:t>
            </w:r>
            <w:r w:rsidRPr="001A4499">
              <w:rPr>
                <w:b/>
                <w:i/>
              </w:rPr>
              <w:t>azione fiscale e si trovano pertanto ad affrontare un contesto concorrenziale sleale che non è incline all'espansione;</w:t>
            </w:r>
          </w:p>
        </w:tc>
      </w:tr>
      <w:tr w:rsidR="001A4499" w:rsidRPr="001A4499" w:rsidTr="00D20070">
        <w:trPr>
          <w:jc w:val="center"/>
        </w:trPr>
        <w:tc>
          <w:tcPr>
            <w:tcW w:w="4876" w:type="dxa"/>
            <w:tcBorders>
              <w:top w:val="nil"/>
              <w:left w:val="nil"/>
              <w:bottom w:val="nil"/>
              <w:right w:val="nil"/>
            </w:tcBorders>
          </w:tcPr>
          <w:p w:rsidR="00D20070" w:rsidRPr="001A4499" w:rsidRDefault="00D20070"/>
        </w:tc>
        <w:tc>
          <w:tcPr>
            <w:tcW w:w="4876" w:type="dxa"/>
            <w:tcBorders>
              <w:top w:val="nil"/>
              <w:left w:val="nil"/>
              <w:bottom w:val="nil"/>
              <w:right w:val="nil"/>
            </w:tcBorders>
            <w:hideMark/>
          </w:tcPr>
          <w:p w:rsidR="00D20070" w:rsidRPr="001A4499" w:rsidRDefault="00FF5B9D">
            <w:pPr>
              <w:pStyle w:val="Normal6a"/>
            </w:pPr>
            <w:r w:rsidRPr="001A4499">
              <w:rPr>
                <w:b/>
                <w:i/>
              </w:rPr>
              <w:t>_________________</w:t>
            </w:r>
          </w:p>
        </w:tc>
      </w:tr>
      <w:tr w:rsidR="001A4499" w:rsidRPr="001A4499" w:rsidTr="00D20070">
        <w:trPr>
          <w:jc w:val="center"/>
        </w:trPr>
        <w:tc>
          <w:tcPr>
            <w:tcW w:w="4876" w:type="dxa"/>
            <w:tcBorders>
              <w:top w:val="nil"/>
              <w:left w:val="nil"/>
              <w:bottom w:val="nil"/>
              <w:right w:val="nil"/>
            </w:tcBorders>
          </w:tcPr>
          <w:p w:rsidR="00D20070" w:rsidRPr="001A4499" w:rsidRDefault="00D20070"/>
        </w:tc>
        <w:tc>
          <w:tcPr>
            <w:tcW w:w="4876" w:type="dxa"/>
            <w:tcBorders>
              <w:top w:val="nil"/>
              <w:left w:val="nil"/>
              <w:bottom w:val="nil"/>
              <w:right w:val="nil"/>
            </w:tcBorders>
            <w:hideMark/>
          </w:tcPr>
          <w:p w:rsidR="00D20070" w:rsidRPr="001A4499" w:rsidRDefault="00FF5B9D">
            <w:pPr>
              <w:pStyle w:val="Normal6a"/>
            </w:pPr>
            <w:r w:rsidRPr="001A4499">
              <w:rPr>
                <w:b/>
                <w:i/>
                <w:vertAlign w:val="superscript"/>
              </w:rPr>
              <w:t>1 ter</w:t>
            </w:r>
            <w:r w:rsidRPr="001A4499">
              <w:t xml:space="preserve"> </w:t>
            </w:r>
            <w:r w:rsidRPr="001A4499">
              <w:rPr>
                <w:b/>
                <w:i/>
              </w:rPr>
              <w:t xml:space="preserve">Commissione europea, Proposta di direttiva del Consiglio su Imprese in Europa: </w:t>
            </w:r>
            <w:r w:rsidRPr="001A4499">
              <w:rPr>
                <w:b/>
                <w:i/>
              </w:rPr>
              <w:t xml:space="preserve">quadro per l'imposizione dei redditi (BEFIT), relazione illustrativa, pag. 1. </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52</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Niels Fuglsang, Matthias Ecke, Bruno Gonçalves, Aurore Lalucq, Evelyn Re</w:t>
      </w:r>
      <w:r w:rsidRPr="001A4499">
        <w:t>gner</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lastRenderedPageBreak/>
        <w:t>&lt;Article&gt;</w:t>
      </w:r>
      <w:r w:rsidRPr="001A4499">
        <w:t>Paragrafo 2 quater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2 quater.</w:t>
            </w:r>
            <w:r w:rsidRPr="001A4499">
              <w:tab/>
            </w:r>
            <w:r w:rsidRPr="001A4499">
              <w:rPr>
                <w:b/>
                <w:i/>
              </w:rPr>
              <w:t>sottolinea che, oltre agli sforzi di armonizzazione, si possono compiere molti progressi nella semplificazione della conformità fiscale e nell'eliminazione degli ostacoli amministrativi nel mercato interno, attraverso strumenti di attuazione comuni, misure</w:t>
            </w:r>
            <w:r w:rsidRPr="001A4499">
              <w:rPr>
                <w:b/>
                <w:i/>
              </w:rPr>
              <w:t xml:space="preserve"> non vincolanti, orientamenti della Commissione, dialogo e scambio di migliori pratiche tra gli Stati membri;</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53</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Billy Kelleher, Stéphanie Yon-Courtin</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3</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3.</w:t>
            </w:r>
            <w:r w:rsidRPr="001A4499">
              <w:tab/>
            </w:r>
            <w:r w:rsidRPr="001A4499">
              <w:t>osserva che le imprese europee, in particolare le piccole e medie imprese (PMI), sono uno dei principali motori della crescita economica e della creazione di posti di lavoro in tutto il continente; ricorda che le PMI si trovano ad affrontare notevoli diffi</w:t>
            </w:r>
            <w:r w:rsidRPr="001A4499">
              <w:t>coltà in ambito fiscale a causa della complessità delle normative e della frammentazione dei sistemi fiscali, che impongono loro oneri amministrativi gravosi e costi di conformità elevati e ne ostacolano la crescita e l'innovazione; esorta la Commissione a</w:t>
            </w:r>
            <w:r w:rsidRPr="001A4499">
              <w:t xml:space="preserve"> esaminare soluzioni che semplifichino le procedure fiscali e riducano i costi di conformità;</w:t>
            </w:r>
          </w:p>
        </w:tc>
        <w:tc>
          <w:tcPr>
            <w:tcW w:w="4876" w:type="dxa"/>
            <w:tcBorders>
              <w:top w:val="nil"/>
              <w:left w:val="nil"/>
              <w:bottom w:val="nil"/>
              <w:right w:val="nil"/>
            </w:tcBorders>
            <w:hideMark/>
          </w:tcPr>
          <w:p w:rsidR="00D20070" w:rsidRPr="001A4499" w:rsidRDefault="00FF5B9D">
            <w:pPr>
              <w:pStyle w:val="Normal6a"/>
            </w:pPr>
            <w:r w:rsidRPr="001A4499">
              <w:t>3.</w:t>
            </w:r>
            <w:r w:rsidRPr="001A4499">
              <w:tab/>
              <w:t>osserva che le imprese europee, in particolare le piccole e medie imprese (PMI), sono uno dei principali motori della crescita economica e della creazione di p</w:t>
            </w:r>
            <w:r w:rsidRPr="001A4499">
              <w:t>osti di lavoro in tutto il continente; ricorda che le PMI si trovano ad affrontare notevoli difficoltà in ambito fiscale a causa della complessità delle normative e della frammentazione dei sistemi fiscali, che impongono loro oneri amministrativi gravosi e</w:t>
            </w:r>
            <w:r w:rsidRPr="001A4499">
              <w:t xml:space="preserve"> costi di conformità elevati e ne ostacolano la crescita e l'innovazione; esorta la Commissione a esaminare soluzioni che semplifichino le procedure fiscali e riducano i costi di conformità; </w:t>
            </w:r>
            <w:r w:rsidRPr="001A4499">
              <w:rPr>
                <w:b/>
                <w:i/>
              </w:rPr>
              <w:t>sottolinea che l'attuale valutazione dell'acquis fiscale da parte</w:t>
            </w:r>
            <w:r w:rsidRPr="001A4499">
              <w:rPr>
                <w:b/>
                <w:i/>
              </w:rPr>
              <w:t xml:space="preserve"> della Commissione dovrebbe includere una valutazione specifica dell'impatto sulle PMI; sottolinea che, analogamente, qualsiasi proposta futura dovrebbe, in via </w:t>
            </w:r>
            <w:r w:rsidRPr="001A4499">
              <w:rPr>
                <w:b/>
                <w:i/>
              </w:rPr>
              <w:lastRenderedPageBreak/>
              <w:t>ordinaria, tenere in debita considerazione se le soluzioni sono attuabili per le PMI e se non g</w:t>
            </w:r>
            <w:r w:rsidRPr="001A4499">
              <w:rPr>
                <w:b/>
                <w:i/>
              </w:rPr>
              <w:t>ravano su di esse con regolamentazioni o costi superflui;</w:t>
            </w:r>
          </w:p>
        </w:tc>
      </w:tr>
    </w:tbl>
    <w:p w:rsidR="00D20070" w:rsidRPr="001A4499" w:rsidRDefault="00FF5B9D" w:rsidP="00D20070">
      <w:pPr>
        <w:pStyle w:val="AmOrLang"/>
        <w:rPr>
          <w:lang w:eastAsia="en-US"/>
        </w:rPr>
      </w:pPr>
      <w:r w:rsidRPr="001A4499">
        <w:lastRenderedPageBreak/>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54</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Kira Marie Peter-Hansen</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3</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3.</w:t>
            </w:r>
            <w:r w:rsidRPr="001A4499">
              <w:tab/>
            </w:r>
            <w:r w:rsidRPr="001A4499">
              <w:t>osserva che le imprese europee, in particolare le piccole e medie imprese (PMI), sono uno dei principali motori della crescita economica e della creazione di posti di lavoro in tutto il continente; ricorda che le PMI si trovano ad affrontare notevoli diffi</w:t>
            </w:r>
            <w:r w:rsidRPr="001A4499">
              <w:t>coltà in ambito fiscale a causa della complessità delle normative e della frammentazione dei sistemi fiscali, che impongono loro oneri amministrativi gravosi e costi di conformità elevati e ne ostacolano la crescita e l'innovazione; esorta la Commissione a</w:t>
            </w:r>
            <w:r w:rsidRPr="001A4499">
              <w:t xml:space="preserve"> esaminare soluzioni che semplifichino le procedure fiscali e riducano i costi di conformità;</w:t>
            </w:r>
          </w:p>
        </w:tc>
        <w:tc>
          <w:tcPr>
            <w:tcW w:w="4876" w:type="dxa"/>
            <w:tcBorders>
              <w:top w:val="nil"/>
              <w:left w:val="nil"/>
              <w:bottom w:val="nil"/>
              <w:right w:val="nil"/>
            </w:tcBorders>
            <w:hideMark/>
          </w:tcPr>
          <w:p w:rsidR="00D20070" w:rsidRPr="001A4499" w:rsidRDefault="00FF5B9D">
            <w:pPr>
              <w:pStyle w:val="Normal6a"/>
            </w:pPr>
            <w:r w:rsidRPr="001A4499">
              <w:t>3.</w:t>
            </w:r>
            <w:r w:rsidRPr="001A4499">
              <w:tab/>
              <w:t>osserva che le imprese europee, in particolare le piccole e medie imprese (PMI), sono uno dei principali motori della crescita economica e della creazione di p</w:t>
            </w:r>
            <w:r w:rsidRPr="001A4499">
              <w:t>osti di lavoro in tutto il continente; ricorda che le PMI si trovano ad affrontare notevoli difficoltà in ambito fiscale a causa della complessità delle normative e della frammentazione dei sistemi fiscali, che impongono loro oneri amministrativi gravosi e</w:t>
            </w:r>
            <w:r w:rsidRPr="001A4499">
              <w:t xml:space="preserve"> costi di conformità elevati e ne ostacolano la crescita e l'innovazione; esorta la Commissione a esaminare soluzioni che semplifichino le procedure fiscali e riducano i costi di conformità</w:t>
            </w:r>
            <w:r w:rsidRPr="001A4499">
              <w:rPr>
                <w:b/>
                <w:i/>
              </w:rPr>
              <w:t xml:space="preserve">, valutando al contempo il motivo per cui la proposta di direttiva </w:t>
            </w:r>
            <w:r w:rsidRPr="001A4499">
              <w:rPr>
                <w:b/>
                <w:i/>
              </w:rPr>
              <w:t>che istituisce un sistema fiscale basato sulle norme della sede centrale (HOT) per le PMI non è stata accolta con grande entusiasmo in seno al Consiglio</w:t>
            </w:r>
            <w:r w:rsidRPr="001A4499">
              <w:t>;</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55</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Regina Doherty</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3</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3.</w:t>
            </w:r>
            <w:r w:rsidRPr="001A4499">
              <w:tab/>
            </w:r>
            <w:r w:rsidRPr="001A4499">
              <w:t>osserva che le imprese europee, in particolare le piccole e medie imprese (PMI), sono uno dei principali motori della crescita economica e della creazione di posti di lavoro in tutto il continente; ricorda che le PMI si trovano ad affrontare notevoli diffi</w:t>
            </w:r>
            <w:r w:rsidRPr="001A4499">
              <w:t>coltà in ambito fiscale a causa della complessità delle normative e della frammentazione dei sistemi fiscali, che impongono loro oneri amministrativi gravosi e costi di conformità elevati e ne ostacolano la crescita e l'innovazione; esorta la Commissione a</w:t>
            </w:r>
            <w:r w:rsidRPr="001A4499">
              <w:t xml:space="preserve"> esaminare soluzioni che semplifichino le procedure fiscali e riducano i costi di conformità;</w:t>
            </w:r>
          </w:p>
        </w:tc>
        <w:tc>
          <w:tcPr>
            <w:tcW w:w="4876" w:type="dxa"/>
            <w:tcBorders>
              <w:top w:val="nil"/>
              <w:left w:val="nil"/>
              <w:bottom w:val="nil"/>
              <w:right w:val="nil"/>
            </w:tcBorders>
            <w:hideMark/>
          </w:tcPr>
          <w:p w:rsidR="00D20070" w:rsidRPr="001A4499" w:rsidRDefault="00FF5B9D">
            <w:pPr>
              <w:pStyle w:val="Normal6a"/>
            </w:pPr>
            <w:r w:rsidRPr="001A4499">
              <w:t>3.</w:t>
            </w:r>
            <w:r w:rsidRPr="001A4499">
              <w:tab/>
              <w:t>osserva che le imprese europee, in particolare le piccole e medie imprese (PMI), sono uno dei principali motori della crescita economica e della creazione di p</w:t>
            </w:r>
            <w:r w:rsidRPr="001A4499">
              <w:t>osti di lavoro in tutto il continente; ricorda che le PMI si trovano ad affrontare notevoli difficoltà in ambito fiscale a causa della complessità delle normative e della frammentazione dei sistemi fiscali, che impongono loro oneri amministrativi gravosi e</w:t>
            </w:r>
            <w:r w:rsidRPr="001A4499">
              <w:t xml:space="preserve"> costi di conformità elevati e ne ostacolano la crescita e l'innovazione; esorta la Commissione a esaminare soluzioni che semplifichino le procedure fiscali e riducano i costi di conformità</w:t>
            </w:r>
            <w:r w:rsidRPr="001A4499">
              <w:rPr>
                <w:b/>
                <w:i/>
              </w:rPr>
              <w:t>, in particolare per le PMI e gli investitori</w:t>
            </w:r>
            <w:r w:rsidRPr="001A4499">
              <w:t>;</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56</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Fabio De Masi</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3</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3.</w:t>
            </w:r>
            <w:r w:rsidRPr="001A4499">
              <w:tab/>
            </w:r>
            <w:r w:rsidRPr="001A4499">
              <w:t xml:space="preserve">osserva che le imprese europee, in particolare le piccole e medie imprese (PMI), sono uno dei principali motori della crescita economica e della creazione di posti di lavoro in tutto il continente; ricorda che le PMI si trovano ad affrontare </w:t>
            </w:r>
            <w:r w:rsidRPr="001A4499">
              <w:rPr>
                <w:b/>
                <w:i/>
              </w:rPr>
              <w:t>notevoli</w:t>
            </w:r>
            <w:r w:rsidRPr="001A4499">
              <w:t xml:space="preserve"> diffi</w:t>
            </w:r>
            <w:r w:rsidRPr="001A4499">
              <w:t>coltà in ambito fiscale a causa della complessità delle normative e della frammentazione dei sistemi fiscali, che impongono loro oneri amministrativi gravosi e costi di conformità elevati e ne ostacolano la crescita e l'innovazione; esorta la Commissione a</w:t>
            </w:r>
            <w:r w:rsidRPr="001A4499">
              <w:t xml:space="preserve"> esaminare soluzioni che semplifichino le procedure fiscali e riducano i costi di conformità;</w:t>
            </w:r>
          </w:p>
        </w:tc>
        <w:tc>
          <w:tcPr>
            <w:tcW w:w="4876" w:type="dxa"/>
            <w:tcBorders>
              <w:top w:val="nil"/>
              <w:left w:val="nil"/>
              <w:bottom w:val="nil"/>
              <w:right w:val="nil"/>
            </w:tcBorders>
            <w:hideMark/>
          </w:tcPr>
          <w:p w:rsidR="00D20070" w:rsidRPr="001A4499" w:rsidRDefault="00FF5B9D">
            <w:pPr>
              <w:pStyle w:val="Normal6a"/>
            </w:pPr>
            <w:r w:rsidRPr="001A4499">
              <w:t>3.</w:t>
            </w:r>
            <w:r w:rsidRPr="001A4499">
              <w:tab/>
              <w:t>osserva che le imprese europee, in particolare le piccole e medie imprese (PMI), sono uno dei principali motori della crescita economica e della creazione di p</w:t>
            </w:r>
            <w:r w:rsidRPr="001A4499">
              <w:t xml:space="preserve">osti di lavoro in tutto il continente; ricorda che le PMI si trovano ad affrontare </w:t>
            </w:r>
            <w:r w:rsidRPr="001A4499">
              <w:rPr>
                <w:b/>
                <w:i/>
              </w:rPr>
              <w:t>oneri fiscali sensibilmente alti rispetto alle multinazionali, nonché</w:t>
            </w:r>
            <w:r w:rsidRPr="001A4499">
              <w:t xml:space="preserve"> difficoltà in ambito fiscale a causa della complessità delle normative e della frammentazione dei siste</w:t>
            </w:r>
            <w:r w:rsidRPr="001A4499">
              <w:t xml:space="preserve">mi fiscali, che impongono loro oneri amministrativi gravosi e costi di conformità elevati e ne ostacolano la crescita e l'innovazione; esorta la Commissione a esaminare soluzioni che semplifichino le procedure fiscali e </w:t>
            </w:r>
            <w:r w:rsidRPr="001A4499">
              <w:lastRenderedPageBreak/>
              <w:t>riducano i costi di conformità;</w:t>
            </w:r>
          </w:p>
        </w:tc>
      </w:tr>
    </w:tbl>
    <w:p w:rsidR="00D20070" w:rsidRPr="001A4499" w:rsidRDefault="00FF5B9D" w:rsidP="00D20070">
      <w:pPr>
        <w:pStyle w:val="AmOrLang"/>
        <w:rPr>
          <w:lang w:eastAsia="en-US"/>
        </w:rPr>
      </w:pPr>
      <w:r w:rsidRPr="001A4499">
        <w:lastRenderedPageBreak/>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57</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Lídia Pereira</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3</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3.</w:t>
            </w:r>
            <w:r w:rsidRPr="001A4499">
              <w:tab/>
              <w:t>osserva che le imprese europee, in particolare le piccole e medie imprese (PMI), sono uno dei principali motori della crescita economica e della creazione di posti di lavoro in tutto il continente; ricorda che le PMI si trovano ad affrontar</w:t>
            </w:r>
            <w:r w:rsidRPr="001A4499">
              <w:t xml:space="preserve">e notevoli difficoltà in ambito fiscale a causa della complessità delle normative e della frammentazione dei sistemi fiscali, che impongono loro oneri amministrativi gravosi e costi di conformità elevati e ne ostacolano la crescita e l'innovazione; esorta </w:t>
            </w:r>
            <w:r w:rsidRPr="001A4499">
              <w:t>la Commissione a esaminare soluzioni che semplifichino le procedure fiscali e riducano i costi di conformità;</w:t>
            </w:r>
          </w:p>
        </w:tc>
        <w:tc>
          <w:tcPr>
            <w:tcW w:w="4876" w:type="dxa"/>
            <w:tcBorders>
              <w:top w:val="nil"/>
              <w:left w:val="nil"/>
              <w:bottom w:val="nil"/>
              <w:right w:val="nil"/>
            </w:tcBorders>
            <w:hideMark/>
          </w:tcPr>
          <w:p w:rsidR="00D20070" w:rsidRPr="001A4499" w:rsidRDefault="00FF5B9D">
            <w:pPr>
              <w:pStyle w:val="Normal6a"/>
            </w:pPr>
            <w:r w:rsidRPr="001A4499">
              <w:t>3.</w:t>
            </w:r>
            <w:r w:rsidRPr="001A4499">
              <w:tab/>
              <w:t>osserva che le imprese europee, in particolare le piccole e medie imprese (PMI), sono uno dei principali motori della crescita economica e dell</w:t>
            </w:r>
            <w:r w:rsidRPr="001A4499">
              <w:t>a creazione di posti di lavoro in tutto il continente; ricorda che le PMI si trovano ad affrontare notevoli difficoltà in ambito fiscale a causa della complessità delle normative e della frammentazione dei sistemi fiscali, che impongono loro oneri amminist</w:t>
            </w:r>
            <w:r w:rsidRPr="001A4499">
              <w:t>rativi gravosi e costi di conformità elevati e ne ostacolano la crescita e l'innovazione; esorta la Commissione a esaminare soluzioni che semplifichino le procedure fiscali e riducano i costi di conformità</w:t>
            </w:r>
            <w:r w:rsidRPr="001A4499">
              <w:rPr>
                <w:b/>
                <w:i/>
              </w:rPr>
              <w:t>, in stretta collaborazione con le autorità fiscali</w:t>
            </w:r>
            <w:r w:rsidRPr="001A4499">
              <w:rPr>
                <w:b/>
                <w:i/>
              </w:rPr>
              <w:t xml:space="preserve"> nazionali</w:t>
            </w:r>
            <w:r w:rsidRPr="001A4499">
              <w:t>;</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58</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Fernand Kartheiser</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3</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3.</w:t>
            </w:r>
            <w:r w:rsidRPr="001A4499">
              <w:tab/>
              <w:t xml:space="preserve">osserva che le imprese europee, in particolare le piccole e medie imprese (PMI), sono uno dei principali motori della crescita economica e della creazione di posti di lavoro in tutto il continente; ricorda </w:t>
            </w:r>
            <w:r w:rsidRPr="001A4499">
              <w:lastRenderedPageBreak/>
              <w:t>che le PMI</w:t>
            </w:r>
            <w:r w:rsidRPr="001A4499">
              <w:t xml:space="preserve"> si trovano ad affrontare notevoli difficoltà in ambito fiscale a causa della complessità delle normative e della frammentazione dei sistemi fiscali, che impongono loro oneri amministrativi gravosi e costi di conformità elevati e ne ostacolano la crescita </w:t>
            </w:r>
            <w:r w:rsidRPr="001A4499">
              <w:t>e l'innovazione; esorta la Commissione a esaminare soluzioni che semplifichino le procedure fiscali e riducano i costi di conformità;</w:t>
            </w:r>
          </w:p>
        </w:tc>
        <w:tc>
          <w:tcPr>
            <w:tcW w:w="4876" w:type="dxa"/>
            <w:tcBorders>
              <w:top w:val="nil"/>
              <w:left w:val="nil"/>
              <w:bottom w:val="nil"/>
              <w:right w:val="nil"/>
            </w:tcBorders>
            <w:hideMark/>
          </w:tcPr>
          <w:p w:rsidR="00D20070" w:rsidRPr="001A4499" w:rsidRDefault="00FF5B9D">
            <w:pPr>
              <w:pStyle w:val="Normal6a"/>
            </w:pPr>
            <w:r w:rsidRPr="001A4499">
              <w:lastRenderedPageBreak/>
              <w:t>3.</w:t>
            </w:r>
            <w:r w:rsidRPr="001A4499">
              <w:tab/>
              <w:t>osserva che le imprese europee, in particolare le piccole e medie imprese (PMI), sono uno dei principali motori della c</w:t>
            </w:r>
            <w:r w:rsidRPr="001A4499">
              <w:t xml:space="preserve">rescita economica e della creazione di posti di lavoro in tutto il continente; ricorda </w:t>
            </w:r>
            <w:r w:rsidRPr="001A4499">
              <w:lastRenderedPageBreak/>
              <w:t>che le PMI si trovano ad affrontare notevoli difficoltà in ambito fiscale a causa della complessità delle normative e della frammentazione dei sistemi fiscali, che impon</w:t>
            </w:r>
            <w:r w:rsidRPr="001A4499">
              <w:t>gono loro oneri amministrativi gravosi e costi di conformità elevati e ne ostacolano la crescita e l'innovazione; esorta la Commissione a esaminare soluzioni che semplifichino le procedure fiscali e riducano i costi di conformità</w:t>
            </w:r>
            <w:r w:rsidRPr="001A4499">
              <w:rPr>
                <w:b/>
                <w:i/>
              </w:rPr>
              <w:t xml:space="preserve">, rispettando nel contempo </w:t>
            </w:r>
            <w:r w:rsidRPr="001A4499">
              <w:rPr>
                <w:b/>
                <w:i/>
              </w:rPr>
              <w:t>le competenze degli Stati membri</w:t>
            </w:r>
            <w:r w:rsidRPr="001A4499">
              <w:t>;</w:t>
            </w:r>
          </w:p>
        </w:tc>
      </w:tr>
    </w:tbl>
    <w:p w:rsidR="00D20070" w:rsidRPr="001A4499" w:rsidRDefault="00FF5B9D" w:rsidP="00D20070">
      <w:pPr>
        <w:pStyle w:val="AmOrLang"/>
        <w:rPr>
          <w:lang w:eastAsia="en-US"/>
        </w:rPr>
      </w:pPr>
      <w:r w:rsidRPr="001A4499">
        <w:lastRenderedPageBreak/>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59</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Michalis Hadjipantela</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3 bis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3 bis.</w:t>
            </w:r>
            <w:r w:rsidRPr="001A4499">
              <w:tab/>
            </w:r>
            <w:r w:rsidRPr="001A4499">
              <w:rPr>
                <w:b/>
                <w:i/>
              </w:rPr>
              <w:t xml:space="preserve">sottolinea che le nuove imprese e le piccole imprese sono spesso sopraffatte dalla complessità della conformità fiscale; </w:t>
            </w:r>
            <w:r w:rsidRPr="001A4499">
              <w:rPr>
                <w:b/>
                <w:i/>
              </w:rPr>
              <w:t>invita la Commissione a sviluppare un pacchetto di strumenti completo e di facile utilizzo per le PMI e le start-up, compresi orientamenti, modelli e opzioni di dichiarazione fiscale automatizzata per l'IVA, la tassazione delle imprese, i salari e altri ob</w:t>
            </w:r>
            <w:r w:rsidRPr="001A4499">
              <w:rPr>
                <w:b/>
                <w:i/>
              </w:rPr>
              <w:t>blighi, liberamente disponibili e regolarmente aggiornati; sottolinea che sgravi fiscali temporanei nelle prime fasi di un'impresa, come un'esenzione limitata nel tempo o un'aliquota ridotta per i primi due anni, possono ridurre le barriere all'ingresso, p</w:t>
            </w:r>
            <w:r w:rsidRPr="001A4499">
              <w:rPr>
                <w:b/>
                <w:i/>
              </w:rPr>
              <w:t>romuovere l'innovazione e stimolare l'imprenditorialità in tutta l'UE;</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60</w:t>
      </w:r>
      <w:r w:rsidRPr="001A4499">
        <w:rPr>
          <w:rStyle w:val="HideTWBExt"/>
          <w:color w:val="auto"/>
        </w:rPr>
        <w:t>&lt;/NumAm&gt;</w:t>
      </w:r>
    </w:p>
    <w:p w:rsidR="00D20070" w:rsidRPr="001A4499" w:rsidRDefault="00FF5B9D" w:rsidP="00D20070">
      <w:pPr>
        <w:pStyle w:val="NormalBold"/>
      </w:pPr>
      <w:r w:rsidRPr="001A4499">
        <w:rPr>
          <w:rStyle w:val="HideTWBExt"/>
          <w:b w:val="0"/>
          <w:color w:val="auto"/>
        </w:rPr>
        <w:lastRenderedPageBreak/>
        <w:t>&lt;RepeatBlock-By&gt;&lt;Members&gt;</w:t>
      </w:r>
      <w:r w:rsidRPr="001A4499">
        <w:t>Niels Fuglsang, Matthias Ecke, Bruno Gonçalves, Aurore Lalucq, Evelyn Regner</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3 bis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3 bis.</w:t>
            </w:r>
            <w:r w:rsidRPr="001A4499">
              <w:tab/>
            </w:r>
            <w:r w:rsidRPr="001A4499">
              <w:rPr>
                <w:b/>
                <w:i/>
              </w:rPr>
              <w:t xml:space="preserve">accoglie con favore, in particolare, la proposta della Commissione del 2023 per la direttiva "Imprese in Europa: quadro per l'imposizione dei redditi" (BEFIT); sottolinea che un quadro comune per la tassazione delle imprese attraverso l'armonizzazione non </w:t>
            </w:r>
            <w:r w:rsidRPr="001A4499">
              <w:rPr>
                <w:b/>
                <w:i/>
              </w:rPr>
              <w:t>solo ridurrà in modo significativo i costi di conformità e gli oneri amministrativi, ma creerà anche condizioni di parità per le imprese che operano in tutto il mercato interno, incoraggerà l'espansione, rafforzerà la certezza del diritto e stimolerà gli i</w:t>
            </w:r>
            <w:r w:rsidRPr="001A4499">
              <w:rPr>
                <w:b/>
                <w:i/>
              </w:rPr>
              <w:t>nvestimenti e la crescita nell'Unione;</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61</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Markus Ferber</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3 bis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3 bis.</w:t>
            </w:r>
            <w:r w:rsidRPr="001A4499">
              <w:tab/>
            </w:r>
            <w:r w:rsidRPr="001A4499">
              <w:rPr>
                <w:b/>
                <w:i/>
              </w:rPr>
              <w:t>osserva che, secondo la Commissione, i costi di conformità fiscale stimati per le grandi imprese rappresentano circa il 2 % delle imposte versate, mentre per le PMI la stima è di circa il 30 % delle imposte versate</w:t>
            </w:r>
            <w:r w:rsidRPr="001A4499">
              <w:rPr>
                <w:b/>
                <w:i/>
                <w:vertAlign w:val="superscript"/>
              </w:rPr>
              <w:t>1 bis</w:t>
            </w:r>
            <w:r w:rsidRPr="001A4499">
              <w:rPr>
                <w:b/>
                <w:i/>
              </w:rPr>
              <w:t>; conclude che le PMI beneficerebbero</w:t>
            </w:r>
            <w:r w:rsidRPr="001A4499">
              <w:rPr>
                <w:b/>
                <w:i/>
              </w:rPr>
              <w:t xml:space="preserve"> in modo sproporzionato delle misure di semplificazione fiscale;</w:t>
            </w:r>
          </w:p>
        </w:tc>
      </w:tr>
      <w:tr w:rsidR="001A4499" w:rsidRPr="001A4499" w:rsidTr="00D20070">
        <w:trPr>
          <w:jc w:val="center"/>
        </w:trPr>
        <w:tc>
          <w:tcPr>
            <w:tcW w:w="4876" w:type="dxa"/>
            <w:tcBorders>
              <w:top w:val="nil"/>
              <w:left w:val="nil"/>
              <w:bottom w:val="nil"/>
              <w:right w:val="nil"/>
            </w:tcBorders>
          </w:tcPr>
          <w:p w:rsidR="00D20070" w:rsidRPr="001A4499" w:rsidRDefault="00D20070"/>
        </w:tc>
        <w:tc>
          <w:tcPr>
            <w:tcW w:w="4876" w:type="dxa"/>
            <w:tcBorders>
              <w:top w:val="nil"/>
              <w:left w:val="nil"/>
              <w:bottom w:val="nil"/>
              <w:right w:val="nil"/>
            </w:tcBorders>
            <w:hideMark/>
          </w:tcPr>
          <w:p w:rsidR="00D20070" w:rsidRPr="001A4499" w:rsidRDefault="00FF5B9D">
            <w:pPr>
              <w:pStyle w:val="Normal6a"/>
            </w:pPr>
            <w:r w:rsidRPr="001A4499">
              <w:rPr>
                <w:b/>
                <w:i/>
              </w:rPr>
              <w:t>_________________</w:t>
            </w:r>
          </w:p>
        </w:tc>
      </w:tr>
      <w:tr w:rsidR="001A4499" w:rsidRPr="001A4499" w:rsidTr="00D20070">
        <w:trPr>
          <w:jc w:val="center"/>
        </w:trPr>
        <w:tc>
          <w:tcPr>
            <w:tcW w:w="4876" w:type="dxa"/>
            <w:tcBorders>
              <w:top w:val="nil"/>
              <w:left w:val="nil"/>
              <w:bottom w:val="nil"/>
              <w:right w:val="nil"/>
            </w:tcBorders>
          </w:tcPr>
          <w:p w:rsidR="00D20070" w:rsidRPr="001A4499" w:rsidRDefault="00D20070"/>
        </w:tc>
        <w:tc>
          <w:tcPr>
            <w:tcW w:w="4876" w:type="dxa"/>
            <w:tcBorders>
              <w:top w:val="nil"/>
              <w:left w:val="nil"/>
              <w:bottom w:val="nil"/>
              <w:right w:val="nil"/>
            </w:tcBorders>
            <w:hideMark/>
          </w:tcPr>
          <w:p w:rsidR="00D20070" w:rsidRPr="001A4499" w:rsidRDefault="00FF5B9D">
            <w:pPr>
              <w:pStyle w:val="Normal6a"/>
            </w:pPr>
            <w:r w:rsidRPr="001A4499">
              <w:rPr>
                <w:b/>
                <w:i/>
                <w:vertAlign w:val="superscript"/>
              </w:rPr>
              <w:t>1 bis</w:t>
            </w:r>
            <w:r w:rsidRPr="001A4499">
              <w:t xml:space="preserve"> </w:t>
            </w:r>
            <w:r w:rsidRPr="001A4499">
              <w:rPr>
                <w:b/>
                <w:i/>
              </w:rPr>
              <w:t xml:space="preserve">Commissione europea, 15.7.2020 – Comunicazione su un Piano d'azione, </w:t>
            </w:r>
            <w:r w:rsidRPr="001A4499">
              <w:rPr>
                <w:b/>
                <w:i/>
              </w:rPr>
              <w:lastRenderedPageBreak/>
              <w:t>pag. 6</w:t>
            </w:r>
          </w:p>
        </w:tc>
      </w:tr>
    </w:tbl>
    <w:p w:rsidR="00D20070" w:rsidRPr="001A4499" w:rsidRDefault="00FF5B9D" w:rsidP="00D20070">
      <w:pPr>
        <w:pStyle w:val="AmOrLang"/>
        <w:rPr>
          <w:lang w:eastAsia="en-US"/>
        </w:rPr>
      </w:pPr>
      <w:r w:rsidRPr="001A4499">
        <w:lastRenderedPageBreak/>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62</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Michalis Hadjipantela</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3 ter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3 ter.</w:t>
            </w:r>
            <w:r w:rsidRPr="001A4499">
              <w:tab/>
            </w:r>
            <w:r w:rsidRPr="001A4499">
              <w:rPr>
                <w:b/>
                <w:i/>
              </w:rPr>
              <w:t>accoglie con favore la relazione Letta e il riferimento a un ventottesimo regime volontario che punterà ad attrarre e a trattenere start-up innovative nell'Unione europea; sottolinea che il regime dovrebbe ridurre i costi di conformità, promuovere gli inve</w:t>
            </w:r>
            <w:r w:rsidRPr="001A4499">
              <w:rPr>
                <w:b/>
                <w:i/>
              </w:rPr>
              <w:t>stimenti transfrontalieri e prevedere norme fiscali interessanti, semplici e che riducano al minimo le distorsioni, mantenendo nel contempo il contrasto all'evasione fiscale; sottolinea che il rispetto di tali principi è fondamentale per fare dell'UE un po</w:t>
            </w:r>
            <w:r w:rsidRPr="001A4499">
              <w:rPr>
                <w:b/>
                <w:i/>
              </w:rPr>
              <w:t>lo di primo piano per gli investimenti e l'innovazione;</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63</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Markus Ferber</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3 ter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3 ter.</w:t>
            </w:r>
            <w:r w:rsidRPr="001A4499">
              <w:tab/>
            </w:r>
            <w:r w:rsidRPr="001A4499">
              <w:rPr>
                <w:b/>
                <w:i/>
              </w:rPr>
              <w:t>osserva che l'armonizzazione della base imponibile potrebbe ridurre i costi della conformità fiscale per le PMI che operano in più di uno Stato membro e quindi sostenere anche l'integrazione del mercato unico;</w:t>
            </w:r>
          </w:p>
        </w:tc>
      </w:tr>
    </w:tbl>
    <w:p w:rsidR="00D20070" w:rsidRPr="001A4499" w:rsidRDefault="00FF5B9D" w:rsidP="00D20070">
      <w:pPr>
        <w:pStyle w:val="AmOrLang"/>
        <w:rPr>
          <w:lang w:eastAsia="en-US"/>
        </w:rPr>
      </w:pPr>
      <w:r w:rsidRPr="001A4499">
        <w:lastRenderedPageBreak/>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64</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Michalis Hadjipantela</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3 quater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3 quater.</w:t>
            </w:r>
            <w:r w:rsidRPr="001A4499">
              <w:tab/>
            </w:r>
            <w:r w:rsidRPr="001A4499">
              <w:rPr>
                <w:b/>
                <w:i/>
              </w:rPr>
              <w:t xml:space="preserve">accoglie con favore le proposte di tassazione settoriali della relazione Draghi, in particolare la proposta di ridurre le imposte sull'energia e introdurre un quadro per garantire che i sovrapprezzi non comportino costi energetici eccessivi per le imprese </w:t>
            </w:r>
            <w:r w:rsidRPr="001A4499">
              <w:rPr>
                <w:b/>
                <w:i/>
              </w:rPr>
              <w:t>e le famiglie;</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65</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Michalis Hadjipantela</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3 quinquies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3 quinquies.</w:t>
            </w:r>
            <w:r w:rsidRPr="001A4499">
              <w:tab/>
            </w:r>
            <w:r w:rsidRPr="001A4499">
              <w:rPr>
                <w:b/>
                <w:i/>
              </w:rPr>
              <w:t xml:space="preserve">prende atto della riflessione informale dei ministri delle Finanze dell'UE del gennaio 2025 sugli elevati prezzi dell'energia e sulla sua priorità; </w:t>
            </w:r>
            <w:r w:rsidRPr="001A4499">
              <w:rPr>
                <w:b/>
                <w:i/>
              </w:rPr>
              <w:t>sostiene la bussola per la competitività della Commissione, riconoscendo che alcune delle componenti di costo dei prezzi dell'energia possono essere attenuate a breve termine; deplora la situazione di stallo del Consiglio nella revisione della direttiva su</w:t>
            </w:r>
            <w:r w:rsidRPr="001A4499">
              <w:rPr>
                <w:b/>
                <w:i/>
              </w:rPr>
              <w:t xml:space="preserve">lla tassazione dei prodotti energetici e sottolinea l'importanza di bilanciare gli obiettivi climatici con le attuali realtà economiche e i prezzi elevati dell'energia, nonché le </w:t>
            </w:r>
            <w:r w:rsidRPr="001A4499">
              <w:rPr>
                <w:b/>
                <w:i/>
              </w:rPr>
              <w:lastRenderedPageBreak/>
              <w:t>esigenze di connettività;</w:t>
            </w:r>
          </w:p>
        </w:tc>
      </w:tr>
    </w:tbl>
    <w:p w:rsidR="00D20070" w:rsidRPr="001A4499" w:rsidRDefault="00FF5B9D" w:rsidP="00D20070">
      <w:pPr>
        <w:pStyle w:val="AmOrLang"/>
        <w:rPr>
          <w:lang w:eastAsia="en-US"/>
        </w:rPr>
      </w:pPr>
      <w:r w:rsidRPr="001A4499">
        <w:lastRenderedPageBreak/>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A76F36" w:rsidRPr="001A4499" w:rsidRDefault="00FF5B9D" w:rsidP="00A76F36">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66</w:t>
      </w:r>
      <w:r w:rsidRPr="001A4499">
        <w:rPr>
          <w:rStyle w:val="HideTWBExt"/>
          <w:color w:val="auto"/>
        </w:rPr>
        <w:t>&lt;/NumAm&gt;</w:t>
      </w:r>
    </w:p>
    <w:p w:rsidR="00A76F36" w:rsidRPr="001A4499" w:rsidRDefault="00FF5B9D" w:rsidP="00A76F36">
      <w:pPr>
        <w:pStyle w:val="NormalBold"/>
      </w:pPr>
      <w:r w:rsidRPr="001A4499">
        <w:rPr>
          <w:rStyle w:val="HideTWBExt"/>
          <w:b w:val="0"/>
          <w:color w:val="auto"/>
        </w:rPr>
        <w:t>&lt;RepeatBlock-By&gt;&lt;Members&gt;</w:t>
      </w:r>
      <w:r w:rsidRPr="001A4499">
        <w:t>Niels Fuglsang, Matthias Ecke, Bruno Gonçalves, Evelyn Regner</w:t>
      </w:r>
      <w:r w:rsidRPr="001A4499">
        <w:rPr>
          <w:rStyle w:val="HideTWBExt"/>
          <w:b w:val="0"/>
          <w:color w:val="auto"/>
        </w:rPr>
        <w:t>&lt;/Members&gt;</w:t>
      </w:r>
    </w:p>
    <w:p w:rsidR="00A76F36" w:rsidRPr="001A4499" w:rsidRDefault="00FF5B9D" w:rsidP="00A76F36">
      <w:pPr>
        <w:pStyle w:val="NormalBold"/>
      </w:pPr>
      <w:r w:rsidRPr="001A4499">
        <w:rPr>
          <w:rStyle w:val="HideTWBExt"/>
          <w:b w:val="0"/>
          <w:color w:val="auto"/>
        </w:rPr>
        <w:t>&lt;/RepeatBlock-By&gt;</w:t>
      </w:r>
    </w:p>
    <w:p w:rsidR="00A76F36" w:rsidRPr="001A4499" w:rsidRDefault="00FF5B9D" w:rsidP="00A76F36">
      <w:pPr>
        <w:pStyle w:val="NormalBold"/>
      </w:pPr>
      <w:r w:rsidRPr="001A4499">
        <w:rPr>
          <w:rStyle w:val="HideTWBExt"/>
          <w:color w:val="auto"/>
        </w:rPr>
        <w:t>&lt;DocAmend&gt;</w:t>
      </w:r>
      <w:r w:rsidRPr="001A4499">
        <w:t>Proposta di risoluzione</w:t>
      </w:r>
      <w:r w:rsidRPr="001A4499">
        <w:rPr>
          <w:rStyle w:val="HideTWBExt"/>
          <w:color w:val="auto"/>
        </w:rPr>
        <w:t>&lt;/DocAmend&gt;</w:t>
      </w:r>
    </w:p>
    <w:p w:rsidR="00A76F36" w:rsidRPr="001A4499" w:rsidRDefault="00FF5B9D" w:rsidP="00A76F36">
      <w:pPr>
        <w:pStyle w:val="NormalBold"/>
      </w:pPr>
      <w:r w:rsidRPr="001A4499">
        <w:rPr>
          <w:rStyle w:val="HideTWBExt"/>
          <w:color w:val="auto"/>
        </w:rPr>
        <w:t>&lt;Article&gt;</w:t>
      </w:r>
      <w:r w:rsidRPr="001A4499">
        <w:t xml:space="preserve"> Paragrafo -4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CC2762">
        <w:trPr>
          <w:trHeight w:val="240"/>
          <w:jc w:val="center"/>
        </w:trPr>
        <w:tc>
          <w:tcPr>
            <w:tcW w:w="9752" w:type="dxa"/>
            <w:gridSpan w:val="2"/>
            <w:tcBorders>
              <w:top w:val="nil"/>
              <w:left w:val="nil"/>
              <w:bottom w:val="nil"/>
              <w:right w:val="nil"/>
            </w:tcBorders>
          </w:tcPr>
          <w:p w:rsidR="00A76F36" w:rsidRPr="001A4499" w:rsidRDefault="00A76F36" w:rsidP="00CC2762"/>
        </w:tc>
      </w:tr>
      <w:tr w:rsidR="001A4499" w:rsidRPr="001A4499" w:rsidTr="00CC2762">
        <w:trPr>
          <w:trHeight w:val="240"/>
          <w:jc w:val="center"/>
        </w:trPr>
        <w:tc>
          <w:tcPr>
            <w:tcW w:w="4876" w:type="dxa"/>
            <w:tcBorders>
              <w:top w:val="nil"/>
              <w:left w:val="nil"/>
              <w:bottom w:val="nil"/>
              <w:right w:val="nil"/>
            </w:tcBorders>
            <w:hideMark/>
          </w:tcPr>
          <w:p w:rsidR="00A76F36" w:rsidRPr="001A4499" w:rsidRDefault="00FF5B9D" w:rsidP="00CC2762">
            <w:pPr>
              <w:pStyle w:val="AmColumnHeading"/>
            </w:pPr>
            <w:r w:rsidRPr="001A4499">
              <w:t>Proposta di risoluzione</w:t>
            </w:r>
          </w:p>
        </w:tc>
        <w:tc>
          <w:tcPr>
            <w:tcW w:w="4876" w:type="dxa"/>
            <w:tcBorders>
              <w:top w:val="nil"/>
              <w:left w:val="nil"/>
              <w:bottom w:val="nil"/>
              <w:right w:val="nil"/>
            </w:tcBorders>
            <w:hideMark/>
          </w:tcPr>
          <w:p w:rsidR="00A76F36" w:rsidRPr="001A4499" w:rsidRDefault="00FF5B9D" w:rsidP="00CC2762">
            <w:pPr>
              <w:pStyle w:val="AmColumnHeading"/>
            </w:pPr>
            <w:r w:rsidRPr="001A4499">
              <w:t>Emendamento</w:t>
            </w:r>
          </w:p>
        </w:tc>
      </w:tr>
      <w:tr w:rsidR="001A4499" w:rsidRPr="001A4499" w:rsidTr="00CC2762">
        <w:trPr>
          <w:jc w:val="center"/>
        </w:trPr>
        <w:tc>
          <w:tcPr>
            <w:tcW w:w="4876" w:type="dxa"/>
            <w:tcBorders>
              <w:top w:val="nil"/>
              <w:left w:val="nil"/>
              <w:bottom w:val="nil"/>
              <w:right w:val="nil"/>
            </w:tcBorders>
          </w:tcPr>
          <w:p w:rsidR="00A76F36" w:rsidRPr="001A4499" w:rsidRDefault="00A76F36" w:rsidP="00CC2762">
            <w:pPr>
              <w:pStyle w:val="Normal6a"/>
            </w:pPr>
          </w:p>
        </w:tc>
        <w:tc>
          <w:tcPr>
            <w:tcW w:w="4876" w:type="dxa"/>
            <w:tcBorders>
              <w:top w:val="nil"/>
              <w:left w:val="nil"/>
              <w:bottom w:val="nil"/>
              <w:right w:val="nil"/>
            </w:tcBorders>
            <w:hideMark/>
          </w:tcPr>
          <w:p w:rsidR="00A76F36" w:rsidRPr="001A4499" w:rsidRDefault="00FF5B9D" w:rsidP="00A76F36">
            <w:pPr>
              <w:pStyle w:val="Normal6a"/>
            </w:pPr>
            <w:r w:rsidRPr="001A4499">
              <w:rPr>
                <w:b/>
                <w:i/>
              </w:rPr>
              <w:t>4.</w:t>
            </w:r>
            <w:r w:rsidRPr="001A4499">
              <w:tab/>
            </w:r>
            <w:r w:rsidRPr="001A4499">
              <w:rPr>
                <w:b/>
                <w:i/>
              </w:rPr>
              <w:t>sottolinea che la competitività è un termine ampio che si riferisce al tasso di produttività in grado di guidare la crescita sostenibile e, di conseguenza, il reddito e il benessere per tutti; sottolinea che un'econ</w:t>
            </w:r>
            <w:r w:rsidRPr="001A4499">
              <w:rPr>
                <w:b/>
                <w:i/>
              </w:rPr>
              <w:t>omia competitiva non è meramente favorevole alle imprese, ma è piuttosto un'economia che offre elevati livelli di occupazione e benessere sociale, capacità di innovazione, adeguate opportunità e infrastrutture educative e solide istituzioni e norme in mate</w:t>
            </w:r>
            <w:r w:rsidRPr="001A4499">
              <w:rPr>
                <w:b/>
                <w:i/>
              </w:rPr>
              <w:t>ria di Stato di diritto; riconosce che una tassazione efficiente, efficace ed equa, che comprende misure volte a frenare la concorrenza fiscale dannosa e una corsa al ribasso, è fondamentale per generare le risorse pubbliche necessarie per investimenti pub</w:t>
            </w:r>
            <w:r w:rsidRPr="001A4499">
              <w:rPr>
                <w:b/>
                <w:i/>
              </w:rPr>
              <w:t>blici sostenuti che rafforzeranno la competitività, la coesione sociale ed economica e la crescita dell'UE;</w:t>
            </w:r>
          </w:p>
        </w:tc>
      </w:tr>
    </w:tbl>
    <w:p w:rsidR="00A76F36" w:rsidRPr="001A4499" w:rsidRDefault="00FF5B9D" w:rsidP="00A76F36">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A76F36" w:rsidRPr="001A4499" w:rsidRDefault="00FF5B9D" w:rsidP="00A76F36">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67</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Fernand Kartheiser</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4</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lastRenderedPageBreak/>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4.</w:t>
            </w:r>
            <w:r w:rsidRPr="001A4499">
              <w:tab/>
              <w:t xml:space="preserve">accoglie con favore le conclusioni del Consiglio europeo sul nuovo patto per la competitività europea; </w:t>
            </w:r>
            <w:r w:rsidRPr="001A4499">
              <w:rPr>
                <w:b/>
                <w:i/>
              </w:rPr>
              <w:t>deplora, a tale proposito, il fatto che il settore dell'imposizione fiscale non sia stato incluso tra i fattori chiave per il miglioramento della competitività dell'Europa; chiede una migliore cooperazione in materia fiscale all'interno dell'UE, che riduca</w:t>
            </w:r>
            <w:r w:rsidRPr="001A4499">
              <w:rPr>
                <w:b/>
                <w:i/>
              </w:rPr>
              <w:t xml:space="preserve"> la frammentazione e la complessità e, nel contempo, promuova una maggiore cooperazione e fiducia tra gli Stati membri allo scopo di rafforzare la competitività dell'economia europea;</w:t>
            </w:r>
          </w:p>
        </w:tc>
        <w:tc>
          <w:tcPr>
            <w:tcW w:w="4876" w:type="dxa"/>
            <w:tcBorders>
              <w:top w:val="nil"/>
              <w:left w:val="nil"/>
              <w:bottom w:val="nil"/>
              <w:right w:val="nil"/>
            </w:tcBorders>
            <w:hideMark/>
          </w:tcPr>
          <w:p w:rsidR="00D20070" w:rsidRPr="001A4499" w:rsidRDefault="00FF5B9D">
            <w:pPr>
              <w:pStyle w:val="Normal6a"/>
            </w:pPr>
            <w:r w:rsidRPr="001A4499">
              <w:t>4.</w:t>
            </w:r>
            <w:r w:rsidRPr="001A4499">
              <w:tab/>
              <w:t>accoglie con favore le conclusioni del Consiglio europeo sul nuovo pa</w:t>
            </w:r>
            <w:r w:rsidRPr="001A4499">
              <w:t>tto per la competitività europea;</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68</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Roberts Zīle</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4</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4.</w:t>
            </w:r>
            <w:r w:rsidRPr="001A4499">
              <w:tab/>
              <w:t>accoglie con favore le conclusioni del Consiglio europeo sul nuovo patto per la competitività europea</w:t>
            </w:r>
            <w:r w:rsidRPr="001A4499">
              <w:rPr>
                <w:b/>
                <w:i/>
              </w:rPr>
              <w:t xml:space="preserve">; </w:t>
            </w:r>
            <w:r w:rsidRPr="001A4499">
              <w:rPr>
                <w:b/>
                <w:i/>
              </w:rPr>
              <w:t>deplora, a tale proposito, il fatto che il settore dell'imposizione fiscale non sia stato incluso tra i fattori chiave per il miglioramento della competitività dell'Europa</w:t>
            </w:r>
            <w:r w:rsidRPr="001A4499">
              <w:t>; chiede una migliore cooperazione in materia fiscale all'interno dell'UE, che riduca</w:t>
            </w:r>
            <w:r w:rsidRPr="001A4499">
              <w:t xml:space="preserve"> la frammentazione e la complessità e, nel contempo, promuova una maggiore cooperazione e fiducia tra gli Stati membri allo scopo di rafforzare la competitività dell'economia europea;</w:t>
            </w:r>
          </w:p>
        </w:tc>
        <w:tc>
          <w:tcPr>
            <w:tcW w:w="4876" w:type="dxa"/>
            <w:tcBorders>
              <w:top w:val="nil"/>
              <w:left w:val="nil"/>
              <w:bottom w:val="nil"/>
              <w:right w:val="nil"/>
            </w:tcBorders>
            <w:hideMark/>
          </w:tcPr>
          <w:p w:rsidR="00D20070" w:rsidRPr="001A4499" w:rsidRDefault="00FF5B9D">
            <w:pPr>
              <w:pStyle w:val="Normal6a"/>
            </w:pPr>
            <w:r w:rsidRPr="001A4499">
              <w:t>4.</w:t>
            </w:r>
            <w:r w:rsidRPr="001A4499">
              <w:tab/>
              <w:t>accoglie con favore le conclusioni del Consiglio europeo sul nuovo pa</w:t>
            </w:r>
            <w:r w:rsidRPr="001A4499">
              <w:t>tto per la competitività europea; chiede una migliore cooperazione in materia fiscale all'interno dell'UE, che riduca la frammentazione e la complessità e, nel contempo, promuova una maggiore cooperazione e fiducia tra gli Stati membri allo scopo di raffor</w:t>
            </w:r>
            <w:r w:rsidRPr="001A4499">
              <w:t>zare la competitività dell'economia europea;</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lastRenderedPageBreak/>
        <w:t>&lt;Amend&gt;</w:t>
      </w:r>
      <w:r w:rsidRPr="001A4499">
        <w:t>Emendamento</w:t>
      </w:r>
      <w:r w:rsidRPr="001A4499">
        <w:tab/>
      </w:r>
      <w:r w:rsidRPr="001A4499">
        <w:tab/>
      </w:r>
      <w:r w:rsidRPr="001A4499">
        <w:rPr>
          <w:rStyle w:val="HideTWBExt"/>
          <w:color w:val="auto"/>
        </w:rPr>
        <w:t>&lt;NumAm&gt;</w:t>
      </w:r>
      <w:r w:rsidRPr="001A4499">
        <w:t>69</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Pierre Pimpie, Enikő Győri, Jorge Martín Frías</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4</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4.</w:t>
            </w:r>
            <w:r w:rsidRPr="001A4499">
              <w:tab/>
              <w:t>accoglie con favore le conclusioni del Consiglio europeo sul nuovo patto per la competitività europea;</w:t>
            </w:r>
            <w:r w:rsidRPr="001A4499">
              <w:rPr>
                <w:b/>
                <w:i/>
              </w:rPr>
              <w:t xml:space="preserve"> </w:t>
            </w:r>
            <w:r w:rsidRPr="001A4499">
              <w:rPr>
                <w:b/>
                <w:i/>
              </w:rPr>
              <w:t>deplora, a tale proposito, il fatto che il settore dell'imposizione fiscale non sia stato incluso tra i fattori chiave per il miglioramento della competitività dell'Europa; chiede una migliore</w:t>
            </w:r>
            <w:r w:rsidRPr="001A4499">
              <w:t xml:space="preserve"> cooperazione in materia fiscale </w:t>
            </w:r>
            <w:r w:rsidRPr="001A4499">
              <w:rPr>
                <w:b/>
                <w:i/>
              </w:rPr>
              <w:t>all'interno dell'UE, che riduca</w:t>
            </w:r>
            <w:r w:rsidRPr="001A4499">
              <w:rPr>
                <w:b/>
                <w:i/>
              </w:rPr>
              <w:t xml:space="preserve"> la frammentazione e la complessità e, nel contempo, promuova una maggiore cooperazione e fiducia tra gli Stati membri allo scopo di rafforzare la competitività dell'economia europea</w:t>
            </w:r>
            <w:r w:rsidRPr="001A4499">
              <w:t>;</w:t>
            </w:r>
          </w:p>
        </w:tc>
        <w:tc>
          <w:tcPr>
            <w:tcW w:w="4876" w:type="dxa"/>
            <w:tcBorders>
              <w:top w:val="nil"/>
              <w:left w:val="nil"/>
              <w:bottom w:val="nil"/>
              <w:right w:val="nil"/>
            </w:tcBorders>
            <w:hideMark/>
          </w:tcPr>
          <w:p w:rsidR="00D20070" w:rsidRPr="001A4499" w:rsidRDefault="00FF5B9D">
            <w:pPr>
              <w:pStyle w:val="Normal6a"/>
            </w:pPr>
            <w:r w:rsidRPr="001A4499">
              <w:t>4.</w:t>
            </w:r>
            <w:r w:rsidRPr="001A4499">
              <w:tab/>
              <w:t>accoglie con favore le conclusioni del Consiglio europeo sul nuovo pa</w:t>
            </w:r>
            <w:r w:rsidRPr="001A4499">
              <w:t>tto per la competitività europea;</w:t>
            </w:r>
            <w:r w:rsidRPr="001A4499">
              <w:rPr>
                <w:b/>
                <w:i/>
              </w:rPr>
              <w:t xml:space="preserve"> sostiene forme volontarie di</w:t>
            </w:r>
            <w:r w:rsidRPr="001A4499">
              <w:t xml:space="preserve"> cooperazione in materia fiscale</w:t>
            </w:r>
            <w:r w:rsidRPr="001A4499">
              <w:rPr>
                <w:b/>
                <w:i/>
              </w:rPr>
              <w:t>, volte a ridurre gli oneri amministrativi e ad agevolare le attività transfrontaliere, in particolare per le PMI, senza imporre un'armonizzazione</w:t>
            </w:r>
            <w:r w:rsidRPr="001A4499">
              <w:t>;</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70</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Michalis Hadjipantela</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4</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4.</w:t>
            </w:r>
            <w:r w:rsidRPr="001A4499">
              <w:tab/>
              <w:t>accoglie con favore le conclusioni del Consiglio europeo sul nuovo patto per la competitività europea; deplora, a tale proposito, il fatto che il settore dell'imposizione fiscale non sia stato incluso tra i fattori chiave per il miglioramen</w:t>
            </w:r>
            <w:r w:rsidRPr="001A4499">
              <w:t xml:space="preserve">to della competitività dell'Europa; chiede una migliore cooperazione in materia fiscale all'interno dell'UE, che riduca la frammentazione e la complessità e, nel contempo, promuova una maggiore cooperazione e fiducia tra gli Stati membri </w:t>
            </w:r>
            <w:r w:rsidRPr="001A4499">
              <w:rPr>
                <w:b/>
                <w:bCs/>
                <w:i/>
                <w:iCs/>
              </w:rPr>
              <w:t>allo scopo di</w:t>
            </w:r>
            <w:r w:rsidRPr="001A4499">
              <w:t xml:space="preserve"> raff</w:t>
            </w:r>
            <w:r w:rsidRPr="001A4499">
              <w:t xml:space="preserve">orzare la </w:t>
            </w:r>
            <w:r w:rsidRPr="001A4499">
              <w:lastRenderedPageBreak/>
              <w:t>competitività dell'economia europea;</w:t>
            </w:r>
          </w:p>
        </w:tc>
        <w:tc>
          <w:tcPr>
            <w:tcW w:w="4876" w:type="dxa"/>
            <w:tcBorders>
              <w:top w:val="nil"/>
              <w:left w:val="nil"/>
              <w:bottom w:val="nil"/>
              <w:right w:val="nil"/>
            </w:tcBorders>
            <w:hideMark/>
          </w:tcPr>
          <w:p w:rsidR="00D20070" w:rsidRPr="001A4499" w:rsidRDefault="00FF5B9D">
            <w:pPr>
              <w:pStyle w:val="Normal6a"/>
            </w:pPr>
            <w:r w:rsidRPr="001A4499">
              <w:lastRenderedPageBreak/>
              <w:t>4.</w:t>
            </w:r>
            <w:r w:rsidRPr="001A4499">
              <w:tab/>
              <w:t>accoglie con favore le conclusioni del Consiglio europeo sul nuovo patto per la competitività europea; deplora, a tale proposito, il fatto che il settore dell'imposizione fiscale non sia stato incluso tra i</w:t>
            </w:r>
            <w:r w:rsidRPr="001A4499">
              <w:t xml:space="preserve"> fattori chiave per il miglioramento della competitività dell'Europa; chiede una migliore cooperazione in materia fiscale all'interno dell'UE, che riduca la frammentazione e la complessità e, nel contempo, promuova una maggiore cooperazione e fiducia tra g</w:t>
            </w:r>
            <w:r w:rsidRPr="001A4499">
              <w:t xml:space="preserve">li Stati membri </w:t>
            </w:r>
            <w:r w:rsidRPr="001A4499">
              <w:rPr>
                <w:b/>
                <w:i/>
              </w:rPr>
              <w:t xml:space="preserve">in quanto ciò è essenziale </w:t>
            </w:r>
            <w:r w:rsidRPr="001A4499">
              <w:rPr>
                <w:b/>
                <w:i/>
              </w:rPr>
              <w:lastRenderedPageBreak/>
              <w:t>per sostenere l'Unione del risparmio e degli investimenti e dunque</w:t>
            </w:r>
            <w:r w:rsidRPr="001A4499">
              <w:t xml:space="preserve"> rafforzare la competitività dell'economia europea;</w:t>
            </w:r>
          </w:p>
        </w:tc>
      </w:tr>
    </w:tbl>
    <w:p w:rsidR="00D20070" w:rsidRPr="001A4499" w:rsidRDefault="00FF5B9D" w:rsidP="00D20070">
      <w:pPr>
        <w:pStyle w:val="AmOrLang"/>
        <w:rPr>
          <w:lang w:eastAsia="en-US"/>
        </w:rPr>
      </w:pPr>
      <w:r w:rsidRPr="001A4499">
        <w:lastRenderedPageBreak/>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71</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Fernando Navarrete Rojas</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4</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4.</w:t>
            </w:r>
            <w:r w:rsidRPr="001A4499">
              <w:tab/>
            </w:r>
            <w:r w:rsidRPr="001A4499">
              <w:t>accoglie con favore le conclusioni del Consiglio europeo sul nuovo patto per la competitività europea; deplora, a tale proposito, il fatto che il settore dell'imposizione fiscale non sia stato incluso tra i fattori chiave per il miglioramento della competi</w:t>
            </w:r>
            <w:r w:rsidRPr="001A4499">
              <w:t>tività dell'Europa; chiede una migliore cooperazione in materia fiscale all'interno dell'UE, che riduca la frammentazione e la complessità e, nel contempo, promuova una maggiore cooperazione e fiducia tra gli Stati membri allo scopo di rafforzare la compet</w:t>
            </w:r>
            <w:r w:rsidRPr="001A4499">
              <w:t>itività dell'economia europea;</w:t>
            </w:r>
          </w:p>
        </w:tc>
        <w:tc>
          <w:tcPr>
            <w:tcW w:w="4876" w:type="dxa"/>
            <w:tcBorders>
              <w:top w:val="nil"/>
              <w:left w:val="nil"/>
              <w:bottom w:val="nil"/>
              <w:right w:val="nil"/>
            </w:tcBorders>
            <w:hideMark/>
          </w:tcPr>
          <w:p w:rsidR="00D20070" w:rsidRPr="001A4499" w:rsidRDefault="00FF5B9D">
            <w:pPr>
              <w:pStyle w:val="Normal6a"/>
            </w:pPr>
            <w:r w:rsidRPr="001A4499">
              <w:t>4.</w:t>
            </w:r>
            <w:r w:rsidRPr="001A4499">
              <w:tab/>
              <w:t xml:space="preserve">accoglie con favore le conclusioni del Consiglio europeo sul nuovo patto per la competitività europea; deplora, a tale proposito, il fatto che il settore dell'imposizione fiscale non sia stato incluso tra i fattori chiave </w:t>
            </w:r>
            <w:r w:rsidRPr="001A4499">
              <w:t xml:space="preserve">per il miglioramento della competitività dell'Europa; chiede una migliore cooperazione in materia fiscale all'interno dell'UE, che riduca la frammentazione e la complessità e, nel contempo, promuova una maggiore cooperazione e fiducia tra gli Stati membri </w:t>
            </w:r>
            <w:r w:rsidRPr="001A4499">
              <w:t xml:space="preserve">allo scopo di rafforzare la competitività dell'economia europea; </w:t>
            </w:r>
            <w:r w:rsidRPr="001A4499">
              <w:rPr>
                <w:b/>
                <w:i/>
              </w:rPr>
              <w:t>sottolinea, in tale contesto, l'importanza di garantire che gli incentivi fiscali rimangano coerenti con il quadro dell'UE in materia di aiuti di Stato; chiede una graduale eliminazione degli</w:t>
            </w:r>
            <w:r w:rsidRPr="001A4499">
              <w:rPr>
                <w:b/>
                <w:i/>
              </w:rPr>
              <w:t xml:space="preserve"> attuali quadri temporanei in materia di aiuti di Stato; invita la Commissione a valutare l'uso dei crediti d'imposta trasferibili come potenziale strumento per sostenere gli investimenti, a prendere in considerazione i limiti derivati dal secondo pilastro</w:t>
            </w:r>
            <w:r w:rsidRPr="001A4499">
              <w:rPr>
                <w:b/>
                <w:i/>
              </w:rPr>
              <w:t xml:space="preserve"> e a garantire condizioni di parità in tutto il mercato unico;</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lastRenderedPageBreak/>
        <w:t>&lt;Amend&gt;</w:t>
      </w:r>
      <w:r w:rsidRPr="001A4499">
        <w:t>Emendamento</w:t>
      </w:r>
      <w:r w:rsidRPr="001A4499">
        <w:tab/>
      </w:r>
      <w:r w:rsidRPr="001A4499">
        <w:tab/>
      </w:r>
      <w:r w:rsidRPr="001A4499">
        <w:rPr>
          <w:rStyle w:val="HideTWBExt"/>
          <w:color w:val="auto"/>
        </w:rPr>
        <w:t>&lt;NumAm&gt;</w:t>
      </w:r>
      <w:r w:rsidRPr="001A4499">
        <w:t>72</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Kira Marie Peter-Hansen</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4</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4.</w:t>
            </w:r>
            <w:r w:rsidRPr="001A4499">
              <w:tab/>
              <w:t xml:space="preserve">accoglie con favore le conclusioni del Consiglio europeo sul nuovo patto per la competitività europea; </w:t>
            </w:r>
            <w:r w:rsidRPr="001A4499">
              <w:t>deplora, a tale proposito, il fatto che il settore dell'imposizione fiscale non sia stato incluso tra i fattori chiave per il miglioramento della competitività dell'Europa; chiede una migliore cooperazione in materia fiscale all'interno dell'UE, che riduca</w:t>
            </w:r>
            <w:r w:rsidRPr="001A4499">
              <w:t xml:space="preserve"> la frammentazione e la complessità e, nel contempo, promuova una maggiore cooperazione e fiducia tra gli Stati membri allo scopo di rafforzare la competitività dell'economia europea;</w:t>
            </w:r>
          </w:p>
        </w:tc>
        <w:tc>
          <w:tcPr>
            <w:tcW w:w="4876" w:type="dxa"/>
            <w:tcBorders>
              <w:top w:val="nil"/>
              <w:left w:val="nil"/>
              <w:bottom w:val="nil"/>
              <w:right w:val="nil"/>
            </w:tcBorders>
            <w:hideMark/>
          </w:tcPr>
          <w:p w:rsidR="00D20070" w:rsidRPr="001A4499" w:rsidRDefault="00FF5B9D">
            <w:pPr>
              <w:pStyle w:val="Normal6a"/>
            </w:pPr>
            <w:r w:rsidRPr="001A4499">
              <w:t>4.</w:t>
            </w:r>
            <w:r w:rsidRPr="001A4499">
              <w:tab/>
              <w:t>accoglie con favore le conclusioni del Consiglio europeo sul nuovo pa</w:t>
            </w:r>
            <w:r w:rsidRPr="001A4499">
              <w:t>tto per la competitività europea; deplora, a tale proposito, il fatto che il settore dell'imposizione fiscale non sia stato incluso tra i fattori chiave per il miglioramento della competitività dell'Europa; chiede una migliore cooperazione in materia fisca</w:t>
            </w:r>
            <w:r w:rsidRPr="001A4499">
              <w:t xml:space="preserve">le all'interno dell'UE, che riduca la frammentazione e la complessità e, nel contempo, promuova una maggiore cooperazione e fiducia tra gli Stati membri allo scopo di rafforzare la competitività dell'economia europea; </w:t>
            </w:r>
            <w:r w:rsidRPr="001A4499">
              <w:rPr>
                <w:b/>
                <w:i/>
              </w:rPr>
              <w:t>invita gli Stati membri e la Commissio</w:t>
            </w:r>
            <w:r w:rsidRPr="001A4499">
              <w:rPr>
                <w:b/>
                <w:i/>
              </w:rPr>
              <w:t>ne a progredire più attivamente nelle questioni fiscali attraverso una cooperazione rafforzata o utilizzando l'articolo 116 TFUE come base giuridica;</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73</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Pasquale Tridico, Jussi Saramo, Manon Aubry</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4</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4.</w:t>
            </w:r>
            <w:r w:rsidRPr="001A4499">
              <w:tab/>
            </w:r>
            <w:r w:rsidRPr="001A4499">
              <w:t>accoglie con favore le conclusioni del Consiglio europeo sul nuovo patto per la competitività europea</w:t>
            </w:r>
            <w:r w:rsidRPr="001A4499">
              <w:rPr>
                <w:b/>
                <w:i/>
              </w:rPr>
              <w:t>; deplora, a tale proposito, il fatto che il settore dell'imposizione fiscale non sia stato incluso tra i fattori chiave per il miglioramento della competi</w:t>
            </w:r>
            <w:r w:rsidRPr="001A4499">
              <w:rPr>
                <w:b/>
                <w:i/>
              </w:rPr>
              <w:t>tività dell'Europa</w:t>
            </w:r>
            <w:r w:rsidRPr="001A4499">
              <w:t xml:space="preserve">; chiede una migliore </w:t>
            </w:r>
            <w:r w:rsidRPr="001A4499">
              <w:lastRenderedPageBreak/>
              <w:t>cooperazione in materia fiscale all'interno dell'UE, che riduca la frammentazione e la complessità e, nel contempo, promuova una maggiore cooperazione e fiducia tra gli Stati membri allo scopo di rafforzare la compet</w:t>
            </w:r>
            <w:r w:rsidRPr="001A4499">
              <w:t>itività dell'economia europea;</w:t>
            </w:r>
          </w:p>
        </w:tc>
        <w:tc>
          <w:tcPr>
            <w:tcW w:w="4876" w:type="dxa"/>
            <w:tcBorders>
              <w:top w:val="nil"/>
              <w:left w:val="nil"/>
              <w:bottom w:val="nil"/>
              <w:right w:val="nil"/>
            </w:tcBorders>
            <w:hideMark/>
          </w:tcPr>
          <w:p w:rsidR="00D20070" w:rsidRPr="001A4499" w:rsidRDefault="00FF5B9D">
            <w:pPr>
              <w:pStyle w:val="Normal6a"/>
            </w:pPr>
            <w:r w:rsidRPr="001A4499">
              <w:lastRenderedPageBreak/>
              <w:t>4.</w:t>
            </w:r>
            <w:r w:rsidRPr="001A4499">
              <w:tab/>
              <w:t xml:space="preserve">accoglie con favore le conclusioni del Consiglio europeo sul nuovo patto per la competitività europea; chiede una migliore cooperazione in materia fiscale all'interno dell'UE, che riduca la frammentazione e la complessità </w:t>
            </w:r>
            <w:r w:rsidRPr="001A4499">
              <w:t xml:space="preserve">e, nel contempo, promuova una maggiore cooperazione e fiducia tra gli Stati membri </w:t>
            </w:r>
            <w:r w:rsidRPr="001A4499">
              <w:lastRenderedPageBreak/>
              <w:t>allo scopo di rafforzare la competitività dell'economia europea;</w:t>
            </w:r>
          </w:p>
        </w:tc>
      </w:tr>
    </w:tbl>
    <w:p w:rsidR="00D20070" w:rsidRPr="001A4499" w:rsidRDefault="00FF5B9D" w:rsidP="00D20070">
      <w:pPr>
        <w:pStyle w:val="AmOrLang"/>
        <w:rPr>
          <w:lang w:eastAsia="en-US"/>
        </w:rPr>
      </w:pPr>
      <w:r w:rsidRPr="001A4499">
        <w:lastRenderedPageBreak/>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74</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Niels Fuglsang, Matthias Ecke, Bruno Gonçalves, Aurore Lalucq, Evelyn Regner</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4 bis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rsidP="00C47511">
            <w:pPr>
              <w:pStyle w:val="Normal6a"/>
            </w:pPr>
            <w:r w:rsidRPr="001A4499">
              <w:rPr>
                <w:b/>
                <w:i/>
              </w:rPr>
              <w:t>4 bis.</w:t>
            </w:r>
            <w:r w:rsidRPr="001A4499">
              <w:tab/>
            </w:r>
            <w:r w:rsidRPr="001A4499">
              <w:rPr>
                <w:b/>
                <w:i/>
              </w:rPr>
              <w:t xml:space="preserve">sottolinea, in particolare, che incentivi fiscali ben concepiti e giustificati possono essere uno strumento importante per sostenere le attività economiche che promuovono obiettivi pubblici, come la decarbonizzazione dell'economia; sottolinea tuttavia, la </w:t>
            </w:r>
            <w:r w:rsidRPr="001A4499">
              <w:rPr>
                <w:b/>
                <w:i/>
              </w:rPr>
              <w:t>proliferazione di incentivi fiscali non coordinati negli Stati membri ha contribuito alla complessità e alla frammentazione del sistema fiscale nell'Unione e rischia di produrre distorsioni significative nel mercato interno, insieme a opportunità di evasio</w:t>
            </w:r>
            <w:r w:rsidRPr="001A4499">
              <w:rPr>
                <w:b/>
                <w:i/>
              </w:rPr>
              <w:t>ne ed elusione fiscali;</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75</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Niels Fuglsang, Matthias Ecke, Bruno Gonçalves, Aurore Lalucq, Evelyn Regner</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4 ter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rsidP="00C47511">
            <w:pPr>
              <w:pStyle w:val="Normal6a"/>
            </w:pPr>
            <w:r w:rsidRPr="001A4499">
              <w:rPr>
                <w:b/>
                <w:i/>
              </w:rPr>
              <w:t>4 ter.</w:t>
            </w:r>
            <w:r w:rsidRPr="001A4499">
              <w:tab/>
            </w:r>
            <w:r w:rsidRPr="001A4499">
              <w:rPr>
                <w:b/>
                <w:i/>
              </w:rPr>
              <w:t>sottolinea pertanto che gli incentivi fiscali non dovrebbero essere solo compatibili con il trattato e con il margine di bilancio esistente, ma dovrebbero anche essere accompagnati da efficaci strumenti antiframmentazione per proteggere l'integrità del mer</w:t>
            </w:r>
            <w:r w:rsidRPr="001A4499">
              <w:rPr>
                <w:b/>
                <w:i/>
              </w:rPr>
              <w:t>cato unico, come raccomandato dalla Commissione</w:t>
            </w:r>
            <w:r w:rsidRPr="001A4499">
              <w:rPr>
                <w:b/>
                <w:i/>
                <w:vertAlign w:val="superscript"/>
              </w:rPr>
              <w:t>1 ter</w:t>
            </w:r>
            <w:r w:rsidRPr="001A4499">
              <w:rPr>
                <w:b/>
                <w:i/>
              </w:rPr>
              <w:t>; invita la Commissione a proporre un quadro globale dell'UE per quanto riguarda gli incentivi fiscali che possono essere messi in atto per soddisfare tali requisiti; accoglie con favore, a tale proposito</w:t>
            </w:r>
            <w:r w:rsidRPr="001A4499">
              <w:rPr>
                <w:b/>
                <w:i/>
              </w:rPr>
              <w:t>, l'intenzione della Commissione di pubblicare orientamenti sugli incentivi fiscali per garantire maggiori investimenti nell'ambito del patto per l’industria pulita, come primo passo;</w:t>
            </w:r>
          </w:p>
        </w:tc>
      </w:tr>
      <w:tr w:rsidR="001A4499" w:rsidRPr="001A4499" w:rsidTr="00D20070">
        <w:trPr>
          <w:jc w:val="center"/>
        </w:trPr>
        <w:tc>
          <w:tcPr>
            <w:tcW w:w="4876" w:type="dxa"/>
            <w:tcBorders>
              <w:top w:val="nil"/>
              <w:left w:val="nil"/>
              <w:bottom w:val="nil"/>
              <w:right w:val="nil"/>
            </w:tcBorders>
          </w:tcPr>
          <w:p w:rsidR="00D20070" w:rsidRPr="001A4499" w:rsidRDefault="00D20070"/>
        </w:tc>
        <w:tc>
          <w:tcPr>
            <w:tcW w:w="4876" w:type="dxa"/>
            <w:tcBorders>
              <w:top w:val="nil"/>
              <w:left w:val="nil"/>
              <w:bottom w:val="nil"/>
              <w:right w:val="nil"/>
            </w:tcBorders>
            <w:hideMark/>
          </w:tcPr>
          <w:p w:rsidR="00D20070" w:rsidRPr="001A4499" w:rsidRDefault="00FF5B9D">
            <w:pPr>
              <w:pStyle w:val="Normal6a"/>
            </w:pPr>
            <w:r w:rsidRPr="001A4499">
              <w:rPr>
                <w:b/>
                <w:i/>
              </w:rPr>
              <w:t>_________________</w:t>
            </w:r>
          </w:p>
        </w:tc>
      </w:tr>
      <w:tr w:rsidR="001A4499" w:rsidRPr="001A4499" w:rsidTr="00D20070">
        <w:trPr>
          <w:jc w:val="center"/>
        </w:trPr>
        <w:tc>
          <w:tcPr>
            <w:tcW w:w="4876" w:type="dxa"/>
            <w:tcBorders>
              <w:top w:val="nil"/>
              <w:left w:val="nil"/>
              <w:bottom w:val="nil"/>
              <w:right w:val="nil"/>
            </w:tcBorders>
          </w:tcPr>
          <w:p w:rsidR="00D20070" w:rsidRPr="001A4499" w:rsidRDefault="00D20070"/>
        </w:tc>
        <w:tc>
          <w:tcPr>
            <w:tcW w:w="4876" w:type="dxa"/>
            <w:tcBorders>
              <w:top w:val="nil"/>
              <w:left w:val="nil"/>
              <w:bottom w:val="nil"/>
              <w:right w:val="nil"/>
            </w:tcBorders>
            <w:hideMark/>
          </w:tcPr>
          <w:p w:rsidR="00D20070" w:rsidRPr="001A4499" w:rsidRDefault="00FF5B9D">
            <w:pPr>
              <w:pStyle w:val="Normal6a"/>
            </w:pPr>
            <w:r w:rsidRPr="001A4499">
              <w:rPr>
                <w:b/>
                <w:i/>
                <w:vertAlign w:val="superscript"/>
              </w:rPr>
              <w:t>1 ter</w:t>
            </w:r>
            <w:r w:rsidRPr="001A4499">
              <w:t xml:space="preserve"> </w:t>
            </w:r>
            <w:r w:rsidRPr="001A4499">
              <w:rPr>
                <w:b/>
                <w:i/>
              </w:rPr>
              <w:t xml:space="preserve">Commissione europea, relazione annuale sulla tassazione 2024, pag. 18. </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76</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Niels Fuglsang, Matthias Ecke, Bruno Gonçalves, Aurore Lalucq, Evelyn Regner</w:t>
      </w:r>
      <w:r w:rsidRPr="001A4499">
        <w:rPr>
          <w:rStyle w:val="HideTWBExt"/>
          <w:b w:val="0"/>
          <w:color w:val="auto"/>
        </w:rPr>
        <w:t>&lt;/M</w:t>
      </w:r>
      <w:r w:rsidRPr="001A4499">
        <w:rPr>
          <w:rStyle w:val="HideTWBExt"/>
          <w:b w:val="0"/>
          <w:color w:val="auto"/>
        </w:rPr>
        <w:t>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4 quater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rsidP="00C47511">
            <w:pPr>
              <w:pStyle w:val="Normal6a"/>
            </w:pPr>
            <w:r w:rsidRPr="001A4499">
              <w:rPr>
                <w:b/>
                <w:i/>
              </w:rPr>
              <w:t>4 quater.</w:t>
            </w:r>
            <w:r w:rsidRPr="001A4499">
              <w:tab/>
            </w:r>
            <w:r w:rsidRPr="001A4499">
              <w:rPr>
                <w:b/>
                <w:i/>
              </w:rPr>
              <w:t xml:space="preserve">invita la Commissione e gli Stati membri a concordare un quadro coordinato per promuovere ulteriormente la trasparenza, il monitoraggio e la valutazione della spesa fiscale negli Stati membri, al fine di garantire che essa produca gli obiettivi strategici </w:t>
            </w:r>
            <w:r w:rsidRPr="001A4499">
              <w:rPr>
                <w:b/>
                <w:i/>
              </w:rPr>
              <w:t xml:space="preserve">auspicati in linea con gli obiettivi e le priorità comuni dell'UE in modo efficace sotto il profilo dei costi, non abbia esternalità impreviste o negative sul mercato interno e non offra </w:t>
            </w:r>
            <w:r w:rsidRPr="001A4499">
              <w:rPr>
                <w:b/>
                <w:i/>
              </w:rPr>
              <w:lastRenderedPageBreak/>
              <w:t>opportunità di evasione fiscale e pianificazione fiscale aggressiva;</w:t>
            </w:r>
          </w:p>
        </w:tc>
      </w:tr>
    </w:tbl>
    <w:p w:rsidR="00D20070" w:rsidRPr="001A4499" w:rsidRDefault="00FF5B9D" w:rsidP="00D20070">
      <w:pPr>
        <w:pStyle w:val="AmOrLang"/>
        <w:rPr>
          <w:lang w:eastAsia="en-US"/>
        </w:rPr>
      </w:pPr>
      <w:r w:rsidRPr="001A4499">
        <w:lastRenderedPageBreak/>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77</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Kira Marie Peter-Hansen</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5</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5.</w:t>
            </w:r>
            <w:r w:rsidRPr="001A4499">
              <w:tab/>
            </w:r>
            <w:r w:rsidRPr="001A4499">
              <w:rPr>
                <w:b/>
                <w:i/>
              </w:rPr>
              <w:t>accoglie con favore le</w:t>
            </w:r>
            <w:r w:rsidRPr="001A4499">
              <w:t xml:space="preserve"> conclusioni del Consiglio su un programma di semplificazione e riordino fiscali; </w:t>
            </w:r>
            <w:r w:rsidRPr="001A4499">
              <w:rPr>
                <w:b/>
                <w:i/>
              </w:rPr>
              <w:t>sottolinea</w:t>
            </w:r>
            <w:r w:rsidRPr="001A4499">
              <w:t xml:space="preserve"> che in futuro le iniziative dell'UE in materia di imposizione fiscale </w:t>
            </w:r>
            <w:r w:rsidRPr="001A4499">
              <w:rPr>
                <w:b/>
                <w:i/>
              </w:rPr>
              <w:t>dovrebbero</w:t>
            </w:r>
            <w:r w:rsidRPr="001A4499">
              <w:t xml:space="preserve"> concentrarsi sulla s</w:t>
            </w:r>
            <w:r w:rsidRPr="001A4499">
              <w:t>emplificazione amministrativa, l'eliminazione (se del caso) delle norme fiscali che si sovrappongono, l'aumento della chiarezza e la razionalizzazione dell'applicazione delle norme fiscali;</w:t>
            </w:r>
          </w:p>
        </w:tc>
        <w:tc>
          <w:tcPr>
            <w:tcW w:w="4876" w:type="dxa"/>
            <w:tcBorders>
              <w:top w:val="nil"/>
              <w:left w:val="nil"/>
              <w:bottom w:val="nil"/>
              <w:right w:val="nil"/>
            </w:tcBorders>
            <w:hideMark/>
          </w:tcPr>
          <w:p w:rsidR="00D20070" w:rsidRPr="001A4499" w:rsidRDefault="00FF5B9D">
            <w:pPr>
              <w:pStyle w:val="Normal6a"/>
            </w:pPr>
            <w:r w:rsidRPr="001A4499">
              <w:t>5.</w:t>
            </w:r>
            <w:r w:rsidRPr="001A4499">
              <w:tab/>
            </w:r>
            <w:r w:rsidRPr="001A4499">
              <w:rPr>
                <w:b/>
                <w:i/>
              </w:rPr>
              <w:t>prende atto delle</w:t>
            </w:r>
            <w:r w:rsidRPr="001A4499">
              <w:t xml:space="preserve"> conclusioni del Consiglio su un programma di </w:t>
            </w:r>
            <w:r w:rsidRPr="001A4499">
              <w:t xml:space="preserve">semplificazione e riordino fiscali; </w:t>
            </w:r>
            <w:r w:rsidRPr="001A4499">
              <w:rPr>
                <w:b/>
                <w:i/>
              </w:rPr>
              <w:t>osserva</w:t>
            </w:r>
            <w:r w:rsidRPr="001A4499">
              <w:t xml:space="preserve"> che in futuro le iniziative dell'UE in materia di imposizione fiscale </w:t>
            </w:r>
            <w:r w:rsidRPr="001A4499">
              <w:rPr>
                <w:b/>
                <w:i/>
              </w:rPr>
              <w:t>potrebbero</w:t>
            </w:r>
            <w:r w:rsidRPr="001A4499">
              <w:t xml:space="preserve"> concentrarsi sulla semplificazione amministrativa, l'eliminazione (se del caso) delle norme fiscali che si sovrappongono, l'aumento</w:t>
            </w:r>
            <w:r w:rsidRPr="001A4499">
              <w:t xml:space="preserve"> della chiarezza e la razionalizzazione dell'applicazione delle norme fiscali; </w:t>
            </w:r>
            <w:r w:rsidRPr="001A4499">
              <w:rPr>
                <w:b/>
                <w:i/>
              </w:rPr>
              <w:t>sottolinea che la Commissione dovrebbe garantire una cooperazione più solida tra gli Stati membri e le amministrazioni fiscali per consentire un'interpretazione più coerente del</w:t>
            </w:r>
            <w:r w:rsidRPr="001A4499">
              <w:rPr>
                <w:b/>
                <w:i/>
              </w:rPr>
              <w:t>la legislazione in materia di imposte dirette e indirette; invita la Commissione e il Consiglio a prendere in considerazione l'istituzione di un'Agenzia fiscale europea, come richiesto da esponenti di spicco del mondo accademico</w:t>
            </w:r>
            <w:r w:rsidRPr="001A4499">
              <w:rPr>
                <w:b/>
                <w:i/>
                <w:vertAlign w:val="superscript"/>
              </w:rPr>
              <w:t>20 bis</w:t>
            </w:r>
            <w:r w:rsidRPr="001A4499">
              <w:rPr>
                <w:b/>
                <w:i/>
              </w:rPr>
              <w:t>;</w:t>
            </w:r>
          </w:p>
        </w:tc>
      </w:tr>
      <w:tr w:rsidR="001A4499" w:rsidRPr="001A4499" w:rsidTr="00D20070">
        <w:trPr>
          <w:jc w:val="center"/>
        </w:trPr>
        <w:tc>
          <w:tcPr>
            <w:tcW w:w="4876" w:type="dxa"/>
            <w:tcBorders>
              <w:top w:val="nil"/>
              <w:left w:val="nil"/>
              <w:bottom w:val="nil"/>
              <w:right w:val="nil"/>
            </w:tcBorders>
          </w:tcPr>
          <w:p w:rsidR="00D20070" w:rsidRPr="001A4499" w:rsidRDefault="00D20070"/>
        </w:tc>
        <w:tc>
          <w:tcPr>
            <w:tcW w:w="4876" w:type="dxa"/>
            <w:tcBorders>
              <w:top w:val="nil"/>
              <w:left w:val="nil"/>
              <w:bottom w:val="nil"/>
              <w:right w:val="nil"/>
            </w:tcBorders>
            <w:hideMark/>
          </w:tcPr>
          <w:p w:rsidR="00D20070" w:rsidRPr="001A4499" w:rsidRDefault="00FF5B9D">
            <w:pPr>
              <w:pStyle w:val="Normal6a"/>
            </w:pPr>
            <w:r w:rsidRPr="001A4499">
              <w:rPr>
                <w:b/>
                <w:i/>
              </w:rPr>
              <w:t>_________________</w:t>
            </w:r>
          </w:p>
        </w:tc>
      </w:tr>
      <w:tr w:rsidR="001A4499" w:rsidRPr="001A4499" w:rsidTr="00D20070">
        <w:trPr>
          <w:jc w:val="center"/>
        </w:trPr>
        <w:tc>
          <w:tcPr>
            <w:tcW w:w="4876" w:type="dxa"/>
            <w:tcBorders>
              <w:top w:val="nil"/>
              <w:left w:val="nil"/>
              <w:bottom w:val="nil"/>
              <w:right w:val="nil"/>
            </w:tcBorders>
          </w:tcPr>
          <w:p w:rsidR="00D20070" w:rsidRPr="001A4499" w:rsidRDefault="00D20070"/>
        </w:tc>
        <w:tc>
          <w:tcPr>
            <w:tcW w:w="4876" w:type="dxa"/>
            <w:tcBorders>
              <w:top w:val="nil"/>
              <w:left w:val="nil"/>
              <w:bottom w:val="nil"/>
              <w:right w:val="nil"/>
            </w:tcBorders>
            <w:hideMark/>
          </w:tcPr>
          <w:p w:rsidR="00D20070" w:rsidRPr="001A4499" w:rsidRDefault="00FF5B9D">
            <w:pPr>
              <w:pStyle w:val="Normal6a"/>
            </w:pPr>
            <w:r w:rsidRPr="001A4499">
              <w:rPr>
                <w:b/>
                <w:i/>
                <w:vertAlign w:val="superscript"/>
              </w:rPr>
              <w:t>20 bis</w:t>
            </w:r>
            <w:r w:rsidRPr="001A4499">
              <w:t xml:space="preserve"> </w:t>
            </w:r>
            <w:r w:rsidRPr="001A4499">
              <w:rPr>
                <w:b/>
                <w:i/>
              </w:rPr>
              <w:t>https://view.officeapps.live.com/op/view.aspx?src=https%3A%2F%2Fwww.politico.eu%2Fwp-content%2Fuploads%2F2024%2F01%2F25%2FEATC.UE-OpenLetter-5.12.23.docx&amp;wdOrigin=BROWSELINK</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lastRenderedPageBreak/>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78</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Fabio De Masi</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5</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5.</w:t>
            </w:r>
            <w:r w:rsidRPr="001A4499">
              <w:tab/>
            </w:r>
            <w:r w:rsidRPr="001A4499">
              <w:t>accoglie con favore le conclusioni del Consiglio su un programma di semplificazione e riordino fiscali; sottolinea che in futuro le iniziative dell'UE in materia di imposizione fiscale dovrebbero concentrarsi sulla semplificazione amministrativa, l'elimina</w:t>
            </w:r>
            <w:r w:rsidRPr="001A4499">
              <w:t>zione (se del caso) delle norme fiscali che si sovrappongono, l'aumento della chiarezza e la razionalizzazione dell'applicazione delle norme fiscali;</w:t>
            </w:r>
          </w:p>
        </w:tc>
        <w:tc>
          <w:tcPr>
            <w:tcW w:w="4876" w:type="dxa"/>
            <w:tcBorders>
              <w:top w:val="nil"/>
              <w:left w:val="nil"/>
              <w:bottom w:val="nil"/>
              <w:right w:val="nil"/>
            </w:tcBorders>
            <w:hideMark/>
          </w:tcPr>
          <w:p w:rsidR="00D20070" w:rsidRPr="001A4499" w:rsidRDefault="00FF5B9D">
            <w:pPr>
              <w:pStyle w:val="Normal6a"/>
            </w:pPr>
            <w:r w:rsidRPr="001A4499">
              <w:t>5.</w:t>
            </w:r>
            <w:r w:rsidRPr="001A4499">
              <w:tab/>
              <w:t>accoglie con favore le conclusioni del Consiglio su un programma di semplificazione e riordino fiscali;</w:t>
            </w:r>
            <w:r w:rsidRPr="001A4499">
              <w:t xml:space="preserve"> sottolinea che in futuro le iniziative dell'UE in materia di imposizione fiscale dovrebbero concentrarsi </w:t>
            </w:r>
            <w:r w:rsidRPr="001A4499">
              <w:rPr>
                <w:b/>
                <w:i/>
              </w:rPr>
              <w:t>sulla protezione delle PMI dalla concorrenza fiscale sleale delle multinazionali, proteggendo l'Europa dalle minacce alla democrazia derivanti dalla c</w:t>
            </w:r>
            <w:r w:rsidRPr="001A4499">
              <w:rPr>
                <w:b/>
                <w:i/>
              </w:rPr>
              <w:t>rescente concentrazione di ricchezza, potere tecnologico ed economico nelle mani di pochi oligarchi tecnologici, e concentrarsi altresì</w:t>
            </w:r>
            <w:r w:rsidRPr="001A4499">
              <w:t xml:space="preserve"> sulla semplificazione amministrativa, l'eliminazione (se del caso) delle norme fiscali che si sovrappongono, l'aumento d</w:t>
            </w:r>
            <w:r w:rsidRPr="001A4499">
              <w:t>ella chiarezza e la razionalizzazione dell'applicazione delle norme fiscali;</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79</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Niels Fuglsang, Matthias Ecke, Bruno Gonçalves, Aurore Lalucq, Evelyn Regn</w:t>
      </w:r>
      <w:r w:rsidRPr="001A4499">
        <w:t>er</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5</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5.</w:t>
            </w:r>
            <w:r w:rsidRPr="001A4499">
              <w:tab/>
              <w:t xml:space="preserve">accoglie con favore le conclusioni del Consiglio su un programma di semplificazione e riordino fiscali; </w:t>
            </w:r>
            <w:r w:rsidRPr="001A4499">
              <w:t xml:space="preserve">sottolinea che in futuro le iniziative dell'UE in materia di imposizione fiscale dovrebbero concentrarsi sulla semplificazione amministrativa, </w:t>
            </w:r>
            <w:r w:rsidRPr="001A4499">
              <w:lastRenderedPageBreak/>
              <w:t>l'eliminazione (se del caso) delle norme fiscali che si sovrappongono, l'aumento della chiarezza e la razionalizz</w:t>
            </w:r>
            <w:r w:rsidRPr="001A4499">
              <w:t>azione dell'applicazione delle norme fiscali;</w:t>
            </w:r>
          </w:p>
        </w:tc>
        <w:tc>
          <w:tcPr>
            <w:tcW w:w="4876" w:type="dxa"/>
            <w:tcBorders>
              <w:top w:val="nil"/>
              <w:left w:val="nil"/>
              <w:bottom w:val="nil"/>
              <w:right w:val="nil"/>
            </w:tcBorders>
            <w:hideMark/>
          </w:tcPr>
          <w:p w:rsidR="00D20070" w:rsidRPr="001A4499" w:rsidRDefault="00FF5B9D">
            <w:pPr>
              <w:pStyle w:val="Normal6a"/>
            </w:pPr>
            <w:r w:rsidRPr="001A4499">
              <w:lastRenderedPageBreak/>
              <w:t>5.</w:t>
            </w:r>
            <w:r w:rsidRPr="001A4499">
              <w:tab/>
              <w:t>accoglie con favore le conclusioni del Consiglio su un programma di semplificazione e riordino fiscali; sottolinea che in futuro le iniziative dell'UE in materia di imposizione fiscale dovrebbero concentrars</w:t>
            </w:r>
            <w:r w:rsidRPr="001A4499">
              <w:t xml:space="preserve">i sulla semplificazione amministrativa, </w:t>
            </w:r>
            <w:r w:rsidRPr="001A4499">
              <w:lastRenderedPageBreak/>
              <w:t>l'eliminazione (se del caso) delle norme fiscali che si sovrappongono, l'aumento della chiarezza e la razionalizzazione dell'applicazione delle norme fiscali</w:t>
            </w:r>
            <w:r w:rsidRPr="001A4499">
              <w:rPr>
                <w:b/>
                <w:i/>
              </w:rPr>
              <w:t>, ferma restando la necessità di armonizzare le norme fisca</w:t>
            </w:r>
            <w:r w:rsidRPr="001A4499">
              <w:rPr>
                <w:b/>
                <w:i/>
              </w:rPr>
              <w:t>li, ove ritenuto necessario, per eliminare le barriere nel mercato interno, rafforzare l'Unione dei mercati dei capitali e consentire all'Unione di sostenere la fornitura di beni comuni e investimenti pubblici</w:t>
            </w:r>
            <w:r w:rsidRPr="001A4499">
              <w:t>;</w:t>
            </w:r>
          </w:p>
        </w:tc>
      </w:tr>
    </w:tbl>
    <w:p w:rsidR="00D20070" w:rsidRPr="001A4499" w:rsidRDefault="00FF5B9D" w:rsidP="00D20070">
      <w:pPr>
        <w:pStyle w:val="AmOrLang"/>
        <w:rPr>
          <w:lang w:eastAsia="en-US"/>
        </w:rPr>
      </w:pPr>
      <w:r w:rsidRPr="001A4499">
        <w:lastRenderedPageBreak/>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w:t>
      </w:r>
      <w:r w:rsidRPr="001A4499">
        <w:rPr>
          <w:rStyle w:val="HideTWBExt"/>
          <w:color w:val="auto"/>
        </w:rPr>
        <w:t>end&gt;</w:t>
      </w:r>
      <w:r w:rsidRPr="001A4499">
        <w:t>Emendamento</w:t>
      </w:r>
      <w:r w:rsidRPr="001A4499">
        <w:tab/>
      </w:r>
      <w:r w:rsidRPr="001A4499">
        <w:tab/>
      </w:r>
      <w:r w:rsidRPr="001A4499">
        <w:rPr>
          <w:rStyle w:val="HideTWBExt"/>
          <w:color w:val="auto"/>
        </w:rPr>
        <w:t>&lt;NumAm&gt;</w:t>
      </w:r>
      <w:r w:rsidRPr="001A4499">
        <w:t>80</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Roberts Zīle</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5</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5.</w:t>
            </w:r>
            <w:r w:rsidRPr="001A4499">
              <w:tab/>
            </w:r>
            <w:r w:rsidRPr="001A4499">
              <w:t>accoglie con favore le conclusioni del Consiglio su un programma di semplificazione e riordino fiscali; sottolinea che in futuro le iniziative dell'UE in materia di imposizione fiscale dovrebbero concentrarsi sulla semplificazione amministrativa, l'elimina</w:t>
            </w:r>
            <w:r w:rsidRPr="001A4499">
              <w:t>zione (se del caso) delle norme fiscali che si sovrappongono, l'aumento della chiarezza e la razionalizzazione dell'applicazione delle norme fiscali;</w:t>
            </w:r>
          </w:p>
        </w:tc>
        <w:tc>
          <w:tcPr>
            <w:tcW w:w="4876" w:type="dxa"/>
            <w:tcBorders>
              <w:top w:val="nil"/>
              <w:left w:val="nil"/>
              <w:bottom w:val="nil"/>
              <w:right w:val="nil"/>
            </w:tcBorders>
            <w:hideMark/>
          </w:tcPr>
          <w:p w:rsidR="00D20070" w:rsidRPr="001A4499" w:rsidRDefault="00FF5B9D">
            <w:pPr>
              <w:pStyle w:val="Normal6a"/>
            </w:pPr>
            <w:r w:rsidRPr="001A4499">
              <w:t>5.</w:t>
            </w:r>
            <w:r w:rsidRPr="001A4499">
              <w:tab/>
              <w:t>accoglie con favore le conclusioni del Consiglio su un programma di semplificazione e riordino fiscali;</w:t>
            </w:r>
            <w:r w:rsidRPr="001A4499">
              <w:t xml:space="preserve"> sottolinea che in futuro le iniziative dell'UE in materia di imposizione fiscale dovrebbero concentrarsi sulla semplificazione amministrativa, l'eliminazione (se del caso) delle norme fiscali che si sovrappongono, l'aumento della chiarezza e la razionaliz</w:t>
            </w:r>
            <w:r w:rsidRPr="001A4499">
              <w:t>zazione dell'applicazione delle norme fiscali</w:t>
            </w:r>
            <w:r w:rsidRPr="001A4499">
              <w:rPr>
                <w:b/>
                <w:i/>
              </w:rPr>
              <w:t>, affrontando le divergenze o le inefficienze identificate che potrebbero condizionare il funzionamento del mercato unico dell'Unione</w:t>
            </w:r>
            <w:r w:rsidRPr="001A4499">
              <w:t>;</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81</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Pierre Pimpie, Enikő Győri</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lastRenderedPageBreak/>
        <w:t>&lt;Article&gt;</w:t>
      </w:r>
      <w:r w:rsidRPr="001A4499">
        <w:t>Paragrafo 5</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5.</w:t>
            </w:r>
            <w:r w:rsidRPr="001A4499">
              <w:tab/>
            </w:r>
            <w:r w:rsidRPr="001A4499">
              <w:t xml:space="preserve">accoglie con favore le conclusioni del Consiglio su un programma di semplificazione e riordino fiscali; sottolinea che in futuro le iniziative dell'UE </w:t>
            </w:r>
            <w:r w:rsidRPr="001A4499">
              <w:rPr>
                <w:b/>
                <w:i/>
              </w:rPr>
              <w:t>in materia di imposizione fiscale</w:t>
            </w:r>
            <w:r w:rsidRPr="001A4499">
              <w:t xml:space="preserve"> dovrebbero </w:t>
            </w:r>
            <w:r w:rsidRPr="001A4499">
              <w:rPr>
                <w:b/>
                <w:i/>
              </w:rPr>
              <w:t>concentrarsi sulla semplificazione amministrativa, l'elimina</w:t>
            </w:r>
            <w:r w:rsidRPr="001A4499">
              <w:rPr>
                <w:b/>
                <w:i/>
              </w:rPr>
              <w:t>zione (se del caso) delle norme fiscali che si sovrappongono, l'aumento della chiarezza e la razionalizzazione dell'</w:t>
            </w:r>
            <w:r w:rsidRPr="001A4499">
              <w:t xml:space="preserve">applicazione delle norme </w:t>
            </w:r>
            <w:r w:rsidRPr="001A4499">
              <w:rPr>
                <w:b/>
                <w:i/>
              </w:rPr>
              <w:t>fiscali</w:t>
            </w:r>
            <w:r w:rsidRPr="001A4499">
              <w:t>;</w:t>
            </w:r>
          </w:p>
        </w:tc>
        <w:tc>
          <w:tcPr>
            <w:tcW w:w="4876" w:type="dxa"/>
            <w:tcBorders>
              <w:top w:val="nil"/>
              <w:left w:val="nil"/>
              <w:bottom w:val="nil"/>
              <w:right w:val="nil"/>
            </w:tcBorders>
            <w:hideMark/>
          </w:tcPr>
          <w:p w:rsidR="00D20070" w:rsidRPr="001A4499" w:rsidRDefault="00FF5B9D">
            <w:pPr>
              <w:pStyle w:val="Normal6a"/>
            </w:pPr>
            <w:r w:rsidRPr="001A4499">
              <w:t>5.</w:t>
            </w:r>
            <w:r w:rsidRPr="001A4499">
              <w:tab/>
              <w:t>accoglie con favore le conclusioni del Consiglio su un programma di semplificazione e riordino fiscali;</w:t>
            </w:r>
            <w:r w:rsidRPr="001A4499">
              <w:t xml:space="preserve"> sottolinea che in futuro le iniziative </w:t>
            </w:r>
            <w:r w:rsidRPr="001A4499">
              <w:rPr>
                <w:b/>
                <w:i/>
              </w:rPr>
              <w:t>fiscali</w:t>
            </w:r>
            <w:r w:rsidRPr="001A4499">
              <w:t xml:space="preserve"> dell'UE dovrebbero </w:t>
            </w:r>
            <w:r w:rsidRPr="001A4499">
              <w:rPr>
                <w:b/>
                <w:i/>
              </w:rPr>
              <w:t>mirare a ridurre gli oneri amministrativi, chiarire l'</w:t>
            </w:r>
            <w:r w:rsidRPr="001A4499">
              <w:t xml:space="preserve">applicazione delle norme </w:t>
            </w:r>
            <w:r w:rsidRPr="001A4499">
              <w:rPr>
                <w:b/>
                <w:i/>
              </w:rPr>
              <w:t>esistenti e migliorare l'interoperabilità tra i sistemi nazionali</w:t>
            </w:r>
            <w:r w:rsidRPr="001A4499">
              <w:t>;</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82</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Regina Doherty</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5</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5.</w:t>
            </w:r>
            <w:r w:rsidRPr="001A4499">
              <w:tab/>
            </w:r>
            <w:r w:rsidRPr="001A4499">
              <w:t>accoglie con favore le conclusioni del Consiglio su un programma di semplificazione e riordino fiscali; sottolinea che in futuro le iniziative dell'UE in materia di imposizione fiscale dovrebbero concentrarsi sulla semplificazione amministrativa, l'elimina</w:t>
            </w:r>
            <w:r w:rsidRPr="001A4499">
              <w:t>zione (se del caso) delle norme fiscali che si sovrappongono, l'aumento della chiarezza e la razionalizzazione dell'applicazione delle norme fiscali;</w:t>
            </w:r>
          </w:p>
        </w:tc>
        <w:tc>
          <w:tcPr>
            <w:tcW w:w="4876" w:type="dxa"/>
            <w:tcBorders>
              <w:top w:val="nil"/>
              <w:left w:val="nil"/>
              <w:bottom w:val="nil"/>
              <w:right w:val="nil"/>
            </w:tcBorders>
            <w:hideMark/>
          </w:tcPr>
          <w:p w:rsidR="00D20070" w:rsidRPr="001A4499" w:rsidRDefault="00FF5B9D">
            <w:pPr>
              <w:pStyle w:val="Normal6a"/>
            </w:pPr>
            <w:r w:rsidRPr="001A4499">
              <w:t>5.</w:t>
            </w:r>
            <w:r w:rsidRPr="001A4499">
              <w:tab/>
              <w:t>accoglie con favore le conclusioni del Consiglio su un programma di semplificazione e riordino fiscali;</w:t>
            </w:r>
            <w:r w:rsidRPr="001A4499">
              <w:t xml:space="preserve"> sottolinea che in futuro le iniziative dell'UE in materia di imposizione fiscale dovrebbero concentrarsi </w:t>
            </w:r>
            <w:r w:rsidRPr="001A4499">
              <w:rPr>
                <w:b/>
                <w:i/>
              </w:rPr>
              <w:t>soprattutto</w:t>
            </w:r>
            <w:r w:rsidRPr="001A4499">
              <w:t xml:space="preserve"> sulla semplificazione amministrativa, l'eliminazione (se del caso) delle norme fiscali che si sovrappongono, l'aumento della chiarezza e l</w:t>
            </w:r>
            <w:r w:rsidRPr="001A4499">
              <w:t>a razionalizzazione dell'applicazione delle norme fiscali;</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83</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Michalis Hadjipantela</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5 bis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5 bis.</w:t>
            </w:r>
            <w:r w:rsidRPr="001A4499">
              <w:tab/>
            </w:r>
            <w:r w:rsidRPr="001A4499">
              <w:rPr>
                <w:b/>
                <w:i/>
              </w:rPr>
              <w:t xml:space="preserve">prende atto della ricerca condotta dal Centro comune di ricerca nel 2022, secondo cui le entrate provenienti dalle imposte sulle attività economiche locali ai bilanci locali possono fungere da incentivo per i comuni, per agire a livello locale e stimolare </w:t>
            </w:r>
            <w:r w:rsidRPr="001A4499">
              <w:rPr>
                <w:b/>
                <w:i/>
              </w:rPr>
              <w:t>le attività economiche locali; invita la Commissione, a tale proposito, a intensificare la ricerca e a impegnarsi in un esercizio di apprendimento reciproco con gli Stati membri per incoraggiare i comuni a prendersi cura delle loro imprese, liberando in ta</w:t>
            </w:r>
            <w:r w:rsidRPr="001A4499">
              <w:rPr>
                <w:b/>
                <w:i/>
              </w:rPr>
              <w:t>l modo il potenziale inutilizzato per una maggiore crescita economica in tutta l'UE;</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84</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Lídia Pereira</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5 bis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5 bis.</w:t>
            </w:r>
            <w:r w:rsidRPr="001A4499">
              <w:tab/>
            </w:r>
            <w:r w:rsidRPr="001A4499">
              <w:rPr>
                <w:b/>
                <w:i/>
              </w:rPr>
              <w:t xml:space="preserve">ricorda che diverse iniziative legislative nel settore della tassazione non compiono progressi; </w:t>
            </w:r>
            <w:r w:rsidRPr="001A4499">
              <w:rPr>
                <w:b/>
                <w:i/>
              </w:rPr>
              <w:t>sottolinea, a tale proposito, la necessità di garantire alle imprese europee prevedibilità e certezza del diritto; invita il Consiglio a compiere passi concreti per l'adozione di importanti direttive, segnatamente in relazione alla tassazione della sede ce</w:t>
            </w:r>
            <w:r w:rsidRPr="001A4499">
              <w:rPr>
                <w:b/>
                <w:i/>
              </w:rPr>
              <w:t>ntrale (HOT); invita la Commissione a chiarire quali iniziative debbano essere ritirate nel settore fiscale;</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lastRenderedPageBreak/>
        <w:t>&lt;Amend&gt;</w:t>
      </w:r>
      <w:r w:rsidRPr="001A4499">
        <w:t>Emendamento</w:t>
      </w:r>
      <w:r w:rsidRPr="001A4499">
        <w:tab/>
      </w:r>
      <w:r w:rsidRPr="001A4499">
        <w:tab/>
      </w:r>
      <w:r w:rsidRPr="001A4499">
        <w:rPr>
          <w:rStyle w:val="HideTWBExt"/>
          <w:color w:val="auto"/>
        </w:rPr>
        <w:t>&lt;NumAm&gt;</w:t>
      </w:r>
      <w:r w:rsidRPr="001A4499">
        <w:t>85</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Thomas Bajada, Costas Mavrides</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5 bis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5 bis.</w:t>
            </w:r>
            <w:r w:rsidRPr="001A4499">
              <w:tab/>
            </w:r>
            <w:r w:rsidRPr="001A4499">
              <w:rPr>
                <w:b/>
                <w:i/>
              </w:rPr>
              <w:t>sottolinea che l'utilizzo degli incentivi fiscali è un importante strumento economico nelle zone periferiche e in altre zone geograficamente svantaggiate, al fine di ridurre le disparità regionali e promuovere la convergenza socioeconomica verso l'alto nel</w:t>
            </w:r>
            <w:r w:rsidRPr="001A4499">
              <w:rPr>
                <w:b/>
                <w:i/>
              </w:rPr>
              <w:t>l'UE;</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86</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Pasquale Tridico, Jussi Saramo, Manon Aubry</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5 bis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5 bis.</w:t>
            </w:r>
            <w:r w:rsidRPr="001A4499">
              <w:tab/>
            </w:r>
            <w:r w:rsidRPr="001A4499">
              <w:rPr>
                <w:b/>
                <w:i/>
              </w:rPr>
              <w:t>sottolinea il ruolo della fatturazione elettronica quale strumento fondamentale per migliorare la trasparenza, ridurre gli oneri amministrativi e consentire l'uso pratico ed efficiente dei dati comunicati;</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87</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Pasquale Tridico, Jussi Saramo, Manon Aubry</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5 ter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5 ter.</w:t>
            </w:r>
            <w:r w:rsidRPr="001A4499">
              <w:tab/>
            </w:r>
            <w:r w:rsidRPr="001A4499">
              <w:rPr>
                <w:b/>
                <w:i/>
              </w:rPr>
              <w:t>ricorda che la deregolamentazione rischia di ledere i diritti sociali, le norme ambientali e il controllo democratico; sottolinea che il rispetto dello Stato di diritto, un sistema fiscale equo e progressivo e il rafforzamento di una base produttiva</w:t>
            </w:r>
            <w:r w:rsidRPr="001A4499">
              <w:rPr>
                <w:b/>
                <w:i/>
              </w:rPr>
              <w:t xml:space="preserve"> qualificata e innovativa sono modi per promuovere la competitività;</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88</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Pasquale Tridico, Jussi Saramo, Manon Aubry</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6</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6.</w:t>
            </w:r>
            <w:r w:rsidRPr="001A4499">
              <w:tab/>
            </w:r>
            <w:r w:rsidRPr="001A4499">
              <w:t>ricorda la priorità della Commissione di garantire la semplificazione per le imprese in tutti i settori di intervento, compresa l'imposizione fiscale</w:t>
            </w:r>
            <w:r w:rsidRPr="001A4499">
              <w:rPr>
                <w:b/>
                <w:i/>
              </w:rPr>
              <w:t>, al fine di ridurre gli obblighi di comunicazione del 25 % (e di almeno il 35 % per le PMI)</w:t>
            </w:r>
            <w:r w:rsidRPr="001A4499">
              <w:t>; invita, a tal</w:t>
            </w:r>
            <w:r w:rsidRPr="001A4499">
              <w:t>e proposito, la Commissione a effettuare sistematicamente valutazioni d'impatto ex ante di tutte le nuove proposte legislative in materia fiscale, nonché controlli della competitività delle misure attuali, al fine di quantificare la riduzione prevista degl</w:t>
            </w:r>
            <w:r w:rsidRPr="001A4499">
              <w:t>i oneri amministrativi e di garantire che le nuove norme siano in linea con gli obiettivi di crescita economica dell'UE;</w:t>
            </w:r>
          </w:p>
        </w:tc>
        <w:tc>
          <w:tcPr>
            <w:tcW w:w="4876" w:type="dxa"/>
            <w:tcBorders>
              <w:top w:val="nil"/>
              <w:left w:val="nil"/>
              <w:bottom w:val="nil"/>
              <w:right w:val="nil"/>
            </w:tcBorders>
            <w:hideMark/>
          </w:tcPr>
          <w:p w:rsidR="00D20070" w:rsidRPr="001A4499" w:rsidRDefault="00FF5B9D">
            <w:pPr>
              <w:pStyle w:val="Normal6a"/>
            </w:pPr>
            <w:r w:rsidRPr="001A4499">
              <w:t>6.</w:t>
            </w:r>
            <w:r w:rsidRPr="001A4499">
              <w:tab/>
              <w:t>ricorda la priorità della Commissione di garantire la semplificazione per le imprese in tutti i settori di intervento, compresa l'im</w:t>
            </w:r>
            <w:r w:rsidRPr="001A4499">
              <w:t>posizione fiscale; invita, a tale proposito, la Commissione a effettuare sistematicamente valutazioni d'impatto ex ante di tutte le nuove proposte legislative in materia fiscale, nonché controlli della competitività delle misure attuali, al fine di quantif</w:t>
            </w:r>
            <w:r w:rsidRPr="001A4499">
              <w:t>icare la riduzione prevista degli oneri amministrativi e di garantire che le nuove norme siano in linea con gli obiettivi di crescita economica dell'UE;</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89</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Pierre Pimpie, Enikő Győri, Jorge Martín Frías</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6</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lastRenderedPageBreak/>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6.</w:t>
            </w:r>
            <w:r w:rsidRPr="001A4499">
              <w:tab/>
            </w:r>
            <w:r w:rsidRPr="001A4499">
              <w:t>ricorda la priorità della Commissione di garantire la semplificazione per le imprese in tutti i settori di intervento, compresa l'imposizione fiscale, al fine di ridurre gli obblighi di comunicazione del 25 % (e di almeno il 35 % per le PMI); invita, a tal</w:t>
            </w:r>
            <w:r w:rsidRPr="001A4499">
              <w:t>e proposito, la Commissione a effettuare sistematicamente valutazioni d'impatto ex ante di tutte le nuove proposte legislative in materia fiscale, nonché controlli della competitività delle misure attuali, al fine di quantificare la riduzione prevista degl</w:t>
            </w:r>
            <w:r w:rsidRPr="001A4499">
              <w:t xml:space="preserve">i oneri amministrativi </w:t>
            </w:r>
            <w:r w:rsidRPr="001A4499">
              <w:rPr>
                <w:b/>
                <w:i/>
              </w:rPr>
              <w:t>e di</w:t>
            </w:r>
            <w:r w:rsidRPr="001A4499">
              <w:t xml:space="preserve"> garantire che </w:t>
            </w:r>
            <w:r w:rsidRPr="001A4499">
              <w:rPr>
                <w:b/>
                <w:i/>
              </w:rPr>
              <w:t>le nuove norme siano in linea con gli obiettivi di crescita economica dell'UE</w:t>
            </w:r>
            <w:r w:rsidRPr="001A4499">
              <w:t>;</w:t>
            </w:r>
          </w:p>
        </w:tc>
        <w:tc>
          <w:tcPr>
            <w:tcW w:w="4876" w:type="dxa"/>
            <w:tcBorders>
              <w:top w:val="nil"/>
              <w:left w:val="nil"/>
              <w:bottom w:val="nil"/>
              <w:right w:val="nil"/>
            </w:tcBorders>
            <w:hideMark/>
          </w:tcPr>
          <w:p w:rsidR="00D20070" w:rsidRPr="001A4499" w:rsidRDefault="00FF5B9D">
            <w:pPr>
              <w:pStyle w:val="Normal6a"/>
            </w:pPr>
            <w:r w:rsidRPr="001A4499">
              <w:t>6.</w:t>
            </w:r>
            <w:r w:rsidRPr="001A4499">
              <w:tab/>
              <w:t>ricorda la priorità della Commissione di garantire la semplificazione per le imprese in tutti i settori di intervento, compresa l'im</w:t>
            </w:r>
            <w:r w:rsidRPr="001A4499">
              <w:t>posizione fiscale, al fine di ridurre gli obblighi di comunicazione del 25 % (e di almeno il 35 % per le PMI); invita, a tale proposito, la Commissione a effettuare sistematicamente valutazioni d'impatto ex ante di tutte le nuove proposte legislative in ma</w:t>
            </w:r>
            <w:r w:rsidRPr="001A4499">
              <w:t>teria fiscale, nonché controlli della competitività delle misure attuali, al fine di quantificare la riduzione prevista degli oneri amministrativi</w:t>
            </w:r>
            <w:r w:rsidRPr="001A4499">
              <w:rPr>
                <w:b/>
                <w:i/>
              </w:rPr>
              <w:t>, in stretto coordinamento con le autorità nazionali, per</w:t>
            </w:r>
            <w:r w:rsidRPr="001A4499">
              <w:t xml:space="preserve"> garantire che </w:t>
            </w:r>
            <w:r w:rsidRPr="001A4499">
              <w:rPr>
                <w:b/>
                <w:i/>
              </w:rPr>
              <w:t>queste misure rispettino le specificit</w:t>
            </w:r>
            <w:r w:rsidRPr="001A4499">
              <w:rPr>
                <w:b/>
                <w:i/>
              </w:rPr>
              <w:t>à fiscali nazionali e non pregiudichino i modelli economici degli Stati membri</w:t>
            </w:r>
            <w:r w:rsidRPr="001A4499">
              <w:t>;</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90</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Denis Nesci</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6</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6.</w:t>
            </w:r>
            <w:r w:rsidRPr="001A4499">
              <w:tab/>
            </w:r>
            <w:r w:rsidRPr="001A4499">
              <w:t>ricorda la priorità della Commissione di garantire la semplificazione per le imprese in tutti i settori di intervento, compresa l'imposizione fiscale, al fine di ridurre gli obblighi di comunicazione del 25 % (e di almeno il 35 % per le PMI); invita, a tal</w:t>
            </w:r>
            <w:r w:rsidRPr="001A4499">
              <w:t xml:space="preserve">e proposito, la Commissione a effettuare sistematicamente valutazioni d'impatto ex ante di tutte le nuove proposte legislative in materia fiscale, </w:t>
            </w:r>
            <w:r w:rsidRPr="001A4499">
              <w:rPr>
                <w:b/>
                <w:i/>
              </w:rPr>
              <w:t>nonché controlli della competitività delle misure attuali,</w:t>
            </w:r>
            <w:r w:rsidRPr="001A4499">
              <w:t xml:space="preserve"> al fine di quantificare la riduzione prevista degl</w:t>
            </w:r>
            <w:r w:rsidRPr="001A4499">
              <w:t xml:space="preserve">i oneri amministrativi e di garantire che le </w:t>
            </w:r>
            <w:r w:rsidRPr="001A4499">
              <w:lastRenderedPageBreak/>
              <w:t>nuove norme siano in linea con gli obiettivi di crescita economica dell'UE;</w:t>
            </w:r>
          </w:p>
        </w:tc>
        <w:tc>
          <w:tcPr>
            <w:tcW w:w="4876" w:type="dxa"/>
            <w:tcBorders>
              <w:top w:val="nil"/>
              <w:left w:val="nil"/>
              <w:bottom w:val="nil"/>
              <w:right w:val="nil"/>
            </w:tcBorders>
            <w:hideMark/>
          </w:tcPr>
          <w:p w:rsidR="00D20070" w:rsidRPr="001A4499" w:rsidRDefault="00FF5B9D">
            <w:pPr>
              <w:pStyle w:val="Normal6a"/>
            </w:pPr>
            <w:r w:rsidRPr="001A4499">
              <w:lastRenderedPageBreak/>
              <w:t>6.</w:t>
            </w:r>
            <w:r w:rsidRPr="001A4499">
              <w:tab/>
              <w:t>ricorda la priorità della Commissione di garantire la semplificazione per le imprese in tutti i settori di intervento, compresa l'im</w:t>
            </w:r>
            <w:r w:rsidRPr="001A4499">
              <w:t>posizione fiscale, al fine di ridurre gli obblighi di comunicazione del 25 % (e di almeno il 35 % per le PMI); invita, a tale proposito, la Commissione</w:t>
            </w:r>
            <w:r w:rsidRPr="001A4499">
              <w:rPr>
                <w:b/>
                <w:i/>
              </w:rPr>
              <w:t>, in stretto e continuo dialogo con gli Stati membri,</w:t>
            </w:r>
            <w:r w:rsidRPr="001A4499">
              <w:t xml:space="preserve"> a effettuare sistematicamente valutazioni d'impatto</w:t>
            </w:r>
            <w:r w:rsidRPr="001A4499">
              <w:t xml:space="preserve"> ex ante di tutte le nuove proposte legislative in materia fiscale, al fine di quantificare la riduzione prevista degli oneri amministrativi e di garantire che le </w:t>
            </w:r>
            <w:r w:rsidRPr="001A4499">
              <w:lastRenderedPageBreak/>
              <w:t>nuove norme siano in linea con gli obiettivi di crescita economica dell'UE;</w:t>
            </w:r>
          </w:p>
        </w:tc>
      </w:tr>
    </w:tbl>
    <w:p w:rsidR="00D20070" w:rsidRPr="001A4499" w:rsidRDefault="00FF5B9D" w:rsidP="00D20070">
      <w:pPr>
        <w:pStyle w:val="AmOrLang"/>
        <w:rPr>
          <w:lang w:eastAsia="en-US"/>
        </w:rPr>
      </w:pPr>
      <w:r w:rsidRPr="001A4499">
        <w:lastRenderedPageBreak/>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91</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Niels Fuglsang, Matthias Ecke, Bruno Gonçalves, Aurore Lalucq, Evelyn Regner</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w:t>
      </w:r>
      <w:r w:rsidRPr="001A4499">
        <w:t>fo 6</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6.</w:t>
            </w:r>
            <w:r w:rsidRPr="001A4499">
              <w:tab/>
            </w:r>
            <w:r w:rsidRPr="001A4499">
              <w:t>ricorda la priorità della Commissione di garantire la semplificazione per le imprese in tutti i settori di intervento, compresa l'imposizione fiscale, al fine di ridurre gli obblighi di comunicazione del 25 % (e di almeno il 35 % per le PMI); invita, a tal</w:t>
            </w:r>
            <w:r w:rsidRPr="001A4499">
              <w:t>e proposito, la Commissione a effettuare sistematicamente valutazioni d'impatto ex ante di tutte le nuove proposte legislative in materia fiscale, nonché controlli della competitività delle misure attuali, al fine di quantificare la riduzione prevista degl</w:t>
            </w:r>
            <w:r w:rsidRPr="001A4499">
              <w:t xml:space="preserve">i oneri amministrativi e di garantire che le nuove norme siano in linea con gli obiettivi </w:t>
            </w:r>
            <w:r w:rsidRPr="001A4499">
              <w:rPr>
                <w:b/>
                <w:i/>
              </w:rPr>
              <w:t>di crescita economica</w:t>
            </w:r>
            <w:r w:rsidRPr="001A4499">
              <w:t xml:space="preserve"> dell'UE;</w:t>
            </w:r>
          </w:p>
        </w:tc>
        <w:tc>
          <w:tcPr>
            <w:tcW w:w="4876" w:type="dxa"/>
            <w:tcBorders>
              <w:top w:val="nil"/>
              <w:left w:val="nil"/>
              <w:bottom w:val="nil"/>
              <w:right w:val="nil"/>
            </w:tcBorders>
            <w:hideMark/>
          </w:tcPr>
          <w:p w:rsidR="00D20070" w:rsidRPr="001A4499" w:rsidRDefault="00FF5B9D">
            <w:pPr>
              <w:pStyle w:val="Normal6a"/>
            </w:pPr>
            <w:r w:rsidRPr="001A4499">
              <w:t>6.</w:t>
            </w:r>
            <w:r w:rsidRPr="001A4499">
              <w:tab/>
              <w:t>ricorda la priorità della Commissione di garantire la semplificazione per le imprese in tutti i settori di intervento, compresa l'im</w:t>
            </w:r>
            <w:r w:rsidRPr="001A4499">
              <w:t>posizione fiscale, al fine di ridurre gli obblighi di comunicazione del 25 % (e di almeno il 35 % per le PMI); invita, a tale proposito, la Commissione a effettuare sistematicamente valutazioni d'impatto ex ante di tutte le nuove proposte legislative in ma</w:t>
            </w:r>
            <w:r w:rsidRPr="001A4499">
              <w:t>teria fiscale, nonché controlli della competitività delle misure attuali, al fine di quantificare la riduzione prevista degli oneri amministrativi e di garantire che le nuove norme siano in linea con gli obiettivi dell'UE;</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92</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Danuše Nerudová</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6</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6.</w:t>
            </w:r>
            <w:r w:rsidRPr="001A4499">
              <w:tab/>
            </w:r>
            <w:r w:rsidRPr="001A4499">
              <w:t xml:space="preserve">ricorda la priorità della Commissione di garantire la semplificazione per le imprese in tutti i settori di intervento, compresa </w:t>
            </w:r>
            <w:r w:rsidRPr="001A4499">
              <w:lastRenderedPageBreak/>
              <w:t>l'imposizione fiscale, al fine di ridurre gli obblighi di comunicazione del 25 % (e di almeno il 35 % per le PMI); invita, a tal</w:t>
            </w:r>
            <w:r w:rsidRPr="001A4499">
              <w:t>e proposito, la Commissione a effettuare sistematicamente valutazioni d'impatto ex ante di tutte le nuove proposte legislative in materia fiscale, nonché controlli della competitività delle misure attuali, al fine di quantificare la riduzione prevista degl</w:t>
            </w:r>
            <w:r w:rsidRPr="001A4499">
              <w:t>i oneri amministrativi e di garantire che le nuove norme siano in linea con gli obiettivi di crescita economica dell'UE;</w:t>
            </w:r>
          </w:p>
        </w:tc>
        <w:tc>
          <w:tcPr>
            <w:tcW w:w="4876" w:type="dxa"/>
            <w:tcBorders>
              <w:top w:val="nil"/>
              <w:left w:val="nil"/>
              <w:bottom w:val="nil"/>
              <w:right w:val="nil"/>
            </w:tcBorders>
            <w:hideMark/>
          </w:tcPr>
          <w:p w:rsidR="00D20070" w:rsidRPr="001A4499" w:rsidRDefault="00FF5B9D">
            <w:pPr>
              <w:pStyle w:val="Normal6a"/>
            </w:pPr>
            <w:r w:rsidRPr="001A4499">
              <w:lastRenderedPageBreak/>
              <w:t>6.</w:t>
            </w:r>
            <w:r w:rsidRPr="001A4499">
              <w:tab/>
              <w:t xml:space="preserve">ricorda la priorità della Commissione di garantire la semplificazione per le imprese in tutti i settori di intervento, compresa </w:t>
            </w:r>
            <w:r w:rsidRPr="001A4499">
              <w:lastRenderedPageBreak/>
              <w:t>l'im</w:t>
            </w:r>
            <w:r w:rsidRPr="001A4499">
              <w:t>posizione fiscale, al fine di ridurre gli obblighi di comunicazione del 25 % (e di almeno il 35 % per le PMI); invita, a tale proposito, la Commissione a effettuare sistematicamente valutazioni d'impatto ex ante di tutte le nuove proposte legislative in ma</w:t>
            </w:r>
            <w:r w:rsidRPr="001A4499">
              <w:t>teria fiscale, nonché controlli della competitività delle misure attuali</w:t>
            </w:r>
            <w:r w:rsidRPr="001A4499">
              <w:rPr>
                <w:b/>
                <w:i/>
              </w:rPr>
              <w:t>, compresa la direttiva DAC6,</w:t>
            </w:r>
            <w:r w:rsidRPr="001A4499">
              <w:t xml:space="preserve"> al fine di quantificare la riduzione prevista degli oneri amministrativi e di garantire che le nuove norme siano in linea con gli obiettivi di crescita ec</w:t>
            </w:r>
            <w:r w:rsidRPr="001A4499">
              <w:t>onomica dell'UE;</w:t>
            </w:r>
          </w:p>
        </w:tc>
      </w:tr>
    </w:tbl>
    <w:p w:rsidR="00D20070" w:rsidRPr="001A4499" w:rsidRDefault="00FF5B9D" w:rsidP="00D20070">
      <w:pPr>
        <w:pStyle w:val="AmOrLang"/>
        <w:rPr>
          <w:lang w:eastAsia="en-US"/>
        </w:rPr>
      </w:pPr>
      <w:r w:rsidRPr="001A4499">
        <w:lastRenderedPageBreak/>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93</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Kira Marie Peter-Hansen</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6</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6.</w:t>
            </w:r>
            <w:r w:rsidRPr="001A4499">
              <w:tab/>
              <w:t>ricorda la priorità della Commissione di garantire la semplificazione per le imprese in tutti i settori di intervento, compresa l'imposizione fiscale, al fine di ridurre gli obblighi di comunicazione del 25 % (e di a</w:t>
            </w:r>
            <w:r w:rsidRPr="001A4499">
              <w:t>lmeno il 35 % per le PMI); invita, a tale proposito, la Commissione a effettuare sistematicamente valutazioni d'impatto ex ante di tutte le nuove proposte legislative in materia fiscale, nonché controlli della competitività delle misure attuali, al fine di</w:t>
            </w:r>
            <w:r w:rsidRPr="001A4499">
              <w:t xml:space="preserve"> quantificare la riduzione prevista degli oneri amministrativi e di garantire che le nuove norme siano in linea con gli obiettivi di crescita economica dell'UE;</w:t>
            </w:r>
          </w:p>
        </w:tc>
        <w:tc>
          <w:tcPr>
            <w:tcW w:w="4876" w:type="dxa"/>
            <w:tcBorders>
              <w:top w:val="nil"/>
              <w:left w:val="nil"/>
              <w:bottom w:val="nil"/>
              <w:right w:val="nil"/>
            </w:tcBorders>
            <w:hideMark/>
          </w:tcPr>
          <w:p w:rsidR="00D20070" w:rsidRPr="001A4499" w:rsidRDefault="00FF5B9D">
            <w:pPr>
              <w:pStyle w:val="Normal6a"/>
            </w:pPr>
            <w:r w:rsidRPr="001A4499">
              <w:t>6.</w:t>
            </w:r>
            <w:r w:rsidRPr="001A4499">
              <w:tab/>
              <w:t>ricorda la priorità della Commissione di garantire la semplificazione per le imprese in tutt</w:t>
            </w:r>
            <w:r w:rsidRPr="001A4499">
              <w:t>i i settori di intervento, compresa l'imposizione fiscale, al fine di ridurre gli obblighi di comunicazione del 25 % (e di almeno il 35 % per le PMI); invita, a tale proposito, la Commissione a effettuare sistematicamente valutazioni d'impatto ex ante di t</w:t>
            </w:r>
            <w:r w:rsidRPr="001A4499">
              <w:t>utte le nuove proposte legislative in materia fiscale, nonché controlli della competitività delle misure attuali, al fine di quantificare la riduzione prevista degli oneri amministrativi e di garantire che le nuove norme siano in linea con gli obiettivi di</w:t>
            </w:r>
            <w:r w:rsidRPr="001A4499">
              <w:t xml:space="preserve"> crescita economica dell'UE </w:t>
            </w:r>
            <w:r w:rsidRPr="001A4499">
              <w:rPr>
                <w:b/>
                <w:i/>
              </w:rPr>
              <w:t>e con il Green Deal</w:t>
            </w:r>
            <w:r w:rsidRPr="001A4499">
              <w:t>;</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lastRenderedPageBreak/>
        <w:t>&lt;Amend&gt;</w:t>
      </w:r>
      <w:r w:rsidRPr="001A4499">
        <w:t>Emendamento</w:t>
      </w:r>
      <w:r w:rsidRPr="001A4499">
        <w:tab/>
      </w:r>
      <w:r w:rsidRPr="001A4499">
        <w:tab/>
      </w:r>
      <w:r w:rsidRPr="001A4499">
        <w:rPr>
          <w:rStyle w:val="HideTWBExt"/>
          <w:color w:val="auto"/>
        </w:rPr>
        <w:t>&lt;NumAm&gt;</w:t>
      </w:r>
      <w:r w:rsidRPr="001A4499">
        <w:t>94</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Markus Ferber</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6</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6.</w:t>
            </w:r>
            <w:r w:rsidRPr="001A4499">
              <w:tab/>
            </w:r>
            <w:r w:rsidRPr="001A4499">
              <w:t xml:space="preserve">ricorda la priorità della Commissione di garantire la semplificazione per le imprese in tutti i settori di intervento, compresa l'imposizione fiscale, al fine di ridurre gli obblighi di comunicazione </w:t>
            </w:r>
            <w:r w:rsidRPr="001A4499">
              <w:rPr>
                <w:b/>
                <w:bCs/>
                <w:i/>
                <w:iCs/>
              </w:rPr>
              <w:t>del</w:t>
            </w:r>
            <w:r w:rsidRPr="001A4499">
              <w:t xml:space="preserve"> 25 % (e di almeno il 35 % per le PMI); invita, a tal</w:t>
            </w:r>
            <w:r w:rsidRPr="001A4499">
              <w:t>e proposito, la Commissione a effettuare sistematicamente valutazioni d'impatto ex ante di tutte le nuove proposte legislative in materia fiscale, nonché controlli della competitività delle misure attuali, al fine di quantificare la riduzione prevista degl</w:t>
            </w:r>
            <w:r w:rsidRPr="001A4499">
              <w:t>i oneri amministrativi e di garantire che le nuove norme siano in linea con gli obiettivi di crescita economica dell'UE;</w:t>
            </w:r>
          </w:p>
        </w:tc>
        <w:tc>
          <w:tcPr>
            <w:tcW w:w="4876" w:type="dxa"/>
            <w:tcBorders>
              <w:top w:val="nil"/>
              <w:left w:val="nil"/>
              <w:bottom w:val="nil"/>
              <w:right w:val="nil"/>
            </w:tcBorders>
            <w:hideMark/>
          </w:tcPr>
          <w:p w:rsidR="00D20070" w:rsidRPr="001A4499" w:rsidRDefault="00FF5B9D">
            <w:pPr>
              <w:pStyle w:val="Normal6a"/>
            </w:pPr>
            <w:r w:rsidRPr="001A4499">
              <w:t>6.</w:t>
            </w:r>
            <w:r w:rsidRPr="001A4499">
              <w:tab/>
              <w:t>ricorda la priorità della Commissione di garantire la semplificazione per le imprese in tutti i settori di intervento, compresa l'im</w:t>
            </w:r>
            <w:r w:rsidRPr="001A4499">
              <w:t xml:space="preserve">posizione fiscale, al fine di ridurre gli obblighi di comunicazione </w:t>
            </w:r>
            <w:r w:rsidRPr="001A4499">
              <w:rPr>
                <w:b/>
                <w:i/>
              </w:rPr>
              <w:t>di almeno il</w:t>
            </w:r>
            <w:r w:rsidRPr="001A4499">
              <w:t xml:space="preserve"> 25 % (e di almeno il 35 % per le PMI); invita, a tale proposito, la Commissione a effettuare sistematicamente valutazioni d'impatto ex ante di tutte le nuove proposte legislat</w:t>
            </w:r>
            <w:r w:rsidRPr="001A4499">
              <w:t>ive in materia fiscale, nonché controlli della competitività delle misure attuali, al fine di quantificare la riduzione prevista degli oneri amministrativi e di garantire che le nuove norme siano in linea con gli obiettivi di crescita economica dell'UE;</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95</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Fernand Kartheiser</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6</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6.</w:t>
            </w:r>
            <w:r w:rsidRPr="001A4499">
              <w:tab/>
              <w:t>ricorda la priorità della Commissione di garantire la semplificazione per le imprese in tutti i settori di intervento, compresa l'imposizione fiscale, al fine di ridurre gli obblighi di comunicazione del 25 % (e di almeno il 35 % per le PMI</w:t>
            </w:r>
            <w:r w:rsidRPr="001A4499">
              <w:t xml:space="preserve">); invita, a tale proposito, la Commissione a effettuare sistematicamente valutazioni d'impatto ex ante di tutte le nuove proposte legislative in </w:t>
            </w:r>
            <w:r w:rsidRPr="001A4499">
              <w:lastRenderedPageBreak/>
              <w:t>materia fiscale, nonché controlli della competitività delle misure attuali, al fine di quantificare la riduzio</w:t>
            </w:r>
            <w:r w:rsidRPr="001A4499">
              <w:t>ne prevista degli oneri amministrativi e di garantire che le nuove norme siano in linea con gli obiettivi di crescita economica dell'UE;</w:t>
            </w:r>
          </w:p>
        </w:tc>
        <w:tc>
          <w:tcPr>
            <w:tcW w:w="4876" w:type="dxa"/>
            <w:tcBorders>
              <w:top w:val="nil"/>
              <w:left w:val="nil"/>
              <w:bottom w:val="nil"/>
              <w:right w:val="nil"/>
            </w:tcBorders>
            <w:hideMark/>
          </w:tcPr>
          <w:p w:rsidR="00D20070" w:rsidRPr="001A4499" w:rsidRDefault="00FF5B9D">
            <w:pPr>
              <w:pStyle w:val="Normal6a"/>
            </w:pPr>
            <w:r w:rsidRPr="001A4499">
              <w:lastRenderedPageBreak/>
              <w:t>6.</w:t>
            </w:r>
            <w:r w:rsidRPr="001A4499">
              <w:tab/>
              <w:t>ricorda la priorità della Commissione di garantire la semplificazione per le imprese in tutti i settori di intervent</w:t>
            </w:r>
            <w:r w:rsidRPr="001A4499">
              <w:t xml:space="preserve">o, compresa l'imposizione fiscale </w:t>
            </w:r>
            <w:r w:rsidRPr="001A4499">
              <w:rPr>
                <w:b/>
                <w:i/>
              </w:rPr>
              <w:t>nell'ambito delle sue competenze</w:t>
            </w:r>
            <w:r w:rsidRPr="001A4499">
              <w:t xml:space="preserve">, al fine di ridurre gli obblighi di comunicazione del 25 % (e di almeno il 35 % per le PMI); invita, a tale proposito, la Commissione a effettuare sistematicamente valutazioni d'impatto ex </w:t>
            </w:r>
            <w:r w:rsidRPr="001A4499">
              <w:lastRenderedPageBreak/>
              <w:t>ante di tutte le nuove proposte legislative in materia fiscale, nonché controlli della competitività delle misure attuali, al fine di quantificare la riduzione prevista degli oneri amministrativi e di garantire che le nuove norme siano in linea con gli obi</w:t>
            </w:r>
            <w:r w:rsidRPr="001A4499">
              <w:t>ettivi di crescita economica dell'UE;</w:t>
            </w:r>
          </w:p>
        </w:tc>
      </w:tr>
    </w:tbl>
    <w:p w:rsidR="00D20070" w:rsidRPr="001A4499" w:rsidRDefault="00FF5B9D" w:rsidP="00D20070">
      <w:pPr>
        <w:pStyle w:val="AmOrLang"/>
        <w:rPr>
          <w:lang w:eastAsia="en-US"/>
        </w:rPr>
      </w:pPr>
      <w:r w:rsidRPr="001A4499">
        <w:lastRenderedPageBreak/>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96</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Michalis Hadjipantela</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6 bis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6 bis.</w:t>
            </w:r>
            <w:r w:rsidRPr="001A4499">
              <w:tab/>
            </w:r>
            <w:r w:rsidRPr="001A4499">
              <w:rPr>
                <w:b/>
                <w:i/>
              </w:rPr>
              <w:t>esorta la Commissione europea a individuare ed eliminare tutti i casi di duplicazione delle comunicazioni e a istituire un sistema per un'efficiente condivisione dei dati tra le amministrazioni fiscali, esonerando in tal modo i contribuenti dai duplici obb</w:t>
            </w:r>
            <w:r w:rsidRPr="001A4499">
              <w:rPr>
                <w:b/>
                <w:i/>
              </w:rPr>
              <w:t>lighi di comunicazione; suggerisce, a tale riguardo, di modificare la direttiva (UE) 2021/2101 sulla comunicazione pubblica paese per paese (CBCR) al fine di garantire l'equivalenza delle norme dell'UE con la norma 207 della Global Reporting Initiative (GR</w:t>
            </w:r>
            <w:r w:rsidRPr="001A4499">
              <w:rPr>
                <w:b/>
                <w:i/>
              </w:rPr>
              <w:t>I);</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97</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Kira Marie Peter-Hansen</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6 bis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6 bis.</w:t>
            </w:r>
            <w:r w:rsidRPr="001A4499">
              <w:tab/>
            </w:r>
            <w:r w:rsidRPr="001A4499">
              <w:rPr>
                <w:b/>
                <w:i/>
              </w:rPr>
              <w:t xml:space="preserve">osserva che nell'ambito degli obblighi di comunicazione da parte delle </w:t>
            </w:r>
            <w:r w:rsidRPr="001A4499">
              <w:rPr>
                <w:b/>
                <w:i/>
              </w:rPr>
              <w:lastRenderedPageBreak/>
              <w:t>grandi imprese si potrebbero ottenere semplici vantaggi, ad esempio modificando la direttiva (UE) 2021/2101 sulla comunicazione pubblica pae</w:t>
            </w:r>
            <w:r w:rsidRPr="001A4499">
              <w:rPr>
                <w:b/>
                <w:i/>
              </w:rPr>
              <w:t>se per paese per garantire l'equivalenza delle norme dell'UE con la norma 207 della Global Reporting Initiative; invita la Commissione a valutare tale equivalenza e a presentare una proposta;</w:t>
            </w:r>
          </w:p>
        </w:tc>
      </w:tr>
    </w:tbl>
    <w:p w:rsidR="00D20070" w:rsidRPr="001A4499" w:rsidRDefault="00FF5B9D" w:rsidP="00D20070">
      <w:pPr>
        <w:pStyle w:val="AmOrLang"/>
        <w:rPr>
          <w:lang w:eastAsia="en-US"/>
        </w:rPr>
      </w:pPr>
      <w:r w:rsidRPr="001A4499">
        <w:lastRenderedPageBreak/>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98</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Pasquale Tridico, Jussi Saramo, Manon Aubry, Marc Botenga</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6 bis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6 bis.</w:t>
            </w:r>
            <w:r w:rsidRPr="001A4499">
              <w:tab/>
            </w:r>
            <w:r w:rsidRPr="001A4499">
              <w:rPr>
                <w:b/>
                <w:i/>
              </w:rPr>
              <w:t xml:space="preserve">riconosce l'impatto positivo degli sviluppi compiuti nel campo dei principi di comunicazione, tra cui, a titolo esemplificativo ma non esaustivo, la comunicazione paese per paese e la trasparenza della titolarità effettiva; </w:t>
            </w:r>
            <w:r w:rsidRPr="001A4499">
              <w:rPr>
                <w:b/>
                <w:i/>
              </w:rPr>
              <w:t>sottolinea il valore della trasparenza fiscale quale strumento fondamentale per rafforzare la fiducia dei cittadini e vincere la lotta contro l'elusione e l'evasione fiscali;</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99</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Roberts Zīle</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6 bis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6 bis.</w:t>
            </w:r>
            <w:r w:rsidRPr="001A4499">
              <w:tab/>
            </w:r>
            <w:r w:rsidRPr="001A4499">
              <w:rPr>
                <w:b/>
                <w:i/>
              </w:rPr>
              <w:t xml:space="preserve">invita la Commissione e gli Stati membri a razionalizzare ulteriormente gli </w:t>
            </w:r>
            <w:r w:rsidRPr="001A4499">
              <w:rPr>
                <w:b/>
                <w:i/>
              </w:rPr>
              <w:lastRenderedPageBreak/>
              <w:t>obblighi fiscali per l'industria della difesa ampliando e semplificando le esenzioni dall'IVA per gli appalti nel settore della difesa, in particolare nel contesto di iniziative co</w:t>
            </w:r>
            <w:r w:rsidRPr="001A4499">
              <w:rPr>
                <w:b/>
                <w:i/>
              </w:rPr>
              <w:t>ngiunte dell'UE in materia di difesa, garantendo nel contempo che tali misure rispettino i principi di sussidiarietà e non portino a una maggiore centralizzazione della politica fiscale;</w:t>
            </w:r>
          </w:p>
        </w:tc>
      </w:tr>
    </w:tbl>
    <w:p w:rsidR="00D20070" w:rsidRPr="001A4499" w:rsidRDefault="00FF5B9D" w:rsidP="00D20070">
      <w:pPr>
        <w:pStyle w:val="AmOrLang"/>
        <w:rPr>
          <w:lang w:eastAsia="en-US"/>
        </w:rPr>
      </w:pPr>
      <w:r w:rsidRPr="001A4499">
        <w:lastRenderedPageBreak/>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100</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Michalis Hadjipantela</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6 ter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6 ter.</w:t>
            </w:r>
            <w:r w:rsidRPr="001A4499">
              <w:tab/>
            </w:r>
            <w:r w:rsidRPr="001A4499">
              <w:rPr>
                <w:b/>
                <w:i/>
              </w:rPr>
              <w:t>chiede l'istituzione di un centro di dati fiscali dell'UE per migliorare lo scambio automatico di informazioni fiscali e ridurre gli oneri amministrativi; incoraggia la Commissione e gli Stati membri a basarsi sugli strumenti esistenti, quali il sistema di</w:t>
            </w:r>
            <w:r w:rsidRPr="001A4499">
              <w:rPr>
                <w:b/>
                <w:i/>
              </w:rPr>
              <w:t xml:space="preserve"> scambio di informazioni sull'IVA (VIES) e il sistema di informatizzazione dei movimenti e dei controlli intracomunitari dei prodotti soggetti ad accisa (EMCS), e a valutare la possibilità di estenderne l'applicazione a settori quali l'imposizione diretta;</w:t>
            </w:r>
            <w:r w:rsidRPr="001A4499">
              <w:rPr>
                <w:b/>
                <w:i/>
              </w:rPr>
              <w:t xml:space="preserve"> sottolinea che tale centro dati dovrebbe consentire un'analisi congiunta delle informazioni pertinenti per il processo di controllo della tassazione con una componente transfrontaliera, evitare duplicazioni e fungere da punto di accesso unico per le ammin</w:t>
            </w:r>
            <w:r w:rsidRPr="001A4499">
              <w:rPr>
                <w:b/>
                <w:i/>
              </w:rPr>
              <w:t>istrazioni fiscali in tutta l'UE;</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lastRenderedPageBreak/>
        <w:t>&lt;Amend&gt;</w:t>
      </w:r>
      <w:r w:rsidRPr="001A4499">
        <w:t>Emendamento</w:t>
      </w:r>
      <w:r w:rsidRPr="001A4499">
        <w:tab/>
      </w:r>
      <w:r w:rsidRPr="001A4499">
        <w:tab/>
      </w:r>
      <w:r w:rsidRPr="001A4499">
        <w:rPr>
          <w:rStyle w:val="HideTWBExt"/>
          <w:color w:val="auto"/>
        </w:rPr>
        <w:t>&lt;NumAm&gt;</w:t>
      </w:r>
      <w:r w:rsidRPr="001A4499">
        <w:t>101</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Pasquale Tridico, Jussi Saramo, Manon Aubry</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6 ter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6 ter.</w:t>
            </w:r>
            <w:r w:rsidRPr="001A4499">
              <w:tab/>
            </w:r>
            <w:r w:rsidRPr="001A4499">
              <w:rPr>
                <w:b/>
                <w:i/>
              </w:rPr>
              <w:t>sottolinea l'importanza dei meccanismi esistenti inclusi nella direttiva sulla cooperazione amministrativa (DAC), nella direttiva anti-elusione (ATAD) e nell'accordo sullo scambio automatico delle informazioni (MCAA) che hanno notevolmente migliorato la tr</w:t>
            </w:r>
            <w:r w:rsidRPr="001A4499">
              <w:rPr>
                <w:b/>
                <w:i/>
              </w:rPr>
              <w:t>asparenza e la cooperazione transfrontaliera tra le autorità fiscali, consentendo una risposta più efficace alle pratiche di pianificazione fiscale aggressiva;</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102</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Pasquale Tridico, Jussi Saramo, Manon Aubry, Marc Botenga</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6 quater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6 quater.</w:t>
            </w:r>
            <w:r w:rsidRPr="001A4499">
              <w:tab/>
            </w:r>
            <w:r w:rsidRPr="001A4499">
              <w:rPr>
                <w:b/>
                <w:i/>
              </w:rPr>
              <w:t xml:space="preserve">ricorda che, in assenza di una solida comunicazione, le amministrazioni fiscali non disporrebbero delle informazioni di base necessarie per individuare, indagare e prevenire le pratiche fiscali abusive; sottolinea che l'accesso a dati fiscali tempestivi e </w:t>
            </w:r>
            <w:r w:rsidRPr="001A4499">
              <w:rPr>
                <w:b/>
                <w:i/>
              </w:rPr>
              <w:t>completi è essenziale per salvaguardare l'equità dei sistemi fiscali e proteggere le entrate pubbliche;</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103</w:t>
      </w:r>
      <w:r w:rsidRPr="001A4499">
        <w:rPr>
          <w:rStyle w:val="HideTWBExt"/>
          <w:color w:val="auto"/>
        </w:rPr>
        <w:t>&lt;/NumAm&gt;</w:t>
      </w:r>
    </w:p>
    <w:p w:rsidR="00D20070" w:rsidRPr="001A4499" w:rsidRDefault="00FF5B9D" w:rsidP="00D20070">
      <w:pPr>
        <w:pStyle w:val="NormalBold"/>
      </w:pPr>
      <w:r w:rsidRPr="001A4499">
        <w:rPr>
          <w:rStyle w:val="HideTWBExt"/>
          <w:b w:val="0"/>
          <w:color w:val="auto"/>
        </w:rPr>
        <w:lastRenderedPageBreak/>
        <w:t>&lt;RepeatBlock-By&gt;&lt;Members&gt;</w:t>
      </w:r>
      <w:r w:rsidRPr="001A4499">
        <w:t>Pasquale Tridico, Jussi Saramo, Manon Aubry, Marc Botenga</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6 quinquies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6 quinquies.</w:t>
            </w:r>
            <w:r w:rsidRPr="001A4499">
              <w:tab/>
            </w:r>
            <w:r w:rsidRPr="001A4499">
              <w:rPr>
                <w:b/>
                <w:i/>
              </w:rPr>
              <w:t>riconosce che, per giustificare i costi di conformità agli obblighi di comunicazione, sono necessarie amministrazioni fiscali efficienti e con risorse adeguate, dotate di personale adeguatamente formato e di moderne infrastrutture digitali; sottolinea la n</w:t>
            </w:r>
            <w:r w:rsidRPr="001A4499">
              <w:rPr>
                <w:b/>
                <w:i/>
              </w:rPr>
              <w:t>ecessità di investire nella capacità delle autorità fiscali per garantire che gli obblighi di comunicazione esistenti siano sfruttati appieno;</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104</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Fernand Kartheiser</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7</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7.</w:t>
            </w:r>
            <w:r w:rsidRPr="001A4499">
              <w:tab/>
            </w:r>
            <w:r w:rsidRPr="001A4499">
              <w:t xml:space="preserve">rammenta che la semplicità, la stabilità e la prevedibilità delle norme fiscali sono essenziali per un'economia competitiva; </w:t>
            </w:r>
            <w:r w:rsidRPr="001A4499">
              <w:rPr>
                <w:b/>
                <w:i/>
              </w:rPr>
              <w:t>invita la Commissione a guidare</w:t>
            </w:r>
            <w:r w:rsidRPr="001A4499">
              <w:t xml:space="preserve"> tutti gli Stati membri verso una semplificazione del sistema fiscale al fine di ridurre gli oneri a</w:t>
            </w:r>
            <w:r w:rsidRPr="001A4499">
              <w:t>mministrativi che gravano sulle imprese; constata che la certezza fiscale e la semplificazione delle procedure di rimborso e delle detrazioni sono soluzioni fondamentali per ridurre gli oneri amministrativi, in particolare per le PMI;</w:t>
            </w:r>
          </w:p>
        </w:tc>
        <w:tc>
          <w:tcPr>
            <w:tcW w:w="4876" w:type="dxa"/>
            <w:tcBorders>
              <w:top w:val="nil"/>
              <w:left w:val="nil"/>
              <w:bottom w:val="nil"/>
              <w:right w:val="nil"/>
            </w:tcBorders>
            <w:hideMark/>
          </w:tcPr>
          <w:p w:rsidR="00D20070" w:rsidRPr="001A4499" w:rsidRDefault="00FF5B9D">
            <w:pPr>
              <w:pStyle w:val="Normal6a"/>
            </w:pPr>
            <w:r w:rsidRPr="001A4499">
              <w:t>7.</w:t>
            </w:r>
            <w:r w:rsidRPr="001A4499">
              <w:tab/>
              <w:t>rammenta che la se</w:t>
            </w:r>
            <w:r w:rsidRPr="001A4499">
              <w:t xml:space="preserve">mplicità, la stabilità e la prevedibilità delle norme fiscali sono essenziali per un'economia competitiva; </w:t>
            </w:r>
            <w:r w:rsidRPr="001A4499">
              <w:rPr>
                <w:b/>
                <w:i/>
              </w:rPr>
              <w:t>si compiace dell'intento di</w:t>
            </w:r>
            <w:r w:rsidRPr="001A4499">
              <w:t xml:space="preserve"> tutti gli Stati membri verso una semplificazione del sistema fiscale al fine di ridurre gli oneri amministrativi che grav</w:t>
            </w:r>
            <w:r w:rsidRPr="001A4499">
              <w:t>ano sulle imprese; constata che la certezza fiscale e la semplificazione delle procedure di rimborso e delle detrazioni sono soluzioni fondamentali per ridurre gli oneri amministrativi, in particolare per le PMI;</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lastRenderedPageBreak/>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105</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Sirpa Pietikäinen</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7</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7.</w:t>
            </w:r>
            <w:r w:rsidRPr="001A4499">
              <w:tab/>
            </w:r>
            <w:r w:rsidRPr="001A4499">
              <w:t>rammenta che la semplicità, la stabilità e la prevedibilità delle norme fiscali sono essenziali per un'economia competitiva; invita la Commissione a guidare tutti gli Stati membri verso una semplificazione del sistema fiscale al fine di ridurre gli oneri a</w:t>
            </w:r>
            <w:r w:rsidRPr="001A4499">
              <w:t>mministrativi che gravano sulle imprese; constata che la certezza fiscale e la semplificazione delle procedure di rimborso e delle detrazioni sono soluzioni fondamentali per ridurre gli oneri amministrativi, in particolare per le PMI;</w:t>
            </w:r>
          </w:p>
        </w:tc>
        <w:tc>
          <w:tcPr>
            <w:tcW w:w="4876" w:type="dxa"/>
            <w:tcBorders>
              <w:top w:val="nil"/>
              <w:left w:val="nil"/>
              <w:bottom w:val="nil"/>
              <w:right w:val="nil"/>
            </w:tcBorders>
            <w:hideMark/>
          </w:tcPr>
          <w:p w:rsidR="00D20070" w:rsidRPr="001A4499" w:rsidRDefault="00FF5B9D">
            <w:pPr>
              <w:pStyle w:val="Normal6a"/>
            </w:pPr>
            <w:r w:rsidRPr="001A4499">
              <w:t>7.</w:t>
            </w:r>
            <w:r w:rsidRPr="001A4499">
              <w:tab/>
              <w:t>rammenta che la se</w:t>
            </w:r>
            <w:r w:rsidRPr="001A4499">
              <w:t>mplicità, la stabilità e la prevedibilità delle norme fiscali sono essenziali per un'economia competitiva; invita la Commissione a guidare tutti gli Stati membri verso un sistema fiscale semplificato al fine di ridurre gli oneri amministrativi per le impre</w:t>
            </w:r>
            <w:r w:rsidRPr="001A4499">
              <w:t>se, in particolare le PMI</w:t>
            </w:r>
            <w:r w:rsidRPr="001A4499">
              <w:rPr>
                <w:b/>
                <w:i/>
              </w:rPr>
              <w:t>, ad esempio nella forma di un'armonizzazione dell'impiego del numero di identificazione fiscale in tutti gli Stati membri</w:t>
            </w:r>
            <w:r w:rsidRPr="001A4499">
              <w:t>; constata che la certezza fiscale e la semplificazione delle procedure di rimborso e delle detrazioni sono s</w:t>
            </w:r>
            <w:r w:rsidRPr="001A4499">
              <w:t>oluzioni fondamentali per ridurre gli oneri amministrativi, in particolare per le PMI;</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106</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Markus Ferber</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7</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7.</w:t>
            </w:r>
            <w:r w:rsidRPr="001A4499">
              <w:tab/>
              <w:t xml:space="preserve">rammenta che la semplicità, la stabilità e la prevedibilità delle norme fiscali sono essenziali per un'economia competitiva; </w:t>
            </w:r>
            <w:r w:rsidRPr="001A4499">
              <w:t xml:space="preserve">invita la Commissione a guidare tutti gli Stati membri verso una semplificazione del sistema fiscale al fine di ridurre gli oneri amministrativi che gravano sulle imprese; constata che la certezza fiscale e la semplificazione delle procedure di rimborso e </w:t>
            </w:r>
            <w:r w:rsidRPr="001A4499">
              <w:t xml:space="preserve">delle detrazioni </w:t>
            </w:r>
            <w:r w:rsidRPr="001A4499">
              <w:lastRenderedPageBreak/>
              <w:t>sono soluzioni fondamentali per ridurre gli oneri amministrativi, in particolare per le PMI;</w:t>
            </w:r>
          </w:p>
        </w:tc>
        <w:tc>
          <w:tcPr>
            <w:tcW w:w="4876" w:type="dxa"/>
            <w:tcBorders>
              <w:top w:val="nil"/>
              <w:left w:val="nil"/>
              <w:bottom w:val="nil"/>
              <w:right w:val="nil"/>
            </w:tcBorders>
            <w:hideMark/>
          </w:tcPr>
          <w:p w:rsidR="00D20070" w:rsidRPr="001A4499" w:rsidRDefault="00FF5B9D">
            <w:pPr>
              <w:pStyle w:val="Normal6a"/>
            </w:pPr>
            <w:r w:rsidRPr="001A4499">
              <w:lastRenderedPageBreak/>
              <w:t>7.</w:t>
            </w:r>
            <w:r w:rsidRPr="001A4499">
              <w:tab/>
              <w:t xml:space="preserve">rammenta che la semplicità, la stabilità e la prevedibilità delle norme fiscali sono essenziali per un'economia competitiva </w:t>
            </w:r>
            <w:r w:rsidRPr="001A4499">
              <w:rPr>
                <w:b/>
                <w:i/>
              </w:rPr>
              <w:t>e contribuiscono al</w:t>
            </w:r>
            <w:r w:rsidRPr="001A4499">
              <w:rPr>
                <w:b/>
                <w:i/>
              </w:rPr>
              <w:t>la creazione di posti di lavoro e alla crescita economica</w:t>
            </w:r>
            <w:r w:rsidRPr="001A4499">
              <w:t xml:space="preserve">; invita la Commissione a guidare tutti gli Stati membri verso una semplificazione del sistema fiscale al fine di ridurre gli oneri amministrativi che gravano sulle imprese; constata che la </w:t>
            </w:r>
            <w:r w:rsidRPr="001A4499">
              <w:lastRenderedPageBreak/>
              <w:t xml:space="preserve">certezza </w:t>
            </w:r>
            <w:r w:rsidRPr="001A4499">
              <w:t>fiscale e la semplificazione delle procedure di rimborso e delle detrazioni sono soluzioni fondamentali per ridurre gli oneri amministrativi, in particolare per le PMI;</w:t>
            </w:r>
          </w:p>
        </w:tc>
      </w:tr>
    </w:tbl>
    <w:p w:rsidR="00D20070" w:rsidRPr="001A4499" w:rsidRDefault="00FF5B9D" w:rsidP="00D20070">
      <w:pPr>
        <w:pStyle w:val="AmOrLang"/>
        <w:rPr>
          <w:lang w:eastAsia="en-US"/>
        </w:rPr>
      </w:pPr>
      <w:r w:rsidRPr="001A4499">
        <w:lastRenderedPageBreak/>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107</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Niels Fuglsang, Matthias Ecke, Aurore Lalucq, Evelyn Regner</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7</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7.</w:t>
            </w:r>
            <w:r w:rsidRPr="001A4499">
              <w:tab/>
            </w:r>
            <w:r w:rsidRPr="001A4499">
              <w:t xml:space="preserve">rammenta che la semplicità, la stabilità e la prevedibilità delle norme fiscali sono essenziali per un'economia competitiva; invita la Commissione a </w:t>
            </w:r>
            <w:r w:rsidRPr="001A4499">
              <w:rPr>
                <w:b/>
                <w:i/>
              </w:rPr>
              <w:t>guidare tutti</w:t>
            </w:r>
            <w:r w:rsidRPr="001A4499">
              <w:t xml:space="preserve"> gli Stati membri verso una semplificazione del sistema fiscale al fine di ridurre gli oneri a</w:t>
            </w:r>
            <w:r w:rsidRPr="001A4499">
              <w:t>mministrativi che gravano sulle imprese; constata che la certezza fiscale e la semplificazione delle procedure di rimborso e delle detrazioni sono soluzioni fondamentali per ridurre gli oneri amministrativi, in particolare per le PMI;</w:t>
            </w:r>
          </w:p>
        </w:tc>
        <w:tc>
          <w:tcPr>
            <w:tcW w:w="4876" w:type="dxa"/>
            <w:tcBorders>
              <w:top w:val="nil"/>
              <w:left w:val="nil"/>
              <w:bottom w:val="nil"/>
              <w:right w:val="nil"/>
            </w:tcBorders>
            <w:hideMark/>
          </w:tcPr>
          <w:p w:rsidR="00D20070" w:rsidRPr="001A4499" w:rsidRDefault="00FF5B9D">
            <w:pPr>
              <w:pStyle w:val="Normal6a"/>
            </w:pPr>
            <w:r w:rsidRPr="001A4499">
              <w:t>7.</w:t>
            </w:r>
            <w:r w:rsidRPr="001A4499">
              <w:tab/>
              <w:t>rammenta che la se</w:t>
            </w:r>
            <w:r w:rsidRPr="001A4499">
              <w:t xml:space="preserve">mplicità, la stabilità e la prevedibilità delle norme fiscali sono essenziali per un'economia competitiva; invita la Commissione a </w:t>
            </w:r>
            <w:r w:rsidRPr="001A4499">
              <w:rPr>
                <w:b/>
                <w:i/>
              </w:rPr>
              <w:t>formulare raccomandazioni per</w:t>
            </w:r>
            <w:r w:rsidRPr="001A4499">
              <w:t xml:space="preserve"> gli Stati membri verso una semplificazione del sistema fiscale al fine di ridurre gli oneri amm</w:t>
            </w:r>
            <w:r w:rsidRPr="001A4499">
              <w:t xml:space="preserve">inistrativi che gravano sulle imprese </w:t>
            </w:r>
            <w:r w:rsidRPr="001A4499">
              <w:rPr>
                <w:b/>
                <w:i/>
              </w:rPr>
              <w:t>e sui cittadini, ove ritenuto appropriato</w:t>
            </w:r>
            <w:r w:rsidRPr="001A4499">
              <w:t>; constata che la certezza fiscale e la semplificazione delle procedure di rimborso e delle detrazioni sono soluzioni fondamentali per ridurre gli oneri amministrativi, in parti</w:t>
            </w:r>
            <w:r w:rsidRPr="001A4499">
              <w:t>colare per le PMI;</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108</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Kira Marie Peter-Hansen</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7</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7.</w:t>
            </w:r>
            <w:r w:rsidRPr="001A4499">
              <w:tab/>
              <w:t xml:space="preserve">rammenta che la semplicità, la stabilità e la prevedibilità delle norme fiscali sono essenziali per un'economia </w:t>
            </w:r>
            <w:r w:rsidRPr="001A4499">
              <w:lastRenderedPageBreak/>
              <w:t>competitiva; invita la Commissione a guidare tutti gli Stati membri verso una semplificazione del sistem</w:t>
            </w:r>
            <w:r w:rsidRPr="001A4499">
              <w:t>a fiscale al fine di ridurre gli oneri amministrativi che gravano sulle imprese; constata che la certezza fiscale e la semplificazione delle procedure di rimborso e delle detrazioni sono soluzioni fondamentali per ridurre gli oneri amministrativi, in parti</w:t>
            </w:r>
            <w:r w:rsidRPr="001A4499">
              <w:t>colare per le PMI;</w:t>
            </w:r>
          </w:p>
        </w:tc>
        <w:tc>
          <w:tcPr>
            <w:tcW w:w="4876" w:type="dxa"/>
            <w:tcBorders>
              <w:top w:val="nil"/>
              <w:left w:val="nil"/>
              <w:bottom w:val="nil"/>
              <w:right w:val="nil"/>
            </w:tcBorders>
            <w:hideMark/>
          </w:tcPr>
          <w:p w:rsidR="00D20070" w:rsidRPr="001A4499" w:rsidRDefault="00FF5B9D">
            <w:pPr>
              <w:pStyle w:val="Normal6a"/>
            </w:pPr>
            <w:r w:rsidRPr="001A4499">
              <w:lastRenderedPageBreak/>
              <w:t>7.</w:t>
            </w:r>
            <w:r w:rsidRPr="001A4499">
              <w:tab/>
              <w:t xml:space="preserve">rammenta che la semplicità, la stabilità e la prevedibilità delle norme fiscali sono essenziali per un'economia </w:t>
            </w:r>
            <w:r w:rsidRPr="001A4499">
              <w:lastRenderedPageBreak/>
              <w:t xml:space="preserve">competitiva; invita la Commissione a guidare tutti gli Stati membri verso una semplificazione del sistema fiscale </w:t>
            </w:r>
            <w:r w:rsidRPr="001A4499">
              <w:rPr>
                <w:b/>
                <w:i/>
              </w:rPr>
              <w:t>, anche nel settore degli incentivi fiscali,</w:t>
            </w:r>
            <w:r w:rsidRPr="001A4499">
              <w:t xml:space="preserve"> al fine di ridurre gli oneri amministrativi che gravano sulle imprese; constata che la certezza fiscale e la semplificazione delle procedure di rimborso e delle detrazioni sono soluzioni fondamentali per ridurre</w:t>
            </w:r>
            <w:r w:rsidRPr="001A4499">
              <w:t xml:space="preserve"> gli oneri amministrativi, in particolare per le PMI;</w:t>
            </w:r>
          </w:p>
        </w:tc>
      </w:tr>
    </w:tbl>
    <w:p w:rsidR="00D20070" w:rsidRPr="001A4499" w:rsidRDefault="00FF5B9D" w:rsidP="00D20070">
      <w:pPr>
        <w:pStyle w:val="AmOrLang"/>
        <w:rPr>
          <w:lang w:eastAsia="en-US"/>
        </w:rPr>
      </w:pPr>
      <w:r w:rsidRPr="001A4499">
        <w:lastRenderedPageBreak/>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109</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Regina Doherty</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7</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7.</w:t>
            </w:r>
            <w:r w:rsidRPr="001A4499">
              <w:tab/>
              <w:t xml:space="preserve">rammenta che la semplicità, la stabilità e la prevedibilità delle norme fiscali sono essenziali per un'economia competitiva; </w:t>
            </w:r>
            <w:r w:rsidRPr="001A4499">
              <w:t xml:space="preserve">invita la Commissione a guidare tutti gli Stati membri verso una semplificazione del sistema fiscale al fine di ridurre gli oneri amministrativi che gravano sulle imprese; constata che la certezza fiscale e la semplificazione delle procedure di rimborso e </w:t>
            </w:r>
            <w:r w:rsidRPr="001A4499">
              <w:t>delle detrazioni sono soluzioni fondamentali per ridurre gli oneri amministrativi, in particolare per le PMI;</w:t>
            </w:r>
          </w:p>
        </w:tc>
        <w:tc>
          <w:tcPr>
            <w:tcW w:w="4876" w:type="dxa"/>
            <w:tcBorders>
              <w:top w:val="nil"/>
              <w:left w:val="nil"/>
              <w:bottom w:val="nil"/>
              <w:right w:val="nil"/>
            </w:tcBorders>
            <w:hideMark/>
          </w:tcPr>
          <w:p w:rsidR="00D20070" w:rsidRPr="001A4499" w:rsidRDefault="00FF5B9D">
            <w:pPr>
              <w:pStyle w:val="Normal6a"/>
            </w:pPr>
            <w:r w:rsidRPr="001A4499">
              <w:t>7.</w:t>
            </w:r>
            <w:r w:rsidRPr="001A4499">
              <w:tab/>
              <w:t>rammenta che la semplicità, la stabilità e la prevedibilità delle norme fiscali sono essenziali per un'economia competitiva; invita la Commissi</w:t>
            </w:r>
            <w:r w:rsidRPr="001A4499">
              <w:t xml:space="preserve">one a guidare tutti gli Stati membri verso una semplificazione </w:t>
            </w:r>
            <w:r w:rsidRPr="001A4499">
              <w:rPr>
                <w:b/>
                <w:i/>
              </w:rPr>
              <w:t>e una competitività</w:t>
            </w:r>
            <w:r w:rsidRPr="001A4499">
              <w:t xml:space="preserve"> del sistema fiscale al fine di ridurre gli oneri amministrativi che gravano sulle imprese; constata che la certezza fiscale e la semplificazione delle procedure di rimborso </w:t>
            </w:r>
            <w:r w:rsidRPr="001A4499">
              <w:t>e delle detrazioni sono soluzioni fondamentali per ridurre gli oneri amministrativi, in particolare per le PMI;</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110</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Arba Kokalari</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7 bis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lastRenderedPageBreak/>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7 bis.</w:t>
            </w:r>
            <w:r w:rsidRPr="001A4499">
              <w:tab/>
            </w:r>
            <w:r w:rsidRPr="001A4499">
              <w:rPr>
                <w:b/>
                <w:i/>
              </w:rPr>
              <w:t xml:space="preserve">sottolinea la necessità di aumentare la partecipazione degli investitori al dettaglio ai mercati dei capitali per mobilitare gli investimenti nell'economia europea e offrire ai cittadini dell'UE rendimenti più interessanti sui loro risparmi; riconosce che </w:t>
            </w:r>
            <w:r w:rsidRPr="001A4499">
              <w:rPr>
                <w:b/>
                <w:i/>
              </w:rPr>
              <w:t>la semplificazione delle procedure di dichiarazione fiscale è fondamentale per incentivare e incoraggiare gli investimenti al dettaglio riducendo la complessità amministrativa e gli oneri per i cittadini; sostiene l'estensione dell'accesso in tutti gli Sta</w:t>
            </w:r>
            <w:r w:rsidRPr="001A4499">
              <w:rPr>
                <w:b/>
                <w:i/>
              </w:rPr>
              <w:t>ti membri dell'UE ai conti di risparmio e di investimento con procedure semplificate di dichiarazione fiscale, in particolare quando detti conti sono accompagnati da incentivi fiscali;</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111</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Kira Marie Peter-Hansen</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7 bis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7 bis.</w:t>
            </w:r>
            <w:r w:rsidRPr="001A4499">
              <w:tab/>
            </w:r>
            <w:r w:rsidRPr="001A4499">
              <w:rPr>
                <w:b/>
                <w:i/>
              </w:rPr>
              <w:t>osserva che la Commissione sta attualmente conducendo progetti pilota con imprese volontarie e amministrazioni fiscali in materia di conformità cooperativa, in cui le società che soddisfano determinati criteri di conformità, quali la comunicazione proattiv</w:t>
            </w:r>
            <w:r w:rsidRPr="001A4499">
              <w:rPr>
                <w:b/>
                <w:i/>
              </w:rPr>
              <w:t>a e solidi controlli interni, beneficiano di una riduzione degli audit e di una più rapida risoluzione delle controversie da parte delle autorità fiscali; invita la Commissione a valutare gli insegnamenti tratti e a proporre un quadro di conformità coopera</w:t>
            </w:r>
            <w:r w:rsidRPr="001A4499">
              <w:rPr>
                <w:b/>
                <w:i/>
              </w:rPr>
              <w:t>tivo paneuropeo;</w:t>
            </w:r>
          </w:p>
        </w:tc>
      </w:tr>
    </w:tbl>
    <w:p w:rsidR="00D20070" w:rsidRPr="001A4499" w:rsidRDefault="00FF5B9D" w:rsidP="00D20070">
      <w:pPr>
        <w:pStyle w:val="AmOrLang"/>
        <w:rPr>
          <w:lang w:eastAsia="en-US"/>
        </w:rPr>
      </w:pPr>
      <w:r w:rsidRPr="001A4499">
        <w:lastRenderedPageBreak/>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112</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Regina Doherty</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7 bis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7 bis.</w:t>
            </w:r>
            <w:r w:rsidRPr="001A4499">
              <w:tab/>
            </w:r>
            <w:r w:rsidRPr="001A4499">
              <w:rPr>
                <w:b/>
                <w:i/>
              </w:rPr>
              <w:t>invita gli Stati membri a rivedere i propri sistemi fiscali nazionali al fine di promuovere la competitività, la semplificazione e gli investimenti, anche eliminando le imposte e gli oneri settoriali, che distor</w:t>
            </w:r>
            <w:r w:rsidRPr="001A4499">
              <w:rPr>
                <w:b/>
                <w:i/>
              </w:rPr>
              <w:t>cono la concorrenza nel mercato unico, aumentano i costi in diversi settori e fungono da ostacoli agli investimenti transfrontalieri e agli investimenti al dettaglio;</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113</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Regina Doherty</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7 ter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7 ter.</w:t>
            </w:r>
            <w:r w:rsidRPr="001A4499">
              <w:tab/>
            </w:r>
            <w:r w:rsidRPr="001A4499">
              <w:rPr>
                <w:b/>
                <w:i/>
              </w:rPr>
              <w:t xml:space="preserve">sottolinea che gli inviti a creare nuove tasse e oneri settoriali a livello dell'UE sono controproducenti in quanto tali imposte e oneri settoriali servirebbero solo a rendere l'Europa meno competitiva e meno dinamica dal punto di vista economico rispetto </w:t>
            </w:r>
            <w:r w:rsidRPr="001A4499">
              <w:rPr>
                <w:b/>
                <w:i/>
              </w:rPr>
              <w:t>al resto del mondo, minando nel contempo la fiducia delle imprese, scoraggiando gli investimenti e danneggiando la creazione di posti di lavoro;</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lastRenderedPageBreak/>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114</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Regina Doherty</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7 quater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7 quater.</w:t>
            </w:r>
            <w:r w:rsidRPr="001A4499">
              <w:tab/>
            </w:r>
            <w:r w:rsidRPr="001A4499">
              <w:rPr>
                <w:b/>
                <w:i/>
              </w:rPr>
              <w:t>chiede, nell'interesse della semplificazione e dell'equità, una riforma a livello nazionale delle imposte che possono costituire una doppia imposizione, aumentare il costo della vita o avere un impatto su coloro che sono a corto di liquidità, comprese le i</w:t>
            </w:r>
            <w:r w:rsidRPr="001A4499">
              <w:rPr>
                <w:b/>
                <w:i/>
              </w:rPr>
              <w:t>mposte sulle plusvalenze, le imposte sull'eredità e le imposte sulla proprietà;</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115</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Kira Marie Peter-Hansen</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8</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8.</w:t>
            </w:r>
            <w:r w:rsidRPr="001A4499">
              <w:tab/>
            </w:r>
            <w:r w:rsidRPr="001A4499">
              <w:t>evidenzia il potenziale della digitalizzazione, in particolare dell'intelligenza artificiale, ai fini della riduzione degli oneri amministrativi e dei costi di conformità che gravano sulle imprese, in particolare sulle PMI; esorta la Commissione e gli Stat</w:t>
            </w:r>
            <w:r w:rsidRPr="001A4499">
              <w:t>i membri a promuovere la digitalizzazione e la semplificazione dell'amministrazione fiscale;</w:t>
            </w:r>
          </w:p>
        </w:tc>
        <w:tc>
          <w:tcPr>
            <w:tcW w:w="4876" w:type="dxa"/>
            <w:tcBorders>
              <w:top w:val="nil"/>
              <w:left w:val="nil"/>
              <w:bottom w:val="nil"/>
              <w:right w:val="nil"/>
            </w:tcBorders>
            <w:hideMark/>
          </w:tcPr>
          <w:p w:rsidR="00D20070" w:rsidRPr="001A4499" w:rsidRDefault="00FF5B9D">
            <w:pPr>
              <w:pStyle w:val="Normal6a"/>
            </w:pPr>
            <w:r w:rsidRPr="001A4499">
              <w:t>8.</w:t>
            </w:r>
            <w:r w:rsidRPr="001A4499">
              <w:tab/>
              <w:t xml:space="preserve">evidenzia il potenziale della digitalizzazione, in particolare dell'intelligenza artificiale, ai fini della riduzione degli oneri amministrativi e dei costi di </w:t>
            </w:r>
            <w:r w:rsidRPr="001A4499">
              <w:t xml:space="preserve">conformità che gravano sulle imprese, in particolare sulle PMI; esorta la Commissione e gli Stati membri a promuovere la digitalizzazione e la semplificazione dell'amministrazione fiscale; </w:t>
            </w:r>
            <w:r w:rsidRPr="001A4499">
              <w:rPr>
                <w:b/>
                <w:i/>
              </w:rPr>
              <w:t>osserva tuttavia che gli Stati membri dovrebbero aumentare le risor</w:t>
            </w:r>
            <w:r w:rsidRPr="001A4499">
              <w:rPr>
                <w:b/>
                <w:i/>
              </w:rPr>
              <w:t xml:space="preserve">se e gli investimenti nelle proprie amministrazioni fiscali, sia per quanto riguarda il personale che per la diffusione di sistemi informatici integrati, interoperabili e solidi; invita la Commissione a esaminare un apposito </w:t>
            </w:r>
            <w:r w:rsidRPr="001A4499">
              <w:rPr>
                <w:b/>
                <w:i/>
              </w:rPr>
              <w:lastRenderedPageBreak/>
              <w:t>programma di finanziamento dell</w:t>
            </w:r>
            <w:r w:rsidRPr="001A4499">
              <w:rPr>
                <w:b/>
                <w:i/>
              </w:rPr>
              <w:t>'UE a sostegno di tali investimenti;</w:t>
            </w:r>
          </w:p>
        </w:tc>
      </w:tr>
    </w:tbl>
    <w:p w:rsidR="00D20070" w:rsidRPr="001A4499" w:rsidRDefault="00FF5B9D" w:rsidP="00D20070">
      <w:pPr>
        <w:pStyle w:val="AmOrLang"/>
        <w:rPr>
          <w:lang w:eastAsia="en-US"/>
        </w:rPr>
      </w:pPr>
      <w:r w:rsidRPr="001A4499">
        <w:lastRenderedPageBreak/>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116</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Roberts Zīle</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8</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8.</w:t>
            </w:r>
            <w:r w:rsidRPr="001A4499">
              <w:tab/>
            </w:r>
            <w:r w:rsidRPr="001A4499">
              <w:t>evidenzia il potenziale della digitalizzazione, in particolare dell'intelligenza artificiale, ai fini della riduzione degli oneri amministrativi e dei costi di conformità che gravano sulle imprese, in particolare sulle PMI; esorta la Commissione e gli Stat</w:t>
            </w:r>
            <w:r w:rsidRPr="001A4499">
              <w:t>i membri a promuovere la digitalizzazione e la semplificazione dell'amministrazione fiscale;</w:t>
            </w:r>
          </w:p>
        </w:tc>
        <w:tc>
          <w:tcPr>
            <w:tcW w:w="4876" w:type="dxa"/>
            <w:tcBorders>
              <w:top w:val="nil"/>
              <w:left w:val="nil"/>
              <w:bottom w:val="nil"/>
              <w:right w:val="nil"/>
            </w:tcBorders>
            <w:hideMark/>
          </w:tcPr>
          <w:p w:rsidR="00D20070" w:rsidRPr="001A4499" w:rsidRDefault="00FF5B9D">
            <w:pPr>
              <w:pStyle w:val="Normal6a"/>
            </w:pPr>
            <w:r w:rsidRPr="001A4499">
              <w:t>8.</w:t>
            </w:r>
            <w:r w:rsidRPr="001A4499">
              <w:tab/>
              <w:t xml:space="preserve">evidenzia il potenziale della digitalizzazione, in particolare dell'intelligenza artificiale, ai fini della riduzione degli oneri amministrativi e dei costi di </w:t>
            </w:r>
            <w:r w:rsidRPr="001A4499">
              <w:t>conformità che gravano sulle imprese, in particolare sulle PMI; esorta la Commissione e gli Stati membri a promuovere la digitalizzazione e la semplificazione dell'amministrazione fiscale</w:t>
            </w:r>
            <w:r w:rsidRPr="001A4499">
              <w:rPr>
                <w:b/>
                <w:i/>
              </w:rPr>
              <w:t>, promuovendo nel contempo la cooperazione volontaria e lo scambio di</w:t>
            </w:r>
            <w:r w:rsidRPr="001A4499">
              <w:rPr>
                <w:b/>
                <w:i/>
              </w:rPr>
              <w:t xml:space="preserve"> buone prassi e di know-how tra le autorità nazionali con la Commissione che funge da facilitatore senza imporre soluzioni armonizzate</w:t>
            </w:r>
            <w:r w:rsidRPr="001A4499">
              <w:t>;</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117</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Dirk Gotink</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8</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8.</w:t>
            </w:r>
            <w:r w:rsidRPr="001A4499">
              <w:tab/>
              <w:t>evidenzia il potenziale della digitalizzazione</w:t>
            </w:r>
            <w:r w:rsidRPr="001A4499">
              <w:rPr>
                <w:b/>
                <w:i/>
              </w:rPr>
              <w:t>, in particolare dell'intelligenza artificiale,</w:t>
            </w:r>
            <w:r w:rsidRPr="001A4499">
              <w:t xml:space="preserve"> ai fini della riduzione degli oneri amministrativi e dei costi di conformità che gravano sulle imprese, in particolare sulle PMI; esorta la </w:t>
            </w:r>
            <w:r w:rsidRPr="001A4499">
              <w:lastRenderedPageBreak/>
              <w:t>Commissione e gli Stati membri a promuovere la digitalizzazione e la semplificazione dell'amministrazione fiscale;</w:t>
            </w:r>
          </w:p>
        </w:tc>
        <w:tc>
          <w:tcPr>
            <w:tcW w:w="4876" w:type="dxa"/>
            <w:tcBorders>
              <w:top w:val="nil"/>
              <w:left w:val="nil"/>
              <w:bottom w:val="nil"/>
              <w:right w:val="nil"/>
            </w:tcBorders>
            <w:hideMark/>
          </w:tcPr>
          <w:p w:rsidR="00D20070" w:rsidRPr="001A4499" w:rsidRDefault="00FF5B9D">
            <w:pPr>
              <w:pStyle w:val="Normal6a"/>
            </w:pPr>
            <w:r w:rsidRPr="001A4499">
              <w:lastRenderedPageBreak/>
              <w:t>8.</w:t>
            </w:r>
            <w:r w:rsidRPr="001A4499">
              <w:tab/>
              <w:t>evidenzia il potenziale della digitalizzazione ai fini della riduzione degli oneri amministrativi e dei costi di conformità che gravano sulle imprese, in particolare sulle PMI</w:t>
            </w:r>
            <w:r w:rsidRPr="001A4499">
              <w:rPr>
                <w:b/>
                <w:i/>
              </w:rPr>
              <w:t xml:space="preserve">; osserva che anche la digitalizzazione può migliorare </w:t>
            </w:r>
            <w:r w:rsidRPr="001A4499">
              <w:rPr>
                <w:b/>
                <w:i/>
              </w:rPr>
              <w:lastRenderedPageBreak/>
              <w:t>l'amministrazione fisca</w:t>
            </w:r>
            <w:r w:rsidRPr="001A4499">
              <w:rPr>
                <w:b/>
                <w:i/>
              </w:rPr>
              <w:t>le pubblica, a condizione che siano garantite la trasparenza e una sufficiente supervisione del processo decisionale automatizzato in materia fiscale</w:t>
            </w:r>
            <w:r w:rsidRPr="001A4499">
              <w:t>; esorta la Commissione e gli Stati membri a promuovere la digitalizzazione e la semplificazione dell'ammin</w:t>
            </w:r>
            <w:r w:rsidRPr="001A4499">
              <w:t>istrazione fiscale;</w:t>
            </w:r>
          </w:p>
        </w:tc>
      </w:tr>
    </w:tbl>
    <w:p w:rsidR="00D20070" w:rsidRPr="001A4499" w:rsidRDefault="00FF5B9D" w:rsidP="00D20070">
      <w:pPr>
        <w:pStyle w:val="AmOrLang"/>
        <w:rPr>
          <w:lang w:eastAsia="en-US"/>
        </w:rPr>
      </w:pPr>
      <w:r w:rsidRPr="001A4499">
        <w:lastRenderedPageBreak/>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118</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Pierre Pimpie, Enikő Győri, Jorge Martín Frías, Tomáš Kubín</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8</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8.</w:t>
            </w:r>
            <w:r w:rsidRPr="001A4499">
              <w:tab/>
            </w:r>
            <w:r w:rsidRPr="001A4499">
              <w:t>evidenzia il potenziale della digitalizzazione, in particolare dell'intelligenza artificiale, ai fini della riduzione degli oneri amministrativi e dei costi di conformità che gravano sulle imprese, in particolare sulle PMI; esorta la Commissione e gli Stat</w:t>
            </w:r>
            <w:r w:rsidRPr="001A4499">
              <w:t>i membri a promuovere la digitalizzazione e la semplificazione dell'amministrazione fiscale;</w:t>
            </w:r>
          </w:p>
        </w:tc>
        <w:tc>
          <w:tcPr>
            <w:tcW w:w="4876" w:type="dxa"/>
            <w:tcBorders>
              <w:top w:val="nil"/>
              <w:left w:val="nil"/>
              <w:bottom w:val="nil"/>
              <w:right w:val="nil"/>
            </w:tcBorders>
            <w:hideMark/>
          </w:tcPr>
          <w:p w:rsidR="00D20070" w:rsidRPr="001A4499" w:rsidRDefault="00FF5B9D">
            <w:pPr>
              <w:pStyle w:val="Normal6a"/>
            </w:pPr>
            <w:r w:rsidRPr="001A4499">
              <w:t>8.</w:t>
            </w:r>
            <w:r w:rsidRPr="001A4499">
              <w:tab/>
              <w:t xml:space="preserve">evidenzia il potenziale della digitalizzazione, in particolare dell'intelligenza artificiale, ai fini della riduzione degli oneri amministrativi e dei costi di </w:t>
            </w:r>
            <w:r w:rsidRPr="001A4499">
              <w:t>conformità che gravano sulle imprese, in particolare sulle PMI; esorta la Commissione e gli Stati membri a promuovere la digitalizzazione e la semplificazione dell'amministrazione fiscale</w:t>
            </w:r>
            <w:r w:rsidRPr="001A4499">
              <w:rPr>
                <w:b/>
                <w:i/>
              </w:rPr>
              <w:t>, garantendo nel contempo l'interoperabilità delle soluzioni nazional</w:t>
            </w:r>
            <w:r w:rsidRPr="001A4499">
              <w:rPr>
                <w:b/>
                <w:i/>
              </w:rPr>
              <w:t>i</w:t>
            </w:r>
            <w:r w:rsidRPr="001A4499">
              <w:t>;</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119</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Billy Kelleher, Stéphanie Yon-Courtin</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8</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8.</w:t>
            </w:r>
            <w:r w:rsidRPr="001A4499">
              <w:tab/>
              <w:t xml:space="preserve">evidenzia il potenziale della digitalizzazione, in particolare dell'intelligenza artificiale, ai fini della </w:t>
            </w:r>
            <w:r w:rsidRPr="001A4499">
              <w:lastRenderedPageBreak/>
              <w:t>riduzione degli oneri amministrativi e dei costi di conformità che gravano sulle imprese, in particolare sul</w:t>
            </w:r>
            <w:r w:rsidRPr="001A4499">
              <w:t>le PMI; esorta la Commissione e gli Stati membri a promuovere la digitalizzazione e la semplificazione dell'amministrazione fiscale;</w:t>
            </w:r>
          </w:p>
        </w:tc>
        <w:tc>
          <w:tcPr>
            <w:tcW w:w="4876" w:type="dxa"/>
            <w:tcBorders>
              <w:top w:val="nil"/>
              <w:left w:val="nil"/>
              <w:bottom w:val="nil"/>
              <w:right w:val="nil"/>
            </w:tcBorders>
            <w:hideMark/>
          </w:tcPr>
          <w:p w:rsidR="00D20070" w:rsidRPr="001A4499" w:rsidRDefault="00FF5B9D">
            <w:pPr>
              <w:pStyle w:val="Normal6a"/>
            </w:pPr>
            <w:r w:rsidRPr="001A4499">
              <w:lastRenderedPageBreak/>
              <w:t>8.</w:t>
            </w:r>
            <w:r w:rsidRPr="001A4499">
              <w:tab/>
              <w:t xml:space="preserve">evidenzia il potenziale della digitalizzazione, in particolare dell'intelligenza artificiale, ai fini della </w:t>
            </w:r>
            <w:r w:rsidRPr="001A4499">
              <w:lastRenderedPageBreak/>
              <w:t>riduzione de</w:t>
            </w:r>
            <w:r w:rsidRPr="001A4499">
              <w:t xml:space="preserve">gli oneri amministrativi e dei costi di conformità che gravano sulle imprese, in particolare sulle PMI; esorta la Commissione e gli Stati membri a promuovere la digitalizzazione e la semplificazione dell'amministrazione fiscale; </w:t>
            </w:r>
            <w:r w:rsidRPr="001A4499">
              <w:rPr>
                <w:b/>
                <w:i/>
              </w:rPr>
              <w:t>avverte che la digitalizzaz</w:t>
            </w:r>
            <w:r w:rsidRPr="001A4499">
              <w:rPr>
                <w:b/>
                <w:i/>
              </w:rPr>
              <w:t>ione non è una panacea e deve essere integrata da uno sforzo di razionalizzazione del quadro fiscale;</w:t>
            </w:r>
          </w:p>
        </w:tc>
      </w:tr>
    </w:tbl>
    <w:p w:rsidR="00D20070" w:rsidRPr="001A4499" w:rsidRDefault="00FF5B9D" w:rsidP="00D20070">
      <w:pPr>
        <w:pStyle w:val="AmOrLang"/>
        <w:rPr>
          <w:lang w:eastAsia="en-US"/>
        </w:rPr>
      </w:pPr>
      <w:r w:rsidRPr="001A4499">
        <w:lastRenderedPageBreak/>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120</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Niels Fuglsang, Matthias Ecke, Bruno Gonçalves, Aurore Lalucq, Evelyn Regner</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8</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8.</w:t>
            </w:r>
            <w:r w:rsidRPr="001A4499">
              <w:tab/>
            </w:r>
            <w:r w:rsidRPr="001A4499">
              <w:t>evidenzia il potenziale della digitalizzazione, in particolare dell'intelligenza artificiale, ai fini della riduzione degli oneri amministrativi e dei costi di conformità che gravano sulle imprese, in particolare sulle PMI; esorta la Commissione e gli Stat</w:t>
            </w:r>
            <w:r w:rsidRPr="001A4499">
              <w:t>i membri a promuovere la digitalizzazione e la semplificazione dell'amministrazione fiscale;</w:t>
            </w:r>
          </w:p>
        </w:tc>
        <w:tc>
          <w:tcPr>
            <w:tcW w:w="4876" w:type="dxa"/>
            <w:tcBorders>
              <w:top w:val="nil"/>
              <w:left w:val="nil"/>
              <w:bottom w:val="nil"/>
              <w:right w:val="nil"/>
            </w:tcBorders>
            <w:hideMark/>
          </w:tcPr>
          <w:p w:rsidR="00D20070" w:rsidRPr="001A4499" w:rsidRDefault="00FF5B9D">
            <w:pPr>
              <w:pStyle w:val="Normal6a"/>
            </w:pPr>
            <w:r w:rsidRPr="001A4499">
              <w:t>8.</w:t>
            </w:r>
            <w:r w:rsidRPr="001A4499">
              <w:tab/>
              <w:t xml:space="preserve">evidenzia il potenziale della digitalizzazione, in particolare dell'intelligenza artificiale, ai fini della riduzione degli oneri amministrativi e dei costi di </w:t>
            </w:r>
            <w:r w:rsidRPr="001A4499">
              <w:t>conformità che gravano sulle imprese, in particolare sulle PMI; esorta la Commissione e gli Stati membri a promuovere la digitalizzazione e la semplificazione dell'amministrazione fiscale</w:t>
            </w:r>
            <w:r w:rsidRPr="001A4499">
              <w:rPr>
                <w:b/>
                <w:i/>
              </w:rPr>
              <w:t>, comprese le iniziative per una maggiore cooperazione e coordinament</w:t>
            </w:r>
            <w:r w:rsidRPr="001A4499">
              <w:rPr>
                <w:b/>
                <w:i/>
              </w:rPr>
              <w:t>o tra Stati membri</w:t>
            </w:r>
            <w:r w:rsidRPr="001A4499">
              <w:t>;</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121</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Kinga Kollár, Michalis Hadjipantela</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8</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lastRenderedPageBreak/>
              <w:t>8.</w:t>
            </w:r>
            <w:r w:rsidRPr="001A4499">
              <w:tab/>
            </w:r>
            <w:r w:rsidRPr="001A4499">
              <w:t>evidenzia il potenziale della digitalizzazione, in particolare dell'intelligenza artificiale, ai fini della riduzione degli oneri amministrativi e dei costi di conformità che gravano sulle imprese, in particolare sulle PMI; esorta la Commissione e gli Stat</w:t>
            </w:r>
            <w:r w:rsidRPr="001A4499">
              <w:t>i membri a promuovere la digitalizzazione e la semplificazione dell'amministrazione fiscale;</w:t>
            </w:r>
          </w:p>
        </w:tc>
        <w:tc>
          <w:tcPr>
            <w:tcW w:w="4876" w:type="dxa"/>
            <w:tcBorders>
              <w:top w:val="nil"/>
              <w:left w:val="nil"/>
              <w:bottom w:val="nil"/>
              <w:right w:val="nil"/>
            </w:tcBorders>
            <w:hideMark/>
          </w:tcPr>
          <w:p w:rsidR="00D20070" w:rsidRPr="001A4499" w:rsidRDefault="00FF5B9D">
            <w:pPr>
              <w:pStyle w:val="Normal6a"/>
            </w:pPr>
            <w:r w:rsidRPr="001A4499">
              <w:t>8.</w:t>
            </w:r>
            <w:r w:rsidRPr="001A4499">
              <w:tab/>
              <w:t xml:space="preserve">evidenzia il potenziale della digitalizzazione, in particolare dell'intelligenza artificiale </w:t>
            </w:r>
            <w:r w:rsidRPr="001A4499">
              <w:rPr>
                <w:b/>
                <w:i/>
              </w:rPr>
              <w:t>(IA)</w:t>
            </w:r>
            <w:r w:rsidRPr="001A4499">
              <w:t>, ai fini della riduzione degli oneri amministrativi e dei cost</w:t>
            </w:r>
            <w:r w:rsidRPr="001A4499">
              <w:t>i di conformità che gravano sulle imprese, in particolare sulle PMI</w:t>
            </w:r>
            <w:r w:rsidRPr="001A4499">
              <w:rPr>
                <w:b/>
                <w:i/>
              </w:rPr>
              <w:t>, sfruttandola anche per individuare le frodi in materia di IVA</w:t>
            </w:r>
            <w:r w:rsidRPr="001A4499">
              <w:t>; esorta la Commissione e gli Stati membri a promuovere la digitalizzazione e la semplificazione dell'amministrazione fiscale;</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122</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Fernand Kartheiser</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8</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8.</w:t>
            </w:r>
            <w:r w:rsidRPr="001A4499">
              <w:tab/>
              <w:t>evidenzia il potenziale della digitalizzazione, in particolare dell'intelligenza artificiale, ai fini della riduzione degli oneri amministrativi e dei costi di conformità che gravano sulle imprese, in particolare sulle PMI; esorta la Commis</w:t>
            </w:r>
            <w:r w:rsidRPr="001A4499">
              <w:t>sione e gli Stati membri a promuovere la digitalizzazione e la semplificazione dell'amministrazione fiscale;</w:t>
            </w:r>
          </w:p>
        </w:tc>
        <w:tc>
          <w:tcPr>
            <w:tcW w:w="4876" w:type="dxa"/>
            <w:tcBorders>
              <w:top w:val="nil"/>
              <w:left w:val="nil"/>
              <w:bottom w:val="nil"/>
              <w:right w:val="nil"/>
            </w:tcBorders>
            <w:hideMark/>
          </w:tcPr>
          <w:p w:rsidR="00D20070" w:rsidRPr="001A4499" w:rsidRDefault="00FF5B9D">
            <w:pPr>
              <w:pStyle w:val="Normal6a"/>
            </w:pPr>
            <w:r w:rsidRPr="001A4499">
              <w:t>8.</w:t>
            </w:r>
            <w:r w:rsidRPr="001A4499">
              <w:tab/>
              <w:t>evidenzia il potenziale della digitalizzazione, in particolare dell'intelligenza artificiale</w:t>
            </w:r>
            <w:r w:rsidRPr="001A4499">
              <w:rPr>
                <w:b/>
                <w:i/>
              </w:rPr>
              <w:t>, quale uno di possibili strumenti</w:t>
            </w:r>
            <w:r w:rsidRPr="001A4499">
              <w:t xml:space="preserve"> ai fini della rid</w:t>
            </w:r>
            <w:r w:rsidRPr="001A4499">
              <w:t>uzione degli oneri amministrativi e dei costi di conformità che gravano sulle imprese, in particolare sulle PMI; esorta la Commissione e gli Stati membri a promuovere la digitalizzazione e la semplificazione dell'amministrazione fiscale;</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123</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Michalis Hadjipantela</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8 bis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8 bis.</w:t>
            </w:r>
            <w:r w:rsidRPr="001A4499">
              <w:tab/>
            </w:r>
            <w:r w:rsidRPr="001A4499">
              <w:rPr>
                <w:b/>
                <w:i/>
              </w:rPr>
              <w:t>sottolinea che gli Stati membri dovranno garantire risorse umane e finanziarie adeguate per l'attuazione di qualsiasi nuova legislazione fiscale e per investire nella digitalizzazione, anche attraverso contenuti mirati e formazione lin</w:t>
            </w:r>
            <w:r w:rsidRPr="001A4499">
              <w:rPr>
                <w:b/>
                <w:i/>
              </w:rPr>
              <w:t>guistica, sostenuti, se del caso, dal programma FISCALIS, e investendo in infrastrutture amministrative moderne; invita la Commissione a proseguire e rafforzare il suo sostegno agli Stati membri in tali sforzi attraverso il programma FISCALIS, in particola</w:t>
            </w:r>
            <w:r w:rsidRPr="001A4499">
              <w:rPr>
                <w:b/>
                <w:i/>
              </w:rPr>
              <w:t>re fornendo finanziamenti, rafforzando la cooperazione amministrativa e sostenendo la diffusione di sistemi informatici integrati, interoperabili e solidi;</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124</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Billy Kelleher, Stéphanie Yon-Courtin</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8 bis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8 bis.</w:t>
            </w:r>
            <w:r w:rsidRPr="001A4499">
              <w:tab/>
            </w:r>
            <w:r w:rsidRPr="001A4499">
              <w:rPr>
                <w:b/>
                <w:i/>
              </w:rPr>
              <w:t>sottolinea la necessità che la digitalizzazione delle amministrazioni fiscali sia intrapresa con il coinvolgimento del settore privato per garantire che l'interfaccia sia di facile utilizzo e per facilitare una maggiore interoperabilità tra le autorità fis</w:t>
            </w:r>
            <w:r w:rsidRPr="001A4499">
              <w:rPr>
                <w:b/>
                <w:i/>
              </w:rPr>
              <w:t>cali e i sistemi utilizzati dal settore privato; sottolinea che, per quanto possibile, le autorità fiscali nazionali dovrebbero cercare di allineare la digitalizzazione dei loro sistemi per facilitare la condivisione di informazioni e dati e per fornire un</w:t>
            </w:r>
            <w:r w:rsidRPr="001A4499">
              <w:rPr>
                <w:b/>
                <w:i/>
              </w:rPr>
              <w:t xml:space="preserve"> livello di familiarità e coerenza alle imprese che interagiscono con diverse autorità fiscali nazionali;</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lastRenderedPageBreak/>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125</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Pasquale Tridico, Jussi Saramo, Manon Aubry</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8 bis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8 bis.</w:t>
            </w:r>
            <w:r w:rsidRPr="001A4499">
              <w:tab/>
            </w:r>
            <w:r w:rsidRPr="001A4499">
              <w:rPr>
                <w:b/>
                <w:i/>
              </w:rPr>
              <w:t>sottolinea le opportunità offerte dall'intelligenza artificiale (IA) nel trattamento dei dati per potenziare l'efficienza delle amministrazioni fiscali; riconosce inoltre i rischi che l'IA solleva per quanto riguarda la discriminazione; sottolinea l'import</w:t>
            </w:r>
            <w:r w:rsidRPr="001A4499">
              <w:rPr>
                <w:b/>
                <w:i/>
              </w:rPr>
              <w:t>anza di mantenere un elemento umano per verificare regolarmente la qualità di tali algoritmi, in particolare evitando il rischio di discriminazione;</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126</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Pasquale Tridico, Jussi Saramo, Manon Aubry</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8 ter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8 ter.</w:t>
            </w:r>
            <w:r w:rsidRPr="001A4499">
              <w:tab/>
            </w:r>
            <w:r w:rsidRPr="001A4499">
              <w:rPr>
                <w:b/>
                <w:i/>
              </w:rPr>
              <w:t>sottolinea la necessità di un approccio basato sul rischio nella supervisione delle entità di rendicontazione;</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127</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Fernand Kartheiser</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9</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lastRenderedPageBreak/>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9.</w:t>
            </w:r>
            <w:r w:rsidRPr="001A4499">
              <w:tab/>
            </w:r>
            <w:r w:rsidRPr="001A4499">
              <w:t>invita la Commissione a valutare e semplificare il quadro attuale in materia di IVA, a ridurre gli oneri amministrativi, a rafforzare la competitività, nonché a ridurre il divario tra il gettito previsto e l'importo effettivamente riscosso (divario dell'IV</w:t>
            </w:r>
            <w:r w:rsidRPr="001A4499">
              <w:t>A);</w:t>
            </w:r>
          </w:p>
        </w:tc>
        <w:tc>
          <w:tcPr>
            <w:tcW w:w="4876" w:type="dxa"/>
            <w:tcBorders>
              <w:top w:val="nil"/>
              <w:left w:val="nil"/>
              <w:bottom w:val="nil"/>
              <w:right w:val="nil"/>
            </w:tcBorders>
            <w:hideMark/>
          </w:tcPr>
          <w:p w:rsidR="00D20070" w:rsidRPr="001A4499" w:rsidRDefault="00FF5B9D">
            <w:pPr>
              <w:pStyle w:val="Normal6a"/>
            </w:pPr>
            <w:r w:rsidRPr="001A4499">
              <w:t>9.</w:t>
            </w:r>
            <w:r w:rsidRPr="001A4499">
              <w:tab/>
              <w:t>invita la Commissione</w:t>
            </w:r>
            <w:r w:rsidRPr="001A4499">
              <w:rPr>
                <w:b/>
                <w:i/>
              </w:rPr>
              <w:t>, nell'ambito delle sue competenze,</w:t>
            </w:r>
            <w:r w:rsidRPr="001A4499">
              <w:t xml:space="preserve"> a valutare e semplificare il quadro attuale in materia di IVA, a ridurre gli oneri amministrativi, a rafforzare la competitività, nonché a ridurre il divario tra il gettito previsto e l'import</w:t>
            </w:r>
            <w:r w:rsidRPr="001A4499">
              <w:t>o effettivamente riscosso (divario dell'IVA);</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128</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Denis Nesci</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9</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9.</w:t>
            </w:r>
            <w:r w:rsidRPr="001A4499">
              <w:tab/>
              <w:t xml:space="preserve">invita la Commissione a valutare e semplificare il quadro attuale </w:t>
            </w:r>
            <w:r w:rsidRPr="001A4499">
              <w:rPr>
                <w:b/>
                <w:i/>
              </w:rPr>
              <w:t>in materia di IVA</w:t>
            </w:r>
            <w:r w:rsidRPr="001A4499">
              <w:t xml:space="preserve">, a ridurre gli oneri amministrativi, a rafforzare la competitività, nonché a ridurre il divario tra il gettito previsto e l'importo effettivamente riscosso </w:t>
            </w:r>
            <w:r w:rsidRPr="001A4499">
              <w:rPr>
                <w:b/>
                <w:i/>
              </w:rPr>
              <w:t>(divario dell'IVA)</w:t>
            </w:r>
            <w:r w:rsidRPr="001A4499">
              <w:t>;</w:t>
            </w:r>
          </w:p>
        </w:tc>
        <w:tc>
          <w:tcPr>
            <w:tcW w:w="4876" w:type="dxa"/>
            <w:tcBorders>
              <w:top w:val="nil"/>
              <w:left w:val="nil"/>
              <w:bottom w:val="nil"/>
              <w:right w:val="nil"/>
            </w:tcBorders>
            <w:hideMark/>
          </w:tcPr>
          <w:p w:rsidR="00D20070" w:rsidRPr="001A4499" w:rsidRDefault="00FF5B9D">
            <w:pPr>
              <w:pStyle w:val="Normal6a"/>
            </w:pPr>
            <w:r w:rsidRPr="001A4499">
              <w:t>9.</w:t>
            </w:r>
            <w:r w:rsidRPr="001A4499">
              <w:tab/>
              <w:t>invita la Commissione</w:t>
            </w:r>
            <w:r w:rsidRPr="001A4499">
              <w:rPr>
                <w:b/>
                <w:i/>
              </w:rPr>
              <w:t>, in stretto e continuo dialogo con gli Stati membri,</w:t>
            </w:r>
            <w:r w:rsidRPr="001A4499">
              <w:t xml:space="preserve"> a</w:t>
            </w:r>
            <w:r w:rsidRPr="001A4499">
              <w:t xml:space="preserve"> valutare e semplificare il quadro attuale, a ridurre gli oneri amministrativi, a rafforzare la competitività, nonché a ridurre il divario tra il gettito previsto e l'importo effettivamente riscosso;</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129</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Fabio De Masi</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9</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9.</w:t>
            </w:r>
            <w:r w:rsidRPr="001A4499">
              <w:tab/>
            </w:r>
            <w:r w:rsidRPr="001A4499">
              <w:t xml:space="preserve">invita la Commissione a valutare e semplificare il quadro attuale in materia di IVA, a ridurre gli oneri amministrativi, a rafforzare la competitività, nonché a ridurre il divario tra il gettito previsto e l'importo effettivamente riscosso (divario </w:t>
            </w:r>
            <w:r w:rsidRPr="001A4499">
              <w:lastRenderedPageBreak/>
              <w:t>dell'IV</w:t>
            </w:r>
            <w:r w:rsidRPr="001A4499">
              <w:t>A);</w:t>
            </w:r>
          </w:p>
        </w:tc>
        <w:tc>
          <w:tcPr>
            <w:tcW w:w="4876" w:type="dxa"/>
            <w:tcBorders>
              <w:top w:val="nil"/>
              <w:left w:val="nil"/>
              <w:bottom w:val="nil"/>
              <w:right w:val="nil"/>
            </w:tcBorders>
            <w:hideMark/>
          </w:tcPr>
          <w:p w:rsidR="00D20070" w:rsidRPr="001A4499" w:rsidRDefault="00FF5B9D">
            <w:pPr>
              <w:pStyle w:val="Normal6a"/>
            </w:pPr>
            <w:r w:rsidRPr="001A4499">
              <w:lastRenderedPageBreak/>
              <w:t>9.</w:t>
            </w:r>
            <w:r w:rsidRPr="001A4499">
              <w:tab/>
              <w:t xml:space="preserve">invita la Commissione a valutare e semplificare il quadro attuale in materia di IVA, a ridurre gli oneri </w:t>
            </w:r>
            <w:r w:rsidRPr="001A4499">
              <w:rPr>
                <w:b/>
                <w:i/>
              </w:rPr>
              <w:t>fiscali</w:t>
            </w:r>
            <w:r w:rsidRPr="001A4499">
              <w:t xml:space="preserve"> amministrativi </w:t>
            </w:r>
            <w:r w:rsidRPr="001A4499">
              <w:rPr>
                <w:b/>
                <w:i/>
              </w:rPr>
              <w:t>e regressivi delle imposte sul consumo</w:t>
            </w:r>
            <w:r w:rsidRPr="001A4499">
              <w:t xml:space="preserve">, a rafforzare la competitività, nonché a ridurre il divario tra il gettito </w:t>
            </w:r>
            <w:r w:rsidRPr="001A4499">
              <w:lastRenderedPageBreak/>
              <w:t>previst</w:t>
            </w:r>
            <w:r w:rsidRPr="001A4499">
              <w:t>o e l'importo effettivamente riscosso (divario dell'IVA);</w:t>
            </w:r>
          </w:p>
        </w:tc>
      </w:tr>
    </w:tbl>
    <w:p w:rsidR="00D20070" w:rsidRPr="001A4499" w:rsidRDefault="00FF5B9D" w:rsidP="00D20070">
      <w:pPr>
        <w:pStyle w:val="AmOrLang"/>
        <w:rPr>
          <w:lang w:eastAsia="en-US"/>
        </w:rPr>
      </w:pPr>
      <w:r w:rsidRPr="001A4499">
        <w:lastRenderedPageBreak/>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130</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Niels Fuglsang, Matthias Ecke, Bruno Gonçalves, Aurore Lalucq, Evelyn Regner</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9</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9.</w:t>
            </w:r>
            <w:r w:rsidRPr="001A4499">
              <w:tab/>
            </w:r>
            <w:r w:rsidRPr="001A4499">
              <w:t>invita la Commissione a valutare e semplificare il quadro attuale in materia di IVA, a ridurre gli oneri amministrativi, a rafforzare la competitività, nonché a ridurre il divario tra il gettito previsto e l'importo effettivamente riscosso (divario dell'IV</w:t>
            </w:r>
            <w:r w:rsidRPr="001A4499">
              <w:t>A);</w:t>
            </w:r>
          </w:p>
        </w:tc>
        <w:tc>
          <w:tcPr>
            <w:tcW w:w="4876" w:type="dxa"/>
            <w:tcBorders>
              <w:top w:val="nil"/>
              <w:left w:val="nil"/>
              <w:bottom w:val="nil"/>
              <w:right w:val="nil"/>
            </w:tcBorders>
            <w:hideMark/>
          </w:tcPr>
          <w:p w:rsidR="00D20070" w:rsidRPr="001A4499" w:rsidRDefault="00FF5B9D">
            <w:pPr>
              <w:pStyle w:val="Normal6a"/>
            </w:pPr>
            <w:r w:rsidRPr="001A4499">
              <w:t>9.</w:t>
            </w:r>
            <w:r w:rsidRPr="001A4499">
              <w:tab/>
              <w:t xml:space="preserve">invita la Commissione a valutare e semplificare il quadro attuale in materia di IVA, a ridurre gli oneri amministrativi, a rafforzare la competitività, nonché a ridurre il divario tra il gettito previsto e l'importo effettivamente riscosso (divario </w:t>
            </w:r>
            <w:r w:rsidRPr="001A4499">
              <w:t xml:space="preserve">dell'IVA); </w:t>
            </w:r>
            <w:r w:rsidRPr="001A4499">
              <w:rPr>
                <w:b/>
                <w:i/>
              </w:rPr>
              <w:t>ribadisce il suo invito</w:t>
            </w:r>
            <w:r w:rsidRPr="001A4499">
              <w:rPr>
                <w:b/>
                <w:i/>
                <w:vertAlign w:val="superscript"/>
              </w:rPr>
              <w:t>1 bis</w:t>
            </w:r>
            <w:r w:rsidRPr="001A4499">
              <w:t xml:space="preserve"> </w:t>
            </w:r>
            <w:r w:rsidRPr="001A4499">
              <w:rPr>
                <w:b/>
                <w:i/>
              </w:rPr>
              <w:t>a introdurre un sistema IVA semplificato e rinnovato, che stabilisca limiti alle esenzioni e alle aliquote non standard, onde promuovere una competitività equa ed efficiente per le imprese nel mercato interno, riduce</w:t>
            </w:r>
            <w:r w:rsidRPr="001A4499">
              <w:rPr>
                <w:b/>
                <w:i/>
              </w:rPr>
              <w:t>ndo i costi di conformità e migliorando la conformità volontaria;</w:t>
            </w:r>
          </w:p>
        </w:tc>
      </w:tr>
      <w:tr w:rsidR="001A4499" w:rsidRPr="001A4499" w:rsidTr="00D20070">
        <w:trPr>
          <w:jc w:val="center"/>
        </w:trPr>
        <w:tc>
          <w:tcPr>
            <w:tcW w:w="4876" w:type="dxa"/>
            <w:tcBorders>
              <w:top w:val="nil"/>
              <w:left w:val="nil"/>
              <w:bottom w:val="nil"/>
              <w:right w:val="nil"/>
            </w:tcBorders>
          </w:tcPr>
          <w:p w:rsidR="00D20070" w:rsidRPr="001A4499" w:rsidRDefault="00D20070"/>
        </w:tc>
        <w:tc>
          <w:tcPr>
            <w:tcW w:w="4876" w:type="dxa"/>
            <w:tcBorders>
              <w:top w:val="nil"/>
              <w:left w:val="nil"/>
              <w:bottom w:val="nil"/>
              <w:right w:val="nil"/>
            </w:tcBorders>
            <w:hideMark/>
          </w:tcPr>
          <w:p w:rsidR="00D20070" w:rsidRPr="001A4499" w:rsidRDefault="00FF5B9D">
            <w:pPr>
              <w:pStyle w:val="Normal6a"/>
            </w:pPr>
            <w:r w:rsidRPr="001A4499">
              <w:rPr>
                <w:b/>
                <w:i/>
              </w:rPr>
              <w:t>_________________</w:t>
            </w:r>
          </w:p>
        </w:tc>
      </w:tr>
      <w:tr w:rsidR="001A4499" w:rsidRPr="001A4499" w:rsidTr="00D20070">
        <w:trPr>
          <w:jc w:val="center"/>
        </w:trPr>
        <w:tc>
          <w:tcPr>
            <w:tcW w:w="4876" w:type="dxa"/>
            <w:tcBorders>
              <w:top w:val="nil"/>
              <w:left w:val="nil"/>
              <w:bottom w:val="nil"/>
              <w:right w:val="nil"/>
            </w:tcBorders>
          </w:tcPr>
          <w:p w:rsidR="00D20070" w:rsidRPr="001A4499" w:rsidRDefault="00D20070"/>
        </w:tc>
        <w:tc>
          <w:tcPr>
            <w:tcW w:w="4876" w:type="dxa"/>
            <w:tcBorders>
              <w:top w:val="nil"/>
              <w:left w:val="nil"/>
              <w:bottom w:val="nil"/>
              <w:right w:val="nil"/>
            </w:tcBorders>
            <w:hideMark/>
          </w:tcPr>
          <w:p w:rsidR="00D20070" w:rsidRPr="001A4499" w:rsidRDefault="00FF5B9D">
            <w:pPr>
              <w:pStyle w:val="Normal6a"/>
            </w:pPr>
            <w:r w:rsidRPr="001A4499">
              <w:rPr>
                <w:b/>
                <w:i/>
                <w:vertAlign w:val="superscript"/>
              </w:rPr>
              <w:t>1 bis</w:t>
            </w:r>
            <w:r w:rsidRPr="001A4499">
              <w:t xml:space="preserve"> </w:t>
            </w:r>
            <w:r w:rsidRPr="001A4499">
              <w:rPr>
                <w:b/>
                <w:i/>
              </w:rPr>
              <w:t xml:space="preserve">Risoluzione del Parlamento europeo, del 16 febbraio 2022, sull'attuazione della sesta direttiva IVA: </w:t>
            </w:r>
            <w:r w:rsidRPr="001A4499">
              <w:rPr>
                <w:b/>
                <w:i/>
              </w:rPr>
              <w:t xml:space="preserve">cosa manca per ridurre il divario dell'IVA nell'UE?, paragrafo 38. </w:t>
            </w:r>
            <w:bookmarkStart w:id="0" w:name="_GoBack"/>
            <w:bookmarkEnd w:id="0"/>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131</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Michalis Hadjipantela</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9</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lastRenderedPageBreak/>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9.</w:t>
            </w:r>
            <w:r w:rsidRPr="001A4499">
              <w:tab/>
            </w:r>
            <w:r w:rsidRPr="001A4499">
              <w:t>invita la Commissione a valutare e semplificare il quadro attuale in materia di IVA, a ridurre gli oneri amministrativi, a rafforzare la competitività, nonché a ridurre il divario tra il gettito previsto e l'importo effettivamente riscosso (divario dell'IV</w:t>
            </w:r>
            <w:r w:rsidRPr="001A4499">
              <w:t>A);</w:t>
            </w:r>
          </w:p>
        </w:tc>
        <w:tc>
          <w:tcPr>
            <w:tcW w:w="4876" w:type="dxa"/>
            <w:tcBorders>
              <w:top w:val="nil"/>
              <w:left w:val="nil"/>
              <w:bottom w:val="nil"/>
              <w:right w:val="nil"/>
            </w:tcBorders>
            <w:hideMark/>
          </w:tcPr>
          <w:p w:rsidR="00D20070" w:rsidRPr="001A4499" w:rsidRDefault="00FF5B9D">
            <w:pPr>
              <w:pStyle w:val="Normal6a"/>
            </w:pPr>
            <w:r w:rsidRPr="001A4499">
              <w:t>9.</w:t>
            </w:r>
            <w:r w:rsidRPr="001A4499">
              <w:tab/>
              <w:t xml:space="preserve">invita la Commissione a valutare e semplificare il quadro attuale in materia di IVA, a ridurre gli oneri amministrativi, a rafforzare la competitività, nonché a ridurre il divario tra il gettito previsto e l'importo effettivamente riscosso (divario </w:t>
            </w:r>
            <w:r w:rsidRPr="001A4499">
              <w:t xml:space="preserve">dell'IVA); </w:t>
            </w:r>
            <w:r w:rsidRPr="001A4499">
              <w:rPr>
                <w:b/>
                <w:i/>
              </w:rPr>
              <w:t>prende atto, a tale riguardo, del pacchetto sull'IVA nell'era digitale e invita la Commissione a pubblicare orientamenti o note esplicative per garantire un'agevole attuazione della direttiva, in particolare per quanto riguarda l'introduzione de</w:t>
            </w:r>
            <w:r w:rsidRPr="001A4499">
              <w:rPr>
                <w:b/>
                <w:i/>
              </w:rPr>
              <w:t>ll'obbligo di comunicazione digitale dell'UE;</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617CA4" w:rsidRPr="001A4499" w:rsidRDefault="00FF5B9D" w:rsidP="00617CA4">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132</w:t>
      </w:r>
      <w:r w:rsidRPr="001A4499">
        <w:rPr>
          <w:rStyle w:val="HideTWBExt"/>
          <w:color w:val="auto"/>
        </w:rPr>
        <w:t>&lt;/NumAm&gt;</w:t>
      </w:r>
    </w:p>
    <w:p w:rsidR="00617CA4" w:rsidRPr="001A4499" w:rsidRDefault="00FF5B9D" w:rsidP="00617CA4">
      <w:pPr>
        <w:pStyle w:val="NormalBold"/>
      </w:pPr>
      <w:r w:rsidRPr="001A4499">
        <w:rPr>
          <w:rStyle w:val="HideTWBExt"/>
          <w:b w:val="0"/>
          <w:color w:val="auto"/>
        </w:rPr>
        <w:t>&lt;RepeatBlock-By&gt;&lt;Members&gt;</w:t>
      </w:r>
      <w:r w:rsidRPr="001A4499">
        <w:t>Billy Kelleher, Stéphanie Yon-Courtin</w:t>
      </w:r>
      <w:r w:rsidRPr="001A4499">
        <w:rPr>
          <w:rStyle w:val="HideTWBExt"/>
          <w:b w:val="0"/>
          <w:color w:val="auto"/>
        </w:rPr>
        <w:t>&lt;/Members&gt;</w:t>
      </w:r>
    </w:p>
    <w:p w:rsidR="00617CA4" w:rsidRPr="001A4499" w:rsidRDefault="00FF5B9D" w:rsidP="00617CA4">
      <w:pPr>
        <w:pStyle w:val="NormalBold"/>
      </w:pPr>
      <w:r w:rsidRPr="001A4499">
        <w:rPr>
          <w:rStyle w:val="HideTWBExt"/>
          <w:b w:val="0"/>
          <w:color w:val="auto"/>
        </w:rPr>
        <w:t>&lt;/RepeatBlock-By&gt;</w:t>
      </w:r>
    </w:p>
    <w:p w:rsidR="00617CA4" w:rsidRPr="001A4499" w:rsidRDefault="00FF5B9D" w:rsidP="00617CA4">
      <w:pPr>
        <w:pStyle w:val="NormalBold"/>
      </w:pPr>
      <w:r w:rsidRPr="001A4499">
        <w:rPr>
          <w:rStyle w:val="HideTWBExt"/>
          <w:color w:val="auto"/>
        </w:rPr>
        <w:t>&lt;DocAmend&gt;</w:t>
      </w:r>
      <w:r w:rsidRPr="001A4499">
        <w:t>Proposta di risoluzione</w:t>
      </w:r>
      <w:r w:rsidRPr="001A4499">
        <w:rPr>
          <w:rStyle w:val="HideTWBExt"/>
          <w:color w:val="auto"/>
        </w:rPr>
        <w:t>&lt;/DocAmend&gt;</w:t>
      </w:r>
    </w:p>
    <w:p w:rsidR="00617CA4" w:rsidRPr="001A4499" w:rsidRDefault="00FF5B9D" w:rsidP="00617CA4">
      <w:pPr>
        <w:pStyle w:val="NormalBold"/>
      </w:pPr>
      <w:r w:rsidRPr="001A4499">
        <w:rPr>
          <w:rStyle w:val="HideTWBExt"/>
          <w:color w:val="auto"/>
        </w:rPr>
        <w:t>&lt;Article&gt;</w:t>
      </w:r>
      <w:r w:rsidRPr="001A4499">
        <w:t>Paragrafo 9</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CC2762">
        <w:trPr>
          <w:trHeight w:val="240"/>
          <w:jc w:val="center"/>
        </w:trPr>
        <w:tc>
          <w:tcPr>
            <w:tcW w:w="9752" w:type="dxa"/>
            <w:gridSpan w:val="2"/>
            <w:tcBorders>
              <w:top w:val="nil"/>
              <w:left w:val="nil"/>
              <w:bottom w:val="nil"/>
              <w:right w:val="nil"/>
            </w:tcBorders>
          </w:tcPr>
          <w:p w:rsidR="00617CA4" w:rsidRPr="001A4499" w:rsidRDefault="00617CA4" w:rsidP="00CC2762"/>
        </w:tc>
      </w:tr>
      <w:tr w:rsidR="001A4499" w:rsidRPr="001A4499" w:rsidTr="00CC2762">
        <w:trPr>
          <w:trHeight w:val="240"/>
          <w:jc w:val="center"/>
        </w:trPr>
        <w:tc>
          <w:tcPr>
            <w:tcW w:w="4876" w:type="dxa"/>
            <w:tcBorders>
              <w:top w:val="nil"/>
              <w:left w:val="nil"/>
              <w:bottom w:val="nil"/>
              <w:right w:val="nil"/>
            </w:tcBorders>
            <w:hideMark/>
          </w:tcPr>
          <w:p w:rsidR="00617CA4" w:rsidRPr="001A4499" w:rsidRDefault="00FF5B9D" w:rsidP="00CC2762">
            <w:pPr>
              <w:pStyle w:val="AmColumnHeading"/>
            </w:pPr>
            <w:r w:rsidRPr="001A4499">
              <w:t>Proposta di risoluzione</w:t>
            </w:r>
          </w:p>
        </w:tc>
        <w:tc>
          <w:tcPr>
            <w:tcW w:w="4876" w:type="dxa"/>
            <w:tcBorders>
              <w:top w:val="nil"/>
              <w:left w:val="nil"/>
              <w:bottom w:val="nil"/>
              <w:right w:val="nil"/>
            </w:tcBorders>
            <w:hideMark/>
          </w:tcPr>
          <w:p w:rsidR="00617CA4" w:rsidRPr="001A4499" w:rsidRDefault="00FF5B9D" w:rsidP="00CC2762">
            <w:pPr>
              <w:pStyle w:val="AmColumnHeading"/>
            </w:pPr>
            <w:r w:rsidRPr="001A4499">
              <w:t>Emendamento</w:t>
            </w:r>
          </w:p>
        </w:tc>
      </w:tr>
      <w:tr w:rsidR="001A4499" w:rsidRPr="001A4499" w:rsidTr="00CC2762">
        <w:trPr>
          <w:jc w:val="center"/>
        </w:trPr>
        <w:tc>
          <w:tcPr>
            <w:tcW w:w="4876" w:type="dxa"/>
            <w:tcBorders>
              <w:top w:val="nil"/>
              <w:left w:val="nil"/>
              <w:bottom w:val="nil"/>
              <w:right w:val="nil"/>
            </w:tcBorders>
            <w:hideMark/>
          </w:tcPr>
          <w:p w:rsidR="00617CA4" w:rsidRPr="001A4499" w:rsidRDefault="00FF5B9D" w:rsidP="00CC2762">
            <w:pPr>
              <w:pStyle w:val="Normal6a"/>
            </w:pPr>
            <w:r w:rsidRPr="001A4499">
              <w:t>9.</w:t>
            </w:r>
            <w:r w:rsidRPr="001A4499">
              <w:tab/>
            </w:r>
            <w:r w:rsidRPr="001A4499">
              <w:t>invita la Commissione a valutare e semplificare il quadro attuale in materia di IVA, a ridurre gli oneri amministrativi, a rafforzare la competitività, nonché a ridurre il divario tra il gettito previsto e l'importo effettivamente riscosso (divario dell'IV</w:t>
            </w:r>
            <w:r w:rsidRPr="001A4499">
              <w:t>A);</w:t>
            </w:r>
          </w:p>
        </w:tc>
        <w:tc>
          <w:tcPr>
            <w:tcW w:w="4876" w:type="dxa"/>
            <w:tcBorders>
              <w:top w:val="nil"/>
              <w:left w:val="nil"/>
              <w:bottom w:val="nil"/>
              <w:right w:val="nil"/>
            </w:tcBorders>
            <w:hideMark/>
          </w:tcPr>
          <w:p w:rsidR="00617CA4" w:rsidRPr="001A4499" w:rsidRDefault="00FF5B9D" w:rsidP="00CC2762">
            <w:pPr>
              <w:pStyle w:val="Normal6a"/>
            </w:pPr>
            <w:r w:rsidRPr="001A4499">
              <w:t>9.</w:t>
            </w:r>
            <w:r w:rsidRPr="001A4499">
              <w:tab/>
              <w:t xml:space="preserve">invita la Commissione a valutare e semplificare il quadro attuale in materia di IVA, a ridurre gli oneri amministrativi, a rafforzare la competitività, nonché a ridurre il divario tra il gettito previsto e l'importo effettivamente riscosso (divario </w:t>
            </w:r>
            <w:r w:rsidRPr="001A4499">
              <w:t xml:space="preserve">dell'IVA); </w:t>
            </w:r>
            <w:r w:rsidRPr="001A4499">
              <w:rPr>
                <w:b/>
                <w:i/>
              </w:rPr>
              <w:t>sottolinea che il divario di conformità in materia di IVA varia da uno Stato membro all'altro, raggiungendo il 30 % in uno Stato membro</w:t>
            </w:r>
            <w:r w:rsidRPr="001A4499">
              <w:rPr>
                <w:b/>
                <w:i/>
                <w:vertAlign w:val="superscript"/>
              </w:rPr>
              <w:t>1 bis</w:t>
            </w:r>
            <w:r w:rsidRPr="001A4499">
              <w:rPr>
                <w:b/>
                <w:i/>
              </w:rPr>
              <w:t>; accoglie con favore, a tale proposito, l'adozione del pacchetto sull'IVA nell'era digitale che, una vol</w:t>
            </w:r>
            <w:r w:rsidRPr="001A4499">
              <w:rPr>
                <w:b/>
                <w:i/>
              </w:rPr>
              <w:t>ta attuato, dovrebbe migliorare la trasparenza e ridurre le frodi; esorta la Commissione e gli Stati membri a coordinare l'attuazione nazionale per garantire la coerenza e che lo sportello unico sia efficiente e di facile utilizzo, anche per le PMI;</w:t>
            </w:r>
          </w:p>
        </w:tc>
      </w:tr>
      <w:tr w:rsidR="001A4499" w:rsidRPr="001A4499" w:rsidTr="00CC2762">
        <w:trPr>
          <w:jc w:val="center"/>
        </w:trPr>
        <w:tc>
          <w:tcPr>
            <w:tcW w:w="4876" w:type="dxa"/>
            <w:tcBorders>
              <w:top w:val="nil"/>
              <w:left w:val="nil"/>
              <w:bottom w:val="nil"/>
              <w:right w:val="nil"/>
            </w:tcBorders>
          </w:tcPr>
          <w:p w:rsidR="00617CA4" w:rsidRPr="001A4499" w:rsidRDefault="00617CA4" w:rsidP="00CC2762"/>
        </w:tc>
        <w:tc>
          <w:tcPr>
            <w:tcW w:w="4876" w:type="dxa"/>
            <w:tcBorders>
              <w:top w:val="nil"/>
              <w:left w:val="nil"/>
              <w:bottom w:val="nil"/>
              <w:right w:val="nil"/>
            </w:tcBorders>
            <w:hideMark/>
          </w:tcPr>
          <w:p w:rsidR="00617CA4" w:rsidRPr="001A4499" w:rsidRDefault="00FF5B9D" w:rsidP="00CC2762">
            <w:pPr>
              <w:pStyle w:val="Normal6a"/>
            </w:pPr>
            <w:r w:rsidRPr="001A4499">
              <w:rPr>
                <w:b/>
                <w:i/>
              </w:rPr>
              <w:t>____</w:t>
            </w:r>
            <w:r w:rsidRPr="001A4499">
              <w:rPr>
                <w:b/>
                <w:i/>
              </w:rPr>
              <w:t>_____________</w:t>
            </w:r>
          </w:p>
        </w:tc>
      </w:tr>
      <w:tr w:rsidR="001A4499" w:rsidRPr="001A4499" w:rsidTr="00CC2762">
        <w:trPr>
          <w:jc w:val="center"/>
        </w:trPr>
        <w:tc>
          <w:tcPr>
            <w:tcW w:w="4876" w:type="dxa"/>
            <w:tcBorders>
              <w:top w:val="nil"/>
              <w:left w:val="nil"/>
              <w:bottom w:val="nil"/>
              <w:right w:val="nil"/>
            </w:tcBorders>
          </w:tcPr>
          <w:p w:rsidR="00617CA4" w:rsidRPr="001A4499" w:rsidRDefault="00617CA4" w:rsidP="00CC2762"/>
        </w:tc>
        <w:tc>
          <w:tcPr>
            <w:tcW w:w="4876" w:type="dxa"/>
            <w:tcBorders>
              <w:top w:val="nil"/>
              <w:left w:val="nil"/>
              <w:bottom w:val="nil"/>
              <w:right w:val="nil"/>
            </w:tcBorders>
            <w:hideMark/>
          </w:tcPr>
          <w:p w:rsidR="00617CA4" w:rsidRPr="001A4499" w:rsidRDefault="00FF5B9D" w:rsidP="00CC2762">
            <w:pPr>
              <w:pStyle w:val="Normal6a"/>
            </w:pPr>
            <w:r w:rsidRPr="001A4499">
              <w:rPr>
                <w:b/>
                <w:i/>
                <w:vertAlign w:val="superscript"/>
              </w:rPr>
              <w:t>1 bis</w:t>
            </w:r>
            <w:r w:rsidRPr="001A4499">
              <w:t xml:space="preserve"> </w:t>
            </w:r>
            <w:r w:rsidRPr="001A4499">
              <w:rPr>
                <w:b/>
                <w:i/>
              </w:rPr>
              <w:t xml:space="preserve">Commissione europea, "VAT gap in the EU – 2024 report" (Divario dell'IVA nell'UE – Relazione 2024), Ufficio delle pubblicazioni dell'Unione europea, 2024, https://data.europa.eu/doi/10.2778/2476549 </w:t>
            </w:r>
          </w:p>
        </w:tc>
      </w:tr>
    </w:tbl>
    <w:p w:rsidR="00617CA4" w:rsidRPr="001A4499" w:rsidRDefault="00FF5B9D" w:rsidP="00617CA4">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617CA4" w:rsidRPr="001A4499" w:rsidRDefault="00FF5B9D" w:rsidP="00617CA4">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133</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Regina Doherty</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9</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9.</w:t>
            </w:r>
            <w:r w:rsidRPr="001A4499">
              <w:tab/>
            </w:r>
            <w:r w:rsidRPr="001A4499">
              <w:t>invita la Commissione a valutare e semplificare il quadro attuale in materia di IVA, a ridurre gli oneri amministrativi, a rafforzare la competitività, nonché a ridurre il divario tra il gettito previsto e l'importo effettivamente riscosso (divario dell'IV</w:t>
            </w:r>
            <w:r w:rsidRPr="001A4499">
              <w:t>A);</w:t>
            </w:r>
          </w:p>
        </w:tc>
        <w:tc>
          <w:tcPr>
            <w:tcW w:w="4876" w:type="dxa"/>
            <w:tcBorders>
              <w:top w:val="nil"/>
              <w:left w:val="nil"/>
              <w:bottom w:val="nil"/>
              <w:right w:val="nil"/>
            </w:tcBorders>
            <w:hideMark/>
          </w:tcPr>
          <w:p w:rsidR="00D20070" w:rsidRPr="001A4499" w:rsidRDefault="00FF5B9D">
            <w:pPr>
              <w:pStyle w:val="Normal6a"/>
            </w:pPr>
            <w:r w:rsidRPr="001A4499">
              <w:t>9.</w:t>
            </w:r>
            <w:r w:rsidRPr="001A4499">
              <w:tab/>
              <w:t>invita la Commissione a valutare e semplificare il quadro attuale in materia di IVA, a ridurre gli oneri amministrativi</w:t>
            </w:r>
            <w:r w:rsidRPr="001A4499">
              <w:rPr>
                <w:b/>
                <w:i/>
              </w:rPr>
              <w:t>, anche per le imprese e le organizzazioni comunitarie,</w:t>
            </w:r>
            <w:r w:rsidRPr="001A4499">
              <w:t xml:space="preserve"> a rafforzare la competitività, nonché a ridurre il divario tra il gettito </w:t>
            </w:r>
            <w:r w:rsidRPr="001A4499">
              <w:t xml:space="preserve">previsto e l'importo effettivamente riscosso (divario dell'IVA); </w:t>
            </w:r>
            <w:r w:rsidRPr="001A4499">
              <w:rPr>
                <w:b/>
                <w:i/>
              </w:rPr>
              <w:t>chiede riforme che rendano più facile per le piccole imprese registrarsi ai fini dell'IVA in tutta l'UE, anche per via elettronica; chiede una maggiore digitalizzazione della riscossione dell</w:t>
            </w:r>
            <w:r w:rsidRPr="001A4499">
              <w:rPr>
                <w:b/>
                <w:i/>
              </w:rPr>
              <w:t>'IVA;</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134</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Markus Ferber</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9</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9.</w:t>
            </w:r>
            <w:r w:rsidRPr="001A4499">
              <w:tab/>
            </w:r>
            <w:r w:rsidRPr="001A4499">
              <w:t xml:space="preserve">invita la Commissione a valutare e semplificare il quadro attuale in materia di </w:t>
            </w:r>
            <w:r w:rsidRPr="001A4499">
              <w:lastRenderedPageBreak/>
              <w:t>IVA, a ridurre gli oneri amministrativi, a rafforzare la competitività, nonché a ridurre il divario tra il gettito previsto e l'importo effettivamente riscosso (divario dell'IV</w:t>
            </w:r>
            <w:r w:rsidRPr="001A4499">
              <w:t>A);</w:t>
            </w:r>
          </w:p>
        </w:tc>
        <w:tc>
          <w:tcPr>
            <w:tcW w:w="4876" w:type="dxa"/>
            <w:tcBorders>
              <w:top w:val="nil"/>
              <w:left w:val="nil"/>
              <w:bottom w:val="nil"/>
              <w:right w:val="nil"/>
            </w:tcBorders>
            <w:hideMark/>
          </w:tcPr>
          <w:p w:rsidR="00D20070" w:rsidRPr="001A4499" w:rsidRDefault="00FF5B9D">
            <w:pPr>
              <w:pStyle w:val="Normal6a"/>
            </w:pPr>
            <w:r w:rsidRPr="001A4499">
              <w:lastRenderedPageBreak/>
              <w:t>9.</w:t>
            </w:r>
            <w:r w:rsidRPr="001A4499">
              <w:tab/>
              <w:t xml:space="preserve">invita la Commissione a valutare e semplificare il quadro attuale in materia di </w:t>
            </w:r>
            <w:r w:rsidRPr="001A4499">
              <w:lastRenderedPageBreak/>
              <w:t xml:space="preserve">IVA, a ridurre gli oneri amministrativi, a rafforzare la competitività, nonché a ridurre il divario tra il gettito previsto e l'importo effettivamente riscosso (divario </w:t>
            </w:r>
            <w:r w:rsidRPr="001A4499">
              <w:t xml:space="preserve">dell'IVA); </w:t>
            </w:r>
            <w:r w:rsidRPr="001A4499">
              <w:rPr>
                <w:b/>
                <w:i/>
              </w:rPr>
              <w:t>invita la Commissione a basarsi sullo sportello unico per l'IVA per il commercio elettronico transfrontaliero tra imprese e consumatori (B2C) e a svilupparlo ulteriormente, al fine di ridurre gli oneri amministrativi e i costi di conformità in m</w:t>
            </w:r>
            <w:r w:rsidRPr="001A4499">
              <w:rPr>
                <w:b/>
                <w:i/>
              </w:rPr>
              <w:t>ateria di IVA;</w:t>
            </w:r>
          </w:p>
        </w:tc>
      </w:tr>
    </w:tbl>
    <w:p w:rsidR="00D20070" w:rsidRPr="001A4499" w:rsidRDefault="00FF5B9D" w:rsidP="00D20070">
      <w:pPr>
        <w:pStyle w:val="AmOrLang"/>
        <w:rPr>
          <w:lang w:eastAsia="en-US"/>
        </w:rPr>
      </w:pPr>
      <w:r w:rsidRPr="001A4499">
        <w:lastRenderedPageBreak/>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135</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Kira Marie Peter-Hansen</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9</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9.</w:t>
            </w:r>
            <w:r w:rsidRPr="001A4499">
              <w:tab/>
              <w:t xml:space="preserve">invita la Commissione a valutare e semplificare il quadro attuale in materia di IVA, a ridurre gli oneri amministrativi, a rafforzare la competitività, nonché a ridurre il divario tra il gettito previsto e l'importo </w:t>
            </w:r>
            <w:r w:rsidRPr="001A4499">
              <w:t>effettivamente riscosso (divario dell'IVA);</w:t>
            </w:r>
          </w:p>
        </w:tc>
        <w:tc>
          <w:tcPr>
            <w:tcW w:w="4876" w:type="dxa"/>
            <w:tcBorders>
              <w:top w:val="nil"/>
              <w:left w:val="nil"/>
              <w:bottom w:val="nil"/>
              <w:right w:val="nil"/>
            </w:tcBorders>
            <w:hideMark/>
          </w:tcPr>
          <w:p w:rsidR="00D20070" w:rsidRPr="001A4499" w:rsidRDefault="00FF5B9D">
            <w:pPr>
              <w:pStyle w:val="Normal6a"/>
            </w:pPr>
            <w:r w:rsidRPr="001A4499">
              <w:t>9.</w:t>
            </w:r>
            <w:r w:rsidRPr="001A4499">
              <w:tab/>
              <w:t>invita la Commissione a valutare e semplificare il quadro attuale in materia di IVA, a ridurre gli oneri amministrativi, a rafforzare la competitività, nonché a ridurre il divario tra il gettito previsto e l'i</w:t>
            </w:r>
            <w:r w:rsidRPr="001A4499">
              <w:t xml:space="preserve">mporto effettivamente riscosso (divario dell'IVA); </w:t>
            </w:r>
            <w:r w:rsidRPr="001A4499">
              <w:rPr>
                <w:b/>
                <w:i/>
              </w:rPr>
              <w:t xml:space="preserve">deplora la mancanza di progressi per un regime definitivo dell'IVA in seno al Consiglio e la successiva decisione della Commissione di ritirare la proposta nel programma di lavoro della Commissione per il </w:t>
            </w:r>
            <w:r w:rsidRPr="001A4499">
              <w:rPr>
                <w:b/>
                <w:i/>
              </w:rPr>
              <w:t>2025;</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136</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Billy Kelleher, Stéphanie Yon-Courtin</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9 bis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9 bis.</w:t>
            </w:r>
            <w:r w:rsidRPr="001A4499">
              <w:tab/>
            </w:r>
            <w:r w:rsidRPr="001A4499">
              <w:rPr>
                <w:b/>
                <w:i/>
              </w:rPr>
              <w:t xml:space="preserve">osserva che nell'ultimo decennio vi è stato un netto cambiamento nel comportamento di acquisto, con un'impennata del commercio elettronico durante la pandemia della COVID-19 che non si è attenuata; </w:t>
            </w:r>
            <w:r w:rsidRPr="001A4499">
              <w:rPr>
                <w:b/>
                <w:i/>
              </w:rPr>
              <w:t>osserva inoltre che, a prima vista, gli acquisti online dovrebbero contribuire a una maggiore conformità in materia di IVA grazie al tracciamento di controllo elettronico; tuttavia, la relazione della Commissione sul divario dell'IVA rileva che la correlaz</w:t>
            </w:r>
            <w:r w:rsidRPr="001A4499">
              <w:rPr>
                <w:b/>
                <w:i/>
              </w:rPr>
              <w:t>ione non è così chiara a causa delle complessità derivanti dalle vendite online; esorta la Commissione a valutare se l'acquis in materia di IVA sia adatto allo scopo, data la crescente popolarità del commercio elettronico;</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137</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Michalis Hadjipantela</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9 bis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9 bis.</w:t>
            </w:r>
            <w:r w:rsidRPr="001A4499">
              <w:tab/>
            </w:r>
            <w:r w:rsidRPr="001A4499">
              <w:rPr>
                <w:b/>
                <w:i/>
              </w:rPr>
              <w:t>invita la Commissione a rivedere il trattamento IVA all'interno del settore finanziario con l'obiettivo di rinnovare l'esenzione IVA in modo da adattarsi ai servizi finanziari; osserva che attualmente l'applicazione delle esenzioni per i servizi fin</w:t>
            </w:r>
            <w:r w:rsidRPr="001A4499">
              <w:rPr>
                <w:b/>
                <w:i/>
              </w:rPr>
              <w:t>anziari è incoerente tra gli Stati membri, il che comporta notevoli disparità che ostacolano la prestazione di servizi transfrontalieri;</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138</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Michalis Hadjipantela</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lastRenderedPageBreak/>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9 ter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9 ter.</w:t>
            </w:r>
            <w:r w:rsidRPr="001A4499">
              <w:tab/>
            </w:r>
            <w:r w:rsidRPr="001A4499">
              <w:rPr>
                <w:b/>
                <w:i/>
              </w:rPr>
              <w:t>sollecita il miglioramento della direttiva 2008/9/CE del Consiglio, del 12 febbraio 2008, che stabilisce norme dettagliate per il rimborso dell'imposta sul valore aggiunto ai soggetti passivi non stabiliti nello Stato membro di rimborso, ma in un altro Sta</w:t>
            </w:r>
            <w:r w:rsidRPr="001A4499">
              <w:rPr>
                <w:b/>
                <w:i/>
              </w:rPr>
              <w:t>to membro; sottolinea l'importanza di valutare l'integrazione dei rimborsi IVA transfrontalieri nello sportello unico al fine di semplificare ulteriormente la conformità dell'IVA per le imprese impegnate negli scambi transfrontalieri, garantendo nel contem</w:t>
            </w:r>
            <w:r w:rsidRPr="001A4499">
              <w:rPr>
                <w:b/>
                <w:i/>
              </w:rPr>
              <w:t>po l'allineamento agli obblighi IVA esistenti in tutti gli Stati membri;</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139</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Michalis Hadjipantela</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9 quater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9 quater.</w:t>
            </w:r>
            <w:r w:rsidRPr="001A4499">
              <w:tab/>
            </w:r>
            <w:r w:rsidRPr="001A4499">
              <w:rPr>
                <w:b/>
                <w:i/>
              </w:rPr>
              <w:t>chiede un'applicazione coerente dei concetti chiave e la razionalizzazione delle definizioni per un sistema dell'IVA più efficace, ad esempio l'applicazione di interpretazioni comuni per le "merci installate e montate" di cui all'articolo 36 della direttiv</w:t>
            </w:r>
            <w:r w:rsidRPr="001A4499">
              <w:rPr>
                <w:b/>
                <w:i/>
              </w:rPr>
              <w:t>a IVA e l'applicazione coerente delle definizioni di "stabile organizzazione " o di altre tipologie di organizzazione;</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lastRenderedPageBreak/>
        <w:t>&lt;Amend&gt;</w:t>
      </w:r>
      <w:r w:rsidRPr="001A4499">
        <w:t>Emendamento</w:t>
      </w:r>
      <w:r w:rsidRPr="001A4499">
        <w:tab/>
      </w:r>
      <w:r w:rsidRPr="001A4499">
        <w:tab/>
      </w:r>
      <w:r w:rsidRPr="001A4499">
        <w:rPr>
          <w:rStyle w:val="HideTWBExt"/>
          <w:color w:val="auto"/>
        </w:rPr>
        <w:t>&lt;NumAm&gt;</w:t>
      </w:r>
      <w:r w:rsidRPr="001A4499">
        <w:t>140</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Michalis Hadjipantela</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9 quinquies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9 quinquies.</w:t>
            </w:r>
            <w:r w:rsidRPr="001A4499">
              <w:tab/>
            </w:r>
            <w:r w:rsidRPr="001A4499">
              <w:rPr>
                <w:b/>
                <w:i/>
              </w:rPr>
              <w:t>sottolinea la necessità di un sistema dell'IVA più sostenibile ed equo, con ulteriori considerazioni sulle modalità di utilizzo delle aliquote IVA per conseguire gli obiettivi di sostenibilità; suggerisce alla Commissione di valutare se sia possibile elimi</w:t>
            </w:r>
            <w:r w:rsidRPr="001A4499">
              <w:rPr>
                <w:b/>
                <w:i/>
              </w:rPr>
              <w:t>nare gli oneri IVA sui beni forniti a titolo gratuito a beneficio sociale e ambientale; </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141</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Michalis Hadjipantela</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9 sexies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9 sexies.</w:t>
            </w:r>
            <w:r w:rsidRPr="001A4499">
              <w:tab/>
            </w:r>
            <w:r w:rsidRPr="001A4499">
              <w:rPr>
                <w:b/>
                <w:i/>
              </w:rPr>
              <w:t>sottolinea che sebbene le aliquote IVA ridotte abbiano uno scopo legittimo nel sostenere le persone vulnerabili e i minori, la loro più ampia applicazione aumenta l'incertezza giuridica e la complessità del sistema fiscale; sottolinea che le aliquote IVA r</w:t>
            </w:r>
            <w:r w:rsidRPr="001A4499">
              <w:rPr>
                <w:b/>
                <w:i/>
              </w:rPr>
              <w:t>idotte possono portare a una diminuzione del prezzo per il consumatore, a seconda di diversi fattori; ritiene pertanto che un riesame e una valutazione periodici di quali aliquote IVA ridotte rimangono necessarie ed efficaci per conseguire gli obiettivi st</w:t>
            </w:r>
            <w:r w:rsidRPr="001A4499">
              <w:rPr>
                <w:b/>
                <w:i/>
              </w:rPr>
              <w:t>rategici previsti, sarà utile nel compito di semplificazione;</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lastRenderedPageBreak/>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142</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Regina Doherty</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10</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10.</w:t>
            </w:r>
            <w:r w:rsidRPr="001A4499">
              <w:tab/>
            </w:r>
            <w:r w:rsidRPr="001A4499">
              <w:t>ribadisce la posizione del Parlamento in merito al sistema fiscale basato sulle norme della sede centrale (HOT), all'agevolazione per ridurre la distorsione a favore del debito rispetto al capitale (DEBRA) e a un'esenzione più rapida e sicura dalle ritenut</w:t>
            </w:r>
            <w:r w:rsidRPr="001A4499">
              <w:t>e alla fonte in eccesso (FASTER); prende atto delle discussioni in corso sulla proposta BEFIT;</w:t>
            </w:r>
          </w:p>
        </w:tc>
        <w:tc>
          <w:tcPr>
            <w:tcW w:w="4876" w:type="dxa"/>
            <w:tcBorders>
              <w:top w:val="nil"/>
              <w:left w:val="nil"/>
              <w:bottom w:val="nil"/>
              <w:right w:val="nil"/>
            </w:tcBorders>
            <w:hideMark/>
          </w:tcPr>
          <w:p w:rsidR="00D20070" w:rsidRPr="001A4499" w:rsidRDefault="00FF5B9D">
            <w:pPr>
              <w:pStyle w:val="Normal6a"/>
            </w:pPr>
            <w:r w:rsidRPr="001A4499">
              <w:t>10.</w:t>
            </w:r>
            <w:r w:rsidRPr="001A4499">
              <w:tab/>
              <w:t xml:space="preserve">ribadisce la posizione del Parlamento in merito al sistema fiscale basato sulle norme della sede centrale (HOT), all'agevolazione per ridurre la distorsione </w:t>
            </w:r>
            <w:r w:rsidRPr="001A4499">
              <w:t xml:space="preserve">a favore del debito rispetto al capitale (DEBRA) e a un'esenzione più rapida e sicura dalle ritenute alla fonte in eccesso (FASTER); prende atto delle discussioni in corso sulla proposta BEFIT </w:t>
            </w:r>
            <w:r w:rsidRPr="001A4499">
              <w:rPr>
                <w:b/>
                <w:i/>
              </w:rPr>
              <w:t>ma sottolinea la preoccupazione che la proposta non raggiunga l</w:t>
            </w:r>
            <w:r w:rsidRPr="001A4499">
              <w:rPr>
                <w:b/>
                <w:i/>
              </w:rPr>
              <w:t>'obiettivo di ridurre la complessità e i costi di conformità e anzi serva ad aumentare la complessità se si considerano i sistemi fiscali nazionali e la coesistenza con il secondo pilastro</w:t>
            </w:r>
            <w:r w:rsidRPr="001A4499">
              <w:t xml:space="preserve">; </w:t>
            </w:r>
            <w:r w:rsidRPr="001A4499">
              <w:rPr>
                <w:b/>
                <w:i/>
              </w:rPr>
              <w:t xml:space="preserve">ribadisce che le proposte della Commissione dovrebbero rispettare </w:t>
            </w:r>
            <w:r w:rsidRPr="001A4499">
              <w:rPr>
                <w:b/>
                <w:i/>
              </w:rPr>
              <w:t>il principio di sussidiarietà; chiede il ritiro della proposta BEFIT per questo motivo;</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143</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Danuše Nerudová</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10</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10.</w:t>
            </w:r>
            <w:r w:rsidRPr="001A4499">
              <w:tab/>
            </w:r>
            <w:r w:rsidRPr="001A4499">
              <w:t>ribadisce la posizione del Parlamento in merito al sistema fiscale basato sulle norme della sede centrale (HOT), all'agevolazione per ridurre la distorsione a favore del debito rispetto al capitale (DEBRA) e a un'esenzione più rapida e sicura dalle ritenut</w:t>
            </w:r>
            <w:r w:rsidRPr="001A4499">
              <w:t xml:space="preserve">e alla fonte in </w:t>
            </w:r>
            <w:r w:rsidRPr="001A4499">
              <w:lastRenderedPageBreak/>
              <w:t xml:space="preserve">eccesso (FASTER); </w:t>
            </w:r>
            <w:r w:rsidRPr="001A4499">
              <w:rPr>
                <w:b/>
                <w:i/>
              </w:rPr>
              <w:t>prende atto delle discussioni in corso sulla proposta</w:t>
            </w:r>
            <w:r w:rsidRPr="001A4499">
              <w:t xml:space="preserve"> BEFIT;</w:t>
            </w:r>
          </w:p>
        </w:tc>
        <w:tc>
          <w:tcPr>
            <w:tcW w:w="4876" w:type="dxa"/>
            <w:tcBorders>
              <w:top w:val="nil"/>
              <w:left w:val="nil"/>
              <w:bottom w:val="nil"/>
              <w:right w:val="nil"/>
            </w:tcBorders>
            <w:hideMark/>
          </w:tcPr>
          <w:p w:rsidR="00D20070" w:rsidRPr="001A4499" w:rsidRDefault="00FF5B9D">
            <w:pPr>
              <w:pStyle w:val="Normal6a"/>
            </w:pPr>
            <w:r w:rsidRPr="001A4499">
              <w:lastRenderedPageBreak/>
              <w:t>10.</w:t>
            </w:r>
            <w:r w:rsidRPr="001A4499">
              <w:tab/>
              <w:t xml:space="preserve">ribadisce la posizione del Parlamento in merito al sistema fiscale basato sulle norme della sede centrale (HOT), all'agevolazione per ridurre la distorsione </w:t>
            </w:r>
            <w:r w:rsidRPr="001A4499">
              <w:t xml:space="preserve">a favore del debito rispetto al capitale (DEBRA) e a un'esenzione più rapida e sicura dalle ritenute alla fonte in </w:t>
            </w:r>
            <w:r w:rsidRPr="001A4499">
              <w:lastRenderedPageBreak/>
              <w:t>eccesso (FASTER); </w:t>
            </w:r>
            <w:r w:rsidRPr="001A4499">
              <w:rPr>
                <w:b/>
                <w:i/>
              </w:rPr>
              <w:t>invita gli Stati membri a proseguire verso una rapida adozione del quadro per l'imposizione dei redditi (</w:t>
            </w:r>
            <w:r w:rsidRPr="001A4499">
              <w:t>BEFIT</w:t>
            </w:r>
            <w:r w:rsidRPr="001A4499">
              <w:rPr>
                <w:b/>
                <w:i/>
              </w:rPr>
              <w:t>)</w:t>
            </w:r>
            <w:r w:rsidRPr="001A4499">
              <w:t xml:space="preserve"> </w:t>
            </w:r>
            <w:r w:rsidRPr="001A4499">
              <w:rPr>
                <w:b/>
                <w:i/>
              </w:rPr>
              <w:t>che sarebbe</w:t>
            </w:r>
            <w:r w:rsidRPr="001A4499">
              <w:rPr>
                <w:b/>
                <w:i/>
              </w:rPr>
              <w:t xml:space="preserve"> un importante passo in avanti per l'armonizzazione dei sistemi fiscali nell'UE</w:t>
            </w:r>
            <w:r w:rsidRPr="001A4499">
              <w:t>;</w:t>
            </w:r>
          </w:p>
        </w:tc>
      </w:tr>
    </w:tbl>
    <w:p w:rsidR="00D20070" w:rsidRPr="001A4499" w:rsidRDefault="00FF5B9D" w:rsidP="00D20070">
      <w:pPr>
        <w:pStyle w:val="AmOrLang"/>
        <w:rPr>
          <w:lang w:eastAsia="en-US"/>
        </w:rPr>
      </w:pPr>
      <w:r w:rsidRPr="001A4499">
        <w:lastRenderedPageBreak/>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144</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Lídia Pereira</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10</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10.</w:t>
            </w:r>
            <w:r w:rsidRPr="001A4499">
              <w:tab/>
            </w:r>
            <w:r w:rsidRPr="001A4499">
              <w:t>ribadisce la posizione del Parlamento in merito al sistema fiscale basato sulle norme della sede centrale (HOT), all'agevolazione per ridurre la distorsione a favore del debito rispetto al capitale (DEBRA) e a un'esenzione più rapida e sicura dalle ritenut</w:t>
            </w:r>
            <w:r w:rsidRPr="001A4499">
              <w:t>e alla fonte in eccesso (FASTER); prende atto delle discussioni in corso sulla proposta BEFIT;</w:t>
            </w:r>
          </w:p>
        </w:tc>
        <w:tc>
          <w:tcPr>
            <w:tcW w:w="4876" w:type="dxa"/>
            <w:tcBorders>
              <w:top w:val="nil"/>
              <w:left w:val="nil"/>
              <w:bottom w:val="nil"/>
              <w:right w:val="nil"/>
            </w:tcBorders>
            <w:hideMark/>
          </w:tcPr>
          <w:p w:rsidR="00D20070" w:rsidRPr="001A4499" w:rsidRDefault="00FF5B9D">
            <w:pPr>
              <w:pStyle w:val="Normal6a"/>
            </w:pPr>
            <w:r w:rsidRPr="001A4499">
              <w:t>10.</w:t>
            </w:r>
            <w:r w:rsidRPr="001A4499">
              <w:tab/>
              <w:t xml:space="preserve">ribadisce la posizione del Parlamento in merito al sistema fiscale basato sulle norme della sede centrale (HOT), </w:t>
            </w:r>
            <w:r w:rsidRPr="001A4499">
              <w:rPr>
                <w:b/>
                <w:i/>
              </w:rPr>
              <w:t xml:space="preserve">alle norme per prevenire l'uso improprio di </w:t>
            </w:r>
            <w:r w:rsidRPr="001A4499">
              <w:rPr>
                <w:b/>
                <w:i/>
              </w:rPr>
              <w:t>entità di comodo a fini fiscali (UNSHELL)</w:t>
            </w:r>
            <w:r w:rsidRPr="001A4499">
              <w:t xml:space="preserve">, all'agevolazione per ridurre la distorsione a favore del debito rispetto al capitale (DEBRA) e a un'esenzione più rapida e sicura dalle ritenute alla fonte in eccesso (FASTER); </w:t>
            </w:r>
            <w:r w:rsidRPr="001A4499">
              <w:t xml:space="preserve">prende atto delle discussioni in corso sulla proposta BEFIT; </w:t>
            </w:r>
            <w:r w:rsidRPr="001A4499">
              <w:rPr>
                <w:b/>
                <w:i/>
              </w:rPr>
              <w:t>sottolinea la necessità di chiarire quali iniziative devono essere adottate o ritirate;</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145</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Kira Marie Peter-Hansen</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10</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10.</w:t>
            </w:r>
            <w:r w:rsidRPr="001A4499">
              <w:tab/>
            </w:r>
            <w:r w:rsidRPr="001A4499">
              <w:t xml:space="preserve">ribadisce la posizione del Parlamento in merito al sistema fiscale basato sulle norme della sede centrale (HOT), all'agevolazione per ridurre la </w:t>
            </w:r>
            <w:r w:rsidRPr="001A4499">
              <w:lastRenderedPageBreak/>
              <w:t>distorsione a favore del debito rispetto al capitale (DEBRA) e a un'esenzione più rapida e sicura dalle ritenut</w:t>
            </w:r>
            <w:r w:rsidRPr="001A4499">
              <w:t>e alla fonte in eccesso (FASTER); prende atto delle discussioni in corso sulla proposta BEFIT;</w:t>
            </w:r>
          </w:p>
        </w:tc>
        <w:tc>
          <w:tcPr>
            <w:tcW w:w="4876" w:type="dxa"/>
            <w:tcBorders>
              <w:top w:val="nil"/>
              <w:left w:val="nil"/>
              <w:bottom w:val="nil"/>
              <w:right w:val="nil"/>
            </w:tcBorders>
            <w:hideMark/>
          </w:tcPr>
          <w:p w:rsidR="00D20070" w:rsidRPr="001A4499" w:rsidRDefault="00FF5B9D">
            <w:pPr>
              <w:pStyle w:val="Normal6a"/>
            </w:pPr>
            <w:r w:rsidRPr="001A4499">
              <w:lastRenderedPageBreak/>
              <w:t>10.</w:t>
            </w:r>
            <w:r w:rsidRPr="001A4499">
              <w:tab/>
              <w:t xml:space="preserve">ribadisce la posizione del Parlamento in merito al sistema fiscale basato sulle norme della sede centrale (HOT), all'agevolazione per ridurre la </w:t>
            </w:r>
            <w:r w:rsidRPr="001A4499">
              <w:lastRenderedPageBreak/>
              <w:t xml:space="preserve">distorsione </w:t>
            </w:r>
            <w:r w:rsidRPr="001A4499">
              <w:t xml:space="preserve">a favore del debito rispetto al capitale (DEBRA) </w:t>
            </w:r>
            <w:r w:rsidRPr="001A4499">
              <w:rPr>
                <w:b/>
                <w:i/>
              </w:rPr>
              <w:t>, ai prezzi di trasferimento</w:t>
            </w:r>
            <w:r w:rsidRPr="001A4499">
              <w:t xml:space="preserve"> e a un'esenzione più rapida e sicura dalle ritenute alla fonte in eccesso (FASTER); prende atto delle discussioni in corso sulla proposta BEFIT;</w:t>
            </w:r>
          </w:p>
        </w:tc>
      </w:tr>
    </w:tbl>
    <w:p w:rsidR="00D20070" w:rsidRPr="001A4499" w:rsidRDefault="00FF5B9D" w:rsidP="00D20070">
      <w:pPr>
        <w:pStyle w:val="AmOrLang"/>
        <w:rPr>
          <w:lang w:eastAsia="en-US"/>
        </w:rPr>
      </w:pPr>
      <w:r w:rsidRPr="001A4499">
        <w:lastRenderedPageBreak/>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146</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Niels Fuglsang, Matthias Ecke, Bruno Gonçalves, Aurore Lalucq, Evelyn Regner</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10</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10.</w:t>
            </w:r>
            <w:r w:rsidRPr="001A4499">
              <w:tab/>
              <w:t>ribadisce la posizione del Parlamento in merito al sistema fiscale basato sulle norme della sede centrale (HOT), all'agevolazione per ridurre la distorsione a favore del debito rispetto al capitale (DEBRA) e a un'e</w:t>
            </w:r>
            <w:r w:rsidRPr="001A4499">
              <w:t>senzione più rapida e sicura dalle ritenute alla fonte in eccesso (FASTER); prende atto delle discussioni in corso sulla proposta BEFIT;</w:t>
            </w:r>
          </w:p>
        </w:tc>
        <w:tc>
          <w:tcPr>
            <w:tcW w:w="4876" w:type="dxa"/>
            <w:tcBorders>
              <w:top w:val="nil"/>
              <w:left w:val="nil"/>
              <w:bottom w:val="nil"/>
              <w:right w:val="nil"/>
            </w:tcBorders>
            <w:hideMark/>
          </w:tcPr>
          <w:p w:rsidR="00D20070" w:rsidRPr="001A4499" w:rsidRDefault="00FF5B9D">
            <w:pPr>
              <w:pStyle w:val="Normal6a"/>
            </w:pPr>
            <w:r w:rsidRPr="001A4499">
              <w:t>10.</w:t>
            </w:r>
            <w:r w:rsidRPr="001A4499">
              <w:tab/>
              <w:t>ribadisce la posizione del Parlamento in merito al sistema fiscale basato sulle norme della sede centrale (HOT), al</w:t>
            </w:r>
            <w:r w:rsidRPr="001A4499">
              <w:t>l'agevolazione per ridurre la distorsione a favore del debito rispetto al capitale (DEBRA)</w:t>
            </w:r>
            <w:r w:rsidRPr="001A4499">
              <w:rPr>
                <w:b/>
                <w:i/>
              </w:rPr>
              <w:t>, alle norme per prevenire l'uso improprio di entità di comodo a fini fiscali (UNSHELL)</w:t>
            </w:r>
            <w:r w:rsidRPr="001A4499">
              <w:t xml:space="preserve"> e a un'esenzione più rapida e sicura dalle ritenute alla fonte in eccesso (FAS</w:t>
            </w:r>
            <w:r w:rsidRPr="001A4499">
              <w:t>TER); prende atto delle discussioni in corso sulla proposta BEFIT;</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147</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Pasquale Tridico, Jussi Saramo, Manon Aubry</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10</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10.</w:t>
            </w:r>
            <w:r w:rsidRPr="001A4499">
              <w:tab/>
              <w:t>ribadisce la posizione del Parlamento in merito al sistema fiscale basato sulle norme della sede centrale (HOT)</w:t>
            </w:r>
            <w:r w:rsidRPr="001A4499">
              <w:rPr>
                <w:b/>
                <w:i/>
              </w:rPr>
              <w:t xml:space="preserve">, all'agevolazione per ridurre la </w:t>
            </w:r>
            <w:r w:rsidRPr="001A4499">
              <w:rPr>
                <w:b/>
                <w:i/>
              </w:rPr>
              <w:lastRenderedPageBreak/>
              <w:t>distorsione a favore del debito rispetto al capitale (DEBRA)</w:t>
            </w:r>
            <w:r w:rsidRPr="001A4499">
              <w:t xml:space="preserve"> e a un'esenzione più rapida e sicura dalle ritenute alla fonte in eccesso (FASTER); prende atto delle discussioni in corso sulla proposta BEFIT;</w:t>
            </w:r>
          </w:p>
        </w:tc>
        <w:tc>
          <w:tcPr>
            <w:tcW w:w="4876" w:type="dxa"/>
            <w:tcBorders>
              <w:top w:val="nil"/>
              <w:left w:val="nil"/>
              <w:bottom w:val="nil"/>
              <w:right w:val="nil"/>
            </w:tcBorders>
            <w:hideMark/>
          </w:tcPr>
          <w:p w:rsidR="00D20070" w:rsidRPr="001A4499" w:rsidRDefault="00FF5B9D">
            <w:pPr>
              <w:pStyle w:val="Normal6a"/>
            </w:pPr>
            <w:r w:rsidRPr="001A4499">
              <w:lastRenderedPageBreak/>
              <w:t>10.</w:t>
            </w:r>
            <w:r w:rsidRPr="001A4499">
              <w:tab/>
              <w:t>ribadisce la</w:t>
            </w:r>
            <w:r w:rsidRPr="001A4499">
              <w:t xml:space="preserve"> posizione del Parlamento in merito al sistema fiscale basato sulle norme della sede centrale (HOT) e a un'esenzione più rapida e sicura </w:t>
            </w:r>
            <w:r w:rsidRPr="001A4499">
              <w:lastRenderedPageBreak/>
              <w:t>dalle ritenute alla fonte in eccesso (FASTER); prende atto delle discussioni in corso sulla proposta BEFIT;</w:t>
            </w:r>
          </w:p>
        </w:tc>
      </w:tr>
    </w:tbl>
    <w:p w:rsidR="00D20070" w:rsidRPr="001A4499" w:rsidRDefault="00FF5B9D" w:rsidP="00D20070">
      <w:pPr>
        <w:pStyle w:val="AmOrLang"/>
        <w:rPr>
          <w:lang w:eastAsia="en-US"/>
        </w:rPr>
      </w:pPr>
      <w:r w:rsidRPr="001A4499">
        <w:lastRenderedPageBreak/>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C9733A" w:rsidRPr="001A4499" w:rsidRDefault="00FF5B9D" w:rsidP="00C9733A">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148</w:t>
      </w:r>
      <w:r w:rsidRPr="001A4499">
        <w:rPr>
          <w:rStyle w:val="HideTWBExt"/>
          <w:color w:val="auto"/>
        </w:rPr>
        <w:t>&lt;/NumAm&gt;</w:t>
      </w:r>
    </w:p>
    <w:p w:rsidR="00C9733A" w:rsidRPr="001A4499" w:rsidRDefault="00FF5B9D" w:rsidP="00C9733A">
      <w:pPr>
        <w:pStyle w:val="NormalBold"/>
      </w:pPr>
      <w:r w:rsidRPr="001A4499">
        <w:rPr>
          <w:rStyle w:val="HideTWBExt"/>
          <w:b w:val="0"/>
          <w:color w:val="auto"/>
        </w:rPr>
        <w:t>&lt;RepeatBlock-By&gt;&lt;Members&gt;</w:t>
      </w:r>
      <w:r w:rsidRPr="001A4499">
        <w:t>Pasquale Tridico, Jussi Saramo, Manon Aubry, Marc Botenga</w:t>
      </w:r>
      <w:r w:rsidRPr="001A4499">
        <w:rPr>
          <w:rStyle w:val="HideTWBExt"/>
          <w:b w:val="0"/>
          <w:color w:val="auto"/>
        </w:rPr>
        <w:t>&lt;/Members&gt;</w:t>
      </w:r>
    </w:p>
    <w:p w:rsidR="00C9733A" w:rsidRPr="001A4499" w:rsidRDefault="00FF5B9D" w:rsidP="00C9733A">
      <w:pPr>
        <w:pStyle w:val="NormalBold"/>
      </w:pPr>
      <w:r w:rsidRPr="001A4499">
        <w:rPr>
          <w:rStyle w:val="HideTWBExt"/>
          <w:b w:val="0"/>
          <w:color w:val="auto"/>
        </w:rPr>
        <w:t>&lt;/RepeatBlock-By&gt;</w:t>
      </w:r>
    </w:p>
    <w:p w:rsidR="00C9733A" w:rsidRPr="001A4499" w:rsidRDefault="00FF5B9D" w:rsidP="00C9733A">
      <w:pPr>
        <w:pStyle w:val="NormalBold"/>
      </w:pPr>
      <w:r w:rsidRPr="001A4499">
        <w:rPr>
          <w:rStyle w:val="HideTWBExt"/>
          <w:color w:val="auto"/>
        </w:rPr>
        <w:t>&lt;DocAmend&gt;</w:t>
      </w:r>
      <w:r w:rsidRPr="001A4499">
        <w:t>Proposta di risoluzione</w:t>
      </w:r>
      <w:r w:rsidRPr="001A4499">
        <w:rPr>
          <w:rStyle w:val="HideTWBExt"/>
          <w:color w:val="auto"/>
        </w:rPr>
        <w:t>&lt;/DocAmend&gt;</w:t>
      </w:r>
    </w:p>
    <w:p w:rsidR="00C9733A" w:rsidRPr="001A4499" w:rsidRDefault="00FF5B9D" w:rsidP="00C9733A">
      <w:pPr>
        <w:pStyle w:val="NormalBold"/>
      </w:pPr>
      <w:r w:rsidRPr="001A4499">
        <w:rPr>
          <w:rStyle w:val="HideTWBExt"/>
          <w:color w:val="auto"/>
        </w:rPr>
        <w:t>&lt;Article&gt;</w:t>
      </w:r>
      <w:r w:rsidRPr="001A4499">
        <w:t>Paragrafo 10 bis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C4069E">
        <w:trPr>
          <w:trHeight w:val="240"/>
          <w:jc w:val="center"/>
        </w:trPr>
        <w:tc>
          <w:tcPr>
            <w:tcW w:w="9752" w:type="dxa"/>
            <w:gridSpan w:val="2"/>
            <w:tcBorders>
              <w:top w:val="nil"/>
              <w:left w:val="nil"/>
              <w:bottom w:val="nil"/>
              <w:right w:val="nil"/>
            </w:tcBorders>
          </w:tcPr>
          <w:p w:rsidR="00C9733A" w:rsidRPr="001A4499" w:rsidRDefault="00C9733A" w:rsidP="00C4069E"/>
        </w:tc>
      </w:tr>
      <w:tr w:rsidR="001A4499" w:rsidRPr="001A4499" w:rsidTr="00C4069E">
        <w:trPr>
          <w:trHeight w:val="240"/>
          <w:jc w:val="center"/>
        </w:trPr>
        <w:tc>
          <w:tcPr>
            <w:tcW w:w="4876" w:type="dxa"/>
            <w:tcBorders>
              <w:top w:val="nil"/>
              <w:left w:val="nil"/>
              <w:bottom w:val="nil"/>
              <w:right w:val="nil"/>
            </w:tcBorders>
            <w:hideMark/>
          </w:tcPr>
          <w:p w:rsidR="00C9733A" w:rsidRPr="001A4499" w:rsidRDefault="00FF5B9D" w:rsidP="00C4069E">
            <w:pPr>
              <w:pStyle w:val="AmColumnHeading"/>
            </w:pPr>
            <w:r w:rsidRPr="001A4499">
              <w:t>Proposta di risoluzione</w:t>
            </w:r>
          </w:p>
        </w:tc>
        <w:tc>
          <w:tcPr>
            <w:tcW w:w="4876" w:type="dxa"/>
            <w:tcBorders>
              <w:top w:val="nil"/>
              <w:left w:val="nil"/>
              <w:bottom w:val="nil"/>
              <w:right w:val="nil"/>
            </w:tcBorders>
            <w:hideMark/>
          </w:tcPr>
          <w:p w:rsidR="00C9733A" w:rsidRPr="001A4499" w:rsidRDefault="00FF5B9D" w:rsidP="00C4069E">
            <w:pPr>
              <w:pStyle w:val="AmColumnHeading"/>
            </w:pPr>
            <w:r w:rsidRPr="001A4499">
              <w:t>Emendamento</w:t>
            </w:r>
          </w:p>
        </w:tc>
      </w:tr>
      <w:tr w:rsidR="001A4499" w:rsidRPr="001A4499" w:rsidTr="00C4069E">
        <w:trPr>
          <w:jc w:val="center"/>
        </w:trPr>
        <w:tc>
          <w:tcPr>
            <w:tcW w:w="4876" w:type="dxa"/>
            <w:tcBorders>
              <w:top w:val="nil"/>
              <w:left w:val="nil"/>
              <w:bottom w:val="nil"/>
              <w:right w:val="nil"/>
            </w:tcBorders>
          </w:tcPr>
          <w:p w:rsidR="00C9733A" w:rsidRPr="001A4499" w:rsidRDefault="00C9733A" w:rsidP="00C4069E">
            <w:pPr>
              <w:pStyle w:val="Normal6a"/>
            </w:pPr>
          </w:p>
        </w:tc>
        <w:tc>
          <w:tcPr>
            <w:tcW w:w="4876" w:type="dxa"/>
            <w:tcBorders>
              <w:top w:val="nil"/>
              <w:left w:val="nil"/>
              <w:bottom w:val="nil"/>
              <w:right w:val="nil"/>
            </w:tcBorders>
            <w:hideMark/>
          </w:tcPr>
          <w:p w:rsidR="00C9733A" w:rsidRPr="001A4499" w:rsidRDefault="00FF5B9D" w:rsidP="00C4069E">
            <w:pPr>
              <w:pStyle w:val="Normal6a"/>
            </w:pPr>
            <w:r w:rsidRPr="001A4499">
              <w:rPr>
                <w:b/>
                <w:i/>
              </w:rPr>
              <w:t>10 bis.</w:t>
            </w:r>
            <w:r w:rsidRPr="001A4499">
              <w:tab/>
            </w:r>
            <w:r w:rsidRPr="001A4499">
              <w:rPr>
                <w:b/>
                <w:i/>
              </w:rPr>
              <w:t xml:space="preserve">ricorda l'importanza di adottare un'iniziativa su un approccio europeo coordinato alla tassazione sull'economia digitale; </w:t>
            </w:r>
            <w:r w:rsidRPr="001A4499">
              <w:rPr>
                <w:b/>
                <w:i/>
              </w:rPr>
              <w:t>sottolinea che tale iniziativa è particolarmente pertinente alla luce dell'evoluzione del panorama mondiale e delle esigenze di bilancio dell'Unione;</w:t>
            </w:r>
          </w:p>
        </w:tc>
      </w:tr>
    </w:tbl>
    <w:p w:rsidR="00C9733A" w:rsidRPr="001A4499" w:rsidRDefault="00FF5B9D" w:rsidP="00C9733A">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C9733A" w:rsidRPr="001A4499" w:rsidRDefault="00FF5B9D" w:rsidP="00C9733A">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149</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Michalis Hadjipantela</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10 bis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10 bis.</w:t>
            </w:r>
            <w:r w:rsidRPr="001A4499">
              <w:tab/>
            </w:r>
            <w:r w:rsidRPr="001A4499">
              <w:rPr>
                <w:b/>
                <w:i/>
              </w:rPr>
              <w:t>evidenzia l'esigenza di affrontare la distorsione a favore del debito insita nella tassazione delle imprese che permette generose deduzioni fiscali sul pagamento dei tassi di interesse, mentre non esiste una deducibilità analoga per i costi del finanziamen</w:t>
            </w:r>
            <w:r w:rsidRPr="001A4499">
              <w:rPr>
                <w:b/>
                <w:i/>
              </w:rPr>
              <w:t xml:space="preserve">to con capitale proprio; deplora, a tale proposito, l'inattività del Consiglio nell'adottare la proposta DEBRA e ribadisce, a tale </w:t>
            </w:r>
            <w:r w:rsidRPr="001A4499">
              <w:rPr>
                <w:b/>
                <w:i/>
              </w:rPr>
              <w:lastRenderedPageBreak/>
              <w:t>riguardo, la sua posizione del 16 gennaio 2024; </w:t>
            </w:r>
          </w:p>
        </w:tc>
      </w:tr>
    </w:tbl>
    <w:p w:rsidR="00D20070" w:rsidRPr="001A4499" w:rsidRDefault="00FF5B9D" w:rsidP="00D20070">
      <w:pPr>
        <w:pStyle w:val="AmOrLang"/>
        <w:rPr>
          <w:lang w:eastAsia="en-US"/>
        </w:rPr>
      </w:pPr>
      <w:r w:rsidRPr="001A4499">
        <w:lastRenderedPageBreak/>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150</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Michalis Hadjipantela</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10 ter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10 ter.</w:t>
            </w:r>
            <w:r w:rsidRPr="001A4499">
              <w:tab/>
            </w:r>
            <w:r w:rsidRPr="001A4499">
              <w:rPr>
                <w:b/>
                <w:i/>
              </w:rPr>
              <w:t> </w:t>
            </w:r>
            <w:r w:rsidRPr="001A4499">
              <w:rPr>
                <w:b/>
                <w:i/>
              </w:rPr>
              <w:t xml:space="preserve">sottolinea l'importanza di un'esenzione dalla ritenuta alla fonte semplificata, digitalizzata e accelerata per rafforzare l'Unione del risparmio e degli investimenti; ritiene che l'adozione della proposta FASTER da parte del Consiglio sia solo un punto di </w:t>
            </w:r>
            <w:r w:rsidRPr="001A4499">
              <w:rPr>
                <w:b/>
                <w:i/>
              </w:rPr>
              <w:t>partenza per il futuro; ricorda la sua posizione del 28 febbraio 2024; ribadisce che qualsiasi legislazione dell'UE deve garantire autentiche semplificazioni sia per gli investitori che per gli intermediari finanziari;</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151</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Michalis Hadjipantela</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10 quater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10 quater.</w:t>
            </w:r>
            <w:r w:rsidRPr="001A4499">
              <w:tab/>
            </w:r>
            <w:r w:rsidRPr="001A4499">
              <w:rPr>
                <w:b/>
                <w:i/>
              </w:rPr>
              <w:t>ribadisce il proprio sostegno all'istituzione di un'unica "dichiarazione fiscale della sede centrale" (HOT) per le microimprese e le PMI che operano esclusivamente attraverso stabili organizzazioni, al fine di semplificare le procedure fiscali e</w:t>
            </w:r>
            <w:r w:rsidRPr="001A4499">
              <w:rPr>
                <w:b/>
                <w:i/>
              </w:rPr>
              <w:t xml:space="preserve"> ridurre i costi per le imprese; invita il Consiglio </w:t>
            </w:r>
            <w:r w:rsidRPr="001A4499">
              <w:rPr>
                <w:b/>
                <w:i/>
              </w:rPr>
              <w:lastRenderedPageBreak/>
              <w:t>ad adottare rapidamente la proposta HOT e ricorda la sua posizione del 10 aprile 2024;</w:t>
            </w:r>
          </w:p>
        </w:tc>
      </w:tr>
    </w:tbl>
    <w:p w:rsidR="00D20070" w:rsidRPr="001A4499" w:rsidRDefault="00FF5B9D" w:rsidP="00D20070">
      <w:pPr>
        <w:pStyle w:val="AmOrLang"/>
        <w:rPr>
          <w:lang w:eastAsia="en-US"/>
        </w:rPr>
      </w:pPr>
      <w:r w:rsidRPr="001A4499">
        <w:lastRenderedPageBreak/>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152</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Michalis Hadjipantela</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10 quinquies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10 quinquies.</w:t>
            </w:r>
            <w:r w:rsidRPr="001A4499">
              <w:tab/>
            </w:r>
            <w:r w:rsidRPr="001A4499">
              <w:rPr>
                <w:b/>
                <w:i/>
              </w:rPr>
              <w:t>prende atto degli obiettivi della proposta di direttiva "Imprese in Europa: quadro per l'imposizione dei redditi" (BEFIT), volti a ridurre la complessità delle norme fiscali e i costi di conformità per le imprese dell'UE che effettuano operazioni transfron</w:t>
            </w:r>
            <w:r w:rsidRPr="001A4499">
              <w:rPr>
                <w:b/>
                <w:i/>
              </w:rPr>
              <w:t>taliere, nonché a promuovere gli investimenti transfrontalieri e l'attrattiva del mercato unico; deplora, tuttavia, che la proposta della Commissione non abbia conseguito tali obiettivi; ribadisce, a tale proposito, che occorre un valore aggiunto dell'UE s</w:t>
            </w:r>
            <w:r w:rsidRPr="001A4499">
              <w:rPr>
                <w:b/>
                <w:i/>
              </w:rPr>
              <w:t>ia in senso giuridico che economico e chiede un approccio efficace ed equilibrato a vantaggio di tutti gli Stati membri, che riduca la complessità e i costi di conformità delle imprese che operano a livello transfrontaliero;</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153</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Fernando Navarrete Rojas</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11</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11.</w:t>
            </w:r>
            <w:r w:rsidRPr="001A4499">
              <w:tab/>
              <w:t xml:space="preserve">ribadisce l'impegno dell'UE a </w:t>
            </w:r>
            <w:r w:rsidRPr="001A4499">
              <w:lastRenderedPageBreak/>
              <w:t>favore dell'attuazione dell'accordo sul secondo pilastro dell'OCSE, tenendo conto nel contempo della situazione attuale relativa alle norme di tale pilastro, compreso il recente ordine esecutivo emesso dal presidente degli</w:t>
            </w:r>
            <w:r w:rsidRPr="001A4499">
              <w:t xml:space="preserve"> Stati Uniti il 20 gennaio 2025, che stabilisce che l'accordo fiscale globale dell'OCSE non ha valore né produce effetti negli Stati Uniti; esorta la Commissione a informare il Parlamento in merito ai piani di emergenza e ad adottare provvedimenti tempesti</w:t>
            </w:r>
            <w:r w:rsidRPr="001A4499">
              <w:t>vi e mirati per tutelare gli interessi dell'UE e prevenire misure di ritorsione;</w:t>
            </w:r>
          </w:p>
        </w:tc>
        <w:tc>
          <w:tcPr>
            <w:tcW w:w="4876" w:type="dxa"/>
            <w:tcBorders>
              <w:top w:val="nil"/>
              <w:left w:val="nil"/>
              <w:bottom w:val="nil"/>
              <w:right w:val="nil"/>
            </w:tcBorders>
            <w:hideMark/>
          </w:tcPr>
          <w:p w:rsidR="00D20070" w:rsidRPr="001A4499" w:rsidRDefault="00FF5B9D">
            <w:pPr>
              <w:pStyle w:val="Normal6a"/>
            </w:pPr>
            <w:r w:rsidRPr="001A4499">
              <w:lastRenderedPageBreak/>
              <w:t>11.</w:t>
            </w:r>
            <w:r w:rsidRPr="001A4499">
              <w:tab/>
              <w:t xml:space="preserve">ribadisce l'impegno dell'UE a </w:t>
            </w:r>
            <w:r w:rsidRPr="001A4499">
              <w:lastRenderedPageBreak/>
              <w:t>favore dell'attuazione dell'accordo sul secondo pilastro dell'OCSE, tenendo conto nel contempo della situazione attuale relativa alle norme d</w:t>
            </w:r>
            <w:r w:rsidRPr="001A4499">
              <w:t>i tale pilastro, compreso il recente ordine esecutivo emesso dal presidente degli Stati Uniti il 20 gennaio 2025, che stabilisce che l'accordo fiscale globale dell'OCSE non ha valore né produce effetti negli Stati Uniti; esorta la Commissione a informare i</w:t>
            </w:r>
            <w:r w:rsidRPr="001A4499">
              <w:t xml:space="preserve">l Parlamento in merito ai piani di emergenza e ad adottare provvedimenti tempestivi e mirati per tutelare gli interessi dell'UE e prevenire misure di ritorsione </w:t>
            </w:r>
            <w:r w:rsidRPr="001A4499">
              <w:rPr>
                <w:b/>
                <w:i/>
              </w:rPr>
              <w:t>e invita la Commissione a introdurre modifiche e semplificazioni alle norme del secondo pilastr</w:t>
            </w:r>
            <w:r w:rsidRPr="001A4499">
              <w:rPr>
                <w:b/>
                <w:i/>
              </w:rPr>
              <w:t>o, pur preservando i suoi obiettivi principali, soprattutto per garantire che tali norme si adattino ora alle esigenze di competitività dell'UE</w:t>
            </w:r>
            <w:r w:rsidRPr="001A4499">
              <w:t>;</w:t>
            </w:r>
          </w:p>
        </w:tc>
      </w:tr>
    </w:tbl>
    <w:p w:rsidR="00D20070" w:rsidRPr="001A4499" w:rsidRDefault="00FF5B9D" w:rsidP="00D20070">
      <w:pPr>
        <w:pStyle w:val="AmOrLang"/>
        <w:rPr>
          <w:lang w:eastAsia="en-US"/>
        </w:rPr>
      </w:pPr>
      <w:r w:rsidRPr="001A4499">
        <w:lastRenderedPageBreak/>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154</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Niels Fuglsang, Matthias Ecke, Bruno Gonçalves, Aurore Lalucq, Evelyn Regner</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11</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11.</w:t>
            </w:r>
            <w:r w:rsidRPr="001A4499">
              <w:tab/>
            </w:r>
            <w:r w:rsidRPr="001A4499">
              <w:t>ribadisce l'impegno dell'UE a favore dell'attuazione dell'</w:t>
            </w:r>
            <w:r w:rsidRPr="001A4499">
              <w:rPr>
                <w:b/>
                <w:i/>
              </w:rPr>
              <w:t xml:space="preserve">accordo sul </w:t>
            </w:r>
            <w:r w:rsidRPr="001A4499">
              <w:t>secondo pilastro</w:t>
            </w:r>
            <w:r w:rsidRPr="001A4499">
              <w:rPr>
                <w:b/>
                <w:i/>
              </w:rPr>
              <w:t xml:space="preserve"> dell'OCSE, tenendo conto nel contempo della situazione attuale relativa alle norme di tale pilastro, compreso il</w:t>
            </w:r>
            <w:r w:rsidRPr="001A4499">
              <w:t xml:space="preserve"> recente ordine esecutivo emesso dal presidente degli Stati Uniti il 20 gennaio 2025, che stabilisce che l'accordo fiscale globale dell'OCSE non ha valore né produce effetti negli Stati Uniti; esorta la Commissione a informare il Parlamento in merito ai pi</w:t>
            </w:r>
            <w:r w:rsidRPr="001A4499">
              <w:t xml:space="preserve">ani di emergenza e ad adottare provvedimenti tempestivi e mirati per tutelare gli interessi dell'UE e prevenire </w:t>
            </w:r>
            <w:r w:rsidRPr="001A4499">
              <w:lastRenderedPageBreak/>
              <w:t>misure di ritorsione;</w:t>
            </w:r>
          </w:p>
        </w:tc>
        <w:tc>
          <w:tcPr>
            <w:tcW w:w="4876" w:type="dxa"/>
            <w:tcBorders>
              <w:top w:val="nil"/>
              <w:left w:val="nil"/>
              <w:bottom w:val="nil"/>
              <w:right w:val="nil"/>
            </w:tcBorders>
            <w:hideMark/>
          </w:tcPr>
          <w:p w:rsidR="00D20070" w:rsidRPr="001A4499" w:rsidRDefault="00FF5B9D">
            <w:pPr>
              <w:pStyle w:val="Normal6a"/>
            </w:pPr>
            <w:r w:rsidRPr="001A4499">
              <w:lastRenderedPageBreak/>
              <w:t>11.</w:t>
            </w:r>
            <w:r w:rsidRPr="001A4499">
              <w:tab/>
              <w:t>ribadisce l'impegno dell'UE a favore dell'attuazione dell'</w:t>
            </w:r>
            <w:r w:rsidRPr="001A4499">
              <w:rPr>
                <w:b/>
                <w:i/>
              </w:rPr>
              <w:t xml:space="preserve">approccio del </w:t>
            </w:r>
            <w:r w:rsidRPr="001A4499">
              <w:t>secondo pilastro</w:t>
            </w:r>
            <w:r w:rsidRPr="001A4499">
              <w:rPr>
                <w:b/>
                <w:i/>
              </w:rPr>
              <w:t xml:space="preserve"> del quadro inclusivo OCSE/G20</w:t>
            </w:r>
            <w:r w:rsidRPr="001A4499">
              <w:rPr>
                <w:b/>
                <w:i/>
              </w:rPr>
              <w:t>; si rammarica vivamente del</w:t>
            </w:r>
            <w:r w:rsidRPr="001A4499">
              <w:t xml:space="preserve"> recente ordine esecutivo emesso dal presidente degli Stati Uniti il 20 gennaio 2025, che stabilisce che l'accordo fiscale globale dell'OCSE non ha valore né produce effetti negli Stati Uniti; esorta la Commissione a informare i</w:t>
            </w:r>
            <w:r w:rsidRPr="001A4499">
              <w:t xml:space="preserve">l Parlamento in merito ai piani di emergenza e ad adottare provvedimenti tempestivi e mirati per </w:t>
            </w:r>
            <w:r w:rsidRPr="001A4499">
              <w:rPr>
                <w:b/>
                <w:i/>
              </w:rPr>
              <w:t>salvaguardare l'integrità e l'efficacia della direttiva sul secondo pilastro e per</w:t>
            </w:r>
            <w:r w:rsidRPr="001A4499">
              <w:t xml:space="preserve"> </w:t>
            </w:r>
            <w:r w:rsidRPr="001A4499">
              <w:lastRenderedPageBreak/>
              <w:t xml:space="preserve">tutelare gli interessi dell'UE e prevenire misure di ritorsione; </w:t>
            </w:r>
            <w:r w:rsidRPr="001A4499">
              <w:rPr>
                <w:b/>
                <w:i/>
              </w:rPr>
              <w:t>è del parer</w:t>
            </w:r>
            <w:r w:rsidRPr="001A4499">
              <w:rPr>
                <w:b/>
                <w:i/>
              </w:rPr>
              <w:t>e che l'UE dovrebbe sostenere pienamente la direttiva sul secondo pilastro per evitare un ritorno alla concorrenza fiscale incondizionata a scapito delle entrate pubbliche;</w:t>
            </w:r>
          </w:p>
        </w:tc>
      </w:tr>
    </w:tbl>
    <w:p w:rsidR="00D20070" w:rsidRPr="001A4499" w:rsidRDefault="00FF5B9D" w:rsidP="00D20070">
      <w:pPr>
        <w:pStyle w:val="AmOrLang"/>
        <w:rPr>
          <w:lang w:eastAsia="en-US"/>
        </w:rPr>
      </w:pPr>
      <w:r w:rsidRPr="001A4499">
        <w:lastRenderedPageBreak/>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155</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Regina Doherty</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11</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11.</w:t>
            </w:r>
            <w:r w:rsidRPr="001A4499">
              <w:tab/>
            </w:r>
            <w:r w:rsidRPr="001A4499">
              <w:t>ribadisce l'impegno dell'UE a favore dell'attuazione dell'accordo sul secondo pilastro dell'OCSE, tenendo conto nel contempo della situazione attuale relativa alle norme di tale pilastro, compreso il recente ordine esecutivo emesso dal presidente degli Sta</w:t>
            </w:r>
            <w:r w:rsidRPr="001A4499">
              <w:t xml:space="preserve">ti Uniti il 20 gennaio 2025, che stabilisce che l'accordo fiscale globale dell'OCSE non ha valore né produce effetti negli Stati Uniti; esorta la Commissione a </w:t>
            </w:r>
            <w:r w:rsidRPr="001A4499">
              <w:rPr>
                <w:b/>
                <w:i/>
              </w:rPr>
              <w:t>informare</w:t>
            </w:r>
            <w:r w:rsidRPr="001A4499">
              <w:t xml:space="preserve"> il Parlamento </w:t>
            </w:r>
            <w:r w:rsidRPr="001A4499">
              <w:rPr>
                <w:b/>
                <w:i/>
              </w:rPr>
              <w:t>in merito ai piani di emergenza e ad</w:t>
            </w:r>
            <w:r w:rsidRPr="001A4499">
              <w:t xml:space="preserve"> adottare provvedimenti tempestivi e</w:t>
            </w:r>
            <w:r w:rsidRPr="001A4499">
              <w:t xml:space="preserve"> mirati per tutelare gli interessi dell'UE e prevenire misure di ritorsione;</w:t>
            </w:r>
          </w:p>
        </w:tc>
        <w:tc>
          <w:tcPr>
            <w:tcW w:w="4876" w:type="dxa"/>
            <w:tcBorders>
              <w:top w:val="nil"/>
              <w:left w:val="nil"/>
              <w:bottom w:val="nil"/>
              <w:right w:val="nil"/>
            </w:tcBorders>
            <w:hideMark/>
          </w:tcPr>
          <w:p w:rsidR="00D20070" w:rsidRPr="001A4499" w:rsidRDefault="00FF5B9D">
            <w:pPr>
              <w:pStyle w:val="Normal6a"/>
            </w:pPr>
            <w:r w:rsidRPr="001A4499">
              <w:t>11.</w:t>
            </w:r>
            <w:r w:rsidRPr="001A4499">
              <w:tab/>
              <w:t>ribadisce l'impegno dell'UE a favore dell'attuazione dell'accordo sul secondo pilastro dell'OCSE, tenendo conto nel contempo della situazione attuale relativa alle norme di ta</w:t>
            </w:r>
            <w:r w:rsidRPr="001A4499">
              <w:t xml:space="preserve">le pilastro, compreso il recente ordine esecutivo emesso dal presidente degli Stati Uniti il 20 gennaio 2025, che stabilisce che l'accordo fiscale globale dell'OCSE non ha valore né produce effetti negli Stati Uniti; esorta la Commissione a </w:t>
            </w:r>
            <w:r w:rsidRPr="001A4499">
              <w:rPr>
                <w:b/>
                <w:i/>
              </w:rPr>
              <w:t>dare priorità a</w:t>
            </w:r>
            <w:r w:rsidRPr="001A4499">
              <w:rPr>
                <w:b/>
                <w:i/>
              </w:rPr>
              <w:t>ll'impegno per mantenere e proteggere l'accordo, al fine di tenere informato</w:t>
            </w:r>
            <w:r w:rsidRPr="001A4499">
              <w:t xml:space="preserve"> il Parlamento </w:t>
            </w:r>
            <w:r w:rsidRPr="001A4499">
              <w:rPr>
                <w:b/>
                <w:i/>
              </w:rPr>
              <w:t>e</w:t>
            </w:r>
            <w:r w:rsidRPr="001A4499">
              <w:t xml:space="preserve"> adottare provvedimenti tempestivi e mirati per tutelare gli interessi dell'UE e prevenire misure di ritorsione;</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156</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Kira Marie Peter-Hansen</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11</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lastRenderedPageBreak/>
              <w:t>11.</w:t>
            </w:r>
            <w:r w:rsidRPr="001A4499">
              <w:tab/>
            </w:r>
            <w:r w:rsidRPr="001A4499">
              <w:t>ribadisce l'impegno dell'UE a favore dell'attuazione dell'accordo sul secondo pilastro dell'OCSE, tenendo conto nel contempo della situazione attuale relativa alle norme di tale pilastro, compreso il recente ordine esecutivo emesso dal presidente degli Sta</w:t>
            </w:r>
            <w:r w:rsidRPr="001A4499">
              <w:t>ti Uniti il 20 gennaio 2025, che stabilisce che l'accordo fiscale globale dell'OCSE non ha valore né produce effetti negli Stati Uniti; esorta la Commissione a informare il Parlamento in merito ai piani di emergenza e ad adottare provvedimenti tempestivi e</w:t>
            </w:r>
            <w:r w:rsidRPr="001A4499">
              <w:t xml:space="preserve"> mirati per tutelare gli interessi dell'UE </w:t>
            </w:r>
            <w:r w:rsidRPr="001A4499">
              <w:rPr>
                <w:b/>
                <w:i/>
              </w:rPr>
              <w:t>e prevenire misure di ritorsione</w:t>
            </w:r>
            <w:r w:rsidRPr="001A4499">
              <w:t>;</w:t>
            </w:r>
          </w:p>
        </w:tc>
        <w:tc>
          <w:tcPr>
            <w:tcW w:w="4876" w:type="dxa"/>
            <w:tcBorders>
              <w:top w:val="nil"/>
              <w:left w:val="nil"/>
              <w:bottom w:val="nil"/>
              <w:right w:val="nil"/>
            </w:tcBorders>
            <w:hideMark/>
          </w:tcPr>
          <w:p w:rsidR="00D20070" w:rsidRPr="001A4499" w:rsidRDefault="00FF5B9D">
            <w:pPr>
              <w:pStyle w:val="Normal6a"/>
            </w:pPr>
            <w:r w:rsidRPr="001A4499">
              <w:t>11.</w:t>
            </w:r>
            <w:r w:rsidRPr="001A4499">
              <w:tab/>
              <w:t>ribadisce l'impegno dell'UE a favore dell'attuazione dell'accordo sul secondo pilastro dell'OCSE, tenendo conto nel contempo della situazione attuale relativa alle norme di ta</w:t>
            </w:r>
            <w:r w:rsidRPr="001A4499">
              <w:t>le pilastro, compreso il recente ordine esecutivo emesso dal presidente degli Stati Uniti il 20 gennaio 2025, che stabilisce che l'accordo fiscale globale dell'OCSE non ha valore né produce effetti negli Stati Uniti; esorta la Commissione a informare il Pa</w:t>
            </w:r>
            <w:r w:rsidRPr="001A4499">
              <w:t xml:space="preserve">rlamento in merito ai piani di emergenza e ad adottare provvedimenti tempestivi e mirati per tutelare </w:t>
            </w:r>
            <w:r w:rsidRPr="001A4499">
              <w:rPr>
                <w:b/>
                <w:i/>
              </w:rPr>
              <w:t>la sovranità fiscale e</w:t>
            </w:r>
            <w:r w:rsidRPr="001A4499">
              <w:t xml:space="preserve"> gli interessi dell'UE;</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157</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Michalis Hadjipantela</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12</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12.</w:t>
            </w:r>
            <w:r w:rsidRPr="001A4499">
              <w:tab/>
            </w:r>
            <w:r w:rsidRPr="001A4499">
              <w:t>sottolinea che il secondo pilastro dovrebbe garantire un livello di imposizione fiscale minimo globale per i gruppi multinazionali di imprese e i gruppi nazionali su larga scala nell'Unione; accoglie con favore la sua trasposizione nel diritto nazionale; c</w:t>
            </w:r>
            <w:r w:rsidRPr="001A4499">
              <w:t xml:space="preserve">hiede chiarezza giuridica </w:t>
            </w:r>
            <w:r w:rsidRPr="001A4499">
              <w:rPr>
                <w:b/>
                <w:i/>
              </w:rPr>
              <w:t>nella sua</w:t>
            </w:r>
            <w:r w:rsidRPr="001A4499">
              <w:t xml:space="preserve"> attuazione </w:t>
            </w:r>
            <w:r w:rsidRPr="001A4499">
              <w:rPr>
                <w:b/>
                <w:i/>
              </w:rPr>
              <w:t>e</w:t>
            </w:r>
            <w:r w:rsidRPr="001A4499">
              <w:t xml:space="preserve"> auspica che il processo di negoziazione e pubblicazione degli orientamenti amministrativi si concluda presto e fornisca la certezza necessaria alle imprese che rientrano nell'ambito di applicazione del secon</w:t>
            </w:r>
            <w:r w:rsidRPr="001A4499">
              <w:t xml:space="preserve">do pilastro; </w:t>
            </w:r>
            <w:r w:rsidRPr="001A4499">
              <w:rPr>
                <w:b/>
                <w:i/>
              </w:rPr>
              <w:t>si attende nuovi sviluppi per quanto riguarda la norma dell'OCSE che istituisce un</w:t>
            </w:r>
            <w:r w:rsidRPr="001A4499">
              <w:t xml:space="preserve"> "porto sicuro" permanente;</w:t>
            </w:r>
          </w:p>
        </w:tc>
        <w:tc>
          <w:tcPr>
            <w:tcW w:w="4876" w:type="dxa"/>
            <w:tcBorders>
              <w:top w:val="nil"/>
              <w:left w:val="nil"/>
              <w:bottom w:val="nil"/>
              <w:right w:val="nil"/>
            </w:tcBorders>
            <w:hideMark/>
          </w:tcPr>
          <w:p w:rsidR="00D20070" w:rsidRPr="001A4499" w:rsidRDefault="00FF5B9D">
            <w:pPr>
              <w:pStyle w:val="Normal6a"/>
            </w:pPr>
            <w:r w:rsidRPr="001A4499">
              <w:t>12.</w:t>
            </w:r>
            <w:r w:rsidRPr="001A4499">
              <w:tab/>
              <w:t>sottolinea che il secondo pilastro dovrebbe garantire un livello di imposizione fiscale minimo globale per i gruppi multinazional</w:t>
            </w:r>
            <w:r w:rsidRPr="001A4499">
              <w:t>i di imprese e i gruppi nazionali su larga scala nell'Unione; accoglie con favore la sua trasposizione nel diritto nazionale; chiede chiarezza giuridica</w:t>
            </w:r>
            <w:r w:rsidRPr="001A4499">
              <w:rPr>
                <w:b/>
                <w:i/>
              </w:rPr>
              <w:t>, tenendo conto delle differenze tra le norme del secondo pilastro dell'OCSE e l'</w:t>
            </w:r>
            <w:r w:rsidRPr="001A4499">
              <w:t xml:space="preserve">attuazione </w:t>
            </w:r>
            <w:r w:rsidRPr="001A4499">
              <w:rPr>
                <w:b/>
                <w:i/>
              </w:rPr>
              <w:t>da parte deg</w:t>
            </w:r>
            <w:r w:rsidRPr="001A4499">
              <w:rPr>
                <w:b/>
                <w:i/>
              </w:rPr>
              <w:t>li Stati membri, in particolare per quanto concerne le attività di navigazione, per evitare di creare regimi fiscali contrastanti che possono generare confusione;</w:t>
            </w:r>
            <w:r w:rsidRPr="001A4499">
              <w:t xml:space="preserve"> auspica che il processo di negoziazione e pubblicazione degli orientamenti amministrativi si </w:t>
            </w:r>
            <w:r w:rsidRPr="001A4499">
              <w:t xml:space="preserve">concluda presto e fornisca la certezza necessaria alle imprese che rientrano nell'ambito di applicazione del secondo pilastro; </w:t>
            </w:r>
            <w:r w:rsidRPr="001A4499">
              <w:rPr>
                <w:b/>
                <w:i/>
              </w:rPr>
              <w:lastRenderedPageBreak/>
              <w:t>evidenzia l'introduzione di una norma di</w:t>
            </w:r>
            <w:r w:rsidRPr="001A4499">
              <w:t xml:space="preserve"> "porto sicuro" permanente </w:t>
            </w:r>
            <w:r w:rsidRPr="001A4499">
              <w:rPr>
                <w:b/>
                <w:i/>
              </w:rPr>
              <w:t>che si basa sull'attuale porto sicuro transitorio per la comun</w:t>
            </w:r>
            <w:r w:rsidRPr="001A4499">
              <w:rPr>
                <w:b/>
                <w:i/>
              </w:rPr>
              <w:t>icazione paese per paese</w:t>
            </w:r>
            <w:r w:rsidRPr="001A4499">
              <w:t xml:space="preserve">; </w:t>
            </w:r>
            <w:r w:rsidRPr="001A4499">
              <w:rPr>
                <w:b/>
                <w:i/>
              </w:rPr>
              <w:t>chiede una valutazione della necessità di ulteriori porti sicuri;</w:t>
            </w:r>
          </w:p>
        </w:tc>
      </w:tr>
    </w:tbl>
    <w:p w:rsidR="00D20070" w:rsidRPr="001A4499" w:rsidRDefault="00FF5B9D" w:rsidP="00D20070">
      <w:pPr>
        <w:pStyle w:val="AmOrLang"/>
        <w:rPr>
          <w:lang w:eastAsia="en-US"/>
        </w:rPr>
      </w:pPr>
      <w:r w:rsidRPr="001A4499">
        <w:lastRenderedPageBreak/>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158</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Kira Marie Peter-Hansen</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12</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12.</w:t>
            </w:r>
            <w:r w:rsidRPr="001A4499">
              <w:tab/>
            </w:r>
            <w:r w:rsidRPr="001A4499">
              <w:t>sottolinea che il secondo pilastro dovrebbe garantire un livello di imposizione fiscale minimo globale per i gruppi multinazionali di imprese e i gruppi nazionali su larga scala nell'Unione; accoglie con favore la sua trasposizione nel diritto nazionale; c</w:t>
            </w:r>
            <w:r w:rsidRPr="001A4499">
              <w:t>hiede chiarezza giuridica nella sua attuazione e auspica che il processo di negoziazione e pubblicazione degli orientamenti amministrativi si concluda presto e fornisca la certezza necessaria alle imprese che rientrano nell'ambito di applicazione del secon</w:t>
            </w:r>
            <w:r w:rsidRPr="001A4499">
              <w:t xml:space="preserve">do pilastro; si attende nuovi sviluppi per quanto riguarda </w:t>
            </w:r>
            <w:r w:rsidRPr="001A4499">
              <w:rPr>
                <w:b/>
                <w:i/>
              </w:rPr>
              <w:t>la norma dell'OCSE che istituisce un "porto sicuro" permanente</w:t>
            </w:r>
            <w:r w:rsidRPr="001A4499">
              <w:t>;</w:t>
            </w:r>
          </w:p>
        </w:tc>
        <w:tc>
          <w:tcPr>
            <w:tcW w:w="4876" w:type="dxa"/>
            <w:tcBorders>
              <w:top w:val="nil"/>
              <w:left w:val="nil"/>
              <w:bottom w:val="nil"/>
              <w:right w:val="nil"/>
            </w:tcBorders>
            <w:hideMark/>
          </w:tcPr>
          <w:p w:rsidR="00D20070" w:rsidRPr="001A4499" w:rsidRDefault="00FF5B9D">
            <w:pPr>
              <w:pStyle w:val="Normal6a"/>
            </w:pPr>
            <w:r w:rsidRPr="001A4499">
              <w:t>12.</w:t>
            </w:r>
            <w:r w:rsidRPr="001A4499">
              <w:tab/>
              <w:t>sottolinea che il secondo pilastro dovrebbe garantire un livello di imposizione fiscale minimo globale per i gruppi multinazional</w:t>
            </w:r>
            <w:r w:rsidRPr="001A4499">
              <w:t>i di imprese e i gruppi nazionali su larga scala nell'Unione; accoglie con favore la sua trasposizione nel diritto nazionale; chiede chiarezza giuridica nella sua attuazione e auspica che il processo di negoziazione e pubblicazione degli orientamenti ammin</w:t>
            </w:r>
            <w:r w:rsidRPr="001A4499">
              <w:t xml:space="preserve">istrativi si concluda presto e fornisca la certezza necessaria alle imprese che rientrano nell'ambito di applicazione del secondo pilastro; si attende nuovi sviluppi per quanto riguarda </w:t>
            </w:r>
            <w:r w:rsidRPr="001A4499">
              <w:rPr>
                <w:b/>
                <w:i/>
              </w:rPr>
              <w:t>i porti sicuri amministrativi esistenti per agevolare la conformità</w:t>
            </w:r>
            <w:r w:rsidRPr="001A4499">
              <w:t>;</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159</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Kira Marie Peter-Hansen</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12 bis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12 bis.</w:t>
            </w:r>
            <w:r w:rsidRPr="001A4499">
              <w:tab/>
            </w:r>
            <w:r w:rsidRPr="001A4499">
              <w:rPr>
                <w:b/>
                <w:i/>
              </w:rPr>
              <w:t>deplora profondamente la nota trapelata della presidenza polacca che include opzioni per accontentare l'attuale amministrazione statunitense sul secondo pilastro; esorta gli Stati membri ad attuare pienamente i</w:t>
            </w:r>
            <w:r w:rsidRPr="001A4499">
              <w:rPr>
                <w:b/>
                <w:i/>
              </w:rPr>
              <w:t xml:space="preserve">l secondo pilastro, in particolare la norma sui profitti a bassa imposizione; osserva che tale norma è un elemento essenziale per il buon funzionamento del secondo pilastro, garantendo condizioni di parità per le imprese europee; invita gli Stati membri a </w:t>
            </w:r>
            <w:r w:rsidRPr="001A4499">
              <w:rPr>
                <w:b/>
                <w:i/>
              </w:rPr>
              <w:t xml:space="preserve">non estendere i porti sicuri transitori in base alla norma sui profitti a bassa imposizione oltre il 2026, il che andrebbe a svantaggio delle imprese dell'UE; accoglie con favore il chiaro impegno a favore della norma di cui sopra, assunto dal commissario </w:t>
            </w:r>
            <w:r w:rsidRPr="001A4499">
              <w:rPr>
                <w:b/>
                <w:i/>
              </w:rPr>
              <w:t>Hoekstra nelle sue risposte scritte al Parlamento nel contesto delle audizioni di nomina</w:t>
            </w:r>
            <w:r w:rsidRPr="001A4499">
              <w:rPr>
                <w:b/>
                <w:i/>
                <w:vertAlign w:val="superscript"/>
              </w:rPr>
              <w:t>21 bis</w:t>
            </w:r>
            <w:r w:rsidRPr="001A4499">
              <w:rPr>
                <w:b/>
                <w:i/>
              </w:rPr>
              <w:t>; ricorda che nel 2021 gli Stati Uniti hanno approvato l'imposta minima dell'OCSE ai livelli del G7, del G20 e del quadro inclusivo dell'OCSE;</w:t>
            </w:r>
          </w:p>
        </w:tc>
      </w:tr>
      <w:tr w:rsidR="001A4499" w:rsidRPr="001A4499" w:rsidTr="00D20070">
        <w:trPr>
          <w:jc w:val="center"/>
        </w:trPr>
        <w:tc>
          <w:tcPr>
            <w:tcW w:w="4876" w:type="dxa"/>
            <w:tcBorders>
              <w:top w:val="nil"/>
              <w:left w:val="nil"/>
              <w:bottom w:val="nil"/>
              <w:right w:val="nil"/>
            </w:tcBorders>
          </w:tcPr>
          <w:p w:rsidR="00D20070" w:rsidRPr="001A4499" w:rsidRDefault="00D20070"/>
        </w:tc>
        <w:tc>
          <w:tcPr>
            <w:tcW w:w="4876" w:type="dxa"/>
            <w:tcBorders>
              <w:top w:val="nil"/>
              <w:left w:val="nil"/>
              <w:bottom w:val="nil"/>
              <w:right w:val="nil"/>
            </w:tcBorders>
            <w:hideMark/>
          </w:tcPr>
          <w:p w:rsidR="00D20070" w:rsidRPr="001A4499" w:rsidRDefault="00FF5B9D">
            <w:pPr>
              <w:pStyle w:val="Normal6a"/>
            </w:pPr>
            <w:r w:rsidRPr="001A4499">
              <w:rPr>
                <w:b/>
                <w:i/>
              </w:rPr>
              <w:t>_________________</w:t>
            </w:r>
          </w:p>
        </w:tc>
      </w:tr>
      <w:tr w:rsidR="001A4499" w:rsidRPr="001A4499" w:rsidTr="00D20070">
        <w:trPr>
          <w:jc w:val="center"/>
        </w:trPr>
        <w:tc>
          <w:tcPr>
            <w:tcW w:w="4876" w:type="dxa"/>
            <w:tcBorders>
              <w:top w:val="nil"/>
              <w:left w:val="nil"/>
              <w:bottom w:val="nil"/>
              <w:right w:val="nil"/>
            </w:tcBorders>
          </w:tcPr>
          <w:p w:rsidR="00D20070" w:rsidRPr="001A4499" w:rsidRDefault="00D20070"/>
        </w:tc>
        <w:tc>
          <w:tcPr>
            <w:tcW w:w="4876" w:type="dxa"/>
            <w:tcBorders>
              <w:top w:val="nil"/>
              <w:left w:val="nil"/>
              <w:bottom w:val="nil"/>
              <w:right w:val="nil"/>
            </w:tcBorders>
            <w:hideMark/>
          </w:tcPr>
          <w:p w:rsidR="00D20070" w:rsidRPr="001A4499" w:rsidRDefault="00FF5B9D">
            <w:pPr>
              <w:pStyle w:val="Normal6a"/>
            </w:pPr>
            <w:r w:rsidRPr="001A4499">
              <w:rPr>
                <w:b/>
                <w:i/>
                <w:vertAlign w:val="superscript"/>
              </w:rPr>
              <w:t>21 bis</w:t>
            </w:r>
            <w:r w:rsidRPr="001A4499">
              <w:t xml:space="preserve"> </w:t>
            </w:r>
            <w:r w:rsidRPr="001A4499">
              <w:rPr>
                <w:b/>
                <w:i/>
              </w:rPr>
              <w:t>https://hearings.elections.europa.eu/documents/hoekstra/hoekstra_writtenquestionsandanswers_en.pdf</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160</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Niels Fuglsang, Matthias Ecke, Bruno Gonçalves, Aurore Lalucq, Evelyn Regner</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12 bis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12 bis.</w:t>
            </w:r>
            <w:r w:rsidRPr="001A4499">
              <w:tab/>
            </w:r>
            <w:r w:rsidRPr="001A4499">
              <w:rPr>
                <w:b/>
                <w:i/>
              </w:rPr>
              <w:t xml:space="preserve">osserva che circa il 49 % degli utili precedentemente trasferiti dovrebbe essere coperto dall'attuazione del secondo </w:t>
            </w:r>
            <w:r w:rsidRPr="001A4499">
              <w:rPr>
                <w:b/>
                <w:i/>
              </w:rPr>
              <w:lastRenderedPageBreak/>
              <w:t>pilastro; osserva inoltre che si prevede che la riforma aumenterà il gettito della tassazione delle imprese, come evidenziato dalla Slovacc</w:t>
            </w:r>
            <w:r w:rsidRPr="001A4499">
              <w:rPr>
                <w:b/>
                <w:i/>
              </w:rPr>
              <w:t>hia, dove si stima che il gettito crescerà di circa il 4 %, di cui la metà dell'aumento deriva da imposte integrative sui profitti a bassa imposizione e l'altra metà dalla riduzione del trasferimento dei profitti</w:t>
            </w:r>
            <w:r w:rsidRPr="001A4499">
              <w:rPr>
                <w:b/>
                <w:i/>
                <w:vertAlign w:val="superscript"/>
              </w:rPr>
              <w:t>1 bis</w:t>
            </w:r>
            <w:r w:rsidRPr="001A4499">
              <w:rPr>
                <w:b/>
                <w:i/>
              </w:rPr>
              <w:t>;</w:t>
            </w:r>
          </w:p>
        </w:tc>
      </w:tr>
      <w:tr w:rsidR="001A4499" w:rsidRPr="001A4499" w:rsidTr="00D20070">
        <w:trPr>
          <w:jc w:val="center"/>
        </w:trPr>
        <w:tc>
          <w:tcPr>
            <w:tcW w:w="4876" w:type="dxa"/>
            <w:tcBorders>
              <w:top w:val="nil"/>
              <w:left w:val="nil"/>
              <w:bottom w:val="nil"/>
              <w:right w:val="nil"/>
            </w:tcBorders>
          </w:tcPr>
          <w:p w:rsidR="00D20070" w:rsidRPr="001A4499" w:rsidRDefault="00D20070"/>
        </w:tc>
        <w:tc>
          <w:tcPr>
            <w:tcW w:w="4876" w:type="dxa"/>
            <w:tcBorders>
              <w:top w:val="nil"/>
              <w:left w:val="nil"/>
              <w:bottom w:val="nil"/>
              <w:right w:val="nil"/>
            </w:tcBorders>
            <w:hideMark/>
          </w:tcPr>
          <w:p w:rsidR="00D20070" w:rsidRPr="001A4499" w:rsidRDefault="00FF5B9D">
            <w:pPr>
              <w:pStyle w:val="Normal6a"/>
            </w:pPr>
            <w:r w:rsidRPr="001A4499">
              <w:rPr>
                <w:b/>
                <w:i/>
              </w:rPr>
              <w:t>_________________</w:t>
            </w:r>
          </w:p>
        </w:tc>
      </w:tr>
      <w:tr w:rsidR="001A4499" w:rsidRPr="001A4499" w:rsidTr="00D20070">
        <w:trPr>
          <w:jc w:val="center"/>
        </w:trPr>
        <w:tc>
          <w:tcPr>
            <w:tcW w:w="4876" w:type="dxa"/>
            <w:tcBorders>
              <w:top w:val="nil"/>
              <w:left w:val="nil"/>
              <w:bottom w:val="nil"/>
              <w:right w:val="nil"/>
            </w:tcBorders>
          </w:tcPr>
          <w:p w:rsidR="00D20070" w:rsidRPr="001A4499" w:rsidRDefault="00D20070"/>
        </w:tc>
        <w:tc>
          <w:tcPr>
            <w:tcW w:w="4876" w:type="dxa"/>
            <w:tcBorders>
              <w:top w:val="nil"/>
              <w:left w:val="nil"/>
              <w:bottom w:val="nil"/>
              <w:right w:val="nil"/>
            </w:tcBorders>
            <w:hideMark/>
          </w:tcPr>
          <w:p w:rsidR="00D20070" w:rsidRPr="001A4499" w:rsidRDefault="00FF5B9D">
            <w:pPr>
              <w:pStyle w:val="Normal6a"/>
            </w:pPr>
            <w:r w:rsidRPr="001A4499">
              <w:rPr>
                <w:b/>
                <w:i/>
                <w:vertAlign w:val="superscript"/>
              </w:rPr>
              <w:t>1 bis</w:t>
            </w:r>
            <w:r w:rsidRPr="001A4499">
              <w:t xml:space="preserve"> </w:t>
            </w:r>
            <w:r w:rsidRPr="001A4499">
              <w:rPr>
                <w:b/>
                <w:i/>
              </w:rPr>
              <w:t xml:space="preserve">Boukal, T., Janský, P., &amp; Palanský, M. (2024). "Global Minimum Tax and Profit Shifting" (Imposta minima globale e trasferimento dei profitti). Istituto di studi economici, facoltà di scienze sociali, università Carlo di Praga. </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w:t>
      </w:r>
      <w:r w:rsidRPr="001A4499">
        <w:rPr>
          <w:rStyle w:val="HideTWBExt"/>
          <w:color w:val="auto"/>
        </w:rPr>
        <w:t>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161</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Kira Marie Peter-Hansen</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13</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13.</w:t>
            </w:r>
            <w:r w:rsidRPr="001A4499">
              <w:tab/>
            </w:r>
            <w:r w:rsidRPr="001A4499">
              <w:t xml:space="preserve">osserva che, negli ultimi anni, l'Unione europea ha perseguito un </w:t>
            </w:r>
            <w:r w:rsidRPr="001A4499">
              <w:rPr>
                <w:b/>
                <w:i/>
              </w:rPr>
              <w:t>ambizioso</w:t>
            </w:r>
            <w:r w:rsidRPr="001A4499">
              <w:t xml:space="preserve"> programma di contrasto all'evasione e all'elusione fiscali e ha introdotto una serie di nuove disposizioni e nuovi obblighi di comunicazione, ad esempio attraverso la direttiva ant</w:t>
            </w:r>
            <w:r w:rsidRPr="001A4499">
              <w:t>i-elusione (ATAD); prende atto del fatto che la Commissione ha annunciato che effettuerà una valutazione della direttiva anti-elusione alla luce del secondo pilastro e presenterà una relazione esaustiva sulle misure nel terzo trimestre del 2025;</w:t>
            </w:r>
          </w:p>
        </w:tc>
        <w:tc>
          <w:tcPr>
            <w:tcW w:w="4876" w:type="dxa"/>
            <w:tcBorders>
              <w:top w:val="nil"/>
              <w:left w:val="nil"/>
              <w:bottom w:val="nil"/>
              <w:right w:val="nil"/>
            </w:tcBorders>
            <w:hideMark/>
          </w:tcPr>
          <w:p w:rsidR="00D20070" w:rsidRPr="001A4499" w:rsidRDefault="00FF5B9D">
            <w:pPr>
              <w:pStyle w:val="Normal6a"/>
            </w:pPr>
            <w:r w:rsidRPr="001A4499">
              <w:t>13.</w:t>
            </w:r>
            <w:r w:rsidRPr="001A4499">
              <w:tab/>
              <w:t>osserv</w:t>
            </w:r>
            <w:r w:rsidRPr="001A4499">
              <w:t xml:space="preserve">a che, negli ultimi anni, l'Unione europea ha perseguito un </w:t>
            </w:r>
            <w:r w:rsidRPr="001A4499">
              <w:rPr>
                <w:b/>
                <w:i/>
              </w:rPr>
              <w:t>necessario</w:t>
            </w:r>
            <w:r w:rsidRPr="001A4499">
              <w:t xml:space="preserve"> programma di contrasto all'evasione e all'elusione fiscali e ha introdotto una serie di nuove disposizioni e nuovi obblighi di comunicazione, ad esempio attraverso la direttiva anti-elu</w:t>
            </w:r>
            <w:r w:rsidRPr="001A4499">
              <w:t>sione (ATAD); prende atto del fatto che la Commissione ha annunciato che effettuerà una valutazione della direttiva anti-elusione alla luce del secondo pilastro e presenterà una relazione esaustiva sulle misure nel terzo trimestre del 2025;</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lastRenderedPageBreak/>
        <w:t>&lt;Amend&gt;</w:t>
      </w:r>
      <w:r w:rsidRPr="001A4499">
        <w:t>Emendamento</w:t>
      </w:r>
      <w:r w:rsidRPr="001A4499">
        <w:tab/>
      </w:r>
      <w:r w:rsidRPr="001A4499">
        <w:tab/>
      </w:r>
      <w:r w:rsidRPr="001A4499">
        <w:rPr>
          <w:rStyle w:val="HideTWBExt"/>
          <w:color w:val="auto"/>
        </w:rPr>
        <w:t>&lt;NumAm&gt;</w:t>
      </w:r>
      <w:r w:rsidRPr="001A4499">
        <w:t>162</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Markus Ferber</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13</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13.</w:t>
            </w:r>
            <w:r w:rsidRPr="001A4499">
              <w:tab/>
            </w:r>
            <w:r w:rsidRPr="001A4499">
              <w:t>osserva che, negli ultimi anni, l'Unione europea ha perseguito un ambizioso programma di contrasto all'evasione e all'elusione fiscali e ha introdotto una serie di nuove disposizioni e nuovi obblighi di comunicazione, ad esempio attraverso la direttiva ant</w:t>
            </w:r>
            <w:r w:rsidRPr="001A4499">
              <w:t>i-elusione (ATAD); prende atto del fatto che la Commissione ha annunciato che effettuerà una valutazione della direttiva anti-elusione alla luce del secondo pilastro e presenterà una relazione esaustiva sulle misure nel terzo trimestre del 2025;</w:t>
            </w:r>
          </w:p>
        </w:tc>
        <w:tc>
          <w:tcPr>
            <w:tcW w:w="4876" w:type="dxa"/>
            <w:tcBorders>
              <w:top w:val="nil"/>
              <w:left w:val="nil"/>
              <w:bottom w:val="nil"/>
              <w:right w:val="nil"/>
            </w:tcBorders>
            <w:hideMark/>
          </w:tcPr>
          <w:p w:rsidR="00D20070" w:rsidRPr="001A4499" w:rsidRDefault="00FF5B9D">
            <w:pPr>
              <w:pStyle w:val="Normal6a"/>
            </w:pPr>
            <w:r w:rsidRPr="001A4499">
              <w:t>13.</w:t>
            </w:r>
            <w:r w:rsidRPr="001A4499">
              <w:tab/>
              <w:t>osserv</w:t>
            </w:r>
            <w:r w:rsidRPr="001A4499">
              <w:t>a che, negli ultimi anni, l'Unione europea ha perseguito un ambizioso programma di contrasto all'evasione e all'elusione fiscali e ha introdotto una serie di nuove disposizioni e nuovi obblighi di comunicazione, ad esempio attraverso la direttiva anti-elus</w:t>
            </w:r>
            <w:r w:rsidRPr="001A4499">
              <w:t>ione (ATAD)</w:t>
            </w:r>
            <w:r w:rsidRPr="001A4499">
              <w:rPr>
                <w:b/>
                <w:i/>
              </w:rPr>
              <w:t>, che hanno aumentato i costi di conformità fiscale</w:t>
            </w:r>
            <w:r w:rsidRPr="001A4499">
              <w:t xml:space="preserve">; </w:t>
            </w:r>
            <w:r w:rsidRPr="001A4499">
              <w:t>prende atto del fatto che la Commissione ha annunciato che effettuerà una valutazione della direttiva anti-elusione alla luce del secondo pilastro e presenterà una relazione esaustiva sulle misure nel terzo trimestre del 2025;</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163</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Michalis Hadjipantela</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13</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13.</w:t>
            </w:r>
            <w:r w:rsidRPr="001A4499">
              <w:tab/>
            </w:r>
            <w:r w:rsidRPr="001A4499">
              <w:t>osserva che, negli ultimi anni, l'Unione europea ha perseguito un ambizioso programma di contrasto all'evasione e all'elusione fiscali e ha introdotto una serie di nuove disposizioni e nuovi obblighi di comunicazione, ad esempio attraverso la direttiva ant</w:t>
            </w:r>
            <w:r w:rsidRPr="001A4499">
              <w:t xml:space="preserve">i-elusione (ATAD); prende atto del fatto che la Commissione ha annunciato che effettuerà una valutazione della direttiva anti-elusione alla luce del secondo pilastro e presenterà una relazione esaustiva sulle </w:t>
            </w:r>
            <w:r w:rsidRPr="001A4499">
              <w:lastRenderedPageBreak/>
              <w:t>misure nel terzo trimestre del 2025;</w:t>
            </w:r>
          </w:p>
        </w:tc>
        <w:tc>
          <w:tcPr>
            <w:tcW w:w="4876" w:type="dxa"/>
            <w:tcBorders>
              <w:top w:val="nil"/>
              <w:left w:val="nil"/>
              <w:bottom w:val="nil"/>
              <w:right w:val="nil"/>
            </w:tcBorders>
            <w:hideMark/>
          </w:tcPr>
          <w:p w:rsidR="00D20070" w:rsidRPr="001A4499" w:rsidRDefault="00FF5B9D">
            <w:pPr>
              <w:pStyle w:val="Normal6a"/>
            </w:pPr>
            <w:r w:rsidRPr="001A4499">
              <w:lastRenderedPageBreak/>
              <w:t>13.</w:t>
            </w:r>
            <w:r w:rsidRPr="001A4499">
              <w:tab/>
              <w:t>osserv</w:t>
            </w:r>
            <w:r w:rsidRPr="001A4499">
              <w:t>a che, negli ultimi anni, l'Unione europea ha perseguito un ambizioso programma di contrasto all'evasione e all'elusione fiscali e ha introdotto una serie di nuove disposizioni e nuovi obblighi di comunicazione, ad esempio attraverso la direttiva anti-elus</w:t>
            </w:r>
            <w:r w:rsidRPr="001A4499">
              <w:t xml:space="preserve">ione (ATAD); prende atto del fatto che la Commissione ha annunciato che effettuerà una valutazione della direttiva anti-elusione alla luce del secondo pilastro e presenterà una relazione esaustiva sulle </w:t>
            </w:r>
            <w:r w:rsidRPr="001A4499">
              <w:lastRenderedPageBreak/>
              <w:t>misure nel terzo trimestre del 2025;</w:t>
            </w:r>
            <w:r w:rsidRPr="001A4499">
              <w:rPr>
                <w:b/>
                <w:i/>
              </w:rPr>
              <w:t> invita, a tale r</w:t>
            </w:r>
            <w:r w:rsidRPr="001A4499">
              <w:rPr>
                <w:b/>
                <w:i/>
              </w:rPr>
              <w:t>iguardo, la Commissione a intraprendere una revisione della direttiva anti-elusione (ATAD), a seguito dell'accordo sul secondo pilastro;</w:t>
            </w:r>
          </w:p>
        </w:tc>
      </w:tr>
    </w:tbl>
    <w:p w:rsidR="00D20070" w:rsidRPr="001A4499" w:rsidRDefault="00FF5B9D" w:rsidP="00D20070">
      <w:pPr>
        <w:pStyle w:val="AmOrLang"/>
        <w:rPr>
          <w:lang w:eastAsia="en-US"/>
        </w:rPr>
      </w:pPr>
      <w:r w:rsidRPr="001A4499">
        <w:lastRenderedPageBreak/>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164</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Fernando Navarrete Rojas</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13</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13.</w:t>
            </w:r>
            <w:r w:rsidRPr="001A4499">
              <w:tab/>
            </w:r>
            <w:r w:rsidRPr="001A4499">
              <w:t>osserva che, negli ultimi anni, l'Unione europea ha perseguito un ambizioso programma di contrasto all'evasione e all'elusione fiscali e ha introdotto una serie di nuove disposizioni e nuovi obblighi di comunicazione, ad esempio attraverso la direttiva ant</w:t>
            </w:r>
            <w:r w:rsidRPr="001A4499">
              <w:t xml:space="preserve">i-elusione (ATAD); </w:t>
            </w:r>
            <w:r w:rsidRPr="001A4499">
              <w:rPr>
                <w:b/>
                <w:i/>
              </w:rPr>
              <w:t>prende atto del fatto che</w:t>
            </w:r>
            <w:r w:rsidRPr="001A4499">
              <w:t xml:space="preserve"> la Commissione </w:t>
            </w:r>
            <w:r w:rsidRPr="001A4499">
              <w:rPr>
                <w:b/>
                <w:i/>
              </w:rPr>
              <w:t>ha annunciato che effettuerà una valutazione</w:t>
            </w:r>
            <w:r w:rsidRPr="001A4499">
              <w:t xml:space="preserve"> della direttiva anti-elusione </w:t>
            </w:r>
            <w:r w:rsidRPr="001A4499">
              <w:rPr>
                <w:b/>
                <w:i/>
              </w:rPr>
              <w:t>alla luce del secondo pilastro e presenterà una relazione esaustiva sulle misure nel terzo trimestre del 2025</w:t>
            </w:r>
            <w:r w:rsidRPr="001A4499">
              <w:t>;</w:t>
            </w:r>
          </w:p>
        </w:tc>
        <w:tc>
          <w:tcPr>
            <w:tcW w:w="4876" w:type="dxa"/>
            <w:tcBorders>
              <w:top w:val="nil"/>
              <w:left w:val="nil"/>
              <w:bottom w:val="nil"/>
              <w:right w:val="nil"/>
            </w:tcBorders>
            <w:hideMark/>
          </w:tcPr>
          <w:p w:rsidR="00D20070" w:rsidRPr="001A4499" w:rsidRDefault="00FF5B9D">
            <w:pPr>
              <w:pStyle w:val="Normal6a"/>
            </w:pPr>
            <w:r w:rsidRPr="001A4499">
              <w:t>13.</w:t>
            </w:r>
            <w:r w:rsidRPr="001A4499">
              <w:tab/>
              <w:t>osserv</w:t>
            </w:r>
            <w:r w:rsidRPr="001A4499">
              <w:t>a che, negli ultimi anni, l'Unione europea ha perseguito un ambizioso programma di contrasto all'evasione e all'elusione fiscali e ha introdotto una serie di nuove disposizioni e nuovi obblighi di comunicazione, ad esempio attraverso la direttiva anti-elus</w:t>
            </w:r>
            <w:r w:rsidRPr="001A4499">
              <w:t xml:space="preserve">ione (ATAD); </w:t>
            </w:r>
            <w:r w:rsidRPr="001A4499">
              <w:rPr>
                <w:b/>
                <w:i/>
              </w:rPr>
              <w:t>invita, a tale riguardo,</w:t>
            </w:r>
            <w:r w:rsidRPr="001A4499">
              <w:t xml:space="preserve"> la Commissione </w:t>
            </w:r>
            <w:r w:rsidRPr="001A4499">
              <w:rPr>
                <w:b/>
                <w:i/>
              </w:rPr>
              <w:t>a intraprendere una revisione</w:t>
            </w:r>
            <w:r w:rsidRPr="001A4499">
              <w:t xml:space="preserve"> della direttiva anti-elusione;</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165</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Regina Doherty</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13</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13.</w:t>
            </w:r>
            <w:r w:rsidRPr="001A4499">
              <w:tab/>
            </w:r>
            <w:r w:rsidRPr="001A4499">
              <w:t xml:space="preserve">osserva che, negli ultimi anni, l'Unione europea ha perseguito un ambizioso programma di contrasto all'evasione e all'elusione fiscali e ha introdotto una serie di nuove disposizioni e </w:t>
            </w:r>
            <w:r w:rsidRPr="001A4499">
              <w:lastRenderedPageBreak/>
              <w:t>nuovi obblighi di comunicazione, ad esempio attraverso la direttiva ant</w:t>
            </w:r>
            <w:r w:rsidRPr="001A4499">
              <w:t>i-elusione (ATAD); prende atto del fatto che la Commissione ha annunciato che effettuerà una valutazione della direttiva anti-elusione alla luce del secondo pilastro e presenterà una relazione esaustiva sulle misure nel terzo trimestre del 2025;</w:t>
            </w:r>
          </w:p>
        </w:tc>
        <w:tc>
          <w:tcPr>
            <w:tcW w:w="4876" w:type="dxa"/>
            <w:tcBorders>
              <w:top w:val="nil"/>
              <w:left w:val="nil"/>
              <w:bottom w:val="nil"/>
              <w:right w:val="nil"/>
            </w:tcBorders>
            <w:hideMark/>
          </w:tcPr>
          <w:p w:rsidR="00D20070" w:rsidRPr="001A4499" w:rsidRDefault="00FF5B9D">
            <w:pPr>
              <w:pStyle w:val="Normal6a"/>
            </w:pPr>
            <w:r w:rsidRPr="001A4499">
              <w:lastRenderedPageBreak/>
              <w:t>13.</w:t>
            </w:r>
            <w:r w:rsidRPr="001A4499">
              <w:tab/>
              <w:t>osserv</w:t>
            </w:r>
            <w:r w:rsidRPr="001A4499">
              <w:t xml:space="preserve">a che, negli ultimi anni, l'Unione europea ha perseguito un ambizioso programma di contrasto all'evasione e all'elusione fiscali e ha introdotto una serie di nuove disposizioni e </w:t>
            </w:r>
            <w:r w:rsidRPr="001A4499">
              <w:lastRenderedPageBreak/>
              <w:t>nuovi obblighi di comunicazione, ad esempio attraverso la direttiva anti-elus</w:t>
            </w:r>
            <w:r w:rsidRPr="001A4499">
              <w:t xml:space="preserve">ione (ATAD); prende atto del fatto che la Commissione ha annunciato che effettuerà una valutazione della direttiva anti-elusione alla luce del secondo pilastro e presenterà una relazione esaustiva sulle misure nel terzo trimestre del 2025; </w:t>
            </w:r>
            <w:r w:rsidRPr="001A4499">
              <w:rPr>
                <w:b/>
                <w:i/>
              </w:rPr>
              <w:t>chiede la sempli</w:t>
            </w:r>
            <w:r w:rsidRPr="001A4499">
              <w:rPr>
                <w:b/>
                <w:i/>
              </w:rPr>
              <w:t>ficazione di detta direttiva e la riduzione degli obblighi di comunicazione al fine di semplificarne l'attuazione e aumentarne l'efficienza e l'efficacia;</w:t>
            </w:r>
          </w:p>
        </w:tc>
      </w:tr>
    </w:tbl>
    <w:p w:rsidR="00D20070" w:rsidRPr="001A4499" w:rsidRDefault="00FF5B9D" w:rsidP="00D20070">
      <w:pPr>
        <w:pStyle w:val="AmOrLang"/>
        <w:rPr>
          <w:lang w:eastAsia="en-US"/>
        </w:rPr>
      </w:pPr>
      <w:r w:rsidRPr="001A4499">
        <w:lastRenderedPageBreak/>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166</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Billy Kelleher, Stéphanie Yon-Courtin</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13</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13.</w:t>
            </w:r>
            <w:r w:rsidRPr="001A4499">
              <w:tab/>
            </w:r>
            <w:r w:rsidRPr="001A4499">
              <w:t>osserva che, negli ultimi anni, l'Unione europea ha perseguito un ambizioso programma di contrasto all'evasione e all'elusione fiscali e ha introdotto una serie di nuove disposizioni e nuovi obblighi di comunicazione, ad esempio attraverso la direttiva ant</w:t>
            </w:r>
            <w:r w:rsidRPr="001A4499">
              <w:t>i-elusione (ATAD); prende atto del fatto che la Commissione ha annunciato che effettuerà una valutazione della direttiva anti-elusione alla luce del secondo pilastro e presenterà una relazione esaustiva sulle misure nel terzo trimestre del 2025;</w:t>
            </w:r>
          </w:p>
        </w:tc>
        <w:tc>
          <w:tcPr>
            <w:tcW w:w="4876" w:type="dxa"/>
            <w:tcBorders>
              <w:top w:val="nil"/>
              <w:left w:val="nil"/>
              <w:bottom w:val="nil"/>
              <w:right w:val="nil"/>
            </w:tcBorders>
            <w:hideMark/>
          </w:tcPr>
          <w:p w:rsidR="00D20070" w:rsidRPr="001A4499" w:rsidRDefault="00FF5B9D">
            <w:pPr>
              <w:pStyle w:val="Normal6a"/>
            </w:pPr>
            <w:r w:rsidRPr="001A4499">
              <w:t>13.</w:t>
            </w:r>
            <w:r w:rsidRPr="001A4499">
              <w:tab/>
              <w:t>osserv</w:t>
            </w:r>
            <w:r w:rsidRPr="001A4499">
              <w:t>a che, negli ultimi anni, l'Unione europea ha perseguito un ambizioso programma di contrasto all'evasione e all'elusione fiscali e ha introdotto una serie di nuove disposizioni e nuovi obblighi di comunicazione, ad esempio attraverso la direttiva anti-elus</w:t>
            </w:r>
            <w:r w:rsidRPr="001A4499">
              <w:t xml:space="preserve">ione (ATAD); prende atto del fatto che la Commissione ha annunciato che effettuerà una valutazione della direttiva anti-elusione alla luce del secondo pilastro e presenterà una relazione esaustiva sulle misure nel terzo trimestre del 2025; </w:t>
            </w:r>
            <w:r w:rsidRPr="001A4499">
              <w:rPr>
                <w:b/>
                <w:i/>
              </w:rPr>
              <w:t>sottolinea il ru</w:t>
            </w:r>
            <w:r w:rsidRPr="001A4499">
              <w:rPr>
                <w:b/>
                <w:i/>
              </w:rPr>
              <w:t>olo incisivo che l'EPPO e l'OLAF hanno avuto nell'individuare e indagare l'elusione e l'evasione fiscali e sottolinea la necessità di un'efficace collaborazione tra tali organismi e con le autorità fiscali nazionali;</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7D282E" w:rsidRPr="001A4499" w:rsidRDefault="00FF5B9D" w:rsidP="007D282E">
      <w:pPr>
        <w:pStyle w:val="AmNumberTabs"/>
      </w:pPr>
      <w:r w:rsidRPr="001A4499">
        <w:rPr>
          <w:rStyle w:val="HideTWBExt"/>
          <w:color w:val="auto"/>
        </w:rPr>
        <w:lastRenderedPageBreak/>
        <w:t>&lt;Amend&gt;</w:t>
      </w:r>
      <w:r w:rsidRPr="001A4499">
        <w:t>Emendamento</w:t>
      </w:r>
      <w:r w:rsidRPr="001A4499">
        <w:tab/>
      </w:r>
      <w:r w:rsidRPr="001A4499">
        <w:tab/>
      </w:r>
      <w:r w:rsidRPr="001A4499">
        <w:rPr>
          <w:rStyle w:val="HideTWBExt"/>
          <w:color w:val="auto"/>
        </w:rPr>
        <w:t>&lt;NumAm&gt;</w:t>
      </w:r>
      <w:r w:rsidRPr="001A4499">
        <w:t>167</w:t>
      </w:r>
      <w:r w:rsidRPr="001A4499">
        <w:rPr>
          <w:rStyle w:val="HideTWBExt"/>
          <w:color w:val="auto"/>
        </w:rPr>
        <w:t>&lt;/NumAm&gt;</w:t>
      </w:r>
    </w:p>
    <w:p w:rsidR="007D282E" w:rsidRPr="001A4499" w:rsidRDefault="00FF5B9D" w:rsidP="007D282E">
      <w:pPr>
        <w:pStyle w:val="NormalBold"/>
      </w:pPr>
      <w:r w:rsidRPr="001A4499">
        <w:rPr>
          <w:rStyle w:val="HideTWBExt"/>
          <w:b w:val="0"/>
          <w:color w:val="auto"/>
        </w:rPr>
        <w:t>&lt;RepeatBlock-By&gt;&lt;Members&gt;</w:t>
      </w:r>
      <w:r w:rsidRPr="001A4499">
        <w:t>Fernando Navarrete Rojas</w:t>
      </w:r>
      <w:r w:rsidRPr="001A4499">
        <w:rPr>
          <w:rStyle w:val="HideTWBExt"/>
          <w:b w:val="0"/>
          <w:color w:val="auto"/>
        </w:rPr>
        <w:t>&lt;/Members&gt;</w:t>
      </w:r>
    </w:p>
    <w:p w:rsidR="007D282E" w:rsidRPr="001A4499" w:rsidRDefault="00FF5B9D" w:rsidP="007D282E">
      <w:pPr>
        <w:pStyle w:val="NormalBold"/>
      </w:pPr>
      <w:r w:rsidRPr="001A4499">
        <w:rPr>
          <w:rStyle w:val="HideTWBExt"/>
          <w:b w:val="0"/>
          <w:color w:val="auto"/>
        </w:rPr>
        <w:t>&lt;/RepeatBlock-By&gt;</w:t>
      </w:r>
    </w:p>
    <w:p w:rsidR="007D282E" w:rsidRPr="001A4499" w:rsidRDefault="00FF5B9D" w:rsidP="007D282E">
      <w:pPr>
        <w:pStyle w:val="NormalBold"/>
      </w:pPr>
      <w:r w:rsidRPr="001A4499">
        <w:rPr>
          <w:rStyle w:val="HideTWBExt"/>
          <w:color w:val="auto"/>
        </w:rPr>
        <w:t>&lt;DocAmend&gt;</w:t>
      </w:r>
      <w:r w:rsidRPr="001A4499">
        <w:t>Proposta di risoluzione</w:t>
      </w:r>
      <w:r w:rsidRPr="001A4499">
        <w:rPr>
          <w:rStyle w:val="HideTWBExt"/>
          <w:color w:val="auto"/>
        </w:rPr>
        <w:t>&lt;/DocAmend&gt;</w:t>
      </w:r>
    </w:p>
    <w:p w:rsidR="007D282E" w:rsidRPr="001A4499" w:rsidRDefault="00FF5B9D" w:rsidP="007D282E">
      <w:pPr>
        <w:pStyle w:val="NormalBold"/>
      </w:pPr>
      <w:r w:rsidRPr="001A4499">
        <w:rPr>
          <w:rStyle w:val="HideTWBExt"/>
          <w:color w:val="auto"/>
        </w:rPr>
        <w:t>&lt;Article&gt;</w:t>
      </w:r>
      <w:r w:rsidRPr="001A4499">
        <w:t>Paragrafo 14</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C4069E">
        <w:trPr>
          <w:trHeight w:val="240"/>
          <w:jc w:val="center"/>
        </w:trPr>
        <w:tc>
          <w:tcPr>
            <w:tcW w:w="9752" w:type="dxa"/>
            <w:gridSpan w:val="2"/>
            <w:tcBorders>
              <w:top w:val="nil"/>
              <w:left w:val="nil"/>
              <w:bottom w:val="nil"/>
              <w:right w:val="nil"/>
            </w:tcBorders>
          </w:tcPr>
          <w:p w:rsidR="007D282E" w:rsidRPr="001A4499" w:rsidRDefault="007D282E" w:rsidP="00C4069E"/>
        </w:tc>
      </w:tr>
      <w:tr w:rsidR="001A4499" w:rsidRPr="001A4499" w:rsidTr="00C4069E">
        <w:trPr>
          <w:trHeight w:val="240"/>
          <w:jc w:val="center"/>
        </w:trPr>
        <w:tc>
          <w:tcPr>
            <w:tcW w:w="4876" w:type="dxa"/>
            <w:tcBorders>
              <w:top w:val="nil"/>
              <w:left w:val="nil"/>
              <w:bottom w:val="nil"/>
              <w:right w:val="nil"/>
            </w:tcBorders>
            <w:hideMark/>
          </w:tcPr>
          <w:p w:rsidR="007D282E" w:rsidRPr="001A4499" w:rsidRDefault="00FF5B9D" w:rsidP="00C4069E">
            <w:pPr>
              <w:pStyle w:val="AmColumnHeading"/>
            </w:pPr>
            <w:r w:rsidRPr="001A4499">
              <w:t>Proposta di risoluzione</w:t>
            </w:r>
          </w:p>
        </w:tc>
        <w:tc>
          <w:tcPr>
            <w:tcW w:w="4876" w:type="dxa"/>
            <w:tcBorders>
              <w:top w:val="nil"/>
              <w:left w:val="nil"/>
              <w:bottom w:val="nil"/>
              <w:right w:val="nil"/>
            </w:tcBorders>
            <w:hideMark/>
          </w:tcPr>
          <w:p w:rsidR="007D282E" w:rsidRPr="001A4499" w:rsidRDefault="00FF5B9D" w:rsidP="00C4069E">
            <w:pPr>
              <w:pStyle w:val="AmColumnHeading"/>
            </w:pPr>
            <w:r w:rsidRPr="001A4499">
              <w:t>Emendamento</w:t>
            </w:r>
          </w:p>
        </w:tc>
      </w:tr>
      <w:tr w:rsidR="001A4499" w:rsidRPr="001A4499" w:rsidTr="00C4069E">
        <w:trPr>
          <w:jc w:val="center"/>
        </w:trPr>
        <w:tc>
          <w:tcPr>
            <w:tcW w:w="4876" w:type="dxa"/>
            <w:tcBorders>
              <w:top w:val="nil"/>
              <w:left w:val="nil"/>
              <w:bottom w:val="nil"/>
              <w:right w:val="nil"/>
            </w:tcBorders>
          </w:tcPr>
          <w:p w:rsidR="007D282E" w:rsidRPr="001A4499" w:rsidRDefault="00FF5B9D" w:rsidP="00C4069E">
            <w:pPr>
              <w:pStyle w:val="Normal6a"/>
            </w:pPr>
            <w:r w:rsidRPr="001A4499">
              <w:t>14.</w:t>
            </w:r>
            <w:r w:rsidRPr="001A4499">
              <w:tab/>
            </w:r>
            <w:r w:rsidRPr="001A4499">
              <w:t>prende atto della convenzione multilaterale pubblicata dall'OCSE nell'ottobre 2023, che stabilisce le norme tecniche per l'attuazione dell'importo A del primo pilastro e dei negoziati in corso;</w:t>
            </w:r>
          </w:p>
        </w:tc>
        <w:tc>
          <w:tcPr>
            <w:tcW w:w="4876" w:type="dxa"/>
            <w:tcBorders>
              <w:top w:val="nil"/>
              <w:left w:val="nil"/>
              <w:bottom w:val="nil"/>
              <w:right w:val="nil"/>
            </w:tcBorders>
            <w:hideMark/>
          </w:tcPr>
          <w:p w:rsidR="007D282E" w:rsidRPr="001A4499" w:rsidRDefault="00FF5B9D" w:rsidP="00C4069E">
            <w:pPr>
              <w:pStyle w:val="Normal6a"/>
            </w:pPr>
            <w:r w:rsidRPr="001A4499">
              <w:t>14.</w:t>
            </w:r>
            <w:r w:rsidRPr="001A4499">
              <w:tab/>
              <w:t>prende atto della convenzione multilaterale pubblicata dal</w:t>
            </w:r>
            <w:r w:rsidRPr="001A4499">
              <w:t xml:space="preserve">l'OCSE nell'ottobre 2023, che stabilisce le norme tecniche per l'attuazione dell'importo A del primo pilastro e dei negoziati in corso; </w:t>
            </w:r>
            <w:r w:rsidRPr="001A4499">
              <w:rPr>
                <w:b/>
                <w:i/>
              </w:rPr>
              <w:t>sottolinea, a tale proposito, la necessità che l'Unione si astenga da qualsiasi azione unilaterale al di là di quanto pu</w:t>
            </w:r>
            <w:r w:rsidRPr="001A4499">
              <w:rPr>
                <w:b/>
                <w:i/>
              </w:rPr>
              <w:t>ò essere concordato nell'ambito del primo pilastro dell'OCSE; sottolinea che il mantenimento del principio secondo cui le norme devono basarsi sulle relazioni economiche internazionali è fondamentale per salvaguardare gli interessi economici a lungo termin</w:t>
            </w:r>
            <w:r w:rsidRPr="001A4499">
              <w:rPr>
                <w:b/>
                <w:i/>
              </w:rPr>
              <w:t>e dell'Unione, anche se altri attori si discostano da tali quadri comuni;</w:t>
            </w:r>
          </w:p>
        </w:tc>
      </w:tr>
    </w:tbl>
    <w:p w:rsidR="007D282E" w:rsidRPr="001A4499" w:rsidRDefault="00FF5B9D" w:rsidP="007D282E">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7D282E" w:rsidRPr="001A4499" w:rsidRDefault="00FF5B9D" w:rsidP="007D282E">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168</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Niels Fuglsang, Matthias Ecke, Bruno Gonçalves, Aurore Lalucq, Evelyn Regner</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14</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14.</w:t>
            </w:r>
            <w:r w:rsidRPr="001A4499">
              <w:tab/>
            </w:r>
            <w:r w:rsidRPr="001A4499">
              <w:rPr>
                <w:b/>
                <w:i/>
              </w:rPr>
              <w:t>prende atto della</w:t>
            </w:r>
            <w:r w:rsidRPr="001A4499">
              <w:t xml:space="preserve"> convenzione multilaterale pubblicata dall'OCSE nell'ottobre 2023, che stabilisce le norme tecniche per l'attuazione dell'importo A del primo pilastro e dei negoziati in corso;</w:t>
            </w:r>
          </w:p>
        </w:tc>
        <w:tc>
          <w:tcPr>
            <w:tcW w:w="4876" w:type="dxa"/>
            <w:tcBorders>
              <w:top w:val="nil"/>
              <w:left w:val="nil"/>
              <w:bottom w:val="nil"/>
              <w:right w:val="nil"/>
            </w:tcBorders>
            <w:hideMark/>
          </w:tcPr>
          <w:p w:rsidR="00D20070" w:rsidRPr="001A4499" w:rsidRDefault="00FF5B9D">
            <w:pPr>
              <w:pStyle w:val="Normal6a"/>
            </w:pPr>
            <w:r w:rsidRPr="001A4499">
              <w:t>14.</w:t>
            </w:r>
            <w:r w:rsidRPr="001A4499">
              <w:tab/>
            </w:r>
            <w:r w:rsidRPr="001A4499">
              <w:rPr>
                <w:b/>
                <w:i/>
              </w:rPr>
              <w:t>accoglie con favore la</w:t>
            </w:r>
            <w:r w:rsidRPr="001A4499">
              <w:t xml:space="preserve"> convenzione multilaterale pubblicata dall'OCSE nell'</w:t>
            </w:r>
            <w:r w:rsidRPr="001A4499">
              <w:t xml:space="preserve">ottobre 2023, che stabilisce le norme tecniche per l'attuazione dell'importo A del primo pilastro e dei negoziati in corso; </w:t>
            </w:r>
            <w:r w:rsidRPr="001A4499">
              <w:rPr>
                <w:b/>
                <w:i/>
              </w:rPr>
              <w:t>deplora lo stallo dei colloqui del primo pilastro sull'attuazione dell'importo B;</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lastRenderedPageBreak/>
        <w:t>&lt;/Amend&gt;</w:t>
      </w:r>
    </w:p>
    <w:p w:rsidR="004D4487" w:rsidRPr="001A4499" w:rsidRDefault="00FF5B9D" w:rsidP="004D4487">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169</w:t>
      </w:r>
      <w:r w:rsidRPr="001A4499">
        <w:rPr>
          <w:rStyle w:val="HideTWBExt"/>
          <w:color w:val="auto"/>
        </w:rPr>
        <w:t>&lt;/NumAm&gt;</w:t>
      </w:r>
    </w:p>
    <w:p w:rsidR="004D4487" w:rsidRPr="001A4499" w:rsidRDefault="00FF5B9D" w:rsidP="004D4487">
      <w:pPr>
        <w:pStyle w:val="NormalBold"/>
      </w:pPr>
      <w:r w:rsidRPr="001A4499">
        <w:rPr>
          <w:rStyle w:val="HideTWBExt"/>
          <w:b w:val="0"/>
          <w:color w:val="auto"/>
        </w:rPr>
        <w:t>&lt;RepeatBlock-By&gt;&lt;Members&gt;</w:t>
      </w:r>
      <w:r w:rsidRPr="001A4499">
        <w:t>Danuše Nerudová</w:t>
      </w:r>
      <w:r w:rsidRPr="001A4499">
        <w:rPr>
          <w:rStyle w:val="HideTWBExt"/>
          <w:b w:val="0"/>
          <w:color w:val="auto"/>
        </w:rPr>
        <w:t>&lt;/Members&gt;</w:t>
      </w:r>
    </w:p>
    <w:p w:rsidR="004D4487" w:rsidRPr="001A4499" w:rsidRDefault="00FF5B9D" w:rsidP="004D4487">
      <w:pPr>
        <w:pStyle w:val="NormalBold"/>
      </w:pPr>
      <w:r w:rsidRPr="001A4499">
        <w:rPr>
          <w:rStyle w:val="HideTWBExt"/>
          <w:b w:val="0"/>
          <w:color w:val="auto"/>
        </w:rPr>
        <w:t>&lt;/RepeatBlock-By&gt;</w:t>
      </w:r>
    </w:p>
    <w:p w:rsidR="004D4487" w:rsidRPr="001A4499" w:rsidRDefault="00FF5B9D" w:rsidP="004D4487">
      <w:pPr>
        <w:pStyle w:val="NormalBold"/>
      </w:pPr>
      <w:r w:rsidRPr="001A4499">
        <w:rPr>
          <w:rStyle w:val="HideTWBExt"/>
          <w:color w:val="auto"/>
        </w:rPr>
        <w:t>&lt;DocAmend&gt;</w:t>
      </w:r>
      <w:r w:rsidRPr="001A4499">
        <w:t>Proposta di risoluzione</w:t>
      </w:r>
      <w:r w:rsidRPr="001A4499">
        <w:rPr>
          <w:rStyle w:val="HideTWBExt"/>
          <w:color w:val="auto"/>
        </w:rPr>
        <w:t>&lt;/DocAmend&gt;</w:t>
      </w:r>
    </w:p>
    <w:p w:rsidR="004D4487" w:rsidRPr="001A4499" w:rsidRDefault="00FF5B9D" w:rsidP="004D4487">
      <w:pPr>
        <w:pStyle w:val="NormalBold"/>
      </w:pPr>
      <w:r w:rsidRPr="001A4499">
        <w:rPr>
          <w:rStyle w:val="HideTWBExt"/>
          <w:color w:val="auto"/>
        </w:rPr>
        <w:t>&lt;Article&gt;</w:t>
      </w:r>
      <w:r w:rsidRPr="001A4499">
        <w:t>Paragrafo 14</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C4069E">
        <w:trPr>
          <w:trHeight w:val="240"/>
          <w:jc w:val="center"/>
        </w:trPr>
        <w:tc>
          <w:tcPr>
            <w:tcW w:w="9752" w:type="dxa"/>
            <w:gridSpan w:val="2"/>
            <w:tcBorders>
              <w:top w:val="nil"/>
              <w:left w:val="nil"/>
              <w:bottom w:val="nil"/>
              <w:right w:val="nil"/>
            </w:tcBorders>
          </w:tcPr>
          <w:p w:rsidR="004D4487" w:rsidRPr="001A4499" w:rsidRDefault="004D4487" w:rsidP="00C4069E"/>
        </w:tc>
      </w:tr>
      <w:tr w:rsidR="001A4499" w:rsidRPr="001A4499" w:rsidTr="00C4069E">
        <w:trPr>
          <w:trHeight w:val="240"/>
          <w:jc w:val="center"/>
        </w:trPr>
        <w:tc>
          <w:tcPr>
            <w:tcW w:w="4876" w:type="dxa"/>
            <w:tcBorders>
              <w:top w:val="nil"/>
              <w:left w:val="nil"/>
              <w:bottom w:val="nil"/>
              <w:right w:val="nil"/>
            </w:tcBorders>
            <w:hideMark/>
          </w:tcPr>
          <w:p w:rsidR="004D4487" w:rsidRPr="001A4499" w:rsidRDefault="00FF5B9D" w:rsidP="00C4069E">
            <w:pPr>
              <w:pStyle w:val="AmColumnHeading"/>
            </w:pPr>
            <w:r w:rsidRPr="001A4499">
              <w:t>Proposta di risoluzione</w:t>
            </w:r>
          </w:p>
        </w:tc>
        <w:tc>
          <w:tcPr>
            <w:tcW w:w="4876" w:type="dxa"/>
            <w:tcBorders>
              <w:top w:val="nil"/>
              <w:left w:val="nil"/>
              <w:bottom w:val="nil"/>
              <w:right w:val="nil"/>
            </w:tcBorders>
            <w:hideMark/>
          </w:tcPr>
          <w:p w:rsidR="004D4487" w:rsidRPr="001A4499" w:rsidRDefault="00FF5B9D" w:rsidP="00C4069E">
            <w:pPr>
              <w:pStyle w:val="AmColumnHeading"/>
            </w:pPr>
            <w:r w:rsidRPr="001A4499">
              <w:t>Emendamento</w:t>
            </w:r>
          </w:p>
        </w:tc>
      </w:tr>
      <w:tr w:rsidR="001A4499" w:rsidRPr="001A4499" w:rsidTr="00C4069E">
        <w:trPr>
          <w:jc w:val="center"/>
        </w:trPr>
        <w:tc>
          <w:tcPr>
            <w:tcW w:w="4876" w:type="dxa"/>
            <w:tcBorders>
              <w:top w:val="nil"/>
              <w:left w:val="nil"/>
              <w:bottom w:val="nil"/>
              <w:right w:val="nil"/>
            </w:tcBorders>
            <w:hideMark/>
          </w:tcPr>
          <w:p w:rsidR="004D4487" w:rsidRPr="001A4499" w:rsidRDefault="00FF5B9D" w:rsidP="004D4487">
            <w:pPr>
              <w:pStyle w:val="Normal6a"/>
            </w:pPr>
            <w:r w:rsidRPr="001A4499">
              <w:t>14.</w:t>
            </w:r>
            <w:r w:rsidRPr="001A4499">
              <w:tab/>
            </w:r>
            <w:r w:rsidRPr="001A4499">
              <w:t>prende atto della convenzione multilaterale pubblicata dall'OCSE nell'ottobre 2023, che stabilisce le norme tecniche per l'attuazione dell'importo A del primo pilastro e dei negoziati in corso;</w:t>
            </w:r>
          </w:p>
        </w:tc>
        <w:tc>
          <w:tcPr>
            <w:tcW w:w="4876" w:type="dxa"/>
            <w:tcBorders>
              <w:top w:val="nil"/>
              <w:left w:val="nil"/>
              <w:bottom w:val="nil"/>
              <w:right w:val="nil"/>
            </w:tcBorders>
            <w:hideMark/>
          </w:tcPr>
          <w:p w:rsidR="004D4487" w:rsidRPr="001A4499" w:rsidRDefault="00FF5B9D" w:rsidP="004D4487">
            <w:pPr>
              <w:pStyle w:val="Normal6a"/>
            </w:pPr>
            <w:r w:rsidRPr="001A4499">
              <w:t>14.</w:t>
            </w:r>
            <w:r w:rsidRPr="001A4499">
              <w:tab/>
              <w:t>prende atto della convenzione multilaterale pubblicata dal</w:t>
            </w:r>
            <w:r w:rsidRPr="001A4499">
              <w:t xml:space="preserve">l'OCSE nell'ottobre 2023, che stabilisce le norme tecniche per l'attuazione dell'importo A del primo pilastro e dei negoziati in corso; </w:t>
            </w:r>
            <w:r w:rsidRPr="001A4499">
              <w:rPr>
                <w:b/>
                <w:i/>
              </w:rPr>
              <w:t>invita la Commissione a garantire che le grandi società tecnologiche rispettino le norme europee, contribuiscano a crear</w:t>
            </w:r>
            <w:r w:rsidRPr="001A4499">
              <w:rPr>
                <w:b/>
                <w:i/>
              </w:rPr>
              <w:t>e condizioni di parità e siano soggette a un adeguato meccanismo di tassazione per dette società che operano nell'UE;</w:t>
            </w:r>
          </w:p>
        </w:tc>
      </w:tr>
    </w:tbl>
    <w:p w:rsidR="004D4487" w:rsidRPr="001A4499" w:rsidRDefault="00FF5B9D" w:rsidP="004D4487">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4D4487" w:rsidRPr="001A4499" w:rsidRDefault="00FF5B9D" w:rsidP="004D4487">
      <w:r w:rsidRPr="001A4499">
        <w:rPr>
          <w:rStyle w:val="HideTWBExt"/>
          <w:color w:val="auto"/>
        </w:rPr>
        <w:t>&lt;/Amend&gt;</w:t>
      </w:r>
    </w:p>
    <w:p w:rsidR="00C2201D" w:rsidRPr="001A4499" w:rsidRDefault="00FF5B9D" w:rsidP="00C2201D">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170</w:t>
      </w:r>
      <w:r w:rsidRPr="001A4499">
        <w:rPr>
          <w:rStyle w:val="HideTWBExt"/>
          <w:color w:val="auto"/>
        </w:rPr>
        <w:t>&lt;/NumAm&gt;</w:t>
      </w:r>
    </w:p>
    <w:p w:rsidR="00C2201D" w:rsidRPr="001A4499" w:rsidRDefault="00FF5B9D" w:rsidP="00C2201D">
      <w:pPr>
        <w:pStyle w:val="NormalBold"/>
      </w:pPr>
      <w:r w:rsidRPr="001A4499">
        <w:rPr>
          <w:rStyle w:val="HideTWBExt"/>
          <w:b w:val="0"/>
          <w:color w:val="auto"/>
        </w:rPr>
        <w:t>&lt;RepeatBlock-By&gt;&lt;Members&gt;</w:t>
      </w:r>
      <w:r w:rsidRPr="001A4499">
        <w:t>Danuše Nerudová</w:t>
      </w:r>
      <w:r w:rsidRPr="001A4499">
        <w:rPr>
          <w:rStyle w:val="HideTWBExt"/>
          <w:b w:val="0"/>
          <w:color w:val="auto"/>
        </w:rPr>
        <w:t>&lt;/Members&gt;</w:t>
      </w:r>
    </w:p>
    <w:p w:rsidR="00C2201D" w:rsidRPr="001A4499" w:rsidRDefault="00FF5B9D" w:rsidP="00C2201D">
      <w:pPr>
        <w:pStyle w:val="NormalBold"/>
      </w:pPr>
      <w:r w:rsidRPr="001A4499">
        <w:rPr>
          <w:rStyle w:val="HideTWBExt"/>
          <w:b w:val="0"/>
          <w:color w:val="auto"/>
        </w:rPr>
        <w:t>&lt;/RepeatBlock-By&gt;</w:t>
      </w:r>
    </w:p>
    <w:p w:rsidR="00C2201D" w:rsidRPr="001A4499" w:rsidRDefault="00FF5B9D" w:rsidP="00C2201D">
      <w:pPr>
        <w:pStyle w:val="NormalBold"/>
      </w:pPr>
      <w:r w:rsidRPr="001A4499">
        <w:rPr>
          <w:rStyle w:val="HideTWBExt"/>
          <w:color w:val="auto"/>
        </w:rPr>
        <w:t>&lt;DocAmend&gt;</w:t>
      </w:r>
      <w:r w:rsidRPr="001A4499">
        <w:t>Proposta di risoluzione</w:t>
      </w:r>
      <w:r w:rsidRPr="001A4499">
        <w:rPr>
          <w:rStyle w:val="HideTWBExt"/>
          <w:color w:val="auto"/>
        </w:rPr>
        <w:t>&lt;/DocAmend&gt;</w:t>
      </w:r>
    </w:p>
    <w:p w:rsidR="00C2201D" w:rsidRPr="001A4499" w:rsidRDefault="00FF5B9D" w:rsidP="00C2201D">
      <w:pPr>
        <w:pStyle w:val="NormalBold"/>
      </w:pPr>
      <w:r w:rsidRPr="001A4499">
        <w:rPr>
          <w:rStyle w:val="HideTWBExt"/>
          <w:color w:val="auto"/>
        </w:rPr>
        <w:t>&lt;Article&gt;</w:t>
      </w:r>
      <w:r w:rsidRPr="001A4499">
        <w:t>Paragrafo 14 bis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C4069E">
        <w:trPr>
          <w:trHeight w:val="240"/>
          <w:jc w:val="center"/>
        </w:trPr>
        <w:tc>
          <w:tcPr>
            <w:tcW w:w="9752" w:type="dxa"/>
            <w:gridSpan w:val="2"/>
            <w:tcBorders>
              <w:top w:val="nil"/>
              <w:left w:val="nil"/>
              <w:bottom w:val="nil"/>
              <w:right w:val="nil"/>
            </w:tcBorders>
          </w:tcPr>
          <w:p w:rsidR="00C2201D" w:rsidRPr="001A4499" w:rsidRDefault="00C2201D" w:rsidP="00C4069E"/>
        </w:tc>
      </w:tr>
      <w:tr w:rsidR="001A4499" w:rsidRPr="001A4499" w:rsidTr="00C4069E">
        <w:trPr>
          <w:trHeight w:val="240"/>
          <w:jc w:val="center"/>
        </w:trPr>
        <w:tc>
          <w:tcPr>
            <w:tcW w:w="4876" w:type="dxa"/>
            <w:tcBorders>
              <w:top w:val="nil"/>
              <w:left w:val="nil"/>
              <w:bottom w:val="nil"/>
              <w:right w:val="nil"/>
            </w:tcBorders>
            <w:hideMark/>
          </w:tcPr>
          <w:p w:rsidR="00C2201D" w:rsidRPr="001A4499" w:rsidRDefault="00FF5B9D" w:rsidP="00C4069E">
            <w:pPr>
              <w:pStyle w:val="AmColumnHeading"/>
            </w:pPr>
            <w:r w:rsidRPr="001A4499">
              <w:t>Proposta di risoluzione</w:t>
            </w:r>
          </w:p>
        </w:tc>
        <w:tc>
          <w:tcPr>
            <w:tcW w:w="4876" w:type="dxa"/>
            <w:tcBorders>
              <w:top w:val="nil"/>
              <w:left w:val="nil"/>
              <w:bottom w:val="nil"/>
              <w:right w:val="nil"/>
            </w:tcBorders>
            <w:hideMark/>
          </w:tcPr>
          <w:p w:rsidR="00C2201D" w:rsidRPr="001A4499" w:rsidRDefault="00FF5B9D" w:rsidP="00C4069E">
            <w:pPr>
              <w:pStyle w:val="AmColumnHeading"/>
            </w:pPr>
            <w:r w:rsidRPr="001A4499">
              <w:t>Emendamento</w:t>
            </w:r>
          </w:p>
        </w:tc>
      </w:tr>
      <w:tr w:rsidR="001A4499" w:rsidRPr="001A4499" w:rsidTr="00C4069E">
        <w:trPr>
          <w:jc w:val="center"/>
        </w:trPr>
        <w:tc>
          <w:tcPr>
            <w:tcW w:w="4876" w:type="dxa"/>
            <w:tcBorders>
              <w:top w:val="nil"/>
              <w:left w:val="nil"/>
              <w:bottom w:val="nil"/>
              <w:right w:val="nil"/>
            </w:tcBorders>
          </w:tcPr>
          <w:p w:rsidR="00C2201D" w:rsidRPr="001A4499" w:rsidRDefault="00C2201D" w:rsidP="00C4069E">
            <w:pPr>
              <w:pStyle w:val="Normal6a"/>
            </w:pPr>
          </w:p>
        </w:tc>
        <w:tc>
          <w:tcPr>
            <w:tcW w:w="4876" w:type="dxa"/>
            <w:tcBorders>
              <w:top w:val="nil"/>
              <w:left w:val="nil"/>
              <w:bottom w:val="nil"/>
              <w:right w:val="nil"/>
            </w:tcBorders>
            <w:hideMark/>
          </w:tcPr>
          <w:p w:rsidR="00C2201D" w:rsidRPr="001A4499" w:rsidRDefault="00FF5B9D" w:rsidP="00C2201D">
            <w:pPr>
              <w:pStyle w:val="Normal6a"/>
            </w:pPr>
            <w:r w:rsidRPr="001A4499">
              <w:rPr>
                <w:b/>
                <w:i/>
              </w:rPr>
              <w:t>14 bis.</w:t>
            </w:r>
            <w:r w:rsidRPr="001A4499">
              <w:tab/>
            </w:r>
            <w:r w:rsidRPr="001A4499">
              <w:rPr>
                <w:b/>
                <w:i/>
              </w:rPr>
              <w:t xml:space="preserve">esorta la Commissione a riprendere i lavori sul prelievo sul digitale o su una misura analoga per garantire un'equa tassazione delle grandi imprese tecnologiche, che potrebbe altresì fungere da base per le risorse proprie dell'Unione; ricorda in tal senso </w:t>
            </w:r>
            <w:r w:rsidRPr="001A4499">
              <w:rPr>
                <w:b/>
                <w:i/>
              </w:rPr>
              <w:t>la posizione del Parlamento europeo nella sua relazione del 2023 sulle risorse proprie, che avvertiva che se i negoziati a livello dell'OCSE non si concluderanno entro un termine ragionevole, la Commissione dovrebbe prendere in considerazione fonti alterna</w:t>
            </w:r>
            <w:r w:rsidRPr="001A4499">
              <w:rPr>
                <w:b/>
                <w:i/>
              </w:rPr>
              <w:t xml:space="preserve">tive di entrate provenienti dalle grandi società che operano nel mercato </w:t>
            </w:r>
            <w:r w:rsidRPr="001A4499">
              <w:rPr>
                <w:b/>
                <w:i/>
              </w:rPr>
              <w:lastRenderedPageBreak/>
              <w:t>unico;</w:t>
            </w:r>
          </w:p>
        </w:tc>
      </w:tr>
    </w:tbl>
    <w:p w:rsidR="00C2201D" w:rsidRPr="001A4499" w:rsidRDefault="00FF5B9D" w:rsidP="00C2201D">
      <w:pPr>
        <w:pStyle w:val="AmOrLang"/>
        <w:rPr>
          <w:lang w:eastAsia="en-US"/>
        </w:rPr>
      </w:pPr>
      <w:r w:rsidRPr="001A4499">
        <w:lastRenderedPageBreak/>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C2201D" w:rsidRPr="001A4499" w:rsidRDefault="00FF5B9D" w:rsidP="00C2201D">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171</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Pascal Canfin, Stéphanie Yon-Courtin</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14 bis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14 bis.</w:t>
            </w:r>
            <w:r w:rsidRPr="001A4499">
              <w:tab/>
            </w:r>
            <w:r w:rsidRPr="001A4499">
              <w:rPr>
                <w:b/>
                <w:i/>
              </w:rPr>
              <w:t>accoglie con favore la dichiarazione dei leader del G20 di Rio de Janeiro e la dichiarazione ministeriale del G20 di Rio de Janeiro sulla cooperazione fiscale internazionale; invita la Commissione a proseguire il lavoro verso la cooperazione fiscale intern</w:t>
            </w:r>
            <w:r w:rsidRPr="001A4499">
              <w:rPr>
                <w:b/>
                <w:i/>
              </w:rPr>
              <w:t>azionale e, nel pieno rispetto della sovranità fiscale, a impegnarsi in modo cooperativo per garantire che le persone con disponibilità patrimoniali molto ampie siano effettivamente tassate;</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172</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Pasquale Tridico, Jussi Saramo, Manon Aubry</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14 bis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14 bis.</w:t>
            </w:r>
            <w:r w:rsidRPr="001A4499">
              <w:tab/>
            </w:r>
            <w:r w:rsidRPr="001A4499">
              <w:rPr>
                <w:b/>
                <w:i/>
              </w:rPr>
              <w:t>sostiene le dichiarazioni della Commissione europea in merito all'avvio dei lavori per l'adozione di un'imposta sui servizi digitali a livello dell'UE;</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173</w:t>
      </w:r>
      <w:r w:rsidRPr="001A4499">
        <w:rPr>
          <w:rStyle w:val="HideTWBExt"/>
          <w:color w:val="auto"/>
        </w:rPr>
        <w:t>&lt;/NumAm&gt;</w:t>
      </w:r>
    </w:p>
    <w:p w:rsidR="00D20070" w:rsidRPr="001A4499" w:rsidRDefault="00FF5B9D" w:rsidP="00D20070">
      <w:pPr>
        <w:pStyle w:val="NormalBold"/>
      </w:pPr>
      <w:r w:rsidRPr="001A4499">
        <w:rPr>
          <w:rStyle w:val="HideTWBExt"/>
          <w:b w:val="0"/>
          <w:color w:val="auto"/>
        </w:rPr>
        <w:lastRenderedPageBreak/>
        <w:t>&lt;RepeatBlock-By&gt;&lt;Members&gt;</w:t>
      </w:r>
      <w:r w:rsidRPr="001A4499">
        <w:t>Pasquale Tridico, Jussi Saramo, Manon Aubry, Marc Botenga</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14 ter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14 ter.</w:t>
            </w:r>
            <w:r w:rsidRPr="001A4499">
              <w:tab/>
            </w:r>
            <w:r w:rsidRPr="001A4499">
              <w:rPr>
                <w:b/>
                <w:i/>
              </w:rPr>
              <w:t>accoglie con favore gli sviluppi in corso relativi alla convenzione quadro delle Nazioni Unite sulla cooperazione fiscale internazionale;</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174</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Michalis Hadjipantela</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15</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15.</w:t>
            </w:r>
            <w:r w:rsidRPr="001A4499">
              <w:tab/>
            </w:r>
            <w:r w:rsidRPr="001A4499">
              <w:t>osserva che la frammentazione del panorama fiscale dell'UE genera complessità, incertezza ed elevati costi di conformità per le imprese dell'UE, in particolare le PMI; sottolinea la necessità di affrontare gli ostacoli fiscali agli investimenti transfronta</w:t>
            </w:r>
            <w:r w:rsidRPr="001A4499">
              <w:t>lieri e di aumentare il capitale proprio nel finanziamento delle imprese; rammenta, a tale proposito, che nella relazione Draghi si sottolinea che i cittadini dell'UE dovrebbero poter investire in altri Stati membri senza essere soggetti a complesse proced</w:t>
            </w:r>
            <w:r w:rsidRPr="001A4499">
              <w:t>ure fiscali che comportano, di fatto, una doppia imposizione;</w:t>
            </w:r>
          </w:p>
        </w:tc>
        <w:tc>
          <w:tcPr>
            <w:tcW w:w="4876" w:type="dxa"/>
            <w:tcBorders>
              <w:top w:val="nil"/>
              <w:left w:val="nil"/>
              <w:bottom w:val="nil"/>
              <w:right w:val="nil"/>
            </w:tcBorders>
            <w:hideMark/>
          </w:tcPr>
          <w:p w:rsidR="00D20070" w:rsidRPr="001A4499" w:rsidRDefault="00FF5B9D">
            <w:pPr>
              <w:pStyle w:val="Normal6a"/>
            </w:pPr>
            <w:r w:rsidRPr="001A4499">
              <w:t>15.</w:t>
            </w:r>
            <w:r w:rsidRPr="001A4499">
              <w:tab/>
              <w:t>osserva che la frammentazione del panorama fiscale dell'UE genera complessità, incertezza ed elevati costi di conformità per le imprese dell'UE, in particolare le PMI; sottolinea la necessit</w:t>
            </w:r>
            <w:r w:rsidRPr="001A4499">
              <w:t>à di affrontare gli ostacoli fiscali agli investimenti transfrontalieri e di aumentare il capitale proprio nel finanziamento delle imprese; rammenta, a tale proposito, che nella relazione Draghi si sottolinea che i cittadini dell'UE dovrebbero poter invest</w:t>
            </w:r>
            <w:r w:rsidRPr="001A4499">
              <w:t xml:space="preserve">ire in altri Stati membri senza essere soggetti a complesse procedure fiscali che comportano, di fatto, una doppia imposizione; </w:t>
            </w:r>
            <w:r w:rsidRPr="001A4499">
              <w:rPr>
                <w:b/>
                <w:i/>
              </w:rPr>
              <w:t>ritiene che siano necessari più gestori di fondi locali per migliorare il finanziamento azionario all'interno dell'UE e, pertant</w:t>
            </w:r>
            <w:r w:rsidRPr="001A4499">
              <w:rPr>
                <w:b/>
                <w:i/>
              </w:rPr>
              <w:t xml:space="preserve">o, dovrebbero essere affrontati gli ostacoli fiscali agli investimenti transfrontalieri; rileva inoltre l'importanza di standardizzare le norme in materia di documentazione dei prezzi di trasferimento riesaminando le soglie di </w:t>
            </w:r>
            <w:r w:rsidRPr="001A4499">
              <w:rPr>
                <w:b/>
                <w:i/>
              </w:rPr>
              <w:lastRenderedPageBreak/>
              <w:t xml:space="preserve">documentazione dei prezzi di </w:t>
            </w:r>
            <w:r w:rsidRPr="001A4499">
              <w:rPr>
                <w:b/>
                <w:i/>
              </w:rPr>
              <w:t>trasferimento in tutta l'UE, tenendo conto delle particolarità di ciascuno Stato membro, e semplificando i requisiti per ridurre i costi di conformità per operazioni più semplici;</w:t>
            </w:r>
          </w:p>
        </w:tc>
      </w:tr>
    </w:tbl>
    <w:p w:rsidR="00D20070" w:rsidRPr="001A4499" w:rsidRDefault="00FF5B9D" w:rsidP="00D20070">
      <w:pPr>
        <w:pStyle w:val="AmOrLang"/>
        <w:rPr>
          <w:lang w:eastAsia="en-US"/>
        </w:rPr>
      </w:pPr>
      <w:r w:rsidRPr="001A4499">
        <w:lastRenderedPageBreak/>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175</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Kira Marie Peter-Hansen</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15</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15.</w:t>
            </w:r>
            <w:r w:rsidRPr="001A4499">
              <w:tab/>
            </w:r>
            <w:r w:rsidRPr="001A4499">
              <w:t>osserva che la frammentazione del panorama fiscale dell'UE genera complessità, incertezza ed elevati costi di conformità per le imprese dell'UE, in particolare le PMI; sottolinea la necessità di affrontare gli ostacoli fiscali agli investimenti transfronta</w:t>
            </w:r>
            <w:r w:rsidRPr="001A4499">
              <w:t xml:space="preserve">lieri e di </w:t>
            </w:r>
            <w:r w:rsidRPr="001A4499">
              <w:rPr>
                <w:b/>
                <w:i/>
              </w:rPr>
              <w:t>aumentare il capitale proprio</w:t>
            </w:r>
            <w:r w:rsidRPr="001A4499">
              <w:t xml:space="preserve"> nel finanziamento delle imprese; rammenta, a tale proposito, che nella relazione Draghi si sottolinea che i cittadini dell'UE dovrebbero poter investire in altri Stati membri senza essere soggetti a complesse proced</w:t>
            </w:r>
            <w:r w:rsidRPr="001A4499">
              <w:t>ure fiscali che comportano, di fatto, una doppia imposizione;</w:t>
            </w:r>
          </w:p>
        </w:tc>
        <w:tc>
          <w:tcPr>
            <w:tcW w:w="4876" w:type="dxa"/>
            <w:tcBorders>
              <w:top w:val="nil"/>
              <w:left w:val="nil"/>
              <w:bottom w:val="nil"/>
              <w:right w:val="nil"/>
            </w:tcBorders>
            <w:hideMark/>
          </w:tcPr>
          <w:p w:rsidR="00D20070" w:rsidRPr="001A4499" w:rsidRDefault="00FF5B9D">
            <w:pPr>
              <w:pStyle w:val="Normal6a"/>
            </w:pPr>
            <w:r w:rsidRPr="001A4499">
              <w:t>15.</w:t>
            </w:r>
            <w:r w:rsidRPr="001A4499">
              <w:tab/>
              <w:t>osserva che la frammentazione del panorama fiscale dell'UE genera complessità, incertezza ed elevati costi di conformità per le imprese dell'UE, in particolare le PMI; sottolinea la necessit</w:t>
            </w:r>
            <w:r w:rsidRPr="001A4499">
              <w:t xml:space="preserve">à di affrontare gli ostacoli fiscali agli investimenti transfrontalieri e di </w:t>
            </w:r>
            <w:r w:rsidRPr="001A4499">
              <w:rPr>
                <w:b/>
                <w:i/>
              </w:rPr>
              <w:t>diminuire l'eccessiva dipendenza dal debito</w:t>
            </w:r>
            <w:r w:rsidRPr="001A4499">
              <w:t xml:space="preserve"> nel finanziamento delle imprese; rammenta, a tale proposito, che nella relazione Draghi si sottolinea che i cittadini dell'UE dovrebber</w:t>
            </w:r>
            <w:r w:rsidRPr="001A4499">
              <w:t xml:space="preserve">o poter investire in altri Stati membri senza essere soggetti a complesse procedure fiscali che comportano, di fatto, una doppia imposizione; </w:t>
            </w:r>
            <w:r w:rsidRPr="001A4499">
              <w:rPr>
                <w:b/>
                <w:i/>
              </w:rPr>
              <w:t xml:space="preserve">sottolinea, a tale proposito, la necessità di armonizzare ulteriormente le procedure e le aliquote della ritenuta </w:t>
            </w:r>
            <w:r w:rsidRPr="001A4499">
              <w:rPr>
                <w:b/>
                <w:i/>
              </w:rPr>
              <w:t>alla fonte nell'Unione, come raccomandato dalla relazione Draghi; accoglie con favore la direttiva per un'esenzione più rapida e sicura dalle ritenute alla fonte in eccesso (direttiva FASTER) recentemente adottata; ricorda le raccomandazioni del Parlamento</w:t>
            </w:r>
            <w:r w:rsidRPr="001A4499">
              <w:rPr>
                <w:b/>
                <w:i/>
              </w:rPr>
              <w:t xml:space="preserve"> europeo contenute nella sua relazione approvata su un quadro in materia di ritenuta alla fonte; invita la Commissione a presentare una proposta relativa a un'aliquota minima di ritenuta alla fonte </w:t>
            </w:r>
            <w:r w:rsidRPr="001A4499">
              <w:rPr>
                <w:b/>
                <w:i/>
              </w:rPr>
              <w:lastRenderedPageBreak/>
              <w:t>nell'Unione europea;</w:t>
            </w:r>
          </w:p>
        </w:tc>
      </w:tr>
    </w:tbl>
    <w:p w:rsidR="00D20070" w:rsidRPr="001A4499" w:rsidRDefault="00FF5B9D" w:rsidP="00D20070">
      <w:pPr>
        <w:pStyle w:val="AmOrLang"/>
        <w:rPr>
          <w:lang w:eastAsia="en-US"/>
        </w:rPr>
      </w:pPr>
      <w:r w:rsidRPr="001A4499">
        <w:lastRenderedPageBreak/>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176</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Roberts Zīle</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15</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15.</w:t>
            </w:r>
            <w:r w:rsidRPr="001A4499">
              <w:tab/>
            </w:r>
            <w:r w:rsidRPr="001A4499">
              <w:t>osserva che la frammentazione del panorama fiscale dell'UE genera complessità, incertezza ed elevati costi di conformità per le imprese dell'UE, in particolare le PMI; sottolinea la necessità di affrontare gli ostacoli fiscali agli investimenti transfronta</w:t>
            </w:r>
            <w:r w:rsidRPr="001A4499">
              <w:t>lieri e di aumentare il capitale proprio nel finanziamento delle imprese; rammenta, a tale proposito, che nella relazione Draghi si sottolinea che i cittadini dell'UE dovrebbero poter investire in altri Stati membri senza essere soggetti a complesse proced</w:t>
            </w:r>
            <w:r w:rsidRPr="001A4499">
              <w:t>ure fiscali che comportano, di fatto, una doppia imposizione</w:t>
            </w:r>
            <w:r w:rsidRPr="001A4499">
              <w:rPr>
                <w:b/>
                <w:i/>
              </w:rPr>
              <w:t>;</w:t>
            </w:r>
          </w:p>
        </w:tc>
        <w:tc>
          <w:tcPr>
            <w:tcW w:w="4876" w:type="dxa"/>
            <w:tcBorders>
              <w:top w:val="nil"/>
              <w:left w:val="nil"/>
              <w:bottom w:val="nil"/>
              <w:right w:val="nil"/>
            </w:tcBorders>
            <w:hideMark/>
          </w:tcPr>
          <w:p w:rsidR="00D20070" w:rsidRPr="001A4499" w:rsidRDefault="00FF5B9D">
            <w:pPr>
              <w:pStyle w:val="Normal6a"/>
            </w:pPr>
            <w:r w:rsidRPr="001A4499">
              <w:t>15.</w:t>
            </w:r>
            <w:r w:rsidRPr="001A4499">
              <w:tab/>
              <w:t>osserva che la frammentazione del panorama fiscale dell'UE genera complessità, incertezza ed elevati costi di conformità per le imprese dell'UE, in particolare le PMI; sottolinea la necessit</w:t>
            </w:r>
            <w:r w:rsidRPr="001A4499">
              <w:t>à di affrontare gli ostacoli fiscali agli investimenti transfrontalieri e di aumentare il capitale proprio nel finanziamento delle imprese; rammenta, a tale proposito, che nella relazione Draghi si sottolinea che i cittadini dell'UE dovrebbero poter invest</w:t>
            </w:r>
            <w:r w:rsidRPr="001A4499">
              <w:t>ire in altri Stati membri senza essere soggetti a complesse procedure fiscali che comportano, di fatto, una doppia imposizione</w:t>
            </w:r>
            <w:r w:rsidRPr="001A4499">
              <w:rPr>
                <w:b/>
                <w:i/>
              </w:rPr>
              <w:t>, rispettando altresì le richieste in altri settori, dove l'UE dovrebbe fare un passo indietro, applicando il principio di sussidi</w:t>
            </w:r>
            <w:r w:rsidRPr="001A4499">
              <w:rPr>
                <w:b/>
                <w:i/>
              </w:rPr>
              <w:t>arietà in modo più rigoroso e riducendo l'onere normativo che impone alle imprese dell'UE</w:t>
            </w:r>
            <w:r w:rsidRPr="001A4499">
              <w:rPr>
                <w:b/>
                <w:i/>
                <w:vertAlign w:val="superscript"/>
              </w:rPr>
              <w:t>15 bis</w:t>
            </w:r>
          </w:p>
        </w:tc>
      </w:tr>
      <w:tr w:rsidR="001A4499" w:rsidRPr="001A4499" w:rsidTr="00D20070">
        <w:trPr>
          <w:jc w:val="center"/>
        </w:trPr>
        <w:tc>
          <w:tcPr>
            <w:tcW w:w="4876" w:type="dxa"/>
            <w:tcBorders>
              <w:top w:val="nil"/>
              <w:left w:val="nil"/>
              <w:bottom w:val="nil"/>
              <w:right w:val="nil"/>
            </w:tcBorders>
          </w:tcPr>
          <w:p w:rsidR="00D20070" w:rsidRPr="001A4499" w:rsidRDefault="00D20070"/>
        </w:tc>
        <w:tc>
          <w:tcPr>
            <w:tcW w:w="4876" w:type="dxa"/>
            <w:tcBorders>
              <w:top w:val="nil"/>
              <w:left w:val="nil"/>
              <w:bottom w:val="nil"/>
              <w:right w:val="nil"/>
            </w:tcBorders>
            <w:hideMark/>
          </w:tcPr>
          <w:p w:rsidR="00D20070" w:rsidRPr="001A4499" w:rsidRDefault="00FF5B9D">
            <w:pPr>
              <w:pStyle w:val="Normal6a"/>
            </w:pPr>
            <w:r w:rsidRPr="001A4499">
              <w:rPr>
                <w:b/>
                <w:i/>
              </w:rPr>
              <w:t>_________________</w:t>
            </w:r>
          </w:p>
        </w:tc>
      </w:tr>
      <w:tr w:rsidR="001A4499" w:rsidRPr="001A4499" w:rsidTr="00D20070">
        <w:trPr>
          <w:jc w:val="center"/>
        </w:trPr>
        <w:tc>
          <w:tcPr>
            <w:tcW w:w="4876" w:type="dxa"/>
            <w:tcBorders>
              <w:top w:val="nil"/>
              <w:left w:val="nil"/>
              <w:bottom w:val="nil"/>
              <w:right w:val="nil"/>
            </w:tcBorders>
          </w:tcPr>
          <w:p w:rsidR="00D20070" w:rsidRPr="001A4499" w:rsidRDefault="00D20070"/>
        </w:tc>
        <w:tc>
          <w:tcPr>
            <w:tcW w:w="4876" w:type="dxa"/>
            <w:tcBorders>
              <w:top w:val="nil"/>
              <w:left w:val="nil"/>
              <w:bottom w:val="nil"/>
              <w:right w:val="nil"/>
            </w:tcBorders>
            <w:hideMark/>
          </w:tcPr>
          <w:p w:rsidR="00D20070" w:rsidRPr="001A4499" w:rsidRDefault="00FF5B9D">
            <w:pPr>
              <w:pStyle w:val="Normal6a"/>
            </w:pPr>
            <w:r w:rsidRPr="001A4499">
              <w:rPr>
                <w:b/>
                <w:i/>
                <w:vertAlign w:val="superscript"/>
              </w:rPr>
              <w:t>15 bis</w:t>
            </w:r>
            <w:r w:rsidRPr="001A4499">
              <w:t xml:space="preserve"> </w:t>
            </w:r>
            <w:r w:rsidRPr="001A4499">
              <w:rPr>
                <w:b/>
                <w:i/>
              </w:rPr>
              <w:t>Relazione Draghi, pag. 8 https://commission.europa.eu/document/download/97e481fd-2dc3-412d-be4c-f152a8232961_en?filename=The%20future%20of%20European%20competitiveness%20_%20A%20competitiveness%20strategy%20for%20Europe.pdf</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lastRenderedPageBreak/>
        <w:t>&lt;Amend&gt;</w:t>
      </w:r>
      <w:r w:rsidRPr="001A4499">
        <w:t>Emendamento</w:t>
      </w:r>
      <w:r w:rsidRPr="001A4499">
        <w:tab/>
      </w:r>
      <w:r w:rsidRPr="001A4499">
        <w:tab/>
      </w:r>
      <w:r w:rsidRPr="001A4499">
        <w:rPr>
          <w:rStyle w:val="HideTWBExt"/>
          <w:color w:val="auto"/>
        </w:rPr>
        <w:t>&lt;NumAm&gt;</w:t>
      </w:r>
      <w:r w:rsidRPr="001A4499">
        <w:t>177</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Dirk Gotink</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15</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15.</w:t>
            </w:r>
            <w:r w:rsidRPr="001A4499">
              <w:tab/>
            </w:r>
            <w:r w:rsidRPr="001A4499">
              <w:t>osserva che la frammentazione del panorama fiscale dell'UE genera complessità, incertezza ed elevati costi di conformità per le imprese dell'UE, in particolare le PMI; sottolinea la necessità di affrontare gli ostacoli fiscali agli investimenti transfronta</w:t>
            </w:r>
            <w:r w:rsidRPr="001A4499">
              <w:t>lieri e di aumentare il capitale proprio nel finanziamento delle imprese; rammenta, a tale proposito, che nella relazione Draghi si sottolinea che i cittadini dell'UE dovrebbero poter investire in altri Stati membri senza essere soggetti a complesse proced</w:t>
            </w:r>
            <w:r w:rsidRPr="001A4499">
              <w:t>ure fiscali che comportano, di fatto, una doppia imposizione;</w:t>
            </w:r>
          </w:p>
        </w:tc>
        <w:tc>
          <w:tcPr>
            <w:tcW w:w="4876" w:type="dxa"/>
            <w:tcBorders>
              <w:top w:val="nil"/>
              <w:left w:val="nil"/>
              <w:bottom w:val="nil"/>
              <w:right w:val="nil"/>
            </w:tcBorders>
            <w:hideMark/>
          </w:tcPr>
          <w:p w:rsidR="00D20070" w:rsidRPr="001A4499" w:rsidRDefault="00FF5B9D">
            <w:pPr>
              <w:pStyle w:val="Normal6a"/>
            </w:pPr>
            <w:r w:rsidRPr="001A4499">
              <w:t>15.</w:t>
            </w:r>
            <w:r w:rsidRPr="001A4499">
              <w:tab/>
              <w:t>osserva che la frammentazione del panorama fiscale dell'UE genera complessità, incertezza ed elevati costi di conformità per le imprese dell'UE, in particolare le PMI; sottolinea la necessit</w:t>
            </w:r>
            <w:r w:rsidRPr="001A4499">
              <w:t>à di affrontare gli ostacoli fiscali agli investimenti transfrontalieri e di aumentare il capitale proprio nel finanziamento delle imprese; rammenta, a tale proposito, che nella relazione Draghi si sottolinea che i cittadini dell'UE dovrebbero poter invest</w:t>
            </w:r>
            <w:r w:rsidRPr="001A4499">
              <w:t xml:space="preserve">ire in altri Stati membri senza essere soggetti a complesse procedure fiscali che comportano, di fatto, una doppia imposizione; </w:t>
            </w:r>
            <w:r w:rsidRPr="001A4499">
              <w:rPr>
                <w:b/>
                <w:i/>
              </w:rPr>
              <w:t>invita la Commissione a proporre misure volte a ridurre la frammentazione e la complessità dei sistemi fiscali, nel rispetto del</w:t>
            </w:r>
            <w:r w:rsidRPr="001A4499">
              <w:rPr>
                <w:b/>
                <w:i/>
              </w:rPr>
              <w:t>la competenza degli Stati membri di decidere in merito ai rispettivi sistemi fiscali nazionali;</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178</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Sirpa Pietikäinen</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15</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15.</w:t>
            </w:r>
            <w:r w:rsidRPr="001A4499">
              <w:tab/>
            </w:r>
            <w:r w:rsidRPr="001A4499">
              <w:t xml:space="preserve">osserva che la frammentazione del panorama fiscale dell'UE genera complessità, incertezza ed elevati costi di conformità per le imprese dell'UE, in particolare le PMI; sottolinea la necessità di affrontare gli ostacoli fiscali agli </w:t>
            </w:r>
            <w:r w:rsidRPr="001A4499">
              <w:lastRenderedPageBreak/>
              <w:t>investimenti transfronta</w:t>
            </w:r>
            <w:r w:rsidRPr="001A4499">
              <w:t>lieri e di aumentare il capitale proprio nel finanziamento delle imprese; rammenta, a tale proposito, che nella relazione Draghi si sottolinea che i cittadini dell'UE dovrebbero poter investire in altri Stati membri senza essere soggetti a complesse proced</w:t>
            </w:r>
            <w:r w:rsidRPr="001A4499">
              <w:t>ure fiscali che comportano, di fatto, una doppia imposizione;</w:t>
            </w:r>
          </w:p>
        </w:tc>
        <w:tc>
          <w:tcPr>
            <w:tcW w:w="4876" w:type="dxa"/>
            <w:tcBorders>
              <w:top w:val="nil"/>
              <w:left w:val="nil"/>
              <w:bottom w:val="nil"/>
              <w:right w:val="nil"/>
            </w:tcBorders>
            <w:hideMark/>
          </w:tcPr>
          <w:p w:rsidR="00D20070" w:rsidRPr="001A4499" w:rsidRDefault="00FF5B9D">
            <w:pPr>
              <w:pStyle w:val="Normal6a"/>
            </w:pPr>
            <w:r w:rsidRPr="001A4499">
              <w:lastRenderedPageBreak/>
              <w:t>15.</w:t>
            </w:r>
            <w:r w:rsidRPr="001A4499">
              <w:tab/>
              <w:t>osserva che la frammentazione del panorama fiscale dell'UE genera complessità, incertezza ed elevati costi di conformità per le imprese dell'UE, in particolare le PMI</w:t>
            </w:r>
            <w:r w:rsidRPr="001A4499">
              <w:rPr>
                <w:b/>
                <w:i/>
              </w:rPr>
              <w:t xml:space="preserve">; incoraggia l'adozione </w:t>
            </w:r>
            <w:r w:rsidRPr="001A4499">
              <w:rPr>
                <w:b/>
                <w:i/>
              </w:rPr>
              <w:t xml:space="preserve">della base imponibile comune consolidata </w:t>
            </w:r>
            <w:r w:rsidRPr="001A4499">
              <w:rPr>
                <w:b/>
                <w:i/>
              </w:rPr>
              <w:lastRenderedPageBreak/>
              <w:t>per le società, al fine di armonizzare il metodo di calcolo della tassazione delle imprese</w:t>
            </w:r>
            <w:r w:rsidRPr="001A4499">
              <w:t>; sottolinea la necessità di affrontare gli ostacoli fiscali agli investimenti transfrontalieri e di aumentare il capitale pr</w:t>
            </w:r>
            <w:r w:rsidRPr="001A4499">
              <w:t>oprio nel finanziamento delle imprese; rammenta, a tale proposito, che nella relazione Draghi si sottolinea che i cittadini dell'UE dovrebbero poter investire in altri Stati membri senza essere soggetti a complesse procedure fiscali che comportano, di fatt</w:t>
            </w:r>
            <w:r w:rsidRPr="001A4499">
              <w:t>o, una doppia imposizione;</w:t>
            </w:r>
          </w:p>
        </w:tc>
      </w:tr>
    </w:tbl>
    <w:p w:rsidR="00D20070" w:rsidRPr="001A4499" w:rsidRDefault="00FF5B9D" w:rsidP="00D20070">
      <w:pPr>
        <w:pStyle w:val="AmOrLang"/>
        <w:rPr>
          <w:lang w:eastAsia="en-US"/>
        </w:rPr>
      </w:pPr>
      <w:r w:rsidRPr="001A4499">
        <w:lastRenderedPageBreak/>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179</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Pascal Canfin, Billy Kelleher, Stéphanie Yon-Courtin</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w:t>
      </w:r>
      <w:r w:rsidRPr="001A4499">
        <w:rPr>
          <w:rStyle w:val="HideTWBExt"/>
          <w:color w:val="auto"/>
        </w:rPr>
        <w:t>d&gt;</w:t>
      </w:r>
    </w:p>
    <w:p w:rsidR="00D20070" w:rsidRPr="001A4499" w:rsidRDefault="00FF5B9D" w:rsidP="00D20070">
      <w:pPr>
        <w:pStyle w:val="NormalBold"/>
      </w:pPr>
      <w:r w:rsidRPr="001A4499">
        <w:rPr>
          <w:rStyle w:val="HideTWBExt"/>
          <w:color w:val="auto"/>
        </w:rPr>
        <w:t>&lt;Article&gt;</w:t>
      </w:r>
      <w:r w:rsidRPr="001A4499">
        <w:t>Paragrafo 15</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15.</w:t>
            </w:r>
            <w:r w:rsidRPr="001A4499">
              <w:tab/>
              <w:t xml:space="preserve">osserva che la frammentazione del panorama fiscale dell'UE genera complessità, incertezza ed elevati costi di conformità per le imprese dell'UE, in particolare le PMI; </w:t>
            </w:r>
            <w:r w:rsidRPr="001A4499">
              <w:t>sottolinea la necessità di affrontare gli ostacoli fiscali agli investimenti transfrontalieri e di aumentare il capitale proprio nel finanziamento delle imprese; rammenta, a tale proposito, che nella relazione Draghi si sottolinea che i cittadini dell'UE d</w:t>
            </w:r>
            <w:r w:rsidRPr="001A4499">
              <w:t>ovrebbero poter investire in altri Stati membri senza essere soggetti a complesse procedure fiscali che comportano, di fatto, una doppia imposizione;</w:t>
            </w:r>
          </w:p>
        </w:tc>
        <w:tc>
          <w:tcPr>
            <w:tcW w:w="4876" w:type="dxa"/>
            <w:tcBorders>
              <w:top w:val="nil"/>
              <w:left w:val="nil"/>
              <w:bottom w:val="nil"/>
              <w:right w:val="nil"/>
            </w:tcBorders>
            <w:hideMark/>
          </w:tcPr>
          <w:p w:rsidR="00D20070" w:rsidRPr="001A4499" w:rsidRDefault="00FF5B9D">
            <w:pPr>
              <w:pStyle w:val="Normal6a"/>
            </w:pPr>
            <w:r w:rsidRPr="001A4499">
              <w:t>15.</w:t>
            </w:r>
            <w:r w:rsidRPr="001A4499">
              <w:tab/>
              <w:t>osserva che la frammentazione del panorama fiscale dell'UE genera complessità, incertezza ed elevati c</w:t>
            </w:r>
            <w:r w:rsidRPr="001A4499">
              <w:t xml:space="preserve">osti di conformità per le imprese dell'UE, in particolare le PMI </w:t>
            </w:r>
            <w:r w:rsidRPr="001A4499">
              <w:rPr>
                <w:b/>
                <w:i/>
              </w:rPr>
              <w:t>e invita la Commissione a considerare questi costi nella sua ventottesima proposta di regime fiscale</w:t>
            </w:r>
            <w:r w:rsidRPr="001A4499">
              <w:t>; sottolinea la necessità di affrontare gli ostacoli fiscali agli investimenti transfrontal</w:t>
            </w:r>
            <w:r w:rsidRPr="001A4499">
              <w:t>ieri e di aumentare il capitale proprio nel finanziamento delle imprese; rammenta, a tale proposito, che nella relazione Draghi si sottolinea che i cittadini dell'UE dovrebbero poter investire in altri Stati membri senza essere soggetti a complesse procedu</w:t>
            </w:r>
            <w:r w:rsidRPr="001A4499">
              <w:t>re fiscali che comportano, di fatto, una doppia imposizione;</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lastRenderedPageBreak/>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180</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Pierre Pimpie, Enikő Győri, Jorge Martín Frías</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15</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15.</w:t>
            </w:r>
            <w:r w:rsidRPr="001A4499">
              <w:tab/>
            </w:r>
            <w:r w:rsidRPr="001A4499">
              <w:t>osserva che la frammentazione del panorama fiscale dell'UE genera complessità, incertezza ed elevati costi di conformità per le imprese dell'UE, in particolare le PMI; sottolinea la necessità di affrontare gli ostacoli fiscali agli investimenti transfronta</w:t>
            </w:r>
            <w:r w:rsidRPr="001A4499">
              <w:t xml:space="preserve">lieri </w:t>
            </w:r>
            <w:r w:rsidRPr="001A4499">
              <w:rPr>
                <w:b/>
                <w:i/>
              </w:rPr>
              <w:t>e di aumentare il capitale proprio nel finanziamento delle imprese;</w:t>
            </w:r>
            <w:r w:rsidRPr="001A4499">
              <w:t xml:space="preserve"> rammenta, a tale proposito, che nella relazione Draghi si sottolinea che i cittadini dell'UE dovrebbero poter investire in altri Stati membri senza essere soggetti a complesse proced</w:t>
            </w:r>
            <w:r w:rsidRPr="001A4499">
              <w:t>ure fiscali che comportano, di fatto, una doppia imposizione;</w:t>
            </w:r>
          </w:p>
        </w:tc>
        <w:tc>
          <w:tcPr>
            <w:tcW w:w="4876" w:type="dxa"/>
            <w:tcBorders>
              <w:top w:val="nil"/>
              <w:left w:val="nil"/>
              <w:bottom w:val="nil"/>
              <w:right w:val="nil"/>
            </w:tcBorders>
            <w:hideMark/>
          </w:tcPr>
          <w:p w:rsidR="00D20070" w:rsidRPr="001A4499" w:rsidRDefault="00FF5B9D">
            <w:pPr>
              <w:pStyle w:val="Normal6a"/>
            </w:pPr>
            <w:r w:rsidRPr="001A4499">
              <w:t>15.</w:t>
            </w:r>
            <w:r w:rsidRPr="001A4499">
              <w:tab/>
              <w:t>osserva che la frammentazione del panorama fiscale dell'UE genera complessità, incertezza ed elevati costi di conformità per le imprese dell'UE, in particolare le PMI; sottolinea la necessit</w:t>
            </w:r>
            <w:r w:rsidRPr="001A4499">
              <w:t xml:space="preserve">à di affrontare gli ostacoli fiscali agli investimenti transfrontalieri </w:t>
            </w:r>
            <w:r w:rsidRPr="001A4499">
              <w:rPr>
                <w:b/>
                <w:i/>
              </w:rPr>
              <w:t>pur preservando l'autonomia degli Stati membri nel concepire incentivi fiscali in linea con le loro priorità nazionali,</w:t>
            </w:r>
            <w:r w:rsidRPr="001A4499">
              <w:t xml:space="preserve"> rammenta, a tale proposito, che nella relazione Draghi si sottol</w:t>
            </w:r>
            <w:r w:rsidRPr="001A4499">
              <w:t>inea che i cittadini dell'UE dovrebbero poter investire in altri Stati membri senza essere soggetti a complesse procedure fiscali che comportano, di fatto, una doppia imposizione;</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181</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Niels Fuglsang, Matthias Ecke, Bruno Gonçalves, Aurore Lalucq, Evelyn Regner</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15</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15.</w:t>
            </w:r>
            <w:r w:rsidRPr="001A4499">
              <w:tab/>
              <w:t xml:space="preserve">osserva che la frammentazione del panorama fiscale dell'UE </w:t>
            </w:r>
            <w:r w:rsidRPr="001A4499">
              <w:rPr>
                <w:b/>
                <w:bCs/>
                <w:i/>
                <w:iCs/>
              </w:rPr>
              <w:t>genera</w:t>
            </w:r>
            <w:r w:rsidRPr="001A4499">
              <w:t xml:space="preserve"> complessità, incertezza ed elevati costi di conformità per le imprese dell'UE, in particolare le PMI; sottolinea la necessità di affrontare gli ostacoli fiscali agli investimenti transfr</w:t>
            </w:r>
            <w:r w:rsidRPr="001A4499">
              <w:t xml:space="preserve">ontalieri e di aumentare il capitale proprio nel finanziamento delle </w:t>
            </w:r>
            <w:r w:rsidRPr="001A4499">
              <w:lastRenderedPageBreak/>
              <w:t>imprese; rammenta, a tale proposito, che nella relazione Draghi si sottolinea che i cittadini dell'UE dovrebbero poter investire in altri Stati membri senza essere soggetti a complesse pr</w:t>
            </w:r>
            <w:r w:rsidRPr="001A4499">
              <w:t>ocedure fiscali che comportano, di fatto, una doppia imposizione;</w:t>
            </w:r>
          </w:p>
        </w:tc>
        <w:tc>
          <w:tcPr>
            <w:tcW w:w="4876" w:type="dxa"/>
            <w:tcBorders>
              <w:top w:val="nil"/>
              <w:left w:val="nil"/>
              <w:bottom w:val="nil"/>
              <w:right w:val="nil"/>
            </w:tcBorders>
            <w:hideMark/>
          </w:tcPr>
          <w:p w:rsidR="00D20070" w:rsidRPr="001A4499" w:rsidRDefault="00FF5B9D">
            <w:pPr>
              <w:pStyle w:val="Normal6a"/>
            </w:pPr>
            <w:r w:rsidRPr="001A4499">
              <w:lastRenderedPageBreak/>
              <w:t>15.</w:t>
            </w:r>
            <w:r w:rsidRPr="001A4499">
              <w:tab/>
              <w:t xml:space="preserve">osserva che la frammentazione </w:t>
            </w:r>
            <w:r w:rsidRPr="001A4499">
              <w:rPr>
                <w:b/>
                <w:i/>
              </w:rPr>
              <w:t>e la mancanza di uniformità</w:t>
            </w:r>
            <w:r w:rsidRPr="001A4499">
              <w:t xml:space="preserve"> del panorama fiscale dell'UE </w:t>
            </w:r>
            <w:r w:rsidRPr="001A4499">
              <w:rPr>
                <w:b/>
                <w:i/>
              </w:rPr>
              <w:t>generano</w:t>
            </w:r>
            <w:r w:rsidRPr="001A4499">
              <w:t xml:space="preserve"> complessità, incertezza ed elevati costi di conformità per le imprese dell'UE, in particol</w:t>
            </w:r>
            <w:r w:rsidRPr="001A4499">
              <w:t xml:space="preserve">are le PMI; sottolinea la necessità di affrontare gli ostacoli fiscali agli investimenti transfrontalieri e di aumentare il capitale </w:t>
            </w:r>
            <w:r w:rsidRPr="001A4499">
              <w:lastRenderedPageBreak/>
              <w:t>proprio nel finanziamento delle imprese; rammenta, a tale proposito, che nella relazione Draghi si sottolinea che i cittadi</w:t>
            </w:r>
            <w:r w:rsidRPr="001A4499">
              <w:t>ni dell'UE dovrebbero poter investire in altri Stati membri senza essere soggetti a complesse procedure fiscali che comportano, di fatto, una doppia imposizione;</w:t>
            </w:r>
          </w:p>
        </w:tc>
      </w:tr>
    </w:tbl>
    <w:p w:rsidR="00D20070" w:rsidRPr="001A4499" w:rsidRDefault="00FF5B9D" w:rsidP="00D20070">
      <w:pPr>
        <w:pStyle w:val="AmOrLang"/>
        <w:rPr>
          <w:lang w:eastAsia="en-US"/>
        </w:rPr>
      </w:pPr>
      <w:r w:rsidRPr="001A4499">
        <w:lastRenderedPageBreak/>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182</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Fernand Kartheiser</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15</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15.</w:t>
            </w:r>
            <w:r w:rsidRPr="001A4499">
              <w:tab/>
              <w:t xml:space="preserve">osserva che la </w:t>
            </w:r>
            <w:r w:rsidRPr="001A4499">
              <w:rPr>
                <w:b/>
                <w:i/>
              </w:rPr>
              <w:t>frammentazione</w:t>
            </w:r>
            <w:r w:rsidRPr="001A4499">
              <w:t xml:space="preserve"> del panorama fiscale </w:t>
            </w:r>
            <w:r w:rsidRPr="001A4499">
              <w:rPr>
                <w:b/>
                <w:i/>
              </w:rPr>
              <w:t>dell'UE</w:t>
            </w:r>
            <w:r w:rsidRPr="001A4499">
              <w:t xml:space="preserve"> genera complessità, incertezza ed elevati costi di conformità per le imprese dell'UE, in particolare le PMI; sottolinea la necessità di affrontare gli ostacoli fiscali agli investimenti transfrontalieri e di aumentare il capitale proprio nel finanziamento</w:t>
            </w:r>
            <w:r w:rsidRPr="001A4499">
              <w:t xml:space="preserve"> delle imprese; rammenta, a tale proposito, che nella relazione Draghi si sottolinea che i cittadini dell'UE dovrebbero poter investire in altri Stati membri senza essere soggetti a complesse procedure fiscali che comportano, di fatto, una doppia imposizio</w:t>
            </w:r>
            <w:r w:rsidRPr="001A4499">
              <w:t>ne;</w:t>
            </w:r>
          </w:p>
        </w:tc>
        <w:tc>
          <w:tcPr>
            <w:tcW w:w="4876" w:type="dxa"/>
            <w:tcBorders>
              <w:top w:val="nil"/>
              <w:left w:val="nil"/>
              <w:bottom w:val="nil"/>
              <w:right w:val="nil"/>
            </w:tcBorders>
            <w:hideMark/>
          </w:tcPr>
          <w:p w:rsidR="00D20070" w:rsidRPr="001A4499" w:rsidRDefault="00FF5B9D">
            <w:pPr>
              <w:pStyle w:val="Normal6a"/>
            </w:pPr>
            <w:r w:rsidRPr="001A4499">
              <w:t>15.</w:t>
            </w:r>
            <w:r w:rsidRPr="001A4499">
              <w:tab/>
              <w:t xml:space="preserve">osserva che la </w:t>
            </w:r>
            <w:r w:rsidRPr="001A4499">
              <w:rPr>
                <w:b/>
                <w:i/>
              </w:rPr>
              <w:t>complessità</w:t>
            </w:r>
            <w:r w:rsidRPr="001A4499">
              <w:t xml:space="preserve"> del panorama fiscale </w:t>
            </w:r>
            <w:r w:rsidRPr="001A4499">
              <w:rPr>
                <w:b/>
                <w:i/>
              </w:rPr>
              <w:t>nell'Unione europea</w:t>
            </w:r>
            <w:r w:rsidRPr="001A4499">
              <w:t xml:space="preserve"> genera complessità, incertezza ed elevati costi di conformità per le imprese dell'UE, in particolare le PMI; </w:t>
            </w:r>
            <w:r w:rsidRPr="001A4499">
              <w:t>sottolinea la necessità di affrontare gli ostacoli fiscali agli investimenti transfrontalieri e di aumentare il capitale proprio nel finanziamento delle imprese; rammenta, a tale proposito, che nella relazione Draghi si sottolinea che i cittadini dell'UE d</w:t>
            </w:r>
            <w:r w:rsidRPr="001A4499">
              <w:t>ovrebbero poter investire in altri Stati membri senza essere soggetti a complesse procedure fiscali che comportano, di fatto, una doppia imposizione;</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183</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Michalis Hadjipantela</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15 bis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15 bis.</w:t>
            </w:r>
            <w:r w:rsidRPr="001A4499">
              <w:tab/>
            </w:r>
            <w:r w:rsidRPr="001A4499">
              <w:rPr>
                <w:b/>
                <w:i/>
              </w:rPr>
              <w:t xml:space="preserve">deplora che la bussola per la competitività della Commissione non disponga di orientamenti concreti su come eliminare gli ostacoli fiscali agli investimenti transfrontalieri; invita la Commissione a condurre studi mirati che valutino gli effetti economici </w:t>
            </w:r>
            <w:r w:rsidRPr="001A4499">
              <w:rPr>
                <w:b/>
                <w:i/>
              </w:rPr>
              <w:t>e competitivi di tale frammentazione, concentrandosi sull'individuazione dei settori più colpiti e proponendo misure concrete per semplificare i sistemi fiscali e rafforzare la fiducia reciproca tra gli Stati membri, in particolare per sostenere le PMI;</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184</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Fernando Navarrete Rojas</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15 bis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15 bis.</w:t>
            </w:r>
            <w:r w:rsidRPr="001A4499">
              <w:tab/>
            </w:r>
            <w:r w:rsidRPr="001A4499">
              <w:rPr>
                <w:b/>
                <w:i/>
              </w:rPr>
              <w:t>chiede la creazione di uno statuto vincolante dei contribuenti per riconoscere e tutelare formalmente i diritti dei contribuenti in tutta l'UE, garantendo un trattamento equo, la trasparenza e una protezione co</w:t>
            </w:r>
            <w:r w:rsidRPr="001A4499">
              <w:rPr>
                <w:b/>
                <w:i/>
              </w:rPr>
              <w:t>erente all'interno del mercato unico; deplora la riluttanza della Commissione a presentare la prevista comunicazione sui diritti dei cittadini in quanto contribuenti, annunciata nel suo piano d'azione per il 2021;</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185</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Niels Fuglsang, Matthias Ecke, Bruno Gonçalves, Aurore Lalucq, Evelyn Regner</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15 bis (nuovo)</w:t>
      </w:r>
      <w:r w:rsidRPr="001A4499">
        <w:rPr>
          <w:rStyle w:val="HideTWBExt"/>
          <w:color w:val="auto"/>
        </w:rPr>
        <w:t>&lt;/Article</w:t>
      </w:r>
      <w:r w:rsidRPr="001A4499">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15 bis.</w:t>
            </w:r>
            <w:r w:rsidRPr="001A4499">
              <w:tab/>
            </w:r>
            <w:r w:rsidRPr="001A4499">
              <w:rPr>
                <w:b/>
                <w:i/>
              </w:rPr>
              <w:t>accoglie con favore la proposta FASTER recentemente concordata sulla ritenuta alla fonte quale primo passo importante verso la modernizzazione e la razionalizzazione delle procedure fiscali transfrontaliere all'interno dell'UE; ricorda, tuttavia, che la ri</w:t>
            </w:r>
            <w:r w:rsidRPr="001A4499">
              <w:rPr>
                <w:b/>
                <w:i/>
              </w:rPr>
              <w:t>cerca evidenzia notevoli differenze nell'applicazione delle ritenute alla fonte negli Stati membri, con aliquote possono variare tra lo 0 e il 35 %, e che le aliquote delle ritenute alla fonte nelle convenzioni fiscali bilaterali sono spesso inferiori risp</w:t>
            </w:r>
            <w:r w:rsidRPr="001A4499">
              <w:rPr>
                <w:b/>
                <w:i/>
              </w:rPr>
              <w:t>etto alle aliquote ordinarie</w:t>
            </w:r>
            <w:r w:rsidRPr="001A4499">
              <w:rPr>
                <w:b/>
                <w:i/>
                <w:vertAlign w:val="superscript"/>
              </w:rPr>
              <w:t>1 bis</w:t>
            </w:r>
            <w:r w:rsidRPr="001A4499">
              <w:rPr>
                <w:b/>
                <w:i/>
              </w:rPr>
              <w:t>; sottolinea che è necessaria un'ulteriore armonizzazione per garantire condizioni di parità, stimolare la competitività e salvaguardare le entrate pubbliche;</w:t>
            </w:r>
          </w:p>
        </w:tc>
      </w:tr>
      <w:tr w:rsidR="001A4499" w:rsidRPr="001A4499" w:rsidTr="00D20070">
        <w:trPr>
          <w:jc w:val="center"/>
        </w:trPr>
        <w:tc>
          <w:tcPr>
            <w:tcW w:w="4876" w:type="dxa"/>
            <w:tcBorders>
              <w:top w:val="nil"/>
              <w:left w:val="nil"/>
              <w:bottom w:val="nil"/>
              <w:right w:val="nil"/>
            </w:tcBorders>
          </w:tcPr>
          <w:p w:rsidR="00D20070" w:rsidRPr="001A4499" w:rsidRDefault="00D20070"/>
        </w:tc>
        <w:tc>
          <w:tcPr>
            <w:tcW w:w="4876" w:type="dxa"/>
            <w:tcBorders>
              <w:top w:val="nil"/>
              <w:left w:val="nil"/>
              <w:bottom w:val="nil"/>
              <w:right w:val="nil"/>
            </w:tcBorders>
            <w:hideMark/>
          </w:tcPr>
          <w:p w:rsidR="00D20070" w:rsidRPr="001A4499" w:rsidRDefault="00FF5B9D">
            <w:pPr>
              <w:pStyle w:val="Normal6a"/>
            </w:pPr>
            <w:r w:rsidRPr="001A4499">
              <w:rPr>
                <w:b/>
                <w:i/>
              </w:rPr>
              <w:t>_________________</w:t>
            </w:r>
          </w:p>
        </w:tc>
      </w:tr>
      <w:tr w:rsidR="001A4499" w:rsidRPr="001A4499" w:rsidTr="00D20070">
        <w:trPr>
          <w:jc w:val="center"/>
        </w:trPr>
        <w:tc>
          <w:tcPr>
            <w:tcW w:w="4876" w:type="dxa"/>
            <w:tcBorders>
              <w:top w:val="nil"/>
              <w:left w:val="nil"/>
              <w:bottom w:val="nil"/>
              <w:right w:val="nil"/>
            </w:tcBorders>
          </w:tcPr>
          <w:p w:rsidR="00D20070" w:rsidRPr="001A4499" w:rsidRDefault="00D20070"/>
        </w:tc>
        <w:tc>
          <w:tcPr>
            <w:tcW w:w="4876" w:type="dxa"/>
            <w:tcBorders>
              <w:top w:val="nil"/>
              <w:left w:val="nil"/>
              <w:bottom w:val="nil"/>
              <w:right w:val="nil"/>
            </w:tcBorders>
            <w:hideMark/>
          </w:tcPr>
          <w:p w:rsidR="00D20070" w:rsidRPr="001A4499" w:rsidRDefault="00FF5B9D">
            <w:pPr>
              <w:pStyle w:val="Normal6a"/>
            </w:pPr>
            <w:r w:rsidRPr="001A4499">
              <w:rPr>
                <w:b/>
                <w:i/>
                <w:vertAlign w:val="superscript"/>
              </w:rPr>
              <w:t>1 bis</w:t>
            </w:r>
            <w:r w:rsidRPr="001A4499">
              <w:t xml:space="preserve"> </w:t>
            </w:r>
            <w:r w:rsidRPr="001A4499">
              <w:rPr>
                <w:b/>
                <w:i/>
              </w:rPr>
              <w:t>Lejour, A., &amp; van't Riet, M. (2020).</w:t>
            </w:r>
            <w:r w:rsidRPr="001A4499">
              <w:rPr>
                <w:b/>
                <w:i/>
              </w:rPr>
              <w:t xml:space="preserve"> "A Common Withholding Tax On Dividend, Interest And Royalties In The European Union" (Una ritenuta d'imposta alla fonte comune su dividendi, interessi e canoni nell'Unione europea). </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186</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Regina Doherty</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15 bis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15 bis.</w:t>
            </w:r>
            <w:r w:rsidRPr="001A4499">
              <w:tab/>
            </w:r>
            <w:r w:rsidRPr="001A4499">
              <w:rPr>
                <w:b/>
                <w:i/>
              </w:rPr>
              <w:t xml:space="preserve">invita la Commissione a presentare una proposta chiara per la creazione di un prodotto di risparmio e di investimento realmente europeo accessibile a tutti i cittadini dell'UE e che contribuirebbe a trasformare i </w:t>
            </w:r>
            <w:r w:rsidRPr="001A4499">
              <w:rPr>
                <w:b/>
                <w:i/>
              </w:rPr>
              <w:lastRenderedPageBreak/>
              <w:t>risparmiatori in investitori al fine di sti</w:t>
            </w:r>
            <w:r w:rsidRPr="001A4499">
              <w:rPr>
                <w:b/>
                <w:i/>
              </w:rPr>
              <w:t>molare gli investimenti al dettaglio, generare maggiore prosperità e promuovere il rafforzamento dei mercati europei dei capitali; invita gli Stati membri a esaminare le opzioni di coordinamento, anche nel settore fiscale, al fine di incentivare la creazio</w:t>
            </w:r>
            <w:r w:rsidRPr="001A4499">
              <w:rPr>
                <w:b/>
                <w:i/>
              </w:rPr>
              <w:t>ne di tale prodotto, che manterrebbe la propria strategia di investimento nel migliore interesse degli investitori, ribadendo nel contempo che la tassazione rimane una competenza nazionale vitale e soggetta all'unanimità;</w:t>
            </w:r>
          </w:p>
        </w:tc>
      </w:tr>
    </w:tbl>
    <w:p w:rsidR="00D20070" w:rsidRPr="001A4499" w:rsidRDefault="00FF5B9D" w:rsidP="00D20070">
      <w:pPr>
        <w:pStyle w:val="AmOrLang"/>
        <w:rPr>
          <w:lang w:eastAsia="en-US"/>
        </w:rPr>
      </w:pPr>
      <w:r w:rsidRPr="001A4499">
        <w:lastRenderedPageBreak/>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187</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Markus Ferber</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15 bis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15 bis.</w:t>
            </w:r>
            <w:r w:rsidRPr="001A4499">
              <w:tab/>
            </w:r>
            <w:r w:rsidRPr="001A4499">
              <w:rPr>
                <w:b/>
                <w:i/>
              </w:rPr>
              <w:t>invita la Commissione europea a fornire una mappatura degli attuali ostacoli all'integrazione del mercato unico relativi alla tassazione e a presentare un piano d'azione per affrontarli;</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188</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Michalis Hadjipantela</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15 ter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15 ter.</w:t>
            </w:r>
            <w:r w:rsidRPr="001A4499">
              <w:tab/>
            </w:r>
            <w:r w:rsidRPr="001A4499">
              <w:rPr>
                <w:b/>
                <w:i/>
              </w:rPr>
              <w:t xml:space="preserve">chiede principi guida sui diritti dei contribuenti per individuare le barriere fiscali persistenti all'interno del mercato </w:t>
            </w:r>
            <w:r w:rsidRPr="001A4499">
              <w:rPr>
                <w:b/>
                <w:i/>
              </w:rPr>
              <w:lastRenderedPageBreak/>
              <w:t>unico e raccomanda la diffusione delle migliori pratiche in tutta l'UE per migliorare le esperienze dei contribuenti; riconosce la ri</w:t>
            </w:r>
            <w:r w:rsidRPr="001A4499">
              <w:rPr>
                <w:b/>
                <w:i/>
              </w:rPr>
              <w:t>luttanza della Commissione a presentare la prevista comunicazione sui diritti dei cittadini in quanto contribuenti, annunciata nel suo piano d'azione per il 2021; </w:t>
            </w:r>
          </w:p>
        </w:tc>
      </w:tr>
    </w:tbl>
    <w:p w:rsidR="00D20070" w:rsidRPr="001A4499" w:rsidRDefault="00FF5B9D" w:rsidP="00D20070">
      <w:pPr>
        <w:pStyle w:val="AmOrLang"/>
        <w:rPr>
          <w:lang w:eastAsia="en-US"/>
        </w:rPr>
      </w:pPr>
      <w:r w:rsidRPr="001A4499">
        <w:lastRenderedPageBreak/>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189</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Niels Fuglsang, Matthias Ecke, Bruno Gonçalves, Aurore Lalucq, Evelyn Regner</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15 ter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15 ter.</w:t>
            </w:r>
            <w:r w:rsidRPr="001A4499">
              <w:tab/>
            </w:r>
            <w:r w:rsidRPr="001A4499">
              <w:rPr>
                <w:b/>
                <w:i/>
              </w:rPr>
              <w:t xml:space="preserve">osserva che l'istituzione di un quadro comune e standardizzato in materia di ritenuta alla fonte è essenziale per ridurre la complessità e aumentare la certezza del diritto per gli investitori, arginare la pratica del "treaty shopping", ridurre </w:t>
            </w:r>
            <w:r w:rsidRPr="001A4499">
              <w:rPr>
                <w:b/>
                <w:i/>
              </w:rPr>
              <w:t>gli oneri amministrativi e garantire che tutti i dividendi, gli interessi, le plusvalenze, i pagamenti di royalty, i pagamenti di servizi professionali e altri pagamenti di contratti pertinenti generati nell'UE siano tassati a un'aliquota fiscale minima ef</w:t>
            </w:r>
            <w:r w:rsidRPr="001A4499">
              <w:rPr>
                <w:b/>
                <w:i/>
              </w:rPr>
              <w:t>fettiva;</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190</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Markus Ferber</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15 ter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15 ter.</w:t>
            </w:r>
            <w:r w:rsidRPr="001A4499">
              <w:tab/>
            </w:r>
            <w:r w:rsidRPr="001A4499">
              <w:rPr>
                <w:b/>
                <w:i/>
              </w:rPr>
              <w:t xml:space="preserve">sottolinea che la riforma della politica fiscale potrebbe altresì facilitare l'ulteriore integrazione dei mercati europei dei capitali nel contesto dell'Unione del risparmio e degli investimenti; sottolinea in </w:t>
            </w:r>
            <w:r w:rsidRPr="001A4499">
              <w:rPr>
                <w:b/>
                <w:i/>
              </w:rPr>
              <w:t>particolare il ruolo delle ritenute alla fonte per incoraggiare gli investimenti transfrontalieri; invita la Commissione a basarsi sull'iniziativa FASTER e ad adoperarsi per semplificare, digitalizzare e accelerare l'esenzione dalla ritenuta alla fonte, in</w:t>
            </w:r>
            <w:r w:rsidRPr="001A4499">
              <w:rPr>
                <w:b/>
                <w:i/>
              </w:rPr>
              <w:t xml:space="preserve"> particolare per gli investitori al dettaglio;</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191</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Niels Fuglsang, Matthias Ecke, Bruno Gonçalves, Aurore Lalucq, Evelyn Regner</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15 quater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15 quater.</w:t>
            </w:r>
            <w:r w:rsidRPr="001A4499">
              <w:tab/>
            </w:r>
            <w:r w:rsidRPr="001A4499">
              <w:rPr>
                <w:b/>
                <w:i/>
              </w:rPr>
              <w:t>accoglie con favore la comunicazione della Commissione sull'Unione del risparmio e degli investimenti e, in particolare, la volontà di eliminare le differenze nelle procedure fiscali nazionali che creano oneri amministrativi e ostacoli agli investimenti tr</w:t>
            </w:r>
            <w:r w:rsidRPr="001A4499">
              <w:rPr>
                <w:b/>
                <w:i/>
              </w:rPr>
              <w:t>ansfrontalieri, nonché di sostenere le azioni degli Stati membri a tal fine;</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192</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Niels Fuglsang, Matthias Ecke, Bruno Gonçalves, Aurore Lalucq, Evelyn Regner</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15 quinquies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15 quinquies.</w:t>
            </w:r>
            <w:r w:rsidRPr="001A4499">
              <w:tab/>
            </w:r>
            <w:r w:rsidRPr="001A4499">
              <w:rPr>
                <w:b/>
                <w:i/>
              </w:rPr>
              <w:t xml:space="preserve">sottolinea, tuttavia, che sia il calcolo della base sia le aliquote applicabili alle plusvalenze variano notevolmente da uno Stato membro all'altro (dal 42 % allo 0 %), dando luogo a distorsioni e a un sistema fertile per una concorrenza fiscale dannosa e </w:t>
            </w:r>
            <w:r w:rsidRPr="001A4499">
              <w:rPr>
                <w:b/>
                <w:i/>
              </w:rPr>
              <w:t>una pianificazione fiscale aggressiva da parte dei più ricchi</w:t>
            </w:r>
            <w:r w:rsidRPr="001A4499">
              <w:rPr>
                <w:b/>
                <w:i/>
                <w:vertAlign w:val="superscript"/>
              </w:rPr>
              <w:t>1 quinquies</w:t>
            </w:r>
            <w:r w:rsidRPr="001A4499">
              <w:rPr>
                <w:b/>
                <w:i/>
              </w:rPr>
              <w:t xml:space="preserve">; </w:t>
            </w:r>
            <w:r w:rsidRPr="001A4499">
              <w:rPr>
                <w:b/>
                <w:i/>
              </w:rPr>
              <w:t>osserva inoltre che i paesi spesso prevedono un trattamento fiscale preferenziale dei redditi da capitale rispetto ai redditi da lavoro dipendente, il che generalmente avvantaggia i percettori di redditi elevati che percepiscono una quota maggiore dei loro</w:t>
            </w:r>
            <w:r w:rsidRPr="001A4499">
              <w:rPr>
                <w:b/>
                <w:i/>
              </w:rPr>
              <w:t xml:space="preserve"> redditi da fonti di capitale; sottolinea che le differenze nel trattamento fiscale e nelle procedure sui redditi da capitale ostacolano nondimeno gli investimenti transfrontalieri, a causa della complessità, dei rischi di contenzioso, dell'incertezza giur</w:t>
            </w:r>
            <w:r w:rsidRPr="001A4499">
              <w:rPr>
                <w:b/>
                <w:i/>
              </w:rPr>
              <w:t>idica e degli obiettivi delle clausole antiabuso degli Stati membri; invita la Commissione ad adottare misure per la creazione di un quadro comune per la tassazione dei redditi da capitale nell'UE, compresa una tassazione minima effettiva delle plusvalenze</w:t>
            </w:r>
            <w:r w:rsidRPr="001A4499">
              <w:rPr>
                <w:b/>
                <w:i/>
              </w:rPr>
              <w:t>;</w:t>
            </w:r>
          </w:p>
        </w:tc>
      </w:tr>
      <w:tr w:rsidR="001A4499" w:rsidRPr="001A4499" w:rsidTr="00D20070">
        <w:trPr>
          <w:jc w:val="center"/>
        </w:trPr>
        <w:tc>
          <w:tcPr>
            <w:tcW w:w="4876" w:type="dxa"/>
            <w:tcBorders>
              <w:top w:val="nil"/>
              <w:left w:val="nil"/>
              <w:bottom w:val="nil"/>
              <w:right w:val="nil"/>
            </w:tcBorders>
          </w:tcPr>
          <w:p w:rsidR="00D20070" w:rsidRPr="001A4499" w:rsidRDefault="00D20070"/>
        </w:tc>
        <w:tc>
          <w:tcPr>
            <w:tcW w:w="4876" w:type="dxa"/>
            <w:tcBorders>
              <w:top w:val="nil"/>
              <w:left w:val="nil"/>
              <w:bottom w:val="nil"/>
              <w:right w:val="nil"/>
            </w:tcBorders>
            <w:hideMark/>
          </w:tcPr>
          <w:p w:rsidR="00D20070" w:rsidRPr="001A4499" w:rsidRDefault="00FF5B9D">
            <w:pPr>
              <w:pStyle w:val="Normal6a"/>
            </w:pPr>
            <w:r w:rsidRPr="001A4499">
              <w:rPr>
                <w:b/>
                <w:i/>
              </w:rPr>
              <w:t>_________________</w:t>
            </w:r>
          </w:p>
        </w:tc>
      </w:tr>
      <w:tr w:rsidR="001A4499" w:rsidRPr="001A4499" w:rsidTr="00D20070">
        <w:trPr>
          <w:jc w:val="center"/>
        </w:trPr>
        <w:tc>
          <w:tcPr>
            <w:tcW w:w="4876" w:type="dxa"/>
            <w:tcBorders>
              <w:top w:val="nil"/>
              <w:left w:val="nil"/>
              <w:bottom w:val="nil"/>
              <w:right w:val="nil"/>
            </w:tcBorders>
          </w:tcPr>
          <w:p w:rsidR="00D20070" w:rsidRPr="001A4499" w:rsidRDefault="00D20070"/>
        </w:tc>
        <w:tc>
          <w:tcPr>
            <w:tcW w:w="4876" w:type="dxa"/>
            <w:tcBorders>
              <w:top w:val="nil"/>
              <w:left w:val="nil"/>
              <w:bottom w:val="nil"/>
              <w:right w:val="nil"/>
            </w:tcBorders>
            <w:hideMark/>
          </w:tcPr>
          <w:p w:rsidR="00D20070" w:rsidRPr="001A4499" w:rsidRDefault="00FF5B9D">
            <w:pPr>
              <w:pStyle w:val="Normal6a"/>
            </w:pPr>
            <w:r w:rsidRPr="001A4499">
              <w:rPr>
                <w:b/>
                <w:i/>
                <w:vertAlign w:val="superscript"/>
              </w:rPr>
              <w:t>1 quinquies</w:t>
            </w:r>
            <w:r w:rsidRPr="001A4499">
              <w:t xml:space="preserve"> </w:t>
            </w:r>
            <w:r w:rsidRPr="001A4499">
              <w:rPr>
                <w:b/>
                <w:i/>
              </w:rPr>
              <w:t xml:space="preserve">Documento strategico dell'OCSE "The taxation of labour vs capital income: </w:t>
            </w:r>
            <w:r w:rsidRPr="001A4499">
              <w:rPr>
                <w:b/>
                <w:i/>
              </w:rPr>
              <w:t xml:space="preserve">a focus on high earners" (La tassazione del reddito da lavoro e del reddito da capitale: un'attenzione particolare ai soggetti ad alto reddito), agosto 2023 </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193</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w:t>
      </w:r>
      <w:r w:rsidRPr="001A4499">
        <w:rPr>
          <w:rStyle w:val="HideTWBExt"/>
          <w:b w:val="0"/>
          <w:color w:val="auto"/>
        </w:rPr>
        <w:t>Members&gt;</w:t>
      </w:r>
      <w:r w:rsidRPr="001A4499">
        <w:t>Kira Marie Peter-Hansen</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lastRenderedPageBreak/>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Sottotitolo 6</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Combattere l'evasione fiscale e la pianificazione fiscale aggressiva</w:t>
            </w:r>
          </w:p>
        </w:tc>
        <w:tc>
          <w:tcPr>
            <w:tcW w:w="4876" w:type="dxa"/>
            <w:tcBorders>
              <w:top w:val="nil"/>
              <w:left w:val="nil"/>
              <w:bottom w:val="nil"/>
              <w:right w:val="nil"/>
            </w:tcBorders>
            <w:hideMark/>
          </w:tcPr>
          <w:p w:rsidR="00D20070" w:rsidRPr="001A4499" w:rsidRDefault="00FF5B9D">
            <w:pPr>
              <w:pStyle w:val="Normal6a"/>
            </w:pPr>
            <w:r w:rsidRPr="001A4499">
              <w:t>Combattere l'evasione fiscale</w:t>
            </w:r>
            <w:r w:rsidRPr="001A4499">
              <w:rPr>
                <w:b/>
                <w:i/>
              </w:rPr>
              <w:t>, l'elusione fiscale</w:t>
            </w:r>
            <w:r w:rsidRPr="001A4499">
              <w:t xml:space="preserve"> e la pianificazione fiscale aggressiva</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617CA4" w:rsidRPr="001A4499" w:rsidRDefault="00FF5B9D" w:rsidP="00617CA4">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194</w:t>
      </w:r>
      <w:r w:rsidRPr="001A4499">
        <w:rPr>
          <w:rStyle w:val="HideTWBExt"/>
          <w:color w:val="auto"/>
        </w:rPr>
        <w:t>&lt;/NumAm&gt;</w:t>
      </w:r>
    </w:p>
    <w:p w:rsidR="00617CA4" w:rsidRPr="001A4499" w:rsidRDefault="00FF5B9D" w:rsidP="00617CA4">
      <w:pPr>
        <w:pStyle w:val="NormalBold"/>
      </w:pPr>
      <w:r w:rsidRPr="001A4499">
        <w:rPr>
          <w:rStyle w:val="HideTWBExt"/>
          <w:b w:val="0"/>
          <w:color w:val="auto"/>
        </w:rPr>
        <w:t>&lt;RepeatBlock-By&gt;&lt;Members&gt;</w:t>
      </w:r>
      <w:r w:rsidRPr="001A4499">
        <w:t>Niels Fuglsang, Matthias Ecke, Bruno Gonçalves, Aurore Lalucq, Evelyn Regner</w:t>
      </w:r>
      <w:r w:rsidRPr="001A4499">
        <w:rPr>
          <w:rStyle w:val="HideTWBExt"/>
          <w:b w:val="0"/>
          <w:color w:val="auto"/>
        </w:rPr>
        <w:t>&lt;/Members&gt;</w:t>
      </w:r>
    </w:p>
    <w:p w:rsidR="00617CA4" w:rsidRPr="001A4499" w:rsidRDefault="00FF5B9D" w:rsidP="00617CA4">
      <w:pPr>
        <w:pStyle w:val="NormalBold"/>
      </w:pPr>
      <w:r w:rsidRPr="001A4499">
        <w:rPr>
          <w:rStyle w:val="HideTWBExt"/>
          <w:b w:val="0"/>
          <w:color w:val="auto"/>
        </w:rPr>
        <w:t>&lt;/RepeatBlock-By&gt;</w:t>
      </w:r>
    </w:p>
    <w:p w:rsidR="00617CA4" w:rsidRPr="001A4499" w:rsidRDefault="00FF5B9D" w:rsidP="00617CA4">
      <w:pPr>
        <w:pStyle w:val="NormalBold"/>
      </w:pPr>
      <w:r w:rsidRPr="001A4499">
        <w:rPr>
          <w:rStyle w:val="HideTWBExt"/>
          <w:color w:val="auto"/>
        </w:rPr>
        <w:t>&lt;DocAmend&gt;</w:t>
      </w:r>
      <w:r w:rsidRPr="001A4499">
        <w:t>Proposta di risoluzione</w:t>
      </w:r>
      <w:r w:rsidRPr="001A4499">
        <w:rPr>
          <w:rStyle w:val="HideTWBExt"/>
          <w:color w:val="auto"/>
        </w:rPr>
        <w:t>&lt;/DocAmend&gt;</w:t>
      </w:r>
    </w:p>
    <w:p w:rsidR="00617CA4" w:rsidRPr="001A4499" w:rsidRDefault="00FF5B9D" w:rsidP="00617CA4">
      <w:pPr>
        <w:pStyle w:val="NormalBold"/>
      </w:pPr>
      <w:r w:rsidRPr="001A4499">
        <w:rPr>
          <w:rStyle w:val="HideTWBExt"/>
          <w:color w:val="auto"/>
        </w:rPr>
        <w:t>&lt;Article&gt;</w:t>
      </w:r>
      <w:r w:rsidRPr="001A4499">
        <w:t>Paragrafo -16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CC2762">
        <w:trPr>
          <w:trHeight w:val="240"/>
          <w:jc w:val="center"/>
        </w:trPr>
        <w:tc>
          <w:tcPr>
            <w:tcW w:w="9752" w:type="dxa"/>
            <w:gridSpan w:val="2"/>
            <w:tcBorders>
              <w:top w:val="nil"/>
              <w:left w:val="nil"/>
              <w:bottom w:val="nil"/>
              <w:right w:val="nil"/>
            </w:tcBorders>
          </w:tcPr>
          <w:p w:rsidR="00617CA4" w:rsidRPr="001A4499" w:rsidRDefault="00617CA4" w:rsidP="00CC2762"/>
        </w:tc>
      </w:tr>
      <w:tr w:rsidR="001A4499" w:rsidRPr="001A4499" w:rsidTr="00CC2762">
        <w:trPr>
          <w:trHeight w:val="240"/>
          <w:jc w:val="center"/>
        </w:trPr>
        <w:tc>
          <w:tcPr>
            <w:tcW w:w="4876" w:type="dxa"/>
            <w:tcBorders>
              <w:top w:val="nil"/>
              <w:left w:val="nil"/>
              <w:bottom w:val="nil"/>
              <w:right w:val="nil"/>
            </w:tcBorders>
            <w:hideMark/>
          </w:tcPr>
          <w:p w:rsidR="00617CA4" w:rsidRPr="001A4499" w:rsidRDefault="00FF5B9D" w:rsidP="00CC2762">
            <w:pPr>
              <w:pStyle w:val="AmColumnHeading"/>
            </w:pPr>
            <w:r w:rsidRPr="001A4499">
              <w:t>Proposta di risoluzione</w:t>
            </w:r>
          </w:p>
        </w:tc>
        <w:tc>
          <w:tcPr>
            <w:tcW w:w="4876" w:type="dxa"/>
            <w:tcBorders>
              <w:top w:val="nil"/>
              <w:left w:val="nil"/>
              <w:bottom w:val="nil"/>
              <w:right w:val="nil"/>
            </w:tcBorders>
            <w:hideMark/>
          </w:tcPr>
          <w:p w:rsidR="00617CA4" w:rsidRPr="001A4499" w:rsidRDefault="00FF5B9D" w:rsidP="00CC2762">
            <w:pPr>
              <w:pStyle w:val="AmColumnHeading"/>
            </w:pPr>
            <w:r w:rsidRPr="001A4499">
              <w:t>Emendamento</w:t>
            </w:r>
          </w:p>
        </w:tc>
      </w:tr>
      <w:tr w:rsidR="001A4499" w:rsidRPr="001A4499" w:rsidTr="00CC2762">
        <w:trPr>
          <w:jc w:val="center"/>
        </w:trPr>
        <w:tc>
          <w:tcPr>
            <w:tcW w:w="4876" w:type="dxa"/>
            <w:tcBorders>
              <w:top w:val="nil"/>
              <w:left w:val="nil"/>
              <w:bottom w:val="nil"/>
              <w:right w:val="nil"/>
            </w:tcBorders>
          </w:tcPr>
          <w:p w:rsidR="00617CA4" w:rsidRPr="001A4499" w:rsidRDefault="00617CA4" w:rsidP="00CC2762">
            <w:pPr>
              <w:pStyle w:val="Normal6a"/>
            </w:pPr>
          </w:p>
        </w:tc>
        <w:tc>
          <w:tcPr>
            <w:tcW w:w="4876" w:type="dxa"/>
            <w:tcBorders>
              <w:top w:val="nil"/>
              <w:left w:val="nil"/>
              <w:bottom w:val="nil"/>
              <w:right w:val="nil"/>
            </w:tcBorders>
            <w:hideMark/>
          </w:tcPr>
          <w:p w:rsidR="00617CA4" w:rsidRPr="001A4499" w:rsidRDefault="00FF5B9D" w:rsidP="00617CA4">
            <w:pPr>
              <w:pStyle w:val="Normal6a"/>
            </w:pPr>
            <w:r w:rsidRPr="001A4499">
              <w:rPr>
                <w:b/>
                <w:i/>
              </w:rPr>
              <w:t>-16.</w:t>
            </w:r>
            <w:r w:rsidRPr="001A4499">
              <w:rPr>
                <w:b/>
                <w:i/>
              </w:rPr>
              <w:tab/>
            </w:r>
            <w:r w:rsidRPr="001A4499">
              <w:rPr>
                <w:b/>
                <w:i/>
              </w:rPr>
              <w:t>deplora che, nonostante l'azione normativa intrapresa nell'ultimo decennio, il trasferimento degli utili verso giurisdizioni a bassa imposizione fiscale rimanga una pratica diffusa tra le grandi imprese multinazionali e mostri scarsi segni di declino</w:t>
            </w:r>
            <w:r w:rsidRPr="001A4499">
              <w:rPr>
                <w:b/>
                <w:i/>
                <w:vertAlign w:val="superscript"/>
              </w:rPr>
              <w:t>1 bis</w:t>
            </w:r>
            <w:r w:rsidRPr="001A4499">
              <w:rPr>
                <w:b/>
                <w:i/>
              </w:rPr>
              <w:t>;</w:t>
            </w:r>
            <w:r w:rsidRPr="001A4499">
              <w:rPr>
                <w:b/>
                <w:i/>
              </w:rPr>
              <w:t xml:space="preserve"> ricorda che, con l'attuazione del secondo pilastro, è importante monitorare le nuove forme di concorrenza fiscale dannosa che possono svilupparsi, in particolare a seguito di eccezioni incorporate nel quadro, nonché il trattamento dei crediti d'imposta</w:t>
            </w:r>
            <w:r w:rsidRPr="001A4499">
              <w:rPr>
                <w:b/>
                <w:i/>
                <w:vertAlign w:val="superscript"/>
              </w:rPr>
              <w:t>2 b</w:t>
            </w:r>
            <w:r w:rsidRPr="001A4499">
              <w:rPr>
                <w:b/>
                <w:i/>
                <w:vertAlign w:val="superscript"/>
              </w:rPr>
              <w:t>is</w:t>
            </w:r>
            <w:r w:rsidRPr="001A4499">
              <w:rPr>
                <w:b/>
                <w:i/>
              </w:rPr>
              <w:t>;</w:t>
            </w:r>
          </w:p>
        </w:tc>
      </w:tr>
      <w:tr w:rsidR="001A4499" w:rsidRPr="001A4499" w:rsidTr="00CC2762">
        <w:trPr>
          <w:jc w:val="center"/>
        </w:trPr>
        <w:tc>
          <w:tcPr>
            <w:tcW w:w="4876" w:type="dxa"/>
            <w:tcBorders>
              <w:top w:val="nil"/>
              <w:left w:val="nil"/>
              <w:bottom w:val="nil"/>
              <w:right w:val="nil"/>
            </w:tcBorders>
          </w:tcPr>
          <w:p w:rsidR="00617CA4" w:rsidRPr="001A4499" w:rsidRDefault="00617CA4" w:rsidP="00CC2762"/>
        </w:tc>
        <w:tc>
          <w:tcPr>
            <w:tcW w:w="4876" w:type="dxa"/>
            <w:tcBorders>
              <w:top w:val="nil"/>
              <w:left w:val="nil"/>
              <w:bottom w:val="nil"/>
              <w:right w:val="nil"/>
            </w:tcBorders>
            <w:hideMark/>
          </w:tcPr>
          <w:p w:rsidR="00617CA4" w:rsidRPr="001A4499" w:rsidRDefault="00FF5B9D" w:rsidP="00CC2762">
            <w:pPr>
              <w:pStyle w:val="Normal6a"/>
            </w:pPr>
            <w:r w:rsidRPr="001A4499">
              <w:rPr>
                <w:b/>
                <w:i/>
              </w:rPr>
              <w:t>_________________</w:t>
            </w:r>
          </w:p>
        </w:tc>
      </w:tr>
      <w:tr w:rsidR="001A4499" w:rsidRPr="001A4499" w:rsidTr="00CC2762">
        <w:trPr>
          <w:jc w:val="center"/>
        </w:trPr>
        <w:tc>
          <w:tcPr>
            <w:tcW w:w="4876" w:type="dxa"/>
            <w:tcBorders>
              <w:top w:val="nil"/>
              <w:left w:val="nil"/>
              <w:bottom w:val="nil"/>
              <w:right w:val="nil"/>
            </w:tcBorders>
          </w:tcPr>
          <w:p w:rsidR="00617CA4" w:rsidRPr="001A4499" w:rsidRDefault="00617CA4" w:rsidP="00CC2762"/>
        </w:tc>
        <w:tc>
          <w:tcPr>
            <w:tcW w:w="4876" w:type="dxa"/>
            <w:tcBorders>
              <w:top w:val="nil"/>
              <w:left w:val="nil"/>
              <w:bottom w:val="nil"/>
              <w:right w:val="nil"/>
            </w:tcBorders>
            <w:hideMark/>
          </w:tcPr>
          <w:p w:rsidR="00617CA4" w:rsidRPr="001A4499" w:rsidRDefault="00FF5B9D" w:rsidP="00CC2762">
            <w:pPr>
              <w:pStyle w:val="Normal6a"/>
            </w:pPr>
            <w:r w:rsidRPr="001A4499">
              <w:rPr>
                <w:b/>
                <w:i/>
                <w:vertAlign w:val="superscript"/>
              </w:rPr>
              <w:t>1 bis</w:t>
            </w:r>
            <w:r w:rsidRPr="001A4499">
              <w:t xml:space="preserve"> </w:t>
            </w:r>
            <w:r w:rsidRPr="001A4499">
              <w:rPr>
                <w:b/>
                <w:i/>
              </w:rPr>
              <w:t xml:space="preserve">Osservatorio fiscale dell'UE, "Global Tax Evasion Report" (relazione sull'evasione fiscale nel mondo) 2024, pag. 36. </w:t>
            </w:r>
          </w:p>
        </w:tc>
      </w:tr>
      <w:tr w:rsidR="001A4499" w:rsidRPr="001A4499" w:rsidTr="00CC2762">
        <w:trPr>
          <w:jc w:val="center"/>
        </w:trPr>
        <w:tc>
          <w:tcPr>
            <w:tcW w:w="4876" w:type="dxa"/>
            <w:tcBorders>
              <w:top w:val="nil"/>
              <w:left w:val="nil"/>
              <w:bottom w:val="nil"/>
              <w:right w:val="nil"/>
            </w:tcBorders>
          </w:tcPr>
          <w:p w:rsidR="00617CA4" w:rsidRPr="001A4499" w:rsidRDefault="00617CA4" w:rsidP="00CC2762"/>
        </w:tc>
        <w:tc>
          <w:tcPr>
            <w:tcW w:w="4876" w:type="dxa"/>
            <w:tcBorders>
              <w:top w:val="nil"/>
              <w:left w:val="nil"/>
              <w:bottom w:val="nil"/>
              <w:right w:val="nil"/>
            </w:tcBorders>
            <w:hideMark/>
          </w:tcPr>
          <w:p w:rsidR="00617CA4" w:rsidRPr="001A4499" w:rsidRDefault="00FF5B9D" w:rsidP="00CC2762">
            <w:pPr>
              <w:pStyle w:val="Normal6a"/>
            </w:pPr>
            <w:r w:rsidRPr="001A4499">
              <w:rPr>
                <w:b/>
                <w:i/>
                <w:vertAlign w:val="superscript"/>
              </w:rPr>
              <w:t>2 bis</w:t>
            </w:r>
            <w:r w:rsidRPr="001A4499">
              <w:t xml:space="preserve"> </w:t>
            </w:r>
            <w:r w:rsidRPr="001A4499">
              <w:rPr>
                <w:b/>
                <w:i/>
              </w:rPr>
              <w:t>Osservatorio fiscale dell'UE, "Global Tax Evasion Report" (relazione sull'evasione fiscale nel mondo) 2024, pagg. 52-54.</w:t>
            </w:r>
          </w:p>
        </w:tc>
      </w:tr>
    </w:tbl>
    <w:p w:rsidR="00617CA4" w:rsidRPr="001A4499" w:rsidRDefault="00FF5B9D" w:rsidP="00617CA4">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617CA4" w:rsidRPr="001A4499" w:rsidRDefault="00FF5B9D" w:rsidP="00617CA4">
      <w:r w:rsidRPr="001A4499">
        <w:rPr>
          <w:rStyle w:val="HideTWBExt"/>
          <w:color w:val="auto"/>
        </w:rPr>
        <w:lastRenderedPageBreak/>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195</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Kira Marie Peter-Hansen</w:t>
      </w:r>
      <w:r w:rsidRPr="001A4499">
        <w:rPr>
          <w:rStyle w:val="HideTWBExt"/>
          <w:b w:val="0"/>
          <w:color w:val="auto"/>
        </w:rPr>
        <w:t>&lt;/Memb</w:t>
      </w:r>
      <w:r w:rsidRPr="001A4499">
        <w:rPr>
          <w:rStyle w:val="HideTWBExt"/>
          <w:b w:val="0"/>
          <w:color w:val="auto"/>
        </w:rPr>
        <w:t>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16</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16.</w:t>
            </w:r>
            <w:r w:rsidRPr="001A4499">
              <w:tab/>
            </w:r>
            <w:r w:rsidRPr="001A4499">
              <w:t>si impegna a contrastare la pianificazione fiscale aggressiva per un'Europa equa, tenendo conto della situazione e degli interessi specifici delle PMI e delle famiglie a basso e medio reddito; riconosce le notevoli implicazioni, in termini di entrate, dell</w:t>
            </w:r>
            <w:r w:rsidRPr="001A4499">
              <w:t>a pianificazione fiscale aggressiva, che mette a rischio le condizioni di parità per gli attori dell'economia e minaccia la lealtà fiscale; esorta la Commissione a migliorare la cooperazione tra gli Stati membri nella lotta alla pianificazione fiscale aggr</w:t>
            </w:r>
            <w:r w:rsidRPr="001A4499">
              <w:t>essiva, in particolare mediante un maggiore scambio di informazioni, audit coordinati e una migliore applicazione;</w:t>
            </w:r>
          </w:p>
        </w:tc>
        <w:tc>
          <w:tcPr>
            <w:tcW w:w="4876" w:type="dxa"/>
            <w:tcBorders>
              <w:top w:val="nil"/>
              <w:left w:val="nil"/>
              <w:bottom w:val="nil"/>
              <w:right w:val="nil"/>
            </w:tcBorders>
            <w:hideMark/>
          </w:tcPr>
          <w:p w:rsidR="00D20070" w:rsidRPr="001A4499" w:rsidRDefault="00FF5B9D">
            <w:pPr>
              <w:pStyle w:val="Normal6a"/>
            </w:pPr>
            <w:r w:rsidRPr="001A4499">
              <w:t>16.</w:t>
            </w:r>
            <w:r w:rsidRPr="001A4499">
              <w:tab/>
              <w:t>si impegna a contrastare la pianificazione fiscale aggressiva per un'Europa equa, tenendo conto della situazione e degli interessi specif</w:t>
            </w:r>
            <w:r w:rsidRPr="001A4499">
              <w:t>ici delle PMI e delle famiglie a basso e medio reddito; riconosce le notevoli implicazioni, in termini di entrate, della pianificazione fiscale aggressiva, che mette a rischio le condizioni di parità per gli attori dell'economia e minaccia la lealtà fiscal</w:t>
            </w:r>
            <w:r w:rsidRPr="001A4499">
              <w:t xml:space="preserve">e; esorta la Commissione a migliorare la cooperazione tra gli Stati membri nella lotta alla pianificazione fiscale aggressiva, in particolare mediante un maggiore scambio di informazioni, audit coordinati e una migliore applicazione; </w:t>
            </w:r>
            <w:r w:rsidRPr="001A4499">
              <w:rPr>
                <w:b/>
                <w:i/>
              </w:rPr>
              <w:t>ricorda le raccomandaz</w:t>
            </w:r>
            <w:r w:rsidRPr="001A4499">
              <w:rPr>
                <w:b/>
                <w:i/>
              </w:rPr>
              <w:t>ioni adottate dal Parlamento europeo nella sua relazione di attuazione sui requisiti dell'UE per lo scambio di informazioni fiscali</w:t>
            </w:r>
            <w:r w:rsidRPr="001A4499">
              <w:rPr>
                <w:b/>
                <w:i/>
                <w:vertAlign w:val="superscript"/>
              </w:rPr>
              <w:t>22 bis</w:t>
            </w:r>
            <w:r w:rsidRPr="001A4499">
              <w:rPr>
                <w:b/>
                <w:i/>
              </w:rPr>
              <w:t>;</w:t>
            </w:r>
          </w:p>
        </w:tc>
      </w:tr>
      <w:tr w:rsidR="001A4499" w:rsidRPr="001A4499" w:rsidTr="00D20070">
        <w:trPr>
          <w:jc w:val="center"/>
        </w:trPr>
        <w:tc>
          <w:tcPr>
            <w:tcW w:w="4876" w:type="dxa"/>
            <w:tcBorders>
              <w:top w:val="nil"/>
              <w:left w:val="nil"/>
              <w:bottom w:val="nil"/>
              <w:right w:val="nil"/>
            </w:tcBorders>
          </w:tcPr>
          <w:p w:rsidR="00D20070" w:rsidRPr="001A4499" w:rsidRDefault="00D20070"/>
        </w:tc>
        <w:tc>
          <w:tcPr>
            <w:tcW w:w="4876" w:type="dxa"/>
            <w:tcBorders>
              <w:top w:val="nil"/>
              <w:left w:val="nil"/>
              <w:bottom w:val="nil"/>
              <w:right w:val="nil"/>
            </w:tcBorders>
            <w:hideMark/>
          </w:tcPr>
          <w:p w:rsidR="00D20070" w:rsidRPr="001A4499" w:rsidRDefault="00FF5B9D">
            <w:pPr>
              <w:pStyle w:val="Normal6a"/>
            </w:pPr>
            <w:r w:rsidRPr="001A4499">
              <w:rPr>
                <w:b/>
                <w:i/>
              </w:rPr>
              <w:t>_________________</w:t>
            </w:r>
          </w:p>
        </w:tc>
      </w:tr>
      <w:tr w:rsidR="001A4499" w:rsidRPr="001A4499" w:rsidTr="00D20070">
        <w:trPr>
          <w:jc w:val="center"/>
        </w:trPr>
        <w:tc>
          <w:tcPr>
            <w:tcW w:w="4876" w:type="dxa"/>
            <w:tcBorders>
              <w:top w:val="nil"/>
              <w:left w:val="nil"/>
              <w:bottom w:val="nil"/>
              <w:right w:val="nil"/>
            </w:tcBorders>
          </w:tcPr>
          <w:p w:rsidR="00D20070" w:rsidRPr="001A4499" w:rsidRDefault="00D20070"/>
        </w:tc>
        <w:tc>
          <w:tcPr>
            <w:tcW w:w="4876" w:type="dxa"/>
            <w:tcBorders>
              <w:top w:val="nil"/>
              <w:left w:val="nil"/>
              <w:bottom w:val="nil"/>
              <w:right w:val="nil"/>
            </w:tcBorders>
            <w:hideMark/>
          </w:tcPr>
          <w:p w:rsidR="00D20070" w:rsidRPr="001A4499" w:rsidRDefault="00FF5B9D">
            <w:pPr>
              <w:pStyle w:val="Normal6a"/>
            </w:pPr>
            <w:r w:rsidRPr="001A4499">
              <w:rPr>
                <w:b/>
                <w:i/>
                <w:vertAlign w:val="superscript"/>
              </w:rPr>
              <w:t>22 bis</w:t>
            </w:r>
            <w:r w:rsidRPr="001A4499">
              <w:t xml:space="preserve"> </w:t>
            </w:r>
            <w:r w:rsidRPr="001A4499">
              <w:rPr>
                <w:b/>
                <w:i/>
              </w:rPr>
              <w:t xml:space="preserve">https://www.europarl.europa.eu/doceo/document/A-9-2021-0193_IT.html </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196</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Regina Doherty</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16</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16.</w:t>
            </w:r>
            <w:r w:rsidRPr="001A4499">
              <w:tab/>
            </w:r>
            <w:r w:rsidRPr="001A4499">
              <w:t xml:space="preserve">si impegna a contrastare la </w:t>
            </w:r>
            <w:r w:rsidRPr="001A4499">
              <w:lastRenderedPageBreak/>
              <w:t>pianificazione fiscale aggressiva per un'Europa equa, tenendo conto della situazione e degli interessi specifici delle PMI e delle famiglie a basso e medio reddito; riconosce le notevoli implicazioni, in termini di entrate, dell</w:t>
            </w:r>
            <w:r w:rsidRPr="001A4499">
              <w:t>a pianificazione fiscale aggressiva, che mette a rischio le condizioni di parità per gli attori dell'economia e minaccia la lealtà fiscale; esorta la Commissione a migliorare la cooperazione tra gli Stati membri nella lotta alla pianificazione fiscale aggr</w:t>
            </w:r>
            <w:r w:rsidRPr="001A4499">
              <w:t>essiva, in particolare mediante un maggiore scambio di informazioni, audit coordinati e una migliore applicazione;</w:t>
            </w:r>
          </w:p>
        </w:tc>
        <w:tc>
          <w:tcPr>
            <w:tcW w:w="4876" w:type="dxa"/>
            <w:tcBorders>
              <w:top w:val="nil"/>
              <w:left w:val="nil"/>
              <w:bottom w:val="nil"/>
              <w:right w:val="nil"/>
            </w:tcBorders>
            <w:hideMark/>
          </w:tcPr>
          <w:p w:rsidR="00D20070" w:rsidRPr="001A4499" w:rsidRDefault="00FF5B9D">
            <w:pPr>
              <w:pStyle w:val="Normal6a"/>
            </w:pPr>
            <w:r w:rsidRPr="001A4499">
              <w:lastRenderedPageBreak/>
              <w:t>16.</w:t>
            </w:r>
            <w:r w:rsidRPr="001A4499">
              <w:tab/>
              <w:t xml:space="preserve">si impegna a contrastare la </w:t>
            </w:r>
            <w:r w:rsidRPr="001A4499">
              <w:lastRenderedPageBreak/>
              <w:t>pianificazione fiscale aggressiva per un'Europa equa, tenendo conto della situazione e degli interessi specif</w:t>
            </w:r>
            <w:r w:rsidRPr="001A4499">
              <w:t>ici delle PMI e delle famiglie a basso e medio reddito; riconosce le notevoli implicazioni, in termini di entrate, della pianificazione fiscale aggressiva, che mette a rischio le condizioni di parità per gli attori dell'economia e minaccia la lealtà fiscal</w:t>
            </w:r>
            <w:r w:rsidRPr="001A4499">
              <w:t xml:space="preserve">e; esorta la Commissione a migliorare la cooperazione tra gli Stati membri nella lotta alla pianificazione fiscale aggressiva, in particolare mediante un maggiore scambio di informazioni, audit coordinati e una migliore applicazione; </w:t>
            </w:r>
            <w:r w:rsidRPr="001A4499">
              <w:rPr>
                <w:b/>
                <w:i/>
              </w:rPr>
              <w:t>sottolinea che l'aumen</w:t>
            </w:r>
            <w:r w:rsidRPr="001A4499">
              <w:rPr>
                <w:b/>
                <w:i/>
              </w:rPr>
              <w:t>to della complessità dei regimi fiscali può creare incentivi distorti per la pianificazione fiscale aggressiva e l'evasione, che possono essere opachi;</w:t>
            </w:r>
          </w:p>
        </w:tc>
      </w:tr>
    </w:tbl>
    <w:p w:rsidR="00D20070" w:rsidRPr="001A4499" w:rsidRDefault="00FF5B9D" w:rsidP="00D20070">
      <w:pPr>
        <w:pStyle w:val="AmOrLang"/>
        <w:rPr>
          <w:lang w:eastAsia="en-US"/>
        </w:rPr>
      </w:pPr>
      <w:r w:rsidRPr="001A4499">
        <w:lastRenderedPageBreak/>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197</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w:t>
      </w:r>
      <w:r w:rsidRPr="001A4499">
        <w:rPr>
          <w:rStyle w:val="HideTWBExt"/>
          <w:b w:val="0"/>
          <w:color w:val="auto"/>
        </w:rPr>
        <w:t>s&gt;</w:t>
      </w:r>
      <w:r w:rsidRPr="001A4499">
        <w:t>Markus Ferber</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16</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16.</w:t>
            </w:r>
            <w:r w:rsidRPr="001A4499">
              <w:tab/>
            </w:r>
            <w:r w:rsidRPr="001A4499">
              <w:t>si impegna a contrastare la pianificazione fiscale aggressiva per un'Europa equa, tenendo conto della situazione e degli interessi specifici delle PMI e delle famiglie a basso e medio reddito; riconosce le notevoli implicazioni, in termini di entrate, dell</w:t>
            </w:r>
            <w:r w:rsidRPr="001A4499">
              <w:t>a pianificazione fiscale aggressiva, che mette a rischio le condizioni di parità per gli attori dell'economia e minaccia la lealtà fiscale; esorta la Commissione a migliorare la cooperazione tra gli Stati membri nella lotta alla pianificazione fiscale aggr</w:t>
            </w:r>
            <w:r w:rsidRPr="001A4499">
              <w:t>essiva, in particolare mediante un maggiore scambio di informazioni, audit coordinati e una migliore applicazione;</w:t>
            </w:r>
          </w:p>
        </w:tc>
        <w:tc>
          <w:tcPr>
            <w:tcW w:w="4876" w:type="dxa"/>
            <w:tcBorders>
              <w:top w:val="nil"/>
              <w:left w:val="nil"/>
              <w:bottom w:val="nil"/>
              <w:right w:val="nil"/>
            </w:tcBorders>
            <w:hideMark/>
          </w:tcPr>
          <w:p w:rsidR="00D20070" w:rsidRPr="001A4499" w:rsidRDefault="00FF5B9D">
            <w:pPr>
              <w:pStyle w:val="Normal6a"/>
            </w:pPr>
            <w:r w:rsidRPr="001A4499">
              <w:t>16.</w:t>
            </w:r>
            <w:r w:rsidRPr="001A4499">
              <w:tab/>
              <w:t>si impegna a contrastare la pianificazione fiscale aggressiva per un'Europa equa, tenendo conto della situazione e degli interessi specif</w:t>
            </w:r>
            <w:r w:rsidRPr="001A4499">
              <w:t>ici delle PMI e delle famiglie a basso e medio reddito; riconosce le notevoli implicazioni, in termini di entrate, della pianificazione fiscale aggressiva, che mette a rischio le condizioni di parità per gli attori dell'economia e minaccia la lealtà fiscal</w:t>
            </w:r>
            <w:r w:rsidRPr="001A4499">
              <w:t xml:space="preserve">e; esorta la Commissione a migliorare la cooperazione tra gli Stati membri nella lotta alla pianificazione fiscale aggressiva, in particolare mediante un maggiore scambio di informazioni, audit coordinati e una migliore applicazione; </w:t>
            </w:r>
            <w:r w:rsidRPr="001A4499">
              <w:rPr>
                <w:b/>
                <w:i/>
              </w:rPr>
              <w:t xml:space="preserve">invita gli Stati </w:t>
            </w:r>
            <w:r w:rsidRPr="001A4499">
              <w:rPr>
                <w:b/>
                <w:i/>
              </w:rPr>
              <w:lastRenderedPageBreak/>
              <w:t>membr</w:t>
            </w:r>
            <w:r w:rsidRPr="001A4499">
              <w:rPr>
                <w:b/>
                <w:i/>
              </w:rPr>
              <w:t>i e la Commissione ad applicare un approccio proporzionato e basato sul rischio alla lotta contro la pianificazione fiscale aggressiva;</w:t>
            </w:r>
          </w:p>
        </w:tc>
      </w:tr>
    </w:tbl>
    <w:p w:rsidR="00D20070" w:rsidRPr="001A4499" w:rsidRDefault="00FF5B9D" w:rsidP="00D20070">
      <w:pPr>
        <w:pStyle w:val="AmOrLang"/>
        <w:rPr>
          <w:lang w:eastAsia="en-US"/>
        </w:rPr>
      </w:pPr>
      <w:r w:rsidRPr="001A4499">
        <w:lastRenderedPageBreak/>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198</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Kinga Kollár</w:t>
      </w:r>
      <w:r w:rsidRPr="001A4499">
        <w:rPr>
          <w:rStyle w:val="HideTWBExt"/>
          <w:b w:val="0"/>
          <w:color w:val="auto"/>
        </w:rPr>
        <w:t>&lt;/</w:t>
      </w:r>
      <w:r w:rsidRPr="001A4499">
        <w:rPr>
          <w:rStyle w:val="HideTWBExt"/>
          <w:b w:val="0"/>
          <w:color w:val="auto"/>
        </w:rPr>
        <w: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16</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16.</w:t>
            </w:r>
            <w:r w:rsidRPr="001A4499">
              <w:tab/>
            </w:r>
            <w:r w:rsidRPr="001A4499">
              <w:t>si impegna a contrastare la pianificazione fiscale aggressiva per un'Europa equa, tenendo conto della situazione e degli interessi specifici delle PMI e delle famiglie a basso e medio reddito; riconosce le notevoli implicazioni, in termini di entrate, dell</w:t>
            </w:r>
            <w:r w:rsidRPr="001A4499">
              <w:t>a pianificazione fiscale aggressiva, che mette a rischio le condizioni di parità per gli attori dell'economia e minaccia la lealtà fiscale; esorta la Commissione a migliorare la cooperazione tra gli Stati membri nella lotta alla pianificazione fiscale aggr</w:t>
            </w:r>
            <w:r w:rsidRPr="001A4499">
              <w:t>essiva, in particolare mediante un maggiore scambio di informazioni, audit coordinati e una migliore applicazione;</w:t>
            </w:r>
          </w:p>
        </w:tc>
        <w:tc>
          <w:tcPr>
            <w:tcW w:w="4876" w:type="dxa"/>
            <w:tcBorders>
              <w:top w:val="nil"/>
              <w:left w:val="nil"/>
              <w:bottom w:val="nil"/>
              <w:right w:val="nil"/>
            </w:tcBorders>
            <w:hideMark/>
          </w:tcPr>
          <w:p w:rsidR="00D20070" w:rsidRPr="001A4499" w:rsidRDefault="00FF5B9D">
            <w:pPr>
              <w:pStyle w:val="Normal6a"/>
            </w:pPr>
            <w:r w:rsidRPr="001A4499">
              <w:t>16.</w:t>
            </w:r>
            <w:r w:rsidRPr="001A4499">
              <w:tab/>
              <w:t>si impegna a contrastare la pianificazione fiscale aggressiva per un'Europa equa, tenendo conto della situazione e degli interessi specif</w:t>
            </w:r>
            <w:r w:rsidRPr="001A4499">
              <w:t>ici delle PMI e delle famiglie a basso e medio reddito; riconosce le notevoli implicazioni, in termini di entrate, della pianificazione fiscale aggressiva, che mette a rischio le condizioni di parità per gli attori dell'economia e minaccia la lealtà fiscal</w:t>
            </w:r>
            <w:r w:rsidRPr="001A4499">
              <w:t xml:space="preserve">e; esorta la Commissione a migliorare la cooperazione tra gli Stati membri nella lotta alla pianificazione fiscale aggressiva, in particolare mediante un maggiore scambio di informazioni, audit coordinati e una migliore applicazione; </w:t>
            </w:r>
            <w:r w:rsidRPr="001A4499">
              <w:rPr>
                <w:b/>
                <w:i/>
              </w:rPr>
              <w:t xml:space="preserve">invita la Commissione </w:t>
            </w:r>
            <w:r w:rsidRPr="001A4499">
              <w:rPr>
                <w:b/>
                <w:i/>
              </w:rPr>
              <w:t>ad analizzare la possibilità e l'utilità di applicare una definizione di segreto fiscale a livello dell'UE;</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199</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Niels Fuglsang, Matthias Ecke, Bruno Gonçalves, Aurore Lalucq, Evelyn Regner</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16</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lastRenderedPageBreak/>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16.</w:t>
            </w:r>
            <w:r w:rsidRPr="001A4499">
              <w:tab/>
            </w:r>
            <w:r w:rsidRPr="001A4499">
              <w:t>si impegna a contrastare la pianificazione fiscale aggressiva per un'</w:t>
            </w:r>
            <w:r w:rsidRPr="001A4499">
              <w:rPr>
                <w:b/>
                <w:i/>
              </w:rPr>
              <w:t>Europa</w:t>
            </w:r>
            <w:r w:rsidRPr="001A4499">
              <w:t xml:space="preserve"> equa, tenendo conto della situazione e degli interessi specifici delle PMI e delle famiglie a basso e medio reddito; riconosce le notevoli implicazioni, in termini di entrate, dell</w:t>
            </w:r>
            <w:r w:rsidRPr="001A4499">
              <w:t xml:space="preserve">a pianificazione fiscale aggressiva, che mette a rischio le condizioni di parità per gli attori dell'economia </w:t>
            </w:r>
            <w:r w:rsidRPr="001A4499">
              <w:rPr>
                <w:b/>
                <w:i/>
              </w:rPr>
              <w:t>e</w:t>
            </w:r>
            <w:r w:rsidRPr="001A4499">
              <w:t xml:space="preserve"> minaccia la lealtà fiscale; esorta la Commissione a migliorare la cooperazione </w:t>
            </w:r>
            <w:r w:rsidRPr="001A4499">
              <w:rPr>
                <w:b/>
                <w:i/>
              </w:rPr>
              <w:t>tra gli Stati membri</w:t>
            </w:r>
            <w:r w:rsidRPr="001A4499">
              <w:t xml:space="preserve"> nella lotta alla pianificazione fiscale aggr</w:t>
            </w:r>
            <w:r w:rsidRPr="001A4499">
              <w:t>essiva, in particolare mediante un maggiore scambio di informazioni, audit coordinati e una migliore applicazione;</w:t>
            </w:r>
          </w:p>
        </w:tc>
        <w:tc>
          <w:tcPr>
            <w:tcW w:w="4876" w:type="dxa"/>
            <w:tcBorders>
              <w:top w:val="nil"/>
              <w:left w:val="nil"/>
              <w:bottom w:val="nil"/>
              <w:right w:val="nil"/>
            </w:tcBorders>
            <w:hideMark/>
          </w:tcPr>
          <w:p w:rsidR="00D20070" w:rsidRPr="001A4499" w:rsidRDefault="00FF5B9D">
            <w:pPr>
              <w:pStyle w:val="Normal6a"/>
            </w:pPr>
            <w:r w:rsidRPr="001A4499">
              <w:t>16.</w:t>
            </w:r>
            <w:r w:rsidRPr="001A4499">
              <w:tab/>
              <w:t xml:space="preserve">si impegna a contrastare la pianificazione fiscale aggressiva </w:t>
            </w:r>
            <w:r w:rsidRPr="001A4499">
              <w:rPr>
                <w:b/>
                <w:i/>
              </w:rPr>
              <w:t>da parte di imprese e privati,</w:t>
            </w:r>
            <w:r w:rsidRPr="001A4499">
              <w:t xml:space="preserve"> per un'</w:t>
            </w:r>
            <w:r w:rsidRPr="001A4499">
              <w:rPr>
                <w:b/>
                <w:i/>
              </w:rPr>
              <w:t>economia europea</w:t>
            </w:r>
            <w:r w:rsidRPr="001A4499">
              <w:t xml:space="preserve"> equa, tenendo conto </w:t>
            </w:r>
            <w:r w:rsidRPr="001A4499">
              <w:t xml:space="preserve">della situazione e degli interessi specifici delle PMI e delle famiglie a basso e medio reddito; riconosce le notevoli implicazioni, in termini di entrate, della pianificazione fiscale aggressiva, che mette a rischio le condizioni di parità per gli attori </w:t>
            </w:r>
            <w:r w:rsidRPr="001A4499">
              <w:t>dell'economia</w:t>
            </w:r>
            <w:r w:rsidRPr="001A4499">
              <w:rPr>
                <w:b/>
                <w:i/>
              </w:rPr>
              <w:t>,</w:t>
            </w:r>
            <w:r w:rsidRPr="001A4499">
              <w:t xml:space="preserve"> minaccia la lealtà fiscale </w:t>
            </w:r>
            <w:r w:rsidRPr="001A4499">
              <w:rPr>
                <w:b/>
                <w:i/>
              </w:rPr>
              <w:t>ed erode la base fiscale degli Stati membri;</w:t>
            </w:r>
            <w:r w:rsidRPr="001A4499">
              <w:t xml:space="preserve"> esorta la Commissione </w:t>
            </w:r>
            <w:r w:rsidRPr="001A4499">
              <w:rPr>
                <w:b/>
                <w:i/>
              </w:rPr>
              <w:t>e gli Stati membri</w:t>
            </w:r>
            <w:r w:rsidRPr="001A4499">
              <w:t xml:space="preserve"> a migliorare la cooperazione nella lotta alla pianificazione fiscale aggressiva, in particolare mediante un maggiore scambio di informazioni, audit coordinati e una migliore applicazione;</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200</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Pierre Pimpie, Enikő Győri, Jorge Martín Frías, Tomáš Kubín</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16</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16.</w:t>
            </w:r>
            <w:r w:rsidRPr="001A4499">
              <w:tab/>
            </w:r>
            <w:r w:rsidRPr="001A4499">
              <w:t xml:space="preserve">si impegna a contrastare </w:t>
            </w:r>
            <w:r w:rsidRPr="001A4499">
              <w:rPr>
                <w:b/>
                <w:i/>
              </w:rPr>
              <w:t>la pianificazione fiscale aggressiva per un'Europa equa,</w:t>
            </w:r>
            <w:r w:rsidRPr="001A4499">
              <w:t xml:space="preserve"> tenendo conto della situazione e degli interessi specifici delle PMI e delle famiglie a basso e medio reddito</w:t>
            </w:r>
            <w:r w:rsidRPr="001A4499">
              <w:rPr>
                <w:b/>
                <w:i/>
              </w:rPr>
              <w:t>; riconosce le notevoli implicazioni, in termini di entrate, dell</w:t>
            </w:r>
            <w:r w:rsidRPr="001A4499">
              <w:rPr>
                <w:b/>
                <w:i/>
              </w:rPr>
              <w:t>a pianificazione fiscale aggressiva, che mette a rischio le condizioni di parità per gli attori dell'economia e minaccia la lealtà fiscale; esorta</w:t>
            </w:r>
            <w:r w:rsidRPr="001A4499">
              <w:t xml:space="preserve"> la Commissione a </w:t>
            </w:r>
            <w:r w:rsidRPr="001A4499">
              <w:rPr>
                <w:b/>
                <w:i/>
              </w:rPr>
              <w:t>migliorare</w:t>
            </w:r>
            <w:r w:rsidRPr="001A4499">
              <w:t xml:space="preserve"> la cooperazione tra gli Stati membri </w:t>
            </w:r>
            <w:r w:rsidRPr="001A4499">
              <w:rPr>
                <w:b/>
                <w:i/>
              </w:rPr>
              <w:t>nella lotta alla pianificazione fiscale aggr</w:t>
            </w:r>
            <w:r w:rsidRPr="001A4499">
              <w:rPr>
                <w:b/>
                <w:i/>
              </w:rPr>
              <w:t xml:space="preserve">essiva, in particolare mediante un maggiore </w:t>
            </w:r>
            <w:r w:rsidRPr="001A4499">
              <w:rPr>
                <w:b/>
                <w:i/>
              </w:rPr>
              <w:lastRenderedPageBreak/>
              <w:t>scambio di informazioni, audit coordinati e una migliore applicazione</w:t>
            </w:r>
            <w:r w:rsidRPr="001A4499">
              <w:t>;</w:t>
            </w:r>
          </w:p>
        </w:tc>
        <w:tc>
          <w:tcPr>
            <w:tcW w:w="4876" w:type="dxa"/>
            <w:tcBorders>
              <w:top w:val="nil"/>
              <w:left w:val="nil"/>
              <w:bottom w:val="nil"/>
              <w:right w:val="nil"/>
            </w:tcBorders>
            <w:hideMark/>
          </w:tcPr>
          <w:p w:rsidR="00D20070" w:rsidRPr="001A4499" w:rsidRDefault="00FF5B9D">
            <w:pPr>
              <w:pStyle w:val="Normal6a"/>
            </w:pPr>
            <w:r w:rsidRPr="001A4499">
              <w:lastRenderedPageBreak/>
              <w:t>16.</w:t>
            </w:r>
            <w:r w:rsidRPr="001A4499">
              <w:tab/>
              <w:t xml:space="preserve">si impegna a contrastare </w:t>
            </w:r>
            <w:r w:rsidRPr="001A4499">
              <w:rPr>
                <w:b/>
                <w:i/>
              </w:rPr>
              <w:t>le frodi fiscali e le pratiche fiscali abusive che distorcono la concorrenza ed erodono le entrate pubbliche, sa</w:t>
            </w:r>
            <w:r w:rsidRPr="001A4499">
              <w:rPr>
                <w:b/>
                <w:i/>
              </w:rPr>
              <w:t>lvaguardando al contempo l'uso legittimo delle politiche fiscali nazionali quale strumento di attrattività economica;</w:t>
            </w:r>
            <w:r w:rsidRPr="001A4499">
              <w:t xml:space="preserve"> tenendo conto della situazione e degli interessi specifici delle PMI e delle famiglie a basso e medio reddito</w:t>
            </w:r>
            <w:r w:rsidRPr="001A4499">
              <w:rPr>
                <w:b/>
                <w:i/>
              </w:rPr>
              <w:t>; ricorda che la lotta contro</w:t>
            </w:r>
            <w:r w:rsidRPr="001A4499">
              <w:rPr>
                <w:b/>
                <w:i/>
              </w:rPr>
              <w:t xml:space="preserve"> gli abusi fiscali deve distinguere chiaramente tra pratiche illecite e strategie legittime di ottimizzazione fiscale; invita</w:t>
            </w:r>
            <w:r w:rsidRPr="001A4499">
              <w:t xml:space="preserve"> la Commissione a </w:t>
            </w:r>
            <w:r w:rsidRPr="001A4499">
              <w:rPr>
                <w:b/>
                <w:i/>
              </w:rPr>
              <w:t>sostenere</w:t>
            </w:r>
            <w:r w:rsidRPr="001A4499">
              <w:t xml:space="preserve"> la cooperazione </w:t>
            </w:r>
            <w:r w:rsidRPr="001A4499">
              <w:rPr>
                <w:b/>
                <w:i/>
              </w:rPr>
              <w:lastRenderedPageBreak/>
              <w:t>volontaria</w:t>
            </w:r>
            <w:r w:rsidRPr="001A4499">
              <w:t xml:space="preserve"> tra gli Stati membri </w:t>
            </w:r>
            <w:r w:rsidRPr="001A4499">
              <w:rPr>
                <w:b/>
                <w:i/>
              </w:rPr>
              <w:t>sulla base di una fiducia reciproca e di una trasparenz</w:t>
            </w:r>
            <w:r w:rsidRPr="001A4499">
              <w:rPr>
                <w:b/>
                <w:i/>
              </w:rPr>
              <w:t>a rafforzata</w:t>
            </w:r>
            <w:r w:rsidRPr="001A4499">
              <w:t>;</w:t>
            </w:r>
          </w:p>
        </w:tc>
      </w:tr>
    </w:tbl>
    <w:p w:rsidR="00D20070" w:rsidRPr="001A4499" w:rsidRDefault="00FF5B9D" w:rsidP="00D20070">
      <w:pPr>
        <w:pStyle w:val="AmOrLang"/>
        <w:rPr>
          <w:lang w:eastAsia="en-US"/>
        </w:rPr>
      </w:pPr>
      <w:r w:rsidRPr="001A4499">
        <w:lastRenderedPageBreak/>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201</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Sirpa Pietikäinen</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16</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16.</w:t>
            </w:r>
            <w:r w:rsidRPr="001A4499">
              <w:tab/>
              <w:t xml:space="preserve">si impegna a contrastare la pianificazione fiscale aggressiva per un'Europa equa, tenendo conto della situazione e degli interessi specifici delle PMI e delle famiglie a basso e medio reddito; riconosce le notevoli </w:t>
            </w:r>
            <w:r w:rsidRPr="001A4499">
              <w:t>implicazioni, in termini di entrate, della pianificazione fiscale aggressiva, che mette a rischio le condizioni di parità per gli attori dell'economia e minaccia la lealtà fiscale; esorta la Commissione a migliorare la cooperazione tra gli Stati membri nel</w:t>
            </w:r>
            <w:r w:rsidRPr="001A4499">
              <w:t xml:space="preserve">la lotta alla pianificazione fiscale aggressiva, in particolare mediante </w:t>
            </w:r>
            <w:r w:rsidRPr="001A4499">
              <w:rPr>
                <w:b/>
                <w:i/>
              </w:rPr>
              <w:t>un maggiore</w:t>
            </w:r>
            <w:r w:rsidRPr="001A4499">
              <w:t xml:space="preserve"> scambio di informazioni, audit coordinati e una migliore applicazione;</w:t>
            </w:r>
          </w:p>
        </w:tc>
        <w:tc>
          <w:tcPr>
            <w:tcW w:w="4876" w:type="dxa"/>
            <w:tcBorders>
              <w:top w:val="nil"/>
              <w:left w:val="nil"/>
              <w:bottom w:val="nil"/>
              <w:right w:val="nil"/>
            </w:tcBorders>
            <w:hideMark/>
          </w:tcPr>
          <w:p w:rsidR="00D20070" w:rsidRPr="001A4499" w:rsidRDefault="00FF5B9D">
            <w:pPr>
              <w:pStyle w:val="Normal6a"/>
            </w:pPr>
            <w:r w:rsidRPr="001A4499">
              <w:t>16.</w:t>
            </w:r>
            <w:r w:rsidRPr="001A4499">
              <w:tab/>
              <w:t xml:space="preserve">si impegna a contrastare la pianificazione fiscale aggressiva per un'Europa equa, tenendo conto </w:t>
            </w:r>
            <w:r w:rsidRPr="001A4499">
              <w:t xml:space="preserve">della situazione e degli interessi specifici delle PMI e delle famiglie a basso e medio reddito; riconosce le notevoli implicazioni, in termini di entrate, della pianificazione fiscale aggressiva, che mette a rischio le condizioni di parità per gli attori </w:t>
            </w:r>
            <w:r w:rsidRPr="001A4499">
              <w:t xml:space="preserve">dell'economia e minaccia la lealtà fiscale; esorta la Commissione a migliorare la cooperazione tra gli Stati membri nella lotta alla pianificazione fiscale aggressiva, in particolare mediante </w:t>
            </w:r>
            <w:r w:rsidRPr="001A4499">
              <w:rPr>
                <w:b/>
                <w:i/>
              </w:rPr>
              <w:t>uno</w:t>
            </w:r>
            <w:r w:rsidRPr="001A4499">
              <w:t xml:space="preserve"> scambio di informazioni </w:t>
            </w:r>
            <w:r w:rsidRPr="001A4499">
              <w:rPr>
                <w:b/>
                <w:i/>
              </w:rPr>
              <w:t>automatico</w:t>
            </w:r>
            <w:r w:rsidRPr="001A4499">
              <w:t>, audit coordinati e una m</w:t>
            </w:r>
            <w:r w:rsidRPr="001A4499">
              <w:t>igliore applicazione;</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202</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Pasquale Tridico, Jussi Saramo, Manon Aubry</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17</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17.</w:t>
            </w:r>
            <w:r w:rsidRPr="001A4499">
              <w:tab/>
              <w:t xml:space="preserve">prende atto del ruolo svolto dalla direttiva relativa alla cooperazione amministrativa (DAC) nella riduzione dell'evasione fiscale e nell'aumento della </w:t>
            </w:r>
            <w:r w:rsidRPr="001A4499">
              <w:lastRenderedPageBreak/>
              <w:t>trasparenza,</w:t>
            </w:r>
            <w:r w:rsidRPr="001A4499">
              <w:rPr>
                <w:b/>
                <w:i/>
              </w:rPr>
              <w:t xml:space="preserve"> sottolineando nel contempo la complessità e gli oneri amministrativi, in particolare nell'ambito della DAC 6</w:t>
            </w:r>
            <w:r w:rsidRPr="001A4499">
              <w:t>;</w:t>
            </w:r>
          </w:p>
        </w:tc>
        <w:tc>
          <w:tcPr>
            <w:tcW w:w="4876" w:type="dxa"/>
            <w:tcBorders>
              <w:top w:val="nil"/>
              <w:left w:val="nil"/>
              <w:bottom w:val="nil"/>
              <w:right w:val="nil"/>
            </w:tcBorders>
            <w:hideMark/>
          </w:tcPr>
          <w:p w:rsidR="00D20070" w:rsidRPr="001A4499" w:rsidRDefault="00FF5B9D">
            <w:pPr>
              <w:pStyle w:val="Normal6a"/>
            </w:pPr>
            <w:r w:rsidRPr="001A4499">
              <w:lastRenderedPageBreak/>
              <w:t>17.</w:t>
            </w:r>
            <w:r w:rsidRPr="001A4499">
              <w:tab/>
              <w:t>prende atto del ruolo svolto dalla direttiva relativa alla cooperazione amministrativa (DAC) nella riduzione dell'evasione fiscale e nell'aum</w:t>
            </w:r>
            <w:r w:rsidRPr="001A4499">
              <w:t xml:space="preserve">ento della </w:t>
            </w:r>
            <w:r w:rsidRPr="001A4499">
              <w:lastRenderedPageBreak/>
              <w:t>trasparenza;</w:t>
            </w:r>
          </w:p>
        </w:tc>
      </w:tr>
    </w:tbl>
    <w:p w:rsidR="00D20070" w:rsidRPr="001A4499" w:rsidRDefault="00FF5B9D" w:rsidP="00D20070">
      <w:pPr>
        <w:pStyle w:val="AmOrLang"/>
        <w:rPr>
          <w:lang w:eastAsia="en-US"/>
        </w:rPr>
      </w:pPr>
      <w:r w:rsidRPr="001A4499">
        <w:lastRenderedPageBreak/>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203</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Michalis Hadjipantela</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17</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17.</w:t>
            </w:r>
            <w:r w:rsidRPr="001A4499">
              <w:tab/>
            </w:r>
            <w:r w:rsidRPr="001A4499">
              <w:t>prende atto del ruolo svolto dalla direttiva relativa alla cooperazione amministrativa (DAC) nella riduzione dell'evasione fiscale e nell'aumento della trasparenza, sottolineando nel contempo la complessità e gli oneri amministrativi, in particolare nell'a</w:t>
            </w:r>
            <w:r w:rsidRPr="001A4499">
              <w:t>mbito della DAC 6;</w:t>
            </w:r>
          </w:p>
        </w:tc>
        <w:tc>
          <w:tcPr>
            <w:tcW w:w="4876" w:type="dxa"/>
            <w:tcBorders>
              <w:top w:val="nil"/>
              <w:left w:val="nil"/>
              <w:bottom w:val="nil"/>
              <w:right w:val="nil"/>
            </w:tcBorders>
            <w:hideMark/>
          </w:tcPr>
          <w:p w:rsidR="00D20070" w:rsidRPr="001A4499" w:rsidRDefault="00FF5B9D">
            <w:pPr>
              <w:pStyle w:val="Normal6a"/>
            </w:pPr>
            <w:r w:rsidRPr="001A4499">
              <w:t>17.</w:t>
            </w:r>
            <w:r w:rsidRPr="001A4499">
              <w:tab/>
              <w:t>prende atto del ruolo svolto dalla direttiva relativa alla cooperazione amministrativa (DAC) nella riduzione dell'evasione fiscale e nell'aumento della trasparenza, sottolineando nel contempo la complessità e gli oneri amministrativi</w:t>
            </w:r>
            <w:r w:rsidRPr="001A4499">
              <w:t xml:space="preserve">, in particolare nell'ambito della DAC 6; </w:t>
            </w:r>
            <w:r w:rsidRPr="001A4499">
              <w:rPr>
                <w:b/>
                <w:i/>
              </w:rPr>
              <w:t>invita la Commissione a rafforzare gli orientamenti, migliorare l'analisi dei rischi e sfruttare la tecnologia per una migliore raccolta dei dati; sottolinea l'urgente necessità di una nuova valutazione della DAC 6</w:t>
            </w:r>
            <w:r w:rsidRPr="001A4499">
              <w:rPr>
                <w:b/>
                <w:i/>
              </w:rPr>
              <w:t xml:space="preserve"> che garantisca l'efficacia nel promuovere la trasparenza fiscale e prevenire la pianificazione fiscale aggressiva, evitando nel contempo costi e oneri amministrativi sproporzionati per gli intermediari, i contribuenti, le autorità fiscali e in particolare</w:t>
            </w:r>
            <w:r w:rsidRPr="001A4499">
              <w:rPr>
                <w:b/>
                <w:i/>
              </w:rPr>
              <w:t xml:space="preserve"> per le PMI; afferma che la nuova valutazione dovrebbe prendere in considerazione l'introduzione di soglie in modo da non incidere sproporzionatamente sulle PMI in termini di obblighi di comunicazione superflui e rivedere alcuni tratti distintivi che sono </w:t>
            </w:r>
            <w:r w:rsidRPr="001A4499">
              <w:rPr>
                <w:b/>
                <w:i/>
              </w:rPr>
              <w:t>economicamente inefficienti; prende atto, a tale riguardo, che se non vi è uno scopo chiaro e utile della DAC6, essa dovrebbe essere abrogata; suggerisce, ai fini dell'attuazione di un meccanismo di revisione della DAC 7, di valutare se lo scambio di infor</w:t>
            </w:r>
            <w:r w:rsidRPr="001A4499">
              <w:rPr>
                <w:b/>
                <w:i/>
              </w:rPr>
              <w:t xml:space="preserve">mazioni </w:t>
            </w:r>
            <w:r w:rsidRPr="001A4499">
              <w:rPr>
                <w:b/>
                <w:i/>
              </w:rPr>
              <w:lastRenderedPageBreak/>
              <w:t>possa essere ridotto tramite l'introduzione di comunicazioni in tempo reale nell'ambito dell'IVA nell'era digitale;</w:t>
            </w:r>
          </w:p>
        </w:tc>
      </w:tr>
    </w:tbl>
    <w:p w:rsidR="00D20070" w:rsidRPr="001A4499" w:rsidRDefault="00FF5B9D" w:rsidP="00D20070">
      <w:pPr>
        <w:pStyle w:val="AmOrLang"/>
        <w:rPr>
          <w:lang w:eastAsia="en-US"/>
        </w:rPr>
      </w:pPr>
      <w:r w:rsidRPr="001A4499">
        <w:lastRenderedPageBreak/>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204</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Dirk Gotink</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17</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17.</w:t>
            </w:r>
            <w:r w:rsidRPr="001A4499">
              <w:tab/>
            </w:r>
            <w:r w:rsidRPr="001A4499">
              <w:t>prende atto del ruolo svolto dalla direttiva relativa alla cooperazione amministrativa (DAC) nella riduzione dell'evasione fiscale e nell'aumento della trasparenza, sottolineando nel contempo la complessità e gli oneri amministrativi, in particolare nell'a</w:t>
            </w:r>
            <w:r w:rsidRPr="001A4499">
              <w:t>mbito della DAC 6;</w:t>
            </w:r>
          </w:p>
        </w:tc>
        <w:tc>
          <w:tcPr>
            <w:tcW w:w="4876" w:type="dxa"/>
            <w:tcBorders>
              <w:top w:val="nil"/>
              <w:left w:val="nil"/>
              <w:bottom w:val="nil"/>
              <w:right w:val="nil"/>
            </w:tcBorders>
            <w:hideMark/>
          </w:tcPr>
          <w:p w:rsidR="00D20070" w:rsidRPr="001A4499" w:rsidRDefault="00FF5B9D">
            <w:pPr>
              <w:pStyle w:val="Normal6a"/>
            </w:pPr>
            <w:r w:rsidRPr="001A4499">
              <w:t>17.</w:t>
            </w:r>
            <w:r w:rsidRPr="001A4499">
              <w:tab/>
            </w:r>
            <w:r w:rsidRPr="001A4499">
              <w:rPr>
                <w:b/>
                <w:i/>
              </w:rPr>
              <w:t>sottolinea che dovrebbe essere seriamente affrontata l'evasione fiscale (legale e illegale) da parte di persone ed entità facoltose all'interno dell'Unione;</w:t>
            </w:r>
            <w:r w:rsidRPr="001A4499">
              <w:t xml:space="preserve"> prende atto del ruolo svolto dalla direttiva relativa alla cooperazione ammi</w:t>
            </w:r>
            <w:r w:rsidRPr="001A4499">
              <w:t>nistrativa (DAC) nella riduzione dell'evasione fiscale e nell'aumento della trasparenza, sottolineando nel contempo la complessità e gli oneri amministrativi, in particolare nell'ambito della DAC 6;</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205</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Danuše Nerudová</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17</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17.</w:t>
            </w:r>
            <w:r w:rsidRPr="001A4499">
              <w:tab/>
            </w:r>
            <w:r w:rsidRPr="001A4499">
              <w:t>prende atto del ruolo svolto dalla direttiva relativa alla cooperazione amministrativa (DAC) nella riduzione dell'evasione fiscale e nell'aumento della trasparenza, sottolineando nel contempo la complessità e gli oneri amministrativi, in particolare nell'a</w:t>
            </w:r>
            <w:r w:rsidRPr="001A4499">
              <w:t>mbito della DAC 6;</w:t>
            </w:r>
          </w:p>
        </w:tc>
        <w:tc>
          <w:tcPr>
            <w:tcW w:w="4876" w:type="dxa"/>
            <w:tcBorders>
              <w:top w:val="nil"/>
              <w:left w:val="nil"/>
              <w:bottom w:val="nil"/>
              <w:right w:val="nil"/>
            </w:tcBorders>
            <w:hideMark/>
          </w:tcPr>
          <w:p w:rsidR="00D20070" w:rsidRPr="001A4499" w:rsidRDefault="00FF5B9D">
            <w:pPr>
              <w:pStyle w:val="Normal6a"/>
            </w:pPr>
            <w:r w:rsidRPr="001A4499">
              <w:t>17.</w:t>
            </w:r>
            <w:r w:rsidRPr="001A4499">
              <w:tab/>
              <w:t>prende atto del ruolo svolto dalla direttiva relativa alla cooperazione amministrativa (DAC) nella riduzione dell'evasione fiscale e nell'aumento della trasparenza, sottolineando nel contempo la complessità e gli oneri amministrativi</w:t>
            </w:r>
            <w:r w:rsidRPr="001A4499">
              <w:t>, in particolare nell'ambito della DAC 6;</w:t>
            </w:r>
            <w:r w:rsidRPr="001A4499">
              <w:rPr>
                <w:b/>
                <w:i/>
              </w:rPr>
              <w:t xml:space="preserve"> invita la Commissione a effettuare una verifica della competitività dei costi di conformità </w:t>
            </w:r>
            <w:r w:rsidRPr="001A4499">
              <w:rPr>
                <w:b/>
                <w:i/>
              </w:rPr>
              <w:lastRenderedPageBreak/>
              <w:t>a norma della presente direttiva;</w:t>
            </w:r>
          </w:p>
        </w:tc>
      </w:tr>
    </w:tbl>
    <w:p w:rsidR="00D20070" w:rsidRPr="001A4499" w:rsidRDefault="00FF5B9D" w:rsidP="00D20070">
      <w:pPr>
        <w:pStyle w:val="AmOrLang"/>
        <w:rPr>
          <w:lang w:eastAsia="en-US"/>
        </w:rPr>
      </w:pPr>
      <w:r w:rsidRPr="001A4499">
        <w:lastRenderedPageBreak/>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206</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Kira Marie Peter-Hansen</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17</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17.</w:t>
            </w:r>
            <w:r w:rsidRPr="001A4499">
              <w:tab/>
            </w:r>
            <w:r w:rsidRPr="001A4499">
              <w:t xml:space="preserve">prende atto del ruolo svolto dalla direttiva relativa alla cooperazione amministrativa (DAC) nella riduzione dell'evasione fiscale e nell'aumento della trasparenza, sottolineando nel contempo la </w:t>
            </w:r>
            <w:r w:rsidRPr="001A4499">
              <w:rPr>
                <w:b/>
                <w:i/>
              </w:rPr>
              <w:t>complessità e gli oneri amministrativi, in particolare</w:t>
            </w:r>
            <w:r w:rsidRPr="001A4499">
              <w:t xml:space="preserve"> nell'a</w:t>
            </w:r>
            <w:r w:rsidRPr="001A4499">
              <w:t>mbito della DAC 6;</w:t>
            </w:r>
          </w:p>
        </w:tc>
        <w:tc>
          <w:tcPr>
            <w:tcW w:w="4876" w:type="dxa"/>
            <w:tcBorders>
              <w:top w:val="nil"/>
              <w:left w:val="nil"/>
              <w:bottom w:val="nil"/>
              <w:right w:val="nil"/>
            </w:tcBorders>
            <w:hideMark/>
          </w:tcPr>
          <w:p w:rsidR="00D20070" w:rsidRPr="001A4499" w:rsidRDefault="00FF5B9D">
            <w:pPr>
              <w:pStyle w:val="Normal6a"/>
            </w:pPr>
            <w:r w:rsidRPr="001A4499">
              <w:t>17.</w:t>
            </w:r>
            <w:r w:rsidRPr="001A4499">
              <w:tab/>
              <w:t xml:space="preserve">prende atto del ruolo svolto dalla direttiva relativa alla cooperazione amministrativa (DAC) nella riduzione dell'evasione fiscale e nell'aumento della trasparenza, sottolineando nel contempo la </w:t>
            </w:r>
            <w:r w:rsidRPr="001A4499">
              <w:rPr>
                <w:b/>
                <w:i/>
              </w:rPr>
              <w:t>necessità di ampliare ulteriormente gl</w:t>
            </w:r>
            <w:r w:rsidRPr="001A4499">
              <w:rPr>
                <w:b/>
                <w:i/>
              </w:rPr>
              <w:t>i scambi e semplificare le norme ove necessario, come per gli obblighi di comunicazione</w:t>
            </w:r>
            <w:r w:rsidRPr="001A4499">
              <w:t xml:space="preserve"> nell'ambito della DAC 6;</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207</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Niels Fuglsang, Matthias Ecke, Bruno Gonçalves, Aurore Lalucq, Evelyn Regner</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17</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17.</w:t>
            </w:r>
            <w:r w:rsidRPr="001A4499">
              <w:tab/>
            </w:r>
            <w:r w:rsidRPr="001A4499">
              <w:rPr>
                <w:b/>
                <w:i/>
              </w:rPr>
              <w:t>prende atto del ruolo svolto dalla</w:t>
            </w:r>
            <w:r w:rsidRPr="001A4499">
              <w:t xml:space="preserve"> direttiva relativa alla cooperazione amministrativa (DAC) nella riduzione dell'evasione fiscale e nell'aumento della trasparenza, sottolineando nel contempo la complessità e gli oneri amministrativi, in particolare nell'a</w:t>
            </w:r>
            <w:r w:rsidRPr="001A4499">
              <w:t>mbito della DAC 6;</w:t>
            </w:r>
          </w:p>
        </w:tc>
        <w:tc>
          <w:tcPr>
            <w:tcW w:w="4876" w:type="dxa"/>
            <w:tcBorders>
              <w:top w:val="nil"/>
              <w:left w:val="nil"/>
              <w:bottom w:val="nil"/>
              <w:right w:val="nil"/>
            </w:tcBorders>
            <w:hideMark/>
          </w:tcPr>
          <w:p w:rsidR="00D20070" w:rsidRPr="001A4499" w:rsidRDefault="00FF5B9D">
            <w:pPr>
              <w:pStyle w:val="Normal6a"/>
            </w:pPr>
            <w:r w:rsidRPr="001A4499">
              <w:t>17.</w:t>
            </w:r>
            <w:r w:rsidRPr="001A4499">
              <w:tab/>
            </w:r>
            <w:r w:rsidRPr="001A4499">
              <w:rPr>
                <w:b/>
                <w:i/>
              </w:rPr>
              <w:t>sottolinea l'importanza della</w:t>
            </w:r>
            <w:r w:rsidRPr="001A4499">
              <w:t xml:space="preserve"> direttiva relativa alla cooperazione amministrativa (DAC) nella riduzione dell'evasione fiscale e nell'aumento della trasparenza, sottolineando nel contempo la complessità e gli oneri amministrativi, in </w:t>
            </w:r>
            <w:r w:rsidRPr="001A4499">
              <w:t>particolare nell'ambito della DAC 6;</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lastRenderedPageBreak/>
        <w:t>&lt;Amend&gt;</w:t>
      </w:r>
      <w:r w:rsidRPr="001A4499">
        <w:t>Emendamento</w:t>
      </w:r>
      <w:r w:rsidRPr="001A4499">
        <w:tab/>
      </w:r>
      <w:r w:rsidRPr="001A4499">
        <w:tab/>
      </w:r>
      <w:r w:rsidRPr="001A4499">
        <w:rPr>
          <w:rStyle w:val="HideTWBExt"/>
          <w:color w:val="auto"/>
        </w:rPr>
        <w:t>&lt;NumAm&gt;</w:t>
      </w:r>
      <w:r w:rsidRPr="001A4499">
        <w:t>208</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Niels Fuglsang, Matthias Ecke, Bruno Gonçalves, Aurore Lalucq, Evelyn Regner</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17 bis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17 bis.</w:t>
            </w:r>
            <w:r w:rsidRPr="001A4499">
              <w:tab/>
            </w:r>
            <w:r w:rsidRPr="001A4499">
              <w:rPr>
                <w:b/>
                <w:i/>
              </w:rPr>
              <w:t>riconosce la necessità, in particolare, di armonizzare le scadenze e i formati di comunicazione richiesti nell'ambito della DAC, oltre a fornire maggiore chiarezza per quanto riguarda gli elementi distintivi per i meccanismi transfrontalieri soggetti all'o</w:t>
            </w:r>
            <w:r w:rsidRPr="001A4499">
              <w:rPr>
                <w:b/>
                <w:i/>
              </w:rPr>
              <w:t>bbligo di comunicazione inclusi nella DAC 6;</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209</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Niels Fuglsang, Matthias Ecke, Bruno Gonçalves, Aurore Lalucq, Evelyn Regner</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17 ter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17 ter.</w:t>
            </w:r>
            <w:r w:rsidRPr="001A4499">
              <w:tab/>
            </w:r>
            <w:r w:rsidRPr="001A4499">
              <w:rPr>
                <w:b/>
                <w:i/>
              </w:rPr>
              <w:t>accoglie con favore il processo di revisione della DAC e della direttiva anti-elusione (direttiva ATAD), ma sottolinea che gli sforzi volti a riordinare e semplificare la legislazione dell'UE non dovrebbero mai portare alla deregolamentazione e all'abbassa</w:t>
            </w:r>
            <w:r w:rsidRPr="001A4499">
              <w:rPr>
                <w:b/>
                <w:i/>
              </w:rPr>
              <w:t>mento delle norme attuali; sottolinea la necessità di presentare proposte legislative per semplificare l'acquis dell'UE al fine di eliminare eventuali sovrapposizioni e contraddizioni, mantenendo nel contempo gli elevati standard esistenti;</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lastRenderedPageBreak/>
        <w:t>&lt;Amend&gt;</w:t>
      </w:r>
      <w:r w:rsidRPr="001A4499">
        <w:t>Emendamento</w:t>
      </w:r>
      <w:r w:rsidRPr="001A4499">
        <w:tab/>
      </w:r>
      <w:r w:rsidRPr="001A4499">
        <w:tab/>
      </w:r>
      <w:r w:rsidRPr="001A4499">
        <w:rPr>
          <w:rStyle w:val="HideTWBExt"/>
          <w:color w:val="auto"/>
        </w:rPr>
        <w:t>&lt;NumAm&gt;</w:t>
      </w:r>
      <w:r w:rsidRPr="001A4499">
        <w:t>210</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Niels Fuglsang, Matthias Ecke, Bruno Gonçalves, Aurore Lalucq, Evelyn Regner</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w:t>
      </w:r>
      <w:r w:rsidRPr="001A4499">
        <w:t>afo 17 quater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17 quater.</w:t>
            </w:r>
            <w:r w:rsidRPr="001A4499">
              <w:tab/>
            </w:r>
            <w:r w:rsidRPr="001A4499">
              <w:rPr>
                <w:b/>
                <w:i/>
              </w:rPr>
              <w:t>rileva, in particolare, la necessità di sfruttare il processo di revisione per affrontare l'attuale sovrapposizione delle norme e per razionalizzare e semplificare l'applicazione di norme e concetti comuni; sottolinea in particolare che la standardizzazion</w:t>
            </w:r>
            <w:r w:rsidRPr="001A4499">
              <w:rPr>
                <w:b/>
                <w:i/>
              </w:rPr>
              <w:t>e dei termini e dei concetti è fondamentale per semplificare la conformità, dal momento che varie interpretazioni nazionali possono dar luogo a frammentazione e complessità;</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211</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Niels Fuglsang, Matthias Ecke, Bruno Gonçalves, Aurore Lalucq, Evelyn Regner</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17 quinquies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17 quinquies.</w:t>
            </w:r>
            <w:r w:rsidRPr="001A4499">
              <w:tab/>
            </w:r>
            <w:r w:rsidRPr="001A4499">
              <w:rPr>
                <w:b/>
                <w:i/>
              </w:rPr>
              <w:t>sottolinea che la riduzione della frammentazione attraverso opzioni ed eccezioni concesse agli Stati membri nell'atto legislativo è estremamente importante; sottolinea che ciò è particolarmente rilevante, ad esempio, nella discr</w:t>
            </w:r>
            <w:r w:rsidRPr="001A4499">
              <w:rPr>
                <w:b/>
                <w:i/>
              </w:rPr>
              <w:t>ezionalità consentita per recepire le norme chiave nella direttiva anti-elusione (direttiva ATAD), come la norma sulle società controllate estere; è favorevole a una proposta in base alla quale la futura norma sulle società controllate estere sia mantenuta</w:t>
            </w:r>
            <w:r w:rsidRPr="001A4499">
              <w:rPr>
                <w:b/>
                <w:i/>
              </w:rPr>
              <w:t xml:space="preserve"> </w:t>
            </w:r>
            <w:r w:rsidRPr="001A4499">
              <w:rPr>
                <w:b/>
                <w:i/>
              </w:rPr>
              <w:lastRenderedPageBreak/>
              <w:t>all'attuale opzione di cui all'articolo 7, paragrafo 2, lettera a), della direttiva ATAD ("modello A") e sia pienamente razionalizzata con la direttiva sul secondo pilastro;</w:t>
            </w:r>
          </w:p>
        </w:tc>
      </w:tr>
    </w:tbl>
    <w:p w:rsidR="00D20070" w:rsidRPr="001A4499" w:rsidRDefault="00FF5B9D" w:rsidP="00D20070">
      <w:pPr>
        <w:pStyle w:val="AmOrLang"/>
        <w:rPr>
          <w:lang w:eastAsia="en-US"/>
        </w:rPr>
      </w:pPr>
      <w:r w:rsidRPr="001A4499">
        <w:lastRenderedPageBreak/>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212</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Niels Fuglsang, Matthias Ecke, Bruno Gonçalves, Aurore Lalucq, Evelyn Regner</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17 sexies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17 sexies.</w:t>
            </w:r>
            <w:r w:rsidRPr="001A4499">
              <w:tab/>
            </w:r>
            <w:r w:rsidRPr="001A4499">
              <w:rPr>
                <w:b/>
                <w:i/>
              </w:rPr>
              <w:t>invita la Commissione a fornire orientamenti agli Stati membri per interpretare la norma generale antiabuso contenuta nella direttiva ATAD;</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213</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Michalis Hadjipantela</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18</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18.</w:t>
            </w:r>
            <w:r w:rsidRPr="001A4499">
              <w:tab/>
            </w:r>
            <w:r w:rsidRPr="001A4499">
              <w:t xml:space="preserve">chiede una maggiore collaborazione tra la Procura europea ed Eurofisc al fine di intensificare la condivisione delle informazioni, il coordinamento degli sforzi di applicazione e le indagini transfrontaliere nella lotta contro le frodi in materia di IVA e </w:t>
            </w:r>
            <w:r w:rsidRPr="001A4499">
              <w:t>altre forme di evasione fiscale;</w:t>
            </w:r>
          </w:p>
        </w:tc>
        <w:tc>
          <w:tcPr>
            <w:tcW w:w="4876" w:type="dxa"/>
            <w:tcBorders>
              <w:top w:val="nil"/>
              <w:left w:val="nil"/>
              <w:bottom w:val="nil"/>
              <w:right w:val="nil"/>
            </w:tcBorders>
            <w:hideMark/>
          </w:tcPr>
          <w:p w:rsidR="00D20070" w:rsidRPr="001A4499" w:rsidRDefault="00FF5B9D">
            <w:pPr>
              <w:pStyle w:val="Normal6a"/>
            </w:pPr>
            <w:r w:rsidRPr="001A4499">
              <w:t>18.</w:t>
            </w:r>
            <w:r w:rsidRPr="001A4499">
              <w:tab/>
              <w:t>chiede una maggiore collaborazione tra la Procura europea ed Eurofisc al fine di intensificare la condivisione delle informazioni, il coordinamento degli sforzi di applicazione e le indagini transfrontaliere nella lotta</w:t>
            </w:r>
            <w:r w:rsidRPr="001A4499">
              <w:t xml:space="preserve"> contro le frodi in materia di IVA e altre forme di evasione fiscale; </w:t>
            </w:r>
            <w:r w:rsidRPr="001A4499">
              <w:rPr>
                <w:b/>
                <w:i/>
              </w:rPr>
              <w:t xml:space="preserve">sottolinea la necessità di una cooperazione semplificata tra tali organismi per garantire una risposta dell'UE più efficace e unificata alla frode fiscale transfrontaliera, facendo leva </w:t>
            </w:r>
            <w:r w:rsidRPr="001A4499">
              <w:rPr>
                <w:b/>
                <w:i/>
              </w:rPr>
              <w:t xml:space="preserve">sui rispettivi mandati e competenze; esorta la </w:t>
            </w:r>
            <w:r w:rsidRPr="001A4499">
              <w:rPr>
                <w:b/>
                <w:i/>
              </w:rPr>
              <w:lastRenderedPageBreak/>
              <w:t>Commissione e gli Stati membri ad agevolare tale cooperazione migliorando i meccanismi di scambio dei dati, garantendo risorse adeguate e promuovendo sforzi investigativi congiunti;</w:t>
            </w:r>
          </w:p>
        </w:tc>
      </w:tr>
    </w:tbl>
    <w:p w:rsidR="00D20070" w:rsidRPr="001A4499" w:rsidRDefault="00FF5B9D" w:rsidP="00D20070">
      <w:pPr>
        <w:pStyle w:val="AmOrLang"/>
        <w:rPr>
          <w:lang w:eastAsia="en-US"/>
        </w:rPr>
      </w:pPr>
      <w:r w:rsidRPr="001A4499">
        <w:lastRenderedPageBreak/>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214</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Kira Marie Peter-Hansen</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18</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18.</w:t>
            </w:r>
            <w:r w:rsidRPr="001A4499">
              <w:tab/>
              <w:t>chiede una maggiore collaborazione tra la Procura europea ed Eurofisc al fine di intensificare la condivisione delle informazioni, il coordinamento degli sforzi di applicazione e le indagini transfrontaliere nella lotta contro le frodi in materia di IVA e</w:t>
            </w:r>
            <w:r w:rsidRPr="001A4499">
              <w:t xml:space="preserve"> altre forme di evasione </w:t>
            </w:r>
            <w:r w:rsidRPr="001A4499">
              <w:rPr>
                <w:b/>
                <w:bCs/>
                <w:i/>
                <w:iCs/>
              </w:rPr>
              <w:t>fiscale</w:t>
            </w:r>
            <w:r w:rsidRPr="001A4499">
              <w:t>;</w:t>
            </w:r>
          </w:p>
        </w:tc>
        <w:tc>
          <w:tcPr>
            <w:tcW w:w="4876" w:type="dxa"/>
            <w:tcBorders>
              <w:top w:val="nil"/>
              <w:left w:val="nil"/>
              <w:bottom w:val="nil"/>
              <w:right w:val="nil"/>
            </w:tcBorders>
            <w:hideMark/>
          </w:tcPr>
          <w:p w:rsidR="00D20070" w:rsidRPr="001A4499" w:rsidRDefault="00FF5B9D">
            <w:pPr>
              <w:pStyle w:val="Normal6a"/>
            </w:pPr>
            <w:r w:rsidRPr="001A4499">
              <w:t>18.</w:t>
            </w:r>
            <w:r w:rsidRPr="001A4499">
              <w:tab/>
              <w:t>chiede una maggiore collaborazione tra la Procura europea ed Eurofisc al fine di intensificare la condivisione delle informazioni, il coordinamento degli sforzi di applicazione e le indagini transfrontaliere nella lott</w:t>
            </w:r>
            <w:r w:rsidRPr="001A4499">
              <w:t xml:space="preserve">a contro le frodi in materia di IVA e altre forme di evasione </w:t>
            </w:r>
            <w:r w:rsidRPr="001A4499">
              <w:rPr>
                <w:b/>
                <w:i/>
              </w:rPr>
              <w:t>ed elusione fiscali</w:t>
            </w:r>
            <w:r w:rsidRPr="001A4499">
              <w:t>;</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215</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Kira Marie Peter-Hansen</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18 bis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18 bis.</w:t>
            </w:r>
            <w:r w:rsidRPr="001A4499">
              <w:tab/>
            </w:r>
            <w:r w:rsidRPr="001A4499">
              <w:rPr>
                <w:b/>
                <w:i/>
              </w:rPr>
              <w:t xml:space="preserve">osserva con preoccupazione che molti Stati membri impongono un onere fiscale più elevato sul reddito da lavoro, colpendo principalmente i lavoratori a basso e medio reddito, in particolare le donne; sottolinea che un mix fiscale equilibrato è fondamentale </w:t>
            </w:r>
            <w:r w:rsidRPr="001A4499">
              <w:rPr>
                <w:b/>
                <w:i/>
              </w:rPr>
              <w:t xml:space="preserve">per evitare distorsioni economiche; invita la Commissione a svolgere un ruolo attivo </w:t>
            </w:r>
            <w:r w:rsidRPr="001A4499">
              <w:rPr>
                <w:b/>
                <w:i/>
              </w:rPr>
              <w:lastRenderedPageBreak/>
              <w:t>nel formulare raccomandazioni agli Stati membri su come bilanciare il loro mix fiscale e potenzialmente ridurre la tassazione sul reddito da lavoro per i lavoratori a bass</w:t>
            </w:r>
            <w:r w:rsidRPr="001A4499">
              <w:rPr>
                <w:b/>
                <w:i/>
              </w:rPr>
              <w:t>o e medio reddito;</w:t>
            </w:r>
          </w:p>
        </w:tc>
      </w:tr>
    </w:tbl>
    <w:p w:rsidR="00D20070" w:rsidRPr="001A4499" w:rsidRDefault="00FF5B9D" w:rsidP="00D20070">
      <w:pPr>
        <w:pStyle w:val="AmOrLang"/>
        <w:rPr>
          <w:lang w:eastAsia="en-US"/>
        </w:rPr>
      </w:pPr>
      <w:r w:rsidRPr="001A4499">
        <w:lastRenderedPageBreak/>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216</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Niels Fuglsang, Matthias Ecke, Bruno Gonçalves, Aurore Lalucq, Evelyn Regner</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18 bis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18 bis.</w:t>
            </w:r>
            <w:r w:rsidRPr="001A4499">
              <w:tab/>
            </w:r>
            <w:r w:rsidRPr="001A4499">
              <w:rPr>
                <w:b/>
                <w:i/>
              </w:rPr>
              <w:t>invita il Consiglio a procedere verso il ricorso al voto a maggioranza qualificata su talune questioni fiscali riguardanti la prevenzione dell'evasione e dell'elusione fiscali e per l'attuazione degli accordi fiscali internazionali; sottolinea che la manca</w:t>
            </w:r>
            <w:r w:rsidRPr="001A4499">
              <w:rPr>
                <w:b/>
                <w:i/>
              </w:rPr>
              <w:t>nza di un ulteriore coordinamento fiscale spinge gli Stati membri a intraprendere una dannosa corsa al ribasso, ostacolando anche l'attività economica transfrontaliera;</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217</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Fabio De Masi</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18 bis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18 bis.</w:t>
            </w:r>
            <w:r w:rsidRPr="001A4499">
              <w:tab/>
            </w:r>
            <w:r w:rsidRPr="001A4499">
              <w:rPr>
                <w:b/>
                <w:i/>
              </w:rPr>
              <w:t xml:space="preserve">invita la Commissione e gli Stati membri a esplorare politiche coordinate per impegnarsi in modo cooperativo al fine di garantire che le persone con disponibilità patrimoniali molto ampie siano effettivamente tassate e a tenere </w:t>
            </w:r>
            <w:r w:rsidRPr="001A4499">
              <w:rPr>
                <w:b/>
                <w:i/>
              </w:rPr>
              <w:lastRenderedPageBreak/>
              <w:t>conto di un piano per un'imp</w:t>
            </w:r>
            <w:r w:rsidRPr="001A4499">
              <w:rPr>
                <w:b/>
                <w:i/>
              </w:rPr>
              <w:t>osta minima efficace coordinata per le persone con disponibilità patrimoniali molto ampie, del 25 giugno 2024, predisposto per la presidenza brasiliana del G20;</w:t>
            </w:r>
          </w:p>
        </w:tc>
      </w:tr>
    </w:tbl>
    <w:p w:rsidR="00D20070" w:rsidRPr="001A4499" w:rsidRDefault="00FF5B9D" w:rsidP="00D20070">
      <w:pPr>
        <w:pStyle w:val="AmOrLang"/>
        <w:rPr>
          <w:lang w:eastAsia="en-US"/>
        </w:rPr>
      </w:pPr>
      <w:r w:rsidRPr="001A4499">
        <w:lastRenderedPageBreak/>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218</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Danuše Nerudová</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18 bis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18 bis.</w:t>
            </w:r>
            <w:r w:rsidRPr="001A4499">
              <w:tab/>
            </w:r>
            <w:r w:rsidRPr="001A4499">
              <w:rPr>
                <w:b/>
                <w:i/>
              </w:rPr>
              <w:t>ritiene in particolare che l'UE dovrebbe continuare a rivedere il sistema dei dazi doganali dell'UE e garantire che tutti i prodotti importati siano adeguatamente soggetti a dazi doganali adeguati;</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219</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Fabio De Masi</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18 ter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18 ter.</w:t>
            </w:r>
            <w:r w:rsidRPr="001A4499">
              <w:tab/>
            </w:r>
            <w:r w:rsidRPr="001A4499">
              <w:rPr>
                <w:b/>
                <w:i/>
              </w:rPr>
              <w:t>invita la Commissione e gli Stati membri a esplorare meccanismi di cooperazione rafforzata tra gli Stati membri dell'UE con grandi dimensioni di mercato nel settore della tassazione delle società; sottolinea la necessità di tassare efficacemente i flussi f</w:t>
            </w:r>
            <w:r w:rsidRPr="001A4499">
              <w:rPr>
                <w:b/>
                <w:i/>
              </w:rPr>
              <w:t xml:space="preserve">inanziari delle multinazionali verso giurisdizioni a bassa imposizione fiscale all'interno e all'esterno dell'UE alla fonte degli utili; sottolinea che tale cooperazione rafforzata può superare il potere di veto </w:t>
            </w:r>
            <w:r w:rsidRPr="001A4499">
              <w:rPr>
                <w:b/>
                <w:i/>
              </w:rPr>
              <w:lastRenderedPageBreak/>
              <w:t>delle giurisdizioni a bassa tassazione nell'</w:t>
            </w:r>
            <w:r w:rsidRPr="001A4499">
              <w:rPr>
                <w:b/>
                <w:i/>
              </w:rPr>
              <w:t>UE e contribuire a una risposta coordinata alle minacce sui dazi da parte dell'amministrazione statunitense; osserva che un'azione coordinata degli Stati membri dell'UE sostiene l'applicazione di un'aliquota fiscale minima internazionale efficace che affro</w:t>
            </w:r>
            <w:r w:rsidRPr="001A4499">
              <w:rPr>
                <w:b/>
                <w:i/>
              </w:rPr>
              <w:t>nti le carenze del principio di libera concorrenza dell'OCSE nella lotta contro la determinazione abusiva dei prezzi di trasferimento;</w:t>
            </w:r>
          </w:p>
        </w:tc>
      </w:tr>
    </w:tbl>
    <w:p w:rsidR="00D20070" w:rsidRPr="001A4499" w:rsidRDefault="00FF5B9D" w:rsidP="00D20070">
      <w:pPr>
        <w:pStyle w:val="AmOrLang"/>
        <w:rPr>
          <w:lang w:eastAsia="en-US"/>
        </w:rPr>
      </w:pPr>
      <w:r w:rsidRPr="001A4499">
        <w:lastRenderedPageBreak/>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220</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Fernand Kartheiser</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19</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19.</w:t>
            </w:r>
            <w:r w:rsidRPr="001A4499">
              <w:tab/>
            </w:r>
            <w:r w:rsidRPr="001A4499">
              <w:t xml:space="preserve">invita la Commissione a presentare uno studio sulle modalità per semplificare le norme fiscali e far fronte alla frammentazione fiscale a beneficio dei lavoratori transfrontalieri e dei lavoratori autonomi, al fine di stimolare la competitività; </w:t>
            </w:r>
            <w:r w:rsidRPr="001A4499">
              <w:rPr>
                <w:b/>
                <w:i/>
              </w:rPr>
              <w:t>osserva ch</w:t>
            </w:r>
            <w:r w:rsidRPr="001A4499">
              <w:rPr>
                <w:b/>
                <w:i/>
              </w:rPr>
              <w:t>e le divergenze tra i sistemi fiscali nazionali comportano oneri amministrativi, incertezza giuridica e una doppia imposizione, che ostacolano la mobilità dei lavoratori e l'imprenditoria transfrontaliera;</w:t>
            </w:r>
          </w:p>
        </w:tc>
        <w:tc>
          <w:tcPr>
            <w:tcW w:w="4876" w:type="dxa"/>
            <w:tcBorders>
              <w:top w:val="nil"/>
              <w:left w:val="nil"/>
              <w:bottom w:val="nil"/>
              <w:right w:val="nil"/>
            </w:tcBorders>
            <w:hideMark/>
          </w:tcPr>
          <w:p w:rsidR="00D20070" w:rsidRPr="001A4499" w:rsidRDefault="00FF5B9D">
            <w:pPr>
              <w:pStyle w:val="Normal6a"/>
            </w:pPr>
            <w:r w:rsidRPr="001A4499">
              <w:t>19.</w:t>
            </w:r>
            <w:r w:rsidRPr="001A4499">
              <w:tab/>
            </w:r>
            <w:r w:rsidRPr="001A4499">
              <w:t>invita la Commissione a presentare uno studio sulle modalità per semplificare le norme fiscali e far fronte alla frammentazione fiscale a beneficio dei lavoratori transfrontalieri e dei lavoratori autonomi, al fine di stimolare la competitività; </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221</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Kira Marie Peter-Hansen</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19</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lastRenderedPageBreak/>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19.</w:t>
            </w:r>
            <w:r w:rsidRPr="001A4499">
              <w:tab/>
              <w:t xml:space="preserve">invita la Commissione a presentare </w:t>
            </w:r>
            <w:r w:rsidRPr="001A4499">
              <w:rPr>
                <w:b/>
                <w:i/>
              </w:rPr>
              <w:t>uno studio sulle modalità</w:t>
            </w:r>
            <w:r w:rsidRPr="001A4499">
              <w:t xml:space="preserve"> per semplificare le norme fiscali e far fronte alla frammentazione fiscale a beneficio dei lavoratori transfrontalieri e dei lavoratori autonomi, al fine di stimolare la competit</w:t>
            </w:r>
            <w:r w:rsidRPr="001A4499">
              <w:t xml:space="preserve">ività; osserva che le divergenze tra i sistemi fiscali nazionali </w:t>
            </w:r>
            <w:r w:rsidRPr="001A4499">
              <w:rPr>
                <w:b/>
                <w:bCs/>
                <w:i/>
                <w:iCs/>
              </w:rPr>
              <w:t>comportano</w:t>
            </w:r>
            <w:r w:rsidRPr="001A4499">
              <w:t xml:space="preserve"> oneri amministrativi, incertezza giuridica e una doppia imposizione, che ostacolano la mobilità dei lavoratori e l'imprenditoria transfrontaliera;</w:t>
            </w:r>
          </w:p>
        </w:tc>
        <w:tc>
          <w:tcPr>
            <w:tcW w:w="4876" w:type="dxa"/>
            <w:tcBorders>
              <w:top w:val="nil"/>
              <w:left w:val="nil"/>
              <w:bottom w:val="nil"/>
              <w:right w:val="nil"/>
            </w:tcBorders>
            <w:hideMark/>
          </w:tcPr>
          <w:p w:rsidR="00D20070" w:rsidRPr="001A4499" w:rsidRDefault="00FF5B9D">
            <w:pPr>
              <w:pStyle w:val="Normal6a"/>
            </w:pPr>
            <w:r w:rsidRPr="001A4499">
              <w:t>19.</w:t>
            </w:r>
            <w:r w:rsidRPr="001A4499">
              <w:tab/>
              <w:t>invita la Commissione a prese</w:t>
            </w:r>
            <w:r w:rsidRPr="001A4499">
              <w:t xml:space="preserve">ntare </w:t>
            </w:r>
            <w:r w:rsidRPr="001A4499">
              <w:rPr>
                <w:b/>
                <w:i/>
              </w:rPr>
              <w:t>un pacchetto di misure</w:t>
            </w:r>
            <w:r w:rsidRPr="001A4499">
              <w:t xml:space="preserve"> per semplificare le norme fiscali e far fronte alla frammentazione fiscale a beneficio dei lavoratori transfrontalieri e dei lavoratori autonomi, al fine di stimolare la competitività </w:t>
            </w:r>
            <w:r w:rsidRPr="001A4499">
              <w:rPr>
                <w:b/>
                <w:i/>
              </w:rPr>
              <w:t>approfondendo il mercato interno e per prot</w:t>
            </w:r>
            <w:r w:rsidRPr="001A4499">
              <w:rPr>
                <w:b/>
                <w:i/>
              </w:rPr>
              <w:t>eggere le entrate fiscali creando condizioni di parità</w:t>
            </w:r>
            <w:r w:rsidRPr="001A4499">
              <w:t xml:space="preserve">; osserva che le divergenze tra i sistemi fiscali nazionali </w:t>
            </w:r>
            <w:r w:rsidRPr="001A4499">
              <w:rPr>
                <w:b/>
                <w:i/>
              </w:rPr>
              <w:t>creano forti ostacoli, tra cui</w:t>
            </w:r>
            <w:r w:rsidRPr="001A4499">
              <w:t xml:space="preserve"> oneri amministrativi, incertezza giuridica e una doppia imposizione, che ostacolano la mobilità dei lavoratori </w:t>
            </w:r>
            <w:r w:rsidRPr="001A4499">
              <w:t>e l'imprenditoria transfrontaliera;</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222</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Pierre Pimpie, Enikő Győri, Jorge Martín Frías, Tomáš Kubín</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19</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19.</w:t>
            </w:r>
            <w:r w:rsidRPr="001A4499">
              <w:tab/>
            </w:r>
            <w:r w:rsidRPr="001A4499">
              <w:t>invita la Commissione a presentare uno studio sulle modalità per semplificare le norme fiscali e far fronte alla frammentazione fiscale a beneficio dei lavoratori transfrontalieri e dei lavoratori autonomi, al fine di stimolare la competitività; osserva ch</w:t>
            </w:r>
            <w:r w:rsidRPr="001A4499">
              <w:t>e le divergenze tra i sistemi fiscali nazionali comportano oneri amministrativi, incertezza giuridica e una doppia imposizione, che ostacolano la mobilità dei lavoratori e l'imprenditoria transfrontaliera;</w:t>
            </w:r>
          </w:p>
        </w:tc>
        <w:tc>
          <w:tcPr>
            <w:tcW w:w="4876" w:type="dxa"/>
            <w:tcBorders>
              <w:top w:val="nil"/>
              <w:left w:val="nil"/>
              <w:bottom w:val="nil"/>
              <w:right w:val="nil"/>
            </w:tcBorders>
            <w:hideMark/>
          </w:tcPr>
          <w:p w:rsidR="00D20070" w:rsidRPr="001A4499" w:rsidRDefault="00FF5B9D">
            <w:pPr>
              <w:pStyle w:val="Normal6a"/>
            </w:pPr>
            <w:r w:rsidRPr="001A4499">
              <w:t>19.</w:t>
            </w:r>
            <w:r w:rsidRPr="001A4499">
              <w:tab/>
              <w:t xml:space="preserve">invita la Commissione a presentare uno studio </w:t>
            </w:r>
            <w:r w:rsidRPr="001A4499">
              <w:t xml:space="preserve">sulle modalità per semplificare le norme fiscali e far fronte alla frammentazione fiscale a beneficio dei lavoratori transfrontalieri e dei lavoratori autonomi, al fine di stimolare la competitività; </w:t>
            </w:r>
            <w:r w:rsidRPr="001A4499">
              <w:rPr>
                <w:b/>
                <w:i/>
              </w:rPr>
              <w:t>garantendo nel contempo che gli sforzi di semplificazion</w:t>
            </w:r>
            <w:r w:rsidRPr="001A4499">
              <w:rPr>
                <w:b/>
                <w:i/>
              </w:rPr>
              <w:t>e non portino a un'armonizzazione forzata;</w:t>
            </w:r>
            <w:r w:rsidRPr="001A4499">
              <w:t xml:space="preserve"> osserva che le divergenze tra i sistemi fiscali nazionali comportano oneri amministrativi, incertezza giuridica e una doppia imposizione, che ostacolano la mobilità dei lavoratori e l'imprenditoria transfrontalier</w:t>
            </w:r>
            <w:r w:rsidRPr="001A4499">
              <w:t>a;</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lastRenderedPageBreak/>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223</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Niels Fuglsang, Matthias Ecke, Bruno Gonçalves, Aurore Lalucq, Evelyn Regner</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19</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19.</w:t>
            </w:r>
            <w:r w:rsidRPr="001A4499">
              <w:tab/>
            </w:r>
            <w:r w:rsidRPr="001A4499">
              <w:t>invita la Commissione a presentare uno studio sulle modalità per semplificare le norme fiscali e far fronte alla frammentazione fiscale a beneficio dei lavoratori transfrontalieri e dei lavoratori autonomi, al fine di stimolare la competitività; osserva ch</w:t>
            </w:r>
            <w:r w:rsidRPr="001A4499">
              <w:t>e le divergenze tra i sistemi fiscali nazionali comportano oneri amministrativi, incertezza giuridica e una doppia imposizione, che ostacolano la mobilità dei lavoratori e l'imprenditoria transfrontaliera;</w:t>
            </w:r>
          </w:p>
        </w:tc>
        <w:tc>
          <w:tcPr>
            <w:tcW w:w="4876" w:type="dxa"/>
            <w:tcBorders>
              <w:top w:val="nil"/>
              <w:left w:val="nil"/>
              <w:bottom w:val="nil"/>
              <w:right w:val="nil"/>
            </w:tcBorders>
            <w:hideMark/>
          </w:tcPr>
          <w:p w:rsidR="00D20070" w:rsidRPr="001A4499" w:rsidRDefault="00FF5B9D">
            <w:pPr>
              <w:pStyle w:val="Normal6a"/>
            </w:pPr>
            <w:r w:rsidRPr="001A4499">
              <w:t>19.</w:t>
            </w:r>
            <w:r w:rsidRPr="001A4499">
              <w:tab/>
              <w:t xml:space="preserve">invita la Commissione a presentare uno studio </w:t>
            </w:r>
            <w:r w:rsidRPr="001A4499">
              <w:t xml:space="preserve">sulle modalità per semplificare le norme fiscali e far fronte alla frammentazione fiscale a beneficio dei lavoratori transfrontalieri e dei lavoratori autonomi, al fine di stimolare la competitività </w:t>
            </w:r>
            <w:r w:rsidRPr="001A4499">
              <w:rPr>
                <w:b/>
                <w:i/>
              </w:rPr>
              <w:t>e ridurre i trasferimenti di reddito</w:t>
            </w:r>
            <w:r w:rsidRPr="001A4499">
              <w:t xml:space="preserve">; </w:t>
            </w:r>
            <w:r w:rsidRPr="001A4499">
              <w:t>osserva che le divergenze tra i sistemi fiscali nazionali comportano oneri amministrativi, incertezza giuridica e una doppia imposizione, che ostacolano la mobilità dei lavoratori e l'imprenditoria transfrontaliera;</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224</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Michalis Hadjipantela</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19 bis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19 bis.</w:t>
            </w:r>
            <w:r w:rsidRPr="001A4499">
              <w:tab/>
            </w:r>
            <w:r w:rsidRPr="001A4499">
              <w:rPr>
                <w:b/>
                <w:i/>
              </w:rPr>
              <w:t>osserva che la mobilità transfrontaliera delle persone sta aumentando a un ritmo senza precedenti e che tale elevato livello di mobilità globale ha un impatto sostanziale sui sistemi fiscali; sottolinea che detta mobilità e il suo impatto sui siste</w:t>
            </w:r>
            <w:r w:rsidRPr="001A4499">
              <w:rPr>
                <w:b/>
                <w:i/>
              </w:rPr>
              <w:t xml:space="preserve">mi fiscali devono essere attentamente considerati nell'elaborazione delle politiche, senza scoraggiare le opportunità di mobilità e di lavoro nell'UE; sottolinea, a tale riguardo, il proseguimento della </w:t>
            </w:r>
            <w:r w:rsidRPr="001A4499">
              <w:rPr>
                <w:b/>
                <w:i/>
              </w:rPr>
              <w:lastRenderedPageBreak/>
              <w:t>promozione della mobilità dei lavoratori e dell'impre</w:t>
            </w:r>
            <w:r w:rsidRPr="001A4499">
              <w:rPr>
                <w:b/>
                <w:i/>
              </w:rPr>
              <w:t>nditorialità transfrontaliera attraverso incentivi fiscali;</w:t>
            </w:r>
          </w:p>
        </w:tc>
      </w:tr>
    </w:tbl>
    <w:p w:rsidR="00D20070" w:rsidRPr="001A4499" w:rsidRDefault="00FF5B9D" w:rsidP="00D20070">
      <w:pPr>
        <w:pStyle w:val="AmOrLang"/>
        <w:rPr>
          <w:lang w:eastAsia="en-US"/>
        </w:rPr>
      </w:pPr>
      <w:r w:rsidRPr="001A4499">
        <w:lastRenderedPageBreak/>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225</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Niels Fuglsang, Matthias Ecke, Aurore Lalucq, Evelyn Regner</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19 bis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19 bis.</w:t>
            </w:r>
            <w:r w:rsidRPr="001A4499">
              <w:tab/>
            </w:r>
            <w:r w:rsidRPr="001A4499">
              <w:rPr>
                <w:b/>
                <w:i/>
              </w:rPr>
              <w:t>osserva una tendenza crescente nella mobilità dei lavoratori altamente qualificati e delle persone con disponibilità patrimoniali ampie tra gli Stati membri, in particolare per beneficiare di regimi fiscali specifici e/o di altri trattamenti preferenziali;</w:t>
            </w:r>
            <w:r w:rsidRPr="001A4499">
              <w:rPr>
                <w:b/>
                <w:i/>
              </w:rPr>
              <w:t xml:space="preserve"> prende atto che diversi Stati membri dell'UE hanno adottato quadri giuridici volti ad attrarre individui con ampie disponibilità patrimoniali, pensionati stranieri e lavoratori altamente qualificati affinché investano o vivano nel loro territorio, in part</w:t>
            </w:r>
            <w:r w:rsidRPr="001A4499">
              <w:rPr>
                <w:b/>
                <w:i/>
              </w:rPr>
              <w:t>icolare concedendo loro generose agevolazioni ed esenzioni fiscali che non si applicano ai cittadini nazionali, oltre a offrire visti d'oro e vendere regimi di cittadinanza; ribadisce il suo invito alla Commissione, fatti salvi i poteri conferitile dai tra</w:t>
            </w:r>
            <w:r w:rsidRPr="001A4499">
              <w:rPr>
                <w:b/>
                <w:i/>
              </w:rPr>
              <w:t>ttati, a valutare l'impatto di tali regimi fiscali sul mercato interno e sul gettito fiscale degli Stati membri, nonché di tutte le pratiche fiscali dannose che creano distorsioni della concorrenza al di fuori dell'ambito della tassazione delle società nel</w:t>
            </w:r>
            <w:r w:rsidRPr="001A4499">
              <w:rPr>
                <w:b/>
                <w:i/>
              </w:rPr>
              <w:t>l'UE;</w:t>
            </w:r>
            <w:r w:rsidRPr="001A4499">
              <w:rPr>
                <w:b/>
                <w:i/>
                <w:vertAlign w:val="superscript"/>
              </w:rPr>
              <w:t>1 bis</w:t>
            </w:r>
          </w:p>
        </w:tc>
      </w:tr>
      <w:tr w:rsidR="001A4499" w:rsidRPr="001A4499" w:rsidTr="00D20070">
        <w:trPr>
          <w:jc w:val="center"/>
        </w:trPr>
        <w:tc>
          <w:tcPr>
            <w:tcW w:w="4876" w:type="dxa"/>
            <w:tcBorders>
              <w:top w:val="nil"/>
              <w:left w:val="nil"/>
              <w:bottom w:val="nil"/>
              <w:right w:val="nil"/>
            </w:tcBorders>
          </w:tcPr>
          <w:p w:rsidR="00D20070" w:rsidRPr="001A4499" w:rsidRDefault="00D20070"/>
        </w:tc>
        <w:tc>
          <w:tcPr>
            <w:tcW w:w="4876" w:type="dxa"/>
            <w:tcBorders>
              <w:top w:val="nil"/>
              <w:left w:val="nil"/>
              <w:bottom w:val="nil"/>
              <w:right w:val="nil"/>
            </w:tcBorders>
            <w:hideMark/>
          </w:tcPr>
          <w:p w:rsidR="00D20070" w:rsidRPr="001A4499" w:rsidRDefault="00FF5B9D">
            <w:pPr>
              <w:pStyle w:val="Normal6a"/>
            </w:pPr>
            <w:r w:rsidRPr="001A4499">
              <w:rPr>
                <w:b/>
                <w:i/>
              </w:rPr>
              <w:t>_________________</w:t>
            </w:r>
          </w:p>
        </w:tc>
      </w:tr>
      <w:tr w:rsidR="001A4499" w:rsidRPr="001A4499" w:rsidTr="00D20070">
        <w:trPr>
          <w:jc w:val="center"/>
        </w:trPr>
        <w:tc>
          <w:tcPr>
            <w:tcW w:w="4876" w:type="dxa"/>
            <w:tcBorders>
              <w:top w:val="nil"/>
              <w:left w:val="nil"/>
              <w:bottom w:val="nil"/>
              <w:right w:val="nil"/>
            </w:tcBorders>
          </w:tcPr>
          <w:p w:rsidR="00D20070" w:rsidRPr="001A4499" w:rsidRDefault="00D20070"/>
        </w:tc>
        <w:tc>
          <w:tcPr>
            <w:tcW w:w="4876" w:type="dxa"/>
            <w:tcBorders>
              <w:top w:val="nil"/>
              <w:left w:val="nil"/>
              <w:bottom w:val="nil"/>
              <w:right w:val="nil"/>
            </w:tcBorders>
            <w:hideMark/>
          </w:tcPr>
          <w:p w:rsidR="00D20070" w:rsidRPr="001A4499" w:rsidRDefault="00FF5B9D">
            <w:pPr>
              <w:pStyle w:val="Normal6a"/>
            </w:pPr>
            <w:r w:rsidRPr="001A4499">
              <w:rPr>
                <w:b/>
                <w:i/>
                <w:vertAlign w:val="superscript"/>
              </w:rPr>
              <w:t>1 bis</w:t>
            </w:r>
            <w:r w:rsidRPr="001A4499">
              <w:t xml:space="preserve"> </w:t>
            </w:r>
            <w:r w:rsidRPr="001A4499">
              <w:rPr>
                <w:b/>
                <w:i/>
              </w:rPr>
              <w:t xml:space="preserve">Risoluzione del Parlamento europeo sugli insegnamenti tratti dai Pandora Papers e da altre rivelazioni, adottata il 5 </w:t>
            </w:r>
            <w:r w:rsidRPr="001A4499">
              <w:rPr>
                <w:b/>
                <w:i/>
              </w:rPr>
              <w:lastRenderedPageBreak/>
              <w:t xml:space="preserve">giugno 2023, paragrafo 50. </w:t>
            </w:r>
          </w:p>
        </w:tc>
      </w:tr>
    </w:tbl>
    <w:p w:rsidR="00D20070" w:rsidRPr="001A4499" w:rsidRDefault="00FF5B9D" w:rsidP="00D20070">
      <w:pPr>
        <w:pStyle w:val="AmOrLang"/>
        <w:rPr>
          <w:lang w:eastAsia="en-US"/>
        </w:rPr>
      </w:pPr>
      <w:r w:rsidRPr="001A4499">
        <w:lastRenderedPageBreak/>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226</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Kira Marie Peter-Hansen</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19 bis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19 bis.</w:t>
            </w:r>
            <w:r w:rsidRPr="001A4499">
              <w:tab/>
            </w:r>
            <w:r w:rsidRPr="001A4499">
              <w:rPr>
                <w:b/>
                <w:i/>
              </w:rPr>
              <w:t>invita il Consiglio e la Commissione ad affrontare l'attuale corsa al ribasso per attrarre nomadi digitali, persone ad alto reddito o persone facoltose attraverso incentivi mirati; sottolinea la necessità, come primo passo, di ampliare l'ambito di applicaz</w:t>
            </w:r>
            <w:r w:rsidRPr="001A4499">
              <w:rPr>
                <w:b/>
                <w:i/>
              </w:rPr>
              <w:t>ione del mandato del gruppo "Codice di condotta" alle pratiche fiscali dannose che attraggono i singoli contribuenti;</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227</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Pasquale Tridico, Jussi Saramo, Manon Aubry</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19 bis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19 bis.</w:t>
            </w:r>
            <w:r w:rsidRPr="001A4499">
              <w:tab/>
            </w:r>
            <w:r w:rsidRPr="001A4499">
              <w:rPr>
                <w:b/>
                <w:i/>
              </w:rPr>
              <w:t>accoglie con favore i lavori in corso del quadro per l'imposizione dei redditi delle imprese in Europa (BEFIT), alla base del suo potenziale di riduzione della frammentazione delle norme di bilancio nell'Unione e di miglioramento della prevedibilità fiscal</w:t>
            </w:r>
            <w:r w:rsidRPr="001A4499">
              <w:rPr>
                <w:b/>
                <w:i/>
              </w:rPr>
              <w:t>e; ricorda che sarebbe necessaria una formula di ripartizione per rendere il BEFIT uno strumento per combattere l'elusione fiscale;</w:t>
            </w:r>
          </w:p>
        </w:tc>
      </w:tr>
    </w:tbl>
    <w:p w:rsidR="00D20070" w:rsidRPr="001A4499" w:rsidRDefault="00FF5B9D" w:rsidP="00D20070">
      <w:pPr>
        <w:pStyle w:val="AmOrLang"/>
        <w:rPr>
          <w:lang w:eastAsia="en-US"/>
        </w:rPr>
      </w:pPr>
      <w:r w:rsidRPr="001A4499">
        <w:lastRenderedPageBreak/>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F759E2" w:rsidRPr="001A4499" w:rsidRDefault="00FF5B9D" w:rsidP="00F759E2">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228</w:t>
      </w:r>
      <w:r w:rsidRPr="001A4499">
        <w:rPr>
          <w:rStyle w:val="HideTWBExt"/>
          <w:color w:val="auto"/>
        </w:rPr>
        <w:t>&lt;/NumAm&gt;</w:t>
      </w:r>
    </w:p>
    <w:p w:rsidR="00F759E2" w:rsidRPr="001A4499" w:rsidRDefault="00FF5B9D" w:rsidP="00F759E2">
      <w:pPr>
        <w:pStyle w:val="NormalBold"/>
      </w:pPr>
      <w:r w:rsidRPr="001A4499">
        <w:rPr>
          <w:rStyle w:val="HideTWBExt"/>
          <w:b w:val="0"/>
          <w:color w:val="auto"/>
        </w:rPr>
        <w:t>&lt;RepeatBlock-By&gt;&lt;Members&gt;</w:t>
      </w:r>
      <w:r w:rsidRPr="001A4499">
        <w:t>Fernando Navarrete Rojas</w:t>
      </w:r>
      <w:r w:rsidRPr="001A4499">
        <w:rPr>
          <w:rStyle w:val="HideTWBExt"/>
          <w:b w:val="0"/>
          <w:color w:val="auto"/>
        </w:rPr>
        <w:t>&lt;/Members&gt;</w:t>
      </w:r>
    </w:p>
    <w:p w:rsidR="00F759E2" w:rsidRPr="001A4499" w:rsidRDefault="00FF5B9D" w:rsidP="00F759E2">
      <w:pPr>
        <w:pStyle w:val="NormalBold"/>
      </w:pPr>
      <w:r w:rsidRPr="001A4499">
        <w:rPr>
          <w:rStyle w:val="HideTWBExt"/>
          <w:b w:val="0"/>
          <w:color w:val="auto"/>
        </w:rPr>
        <w:t>&lt;/RepeatBlock-By&gt;</w:t>
      </w:r>
    </w:p>
    <w:p w:rsidR="00F759E2" w:rsidRPr="001A4499" w:rsidRDefault="00FF5B9D" w:rsidP="00F759E2">
      <w:pPr>
        <w:pStyle w:val="NormalBold"/>
      </w:pPr>
      <w:r w:rsidRPr="001A4499">
        <w:rPr>
          <w:rStyle w:val="HideTWBExt"/>
          <w:color w:val="auto"/>
        </w:rPr>
        <w:t>&lt;DocAmend&gt;</w:t>
      </w:r>
      <w:r w:rsidRPr="001A4499">
        <w:t>Proposta di risoluzione</w:t>
      </w:r>
      <w:r w:rsidRPr="001A4499">
        <w:rPr>
          <w:rStyle w:val="HideTWBExt"/>
          <w:color w:val="auto"/>
        </w:rPr>
        <w:t>&lt;/DocAmend&gt;</w:t>
      </w:r>
    </w:p>
    <w:p w:rsidR="00F759E2" w:rsidRPr="001A4499" w:rsidRDefault="00FF5B9D" w:rsidP="00F759E2">
      <w:pPr>
        <w:pStyle w:val="NormalBold"/>
      </w:pPr>
      <w:r w:rsidRPr="001A4499">
        <w:rPr>
          <w:rStyle w:val="HideTWBExt"/>
          <w:color w:val="auto"/>
        </w:rPr>
        <w:t>&lt;Article&gt;</w:t>
      </w:r>
      <w:r w:rsidRPr="001A4499">
        <w:t>Paragrafo 19 bis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C4069E">
        <w:trPr>
          <w:trHeight w:val="240"/>
          <w:jc w:val="center"/>
        </w:trPr>
        <w:tc>
          <w:tcPr>
            <w:tcW w:w="9752" w:type="dxa"/>
            <w:gridSpan w:val="2"/>
            <w:tcBorders>
              <w:top w:val="nil"/>
              <w:left w:val="nil"/>
              <w:bottom w:val="nil"/>
              <w:right w:val="nil"/>
            </w:tcBorders>
          </w:tcPr>
          <w:p w:rsidR="00F759E2" w:rsidRPr="001A4499" w:rsidRDefault="00F759E2" w:rsidP="00C4069E"/>
        </w:tc>
      </w:tr>
      <w:tr w:rsidR="001A4499" w:rsidRPr="001A4499" w:rsidTr="00C4069E">
        <w:trPr>
          <w:trHeight w:val="240"/>
          <w:jc w:val="center"/>
        </w:trPr>
        <w:tc>
          <w:tcPr>
            <w:tcW w:w="4876" w:type="dxa"/>
            <w:tcBorders>
              <w:top w:val="nil"/>
              <w:left w:val="nil"/>
              <w:bottom w:val="nil"/>
              <w:right w:val="nil"/>
            </w:tcBorders>
            <w:hideMark/>
          </w:tcPr>
          <w:p w:rsidR="00F759E2" w:rsidRPr="001A4499" w:rsidRDefault="00FF5B9D" w:rsidP="00C4069E">
            <w:pPr>
              <w:pStyle w:val="AmColumnHeading"/>
            </w:pPr>
            <w:r w:rsidRPr="001A4499">
              <w:t>Proposta di risoluzione</w:t>
            </w:r>
          </w:p>
        </w:tc>
        <w:tc>
          <w:tcPr>
            <w:tcW w:w="4876" w:type="dxa"/>
            <w:tcBorders>
              <w:top w:val="nil"/>
              <w:left w:val="nil"/>
              <w:bottom w:val="nil"/>
              <w:right w:val="nil"/>
            </w:tcBorders>
            <w:hideMark/>
          </w:tcPr>
          <w:p w:rsidR="00F759E2" w:rsidRPr="001A4499" w:rsidRDefault="00FF5B9D" w:rsidP="00C4069E">
            <w:pPr>
              <w:pStyle w:val="AmColumnHeading"/>
            </w:pPr>
            <w:r w:rsidRPr="001A4499">
              <w:t>Emendamento</w:t>
            </w:r>
          </w:p>
        </w:tc>
      </w:tr>
      <w:tr w:rsidR="001A4499" w:rsidRPr="001A4499" w:rsidTr="00C4069E">
        <w:trPr>
          <w:jc w:val="center"/>
        </w:trPr>
        <w:tc>
          <w:tcPr>
            <w:tcW w:w="4876" w:type="dxa"/>
            <w:tcBorders>
              <w:top w:val="nil"/>
              <w:left w:val="nil"/>
              <w:bottom w:val="nil"/>
              <w:right w:val="nil"/>
            </w:tcBorders>
          </w:tcPr>
          <w:p w:rsidR="00F759E2" w:rsidRPr="001A4499" w:rsidRDefault="00F759E2" w:rsidP="00C4069E">
            <w:pPr>
              <w:pStyle w:val="Normal6a"/>
            </w:pPr>
          </w:p>
        </w:tc>
        <w:tc>
          <w:tcPr>
            <w:tcW w:w="4876" w:type="dxa"/>
            <w:tcBorders>
              <w:top w:val="nil"/>
              <w:left w:val="nil"/>
              <w:bottom w:val="nil"/>
              <w:right w:val="nil"/>
            </w:tcBorders>
            <w:hideMark/>
          </w:tcPr>
          <w:p w:rsidR="00F759E2" w:rsidRPr="001A4499" w:rsidRDefault="00FF5B9D" w:rsidP="00F759E2">
            <w:pPr>
              <w:pStyle w:val="Normal6a"/>
            </w:pPr>
            <w:r w:rsidRPr="001A4499">
              <w:rPr>
                <w:b/>
                <w:i/>
              </w:rPr>
              <w:t>19 bis.</w:t>
            </w:r>
            <w:r w:rsidRPr="001A4499">
              <w:tab/>
            </w:r>
            <w:r w:rsidRPr="001A4499">
              <w:rPr>
                <w:b/>
                <w:i/>
              </w:rPr>
              <w:t>invita gli Stati membri a istituire un quadro giuridico che consenta alle famiglie di detrarre l'imposta sul valore aggiunto (IVA) o altre imposte sulle transazioni pagate per l'acquisto della loro prima residenza primaria dalle imposte dovute per l'acquis</w:t>
            </w:r>
            <w:r w:rsidRPr="001A4499">
              <w:rPr>
                <w:b/>
                <w:i/>
              </w:rPr>
              <w:t>to di immobili residenziali successivi durante tutto il loro ciclo di vita; ritiene che tale quadro promuoverebbe la mobilità residenziale e sosterrebbe una maggiore mobilità del lavoro riducendo gli ostacoli fiscali alla ricollocazione;</w:t>
            </w:r>
          </w:p>
        </w:tc>
      </w:tr>
    </w:tbl>
    <w:p w:rsidR="00F759E2" w:rsidRPr="001A4499" w:rsidRDefault="00FF5B9D" w:rsidP="00F759E2">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F759E2" w:rsidRPr="001A4499" w:rsidRDefault="00FF5B9D" w:rsidP="00F759E2">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229</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Michalis Hadjipantela</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19 ter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19 ter.</w:t>
            </w:r>
            <w:r w:rsidRPr="001A4499">
              <w:tab/>
            </w:r>
            <w:r w:rsidRPr="001A4499">
              <w:rPr>
                <w:b/>
                <w:i/>
              </w:rPr>
              <w:t>ricorda che le implicazioni della tassazione delle imprese derivano dal rischio di una presenza imponibile o di una stabile organizzazione quando i lavoratori transfrontalieri svolgono attività quali viaggi di lavoro o telelavoro; oss</w:t>
            </w:r>
            <w:r w:rsidRPr="001A4499">
              <w:rPr>
                <w:b/>
                <w:i/>
              </w:rPr>
              <w:t xml:space="preserve">erva che una norma di porto sicuro per il telelavoro potrebbe fornire certezza fiscale ai datori di lavoro e ridurre gli oneri amministrativi, semplificando la </w:t>
            </w:r>
            <w:r w:rsidRPr="001A4499">
              <w:rPr>
                <w:b/>
                <w:i/>
              </w:rPr>
              <w:lastRenderedPageBreak/>
              <w:t>tassazione individuale e societaria;</w:t>
            </w:r>
          </w:p>
        </w:tc>
      </w:tr>
    </w:tbl>
    <w:p w:rsidR="00D20070" w:rsidRPr="001A4499" w:rsidRDefault="00FF5B9D" w:rsidP="00D20070">
      <w:pPr>
        <w:pStyle w:val="AmOrLang"/>
        <w:rPr>
          <w:lang w:eastAsia="en-US"/>
        </w:rPr>
      </w:pPr>
      <w:r w:rsidRPr="001A4499">
        <w:lastRenderedPageBreak/>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230</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Kira Marie Peter-Hansen</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19 ter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19 ter.</w:t>
            </w:r>
            <w:r w:rsidRPr="001A4499">
              <w:tab/>
            </w:r>
            <w:r w:rsidRPr="001A4499">
              <w:rPr>
                <w:b/>
                <w:i/>
              </w:rPr>
              <w:t>invita la Commissione a presentare una direttiva per armonizzare le norme in materia di imposizione in uscita per le persone fisiche, in particolare le persone fisiche con disponibilità patrimoniali molto ampie nell'Unione, seguendo l'esempio della diretti</w:t>
            </w:r>
            <w:r w:rsidRPr="001A4499">
              <w:rPr>
                <w:b/>
                <w:i/>
              </w:rPr>
              <w:t>va antielusione del 2016 applicabile alle società; osserva che gli Stati membri dispongono di diversi regimi di tassazione in uscita per le persone fisiche che creano distorsioni</w:t>
            </w:r>
            <w:r w:rsidRPr="001A4499">
              <w:rPr>
                <w:b/>
                <w:i/>
                <w:vertAlign w:val="superscript"/>
              </w:rPr>
              <w:t>23 bis</w:t>
            </w:r>
            <w:r w:rsidRPr="001A4499">
              <w:rPr>
                <w:b/>
                <w:i/>
              </w:rPr>
              <w:t>;</w:t>
            </w:r>
          </w:p>
        </w:tc>
      </w:tr>
      <w:tr w:rsidR="001A4499" w:rsidRPr="001A4499" w:rsidTr="00D20070">
        <w:trPr>
          <w:jc w:val="center"/>
        </w:trPr>
        <w:tc>
          <w:tcPr>
            <w:tcW w:w="4876" w:type="dxa"/>
            <w:tcBorders>
              <w:top w:val="nil"/>
              <w:left w:val="nil"/>
              <w:bottom w:val="nil"/>
              <w:right w:val="nil"/>
            </w:tcBorders>
          </w:tcPr>
          <w:p w:rsidR="00D20070" w:rsidRPr="001A4499" w:rsidRDefault="00D20070"/>
        </w:tc>
        <w:tc>
          <w:tcPr>
            <w:tcW w:w="4876" w:type="dxa"/>
            <w:tcBorders>
              <w:top w:val="nil"/>
              <w:left w:val="nil"/>
              <w:bottom w:val="nil"/>
              <w:right w:val="nil"/>
            </w:tcBorders>
            <w:hideMark/>
          </w:tcPr>
          <w:p w:rsidR="00D20070" w:rsidRPr="001A4499" w:rsidRDefault="00FF5B9D">
            <w:pPr>
              <w:pStyle w:val="Normal6a"/>
            </w:pPr>
            <w:r w:rsidRPr="001A4499">
              <w:rPr>
                <w:b/>
                <w:i/>
              </w:rPr>
              <w:t>_________________</w:t>
            </w:r>
          </w:p>
        </w:tc>
      </w:tr>
      <w:tr w:rsidR="001A4499" w:rsidRPr="001A4499" w:rsidTr="00D20070">
        <w:trPr>
          <w:jc w:val="center"/>
        </w:trPr>
        <w:tc>
          <w:tcPr>
            <w:tcW w:w="4876" w:type="dxa"/>
            <w:tcBorders>
              <w:top w:val="nil"/>
              <w:left w:val="nil"/>
              <w:bottom w:val="nil"/>
              <w:right w:val="nil"/>
            </w:tcBorders>
          </w:tcPr>
          <w:p w:rsidR="00D20070" w:rsidRPr="001A4499" w:rsidRDefault="00D20070"/>
        </w:tc>
        <w:tc>
          <w:tcPr>
            <w:tcW w:w="4876" w:type="dxa"/>
            <w:tcBorders>
              <w:top w:val="nil"/>
              <w:left w:val="nil"/>
              <w:bottom w:val="nil"/>
              <w:right w:val="nil"/>
            </w:tcBorders>
            <w:hideMark/>
          </w:tcPr>
          <w:p w:rsidR="00D20070" w:rsidRPr="001A4499" w:rsidRDefault="00FF5B9D">
            <w:pPr>
              <w:pStyle w:val="Normal6a"/>
            </w:pPr>
            <w:r w:rsidRPr="001A4499">
              <w:rPr>
                <w:b/>
                <w:i/>
                <w:vertAlign w:val="superscript"/>
              </w:rPr>
              <w:t>23 bis</w:t>
            </w:r>
            <w:r w:rsidRPr="001A4499">
              <w:t xml:space="preserve"> </w:t>
            </w:r>
            <w:r w:rsidRPr="001A4499">
              <w:rPr>
                <w:b/>
                <w:i/>
              </w:rPr>
              <w:t xml:space="preserve">https://zoek.officielebekendmakingen.nl/kst-25087-323.html </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231</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Niels Fuglsang, Matthias Ecke, Bruno Gonçalves, Aurore Lalucq, Evelyn Regner</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w:t>
      </w:r>
      <w:r w:rsidRPr="001A4499">
        <w:rPr>
          <w:rStyle w:val="HideTWBExt"/>
          <w:b w:val="0"/>
          <w:color w:val="auto"/>
        </w:rPr>
        <w:t>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19 ter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19 ter.</w:t>
            </w:r>
            <w:r w:rsidRPr="001A4499">
              <w:tab/>
            </w:r>
            <w:r w:rsidRPr="001A4499">
              <w:rPr>
                <w:b/>
                <w:i/>
              </w:rPr>
              <w:t xml:space="preserve">ribadisce il suo invito al Consiglio ad ampliare il mandato del gruppo "Codice di condotta (Tassazione delle imprese)" affinché vi rientrino i regimi </w:t>
            </w:r>
            <w:r w:rsidRPr="001A4499">
              <w:rPr>
                <w:b/>
                <w:i/>
              </w:rPr>
              <w:lastRenderedPageBreak/>
              <w:t xml:space="preserve">preferenziali di imposte sul reddito e sul capitale delle persone fisiche e regimi di imposta sul reddito </w:t>
            </w:r>
            <w:r w:rsidRPr="001A4499">
              <w:rPr>
                <w:b/>
                <w:i/>
              </w:rPr>
              <w:t>e sul patrimonio delle persone fisiche che sono considerati dannosi</w:t>
            </w:r>
            <w:r w:rsidRPr="001A4499">
              <w:rPr>
                <w:b/>
                <w:i/>
                <w:vertAlign w:val="superscript"/>
              </w:rPr>
              <w:t>1 ter</w:t>
            </w:r>
            <w:r w:rsidRPr="001A4499">
              <w:rPr>
                <w:b/>
                <w:i/>
              </w:rPr>
              <w:t>;</w:t>
            </w:r>
          </w:p>
        </w:tc>
      </w:tr>
      <w:tr w:rsidR="001A4499" w:rsidRPr="001A4499" w:rsidTr="00D20070">
        <w:trPr>
          <w:jc w:val="center"/>
        </w:trPr>
        <w:tc>
          <w:tcPr>
            <w:tcW w:w="4876" w:type="dxa"/>
            <w:tcBorders>
              <w:top w:val="nil"/>
              <w:left w:val="nil"/>
              <w:bottom w:val="nil"/>
              <w:right w:val="nil"/>
            </w:tcBorders>
          </w:tcPr>
          <w:p w:rsidR="00D20070" w:rsidRPr="001A4499" w:rsidRDefault="00D20070"/>
        </w:tc>
        <w:tc>
          <w:tcPr>
            <w:tcW w:w="4876" w:type="dxa"/>
            <w:tcBorders>
              <w:top w:val="nil"/>
              <w:left w:val="nil"/>
              <w:bottom w:val="nil"/>
              <w:right w:val="nil"/>
            </w:tcBorders>
            <w:hideMark/>
          </w:tcPr>
          <w:p w:rsidR="00D20070" w:rsidRPr="001A4499" w:rsidRDefault="00FF5B9D">
            <w:pPr>
              <w:pStyle w:val="Normal6a"/>
            </w:pPr>
            <w:r w:rsidRPr="001A4499">
              <w:rPr>
                <w:b/>
                <w:i/>
              </w:rPr>
              <w:t>_________________</w:t>
            </w:r>
          </w:p>
        </w:tc>
      </w:tr>
      <w:tr w:rsidR="001A4499" w:rsidRPr="001A4499" w:rsidTr="00D20070">
        <w:trPr>
          <w:jc w:val="center"/>
        </w:trPr>
        <w:tc>
          <w:tcPr>
            <w:tcW w:w="4876" w:type="dxa"/>
            <w:tcBorders>
              <w:top w:val="nil"/>
              <w:left w:val="nil"/>
              <w:bottom w:val="nil"/>
              <w:right w:val="nil"/>
            </w:tcBorders>
          </w:tcPr>
          <w:p w:rsidR="00D20070" w:rsidRPr="001A4499" w:rsidRDefault="00D20070"/>
        </w:tc>
        <w:tc>
          <w:tcPr>
            <w:tcW w:w="4876" w:type="dxa"/>
            <w:tcBorders>
              <w:top w:val="nil"/>
              <w:left w:val="nil"/>
              <w:bottom w:val="nil"/>
              <w:right w:val="nil"/>
            </w:tcBorders>
            <w:hideMark/>
          </w:tcPr>
          <w:p w:rsidR="00D20070" w:rsidRPr="001A4499" w:rsidRDefault="00FF5B9D">
            <w:pPr>
              <w:pStyle w:val="Normal6a"/>
            </w:pPr>
            <w:r w:rsidRPr="001A4499">
              <w:rPr>
                <w:b/>
                <w:i/>
                <w:vertAlign w:val="superscript"/>
              </w:rPr>
              <w:t>1 ter</w:t>
            </w:r>
            <w:r w:rsidRPr="001A4499">
              <w:t xml:space="preserve"> </w:t>
            </w:r>
            <w:r w:rsidRPr="001A4499">
              <w:rPr>
                <w:b/>
                <w:i/>
              </w:rPr>
              <w:t>Risoluzione del Parlamento europeo del 5 giugno 2023 sugli insegnamenti tratti dai Pandora Papers e da altre rivelazioni, paragrafo 75.</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232</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Niels Fuglsang, Matthias Ecke, Bruno Gonçalves, Evelyn Regner</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19 quater (</w:t>
      </w:r>
      <w:r w:rsidRPr="001A4499">
        <w:t>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19 quater.</w:t>
            </w:r>
            <w:r w:rsidRPr="001A4499">
              <w:tab/>
            </w:r>
            <w:r w:rsidRPr="001A4499">
              <w:rPr>
                <w:b/>
                <w:i/>
              </w:rPr>
              <w:t>ricorda, inoltre, le risoluzioni del Parlamento sulla riforma della lista dell'UE di paradisi fiscali e sulla riforma della strategia dell'UE sulle pratiche fiscali dannose (compresa la riforma del gruppo "Codice di condotta")</w:t>
            </w:r>
            <w:r w:rsidRPr="001A4499">
              <w:rPr>
                <w:b/>
                <w:i/>
                <w:vertAlign w:val="superscript"/>
              </w:rPr>
              <w:t>1 quater</w:t>
            </w:r>
            <w:r w:rsidRPr="001A4499">
              <w:rPr>
                <w:b/>
                <w:i/>
              </w:rPr>
              <w:t xml:space="preserve">; invita il Consiglio </w:t>
            </w:r>
            <w:r w:rsidRPr="001A4499">
              <w:rPr>
                <w:b/>
                <w:i/>
              </w:rPr>
              <w:t>a rilanciare le discussioni su una riforma globale del codice e ad attuare le raccomandazioni del Parlamento, in particolare per affrontare il fatto che diversi Stati membri dispongono di liste nere più complete rispetto all'UE nel suo complesso, il che ag</w:t>
            </w:r>
            <w:r w:rsidRPr="001A4499">
              <w:rPr>
                <w:b/>
                <w:i/>
              </w:rPr>
              <w:t>giunge complessità e frammentazione nel sistema;</w:t>
            </w:r>
          </w:p>
        </w:tc>
      </w:tr>
      <w:tr w:rsidR="001A4499" w:rsidRPr="001A4499" w:rsidTr="00D20070">
        <w:trPr>
          <w:jc w:val="center"/>
        </w:trPr>
        <w:tc>
          <w:tcPr>
            <w:tcW w:w="4876" w:type="dxa"/>
            <w:tcBorders>
              <w:top w:val="nil"/>
              <w:left w:val="nil"/>
              <w:bottom w:val="nil"/>
              <w:right w:val="nil"/>
            </w:tcBorders>
          </w:tcPr>
          <w:p w:rsidR="00D20070" w:rsidRPr="001A4499" w:rsidRDefault="00D20070"/>
        </w:tc>
        <w:tc>
          <w:tcPr>
            <w:tcW w:w="4876" w:type="dxa"/>
            <w:tcBorders>
              <w:top w:val="nil"/>
              <w:left w:val="nil"/>
              <w:bottom w:val="nil"/>
              <w:right w:val="nil"/>
            </w:tcBorders>
            <w:hideMark/>
          </w:tcPr>
          <w:p w:rsidR="00D20070" w:rsidRPr="001A4499" w:rsidRDefault="00FF5B9D">
            <w:pPr>
              <w:pStyle w:val="Normal6a"/>
            </w:pPr>
            <w:r w:rsidRPr="001A4499">
              <w:rPr>
                <w:b/>
                <w:i/>
              </w:rPr>
              <w:t>_________________</w:t>
            </w:r>
          </w:p>
        </w:tc>
      </w:tr>
      <w:tr w:rsidR="001A4499" w:rsidRPr="001A4499" w:rsidTr="00D20070">
        <w:trPr>
          <w:jc w:val="center"/>
        </w:trPr>
        <w:tc>
          <w:tcPr>
            <w:tcW w:w="4876" w:type="dxa"/>
            <w:tcBorders>
              <w:top w:val="nil"/>
              <w:left w:val="nil"/>
              <w:bottom w:val="nil"/>
              <w:right w:val="nil"/>
            </w:tcBorders>
          </w:tcPr>
          <w:p w:rsidR="00D20070" w:rsidRPr="001A4499" w:rsidRDefault="00D20070"/>
        </w:tc>
        <w:tc>
          <w:tcPr>
            <w:tcW w:w="4876" w:type="dxa"/>
            <w:tcBorders>
              <w:top w:val="nil"/>
              <w:left w:val="nil"/>
              <w:bottom w:val="nil"/>
              <w:right w:val="nil"/>
            </w:tcBorders>
            <w:hideMark/>
          </w:tcPr>
          <w:p w:rsidR="00D20070" w:rsidRPr="001A4499" w:rsidRDefault="00FF5B9D">
            <w:pPr>
              <w:pStyle w:val="Normal6a"/>
            </w:pPr>
            <w:r w:rsidRPr="001A4499">
              <w:rPr>
                <w:b/>
                <w:i/>
                <w:vertAlign w:val="superscript"/>
              </w:rPr>
              <w:t>1 quater</w:t>
            </w:r>
            <w:r w:rsidRPr="001A4499">
              <w:t xml:space="preserve"> </w:t>
            </w:r>
            <w:r w:rsidRPr="001A4499">
              <w:rPr>
                <w:b/>
                <w:i/>
              </w:rPr>
              <w:t xml:space="preserve"> Risoluzione del Parlamento europeo del 21 gennaio 2021 sulla riforma dell'elenco dei paradisi fiscali; </w:t>
            </w:r>
            <w:r w:rsidRPr="001A4499">
              <w:rPr>
                <w:b/>
                <w:i/>
              </w:rPr>
              <w:t xml:space="preserve">Risoluzione del Parlamento europeo del 7 ottobre 2021 sulla riforma della strategia dell'UE sulle pratiche fiscali dannose </w:t>
            </w:r>
            <w:r w:rsidRPr="001A4499">
              <w:rPr>
                <w:b/>
                <w:i/>
              </w:rPr>
              <w:lastRenderedPageBreak/>
              <w:t xml:space="preserve">(compresa la riforma del gruppo "Codice di condotta"). </w:t>
            </w:r>
          </w:p>
        </w:tc>
      </w:tr>
    </w:tbl>
    <w:p w:rsidR="00D20070" w:rsidRPr="001A4499" w:rsidRDefault="00FF5B9D" w:rsidP="00D20070">
      <w:pPr>
        <w:pStyle w:val="AmOrLang"/>
        <w:rPr>
          <w:lang w:eastAsia="en-US"/>
        </w:rPr>
      </w:pPr>
      <w:r w:rsidRPr="001A4499">
        <w:lastRenderedPageBreak/>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8809B7" w:rsidRPr="001A4499" w:rsidRDefault="00FF5B9D" w:rsidP="008809B7">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233</w:t>
      </w:r>
      <w:r w:rsidRPr="001A4499">
        <w:rPr>
          <w:rStyle w:val="HideTWBExt"/>
          <w:color w:val="auto"/>
        </w:rPr>
        <w:t>&lt;/Num</w:t>
      </w:r>
      <w:r w:rsidRPr="001A4499">
        <w:rPr>
          <w:rStyle w:val="HideTWBExt"/>
          <w:color w:val="auto"/>
        </w:rPr>
        <w:t>Am&gt;</w:t>
      </w:r>
    </w:p>
    <w:p w:rsidR="008809B7" w:rsidRPr="001A4499" w:rsidRDefault="00FF5B9D" w:rsidP="008809B7">
      <w:pPr>
        <w:pStyle w:val="NormalBold"/>
      </w:pPr>
      <w:r w:rsidRPr="001A4499">
        <w:rPr>
          <w:rStyle w:val="HideTWBExt"/>
          <w:b w:val="0"/>
          <w:color w:val="auto"/>
        </w:rPr>
        <w:t>&lt;RepeatBlock-By&gt;&lt;Members&gt;</w:t>
      </w:r>
      <w:r w:rsidRPr="001A4499">
        <w:t>Niels Fuglsang, Matthias Ecke, Bruno Gonçalves, Evelyn Regner</w:t>
      </w:r>
      <w:r w:rsidRPr="001A4499">
        <w:rPr>
          <w:rStyle w:val="HideTWBExt"/>
          <w:b w:val="0"/>
          <w:color w:val="auto"/>
        </w:rPr>
        <w:t>&lt;/Members&gt;</w:t>
      </w:r>
    </w:p>
    <w:p w:rsidR="008809B7" w:rsidRPr="001A4499" w:rsidRDefault="00FF5B9D" w:rsidP="008809B7">
      <w:pPr>
        <w:pStyle w:val="NormalBold"/>
      </w:pPr>
      <w:r w:rsidRPr="001A4499">
        <w:rPr>
          <w:rStyle w:val="HideTWBExt"/>
          <w:b w:val="0"/>
          <w:color w:val="auto"/>
        </w:rPr>
        <w:t>&lt;/RepeatBlock-By&gt;</w:t>
      </w:r>
    </w:p>
    <w:p w:rsidR="008809B7" w:rsidRPr="001A4499" w:rsidRDefault="00FF5B9D" w:rsidP="008809B7">
      <w:pPr>
        <w:pStyle w:val="NormalBold"/>
      </w:pPr>
      <w:r w:rsidRPr="001A4499">
        <w:rPr>
          <w:rStyle w:val="HideTWBExt"/>
          <w:color w:val="auto"/>
        </w:rPr>
        <w:t>&lt;DocAmend&gt;</w:t>
      </w:r>
      <w:r w:rsidRPr="001A4499">
        <w:t>Proposta di risoluzione</w:t>
      </w:r>
      <w:r w:rsidRPr="001A4499">
        <w:rPr>
          <w:rStyle w:val="HideTWBExt"/>
          <w:color w:val="auto"/>
        </w:rPr>
        <w:t>&lt;/DocAmend&gt;</w:t>
      </w:r>
    </w:p>
    <w:p w:rsidR="008809B7" w:rsidRPr="001A4499" w:rsidRDefault="00FF5B9D" w:rsidP="008809B7">
      <w:pPr>
        <w:pStyle w:val="NormalBold"/>
      </w:pPr>
      <w:r w:rsidRPr="001A4499">
        <w:rPr>
          <w:rStyle w:val="HideTWBExt"/>
          <w:color w:val="auto"/>
        </w:rPr>
        <w:t>&lt;Article&gt;</w:t>
      </w:r>
      <w:r w:rsidRPr="001A4499">
        <w:t>Paragrafo -20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C4069E">
        <w:trPr>
          <w:trHeight w:val="240"/>
          <w:jc w:val="center"/>
        </w:trPr>
        <w:tc>
          <w:tcPr>
            <w:tcW w:w="9752" w:type="dxa"/>
            <w:gridSpan w:val="2"/>
            <w:tcBorders>
              <w:top w:val="nil"/>
              <w:left w:val="nil"/>
              <w:bottom w:val="nil"/>
              <w:right w:val="nil"/>
            </w:tcBorders>
          </w:tcPr>
          <w:p w:rsidR="008809B7" w:rsidRPr="001A4499" w:rsidRDefault="008809B7" w:rsidP="00C4069E"/>
        </w:tc>
      </w:tr>
      <w:tr w:rsidR="001A4499" w:rsidRPr="001A4499" w:rsidTr="00C4069E">
        <w:trPr>
          <w:trHeight w:val="240"/>
          <w:jc w:val="center"/>
        </w:trPr>
        <w:tc>
          <w:tcPr>
            <w:tcW w:w="4876" w:type="dxa"/>
            <w:tcBorders>
              <w:top w:val="nil"/>
              <w:left w:val="nil"/>
              <w:bottom w:val="nil"/>
              <w:right w:val="nil"/>
            </w:tcBorders>
            <w:hideMark/>
          </w:tcPr>
          <w:p w:rsidR="008809B7" w:rsidRPr="001A4499" w:rsidRDefault="00FF5B9D" w:rsidP="00C4069E">
            <w:pPr>
              <w:pStyle w:val="AmColumnHeading"/>
            </w:pPr>
            <w:r w:rsidRPr="001A4499">
              <w:t>Proposta di risoluzione</w:t>
            </w:r>
          </w:p>
        </w:tc>
        <w:tc>
          <w:tcPr>
            <w:tcW w:w="4876" w:type="dxa"/>
            <w:tcBorders>
              <w:top w:val="nil"/>
              <w:left w:val="nil"/>
              <w:bottom w:val="nil"/>
              <w:right w:val="nil"/>
            </w:tcBorders>
            <w:hideMark/>
          </w:tcPr>
          <w:p w:rsidR="008809B7" w:rsidRPr="001A4499" w:rsidRDefault="00FF5B9D" w:rsidP="00C4069E">
            <w:pPr>
              <w:pStyle w:val="AmColumnHeading"/>
            </w:pPr>
            <w:r w:rsidRPr="001A4499">
              <w:t>Emendamento</w:t>
            </w:r>
          </w:p>
        </w:tc>
      </w:tr>
      <w:tr w:rsidR="001A4499" w:rsidRPr="001A4499" w:rsidTr="00C4069E">
        <w:trPr>
          <w:jc w:val="center"/>
        </w:trPr>
        <w:tc>
          <w:tcPr>
            <w:tcW w:w="4876" w:type="dxa"/>
            <w:tcBorders>
              <w:top w:val="nil"/>
              <w:left w:val="nil"/>
              <w:bottom w:val="nil"/>
              <w:right w:val="nil"/>
            </w:tcBorders>
          </w:tcPr>
          <w:p w:rsidR="008809B7" w:rsidRPr="001A4499" w:rsidRDefault="008809B7" w:rsidP="00C4069E">
            <w:pPr>
              <w:pStyle w:val="Normal6a"/>
            </w:pPr>
          </w:p>
        </w:tc>
        <w:tc>
          <w:tcPr>
            <w:tcW w:w="4876" w:type="dxa"/>
            <w:tcBorders>
              <w:top w:val="nil"/>
              <w:left w:val="nil"/>
              <w:bottom w:val="nil"/>
              <w:right w:val="nil"/>
            </w:tcBorders>
            <w:hideMark/>
          </w:tcPr>
          <w:p w:rsidR="008809B7" w:rsidRPr="001A4499" w:rsidRDefault="00FF5B9D" w:rsidP="008809B7">
            <w:pPr>
              <w:pStyle w:val="Normal6a"/>
            </w:pPr>
            <w:r w:rsidRPr="001A4499">
              <w:rPr>
                <w:b/>
                <w:i/>
              </w:rPr>
              <w:t>-20.</w:t>
            </w:r>
            <w:r w:rsidRPr="001A4499">
              <w:tab/>
            </w:r>
            <w:r w:rsidRPr="001A4499">
              <w:rPr>
                <w:b/>
                <w:i/>
              </w:rPr>
              <w:t>sottolinea che, secondo l'OCSE, gli incentivi fiscali sono uno strumento politico di sostegno all'innovazione ampiamente utilizzato ed economicamente significativo nella maggior parte dei paesi membri dell'OCSE e in diverse altre grandi economie; sottoline</w:t>
            </w:r>
            <w:r w:rsidRPr="001A4499">
              <w:rPr>
                <w:b/>
                <w:i/>
              </w:rPr>
              <w:t>a che 34 dei 38 paesi dell'OCSE hanno concesso sgravi fiscali per le spese di ricerca e sviluppo nel 2024, compresa la maggior parte degli Stati membri; osserva che le misure di sgravio fiscale previste differiscono notevolmente da un paese all'altro</w:t>
            </w:r>
            <w:r w:rsidRPr="001A4499">
              <w:rPr>
                <w:b/>
                <w:i/>
                <w:vertAlign w:val="superscript"/>
              </w:rPr>
              <w:t>1 bis</w:t>
            </w:r>
            <w:r w:rsidRPr="001A4499">
              <w:rPr>
                <w:b/>
                <w:i/>
              </w:rPr>
              <w:t>;</w:t>
            </w:r>
          </w:p>
        </w:tc>
      </w:tr>
      <w:tr w:rsidR="001A4499" w:rsidRPr="001A4499" w:rsidTr="00C4069E">
        <w:trPr>
          <w:jc w:val="center"/>
        </w:trPr>
        <w:tc>
          <w:tcPr>
            <w:tcW w:w="4876" w:type="dxa"/>
            <w:tcBorders>
              <w:top w:val="nil"/>
              <w:left w:val="nil"/>
              <w:bottom w:val="nil"/>
              <w:right w:val="nil"/>
            </w:tcBorders>
          </w:tcPr>
          <w:p w:rsidR="008809B7" w:rsidRPr="001A4499" w:rsidRDefault="008809B7" w:rsidP="00C4069E"/>
        </w:tc>
        <w:tc>
          <w:tcPr>
            <w:tcW w:w="4876" w:type="dxa"/>
            <w:tcBorders>
              <w:top w:val="nil"/>
              <w:left w:val="nil"/>
              <w:bottom w:val="nil"/>
              <w:right w:val="nil"/>
            </w:tcBorders>
            <w:hideMark/>
          </w:tcPr>
          <w:p w:rsidR="008809B7" w:rsidRPr="001A4499" w:rsidRDefault="00FF5B9D" w:rsidP="00C4069E">
            <w:pPr>
              <w:pStyle w:val="Normal6a"/>
            </w:pPr>
            <w:r w:rsidRPr="001A4499">
              <w:rPr>
                <w:b/>
                <w:i/>
              </w:rPr>
              <w:t>_________________</w:t>
            </w:r>
          </w:p>
        </w:tc>
      </w:tr>
      <w:tr w:rsidR="001A4499" w:rsidRPr="001A4499" w:rsidTr="00C4069E">
        <w:trPr>
          <w:jc w:val="center"/>
        </w:trPr>
        <w:tc>
          <w:tcPr>
            <w:tcW w:w="4876" w:type="dxa"/>
            <w:tcBorders>
              <w:top w:val="nil"/>
              <w:left w:val="nil"/>
              <w:bottom w:val="nil"/>
              <w:right w:val="nil"/>
            </w:tcBorders>
          </w:tcPr>
          <w:p w:rsidR="008809B7" w:rsidRPr="001A4499" w:rsidRDefault="008809B7" w:rsidP="00C4069E"/>
        </w:tc>
        <w:tc>
          <w:tcPr>
            <w:tcW w:w="4876" w:type="dxa"/>
            <w:tcBorders>
              <w:top w:val="nil"/>
              <w:left w:val="nil"/>
              <w:bottom w:val="nil"/>
              <w:right w:val="nil"/>
            </w:tcBorders>
            <w:hideMark/>
          </w:tcPr>
          <w:p w:rsidR="008809B7" w:rsidRPr="001A4499" w:rsidRDefault="00FF5B9D" w:rsidP="00C4069E">
            <w:pPr>
              <w:pStyle w:val="Normal6a"/>
            </w:pPr>
            <w:r w:rsidRPr="001A4499">
              <w:rPr>
                <w:b/>
                <w:i/>
                <w:vertAlign w:val="superscript"/>
              </w:rPr>
              <w:t>1 bis</w:t>
            </w:r>
            <w:r w:rsidRPr="001A4499">
              <w:t xml:space="preserve"> </w:t>
            </w:r>
            <w:r w:rsidRPr="001A4499">
              <w:rPr>
                <w:b/>
                <w:i/>
              </w:rPr>
              <w:t xml:space="preserve">https://www.oecd.org/en/data/insights/statistical-releases/2025/04/rd-tax-incentives-continue-to-outpace-other-forms-of-government-support-for-rd-in-most-countries.html </w:t>
            </w:r>
          </w:p>
        </w:tc>
      </w:tr>
    </w:tbl>
    <w:p w:rsidR="008809B7" w:rsidRPr="001A4499" w:rsidRDefault="00FF5B9D" w:rsidP="008809B7">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8809B7" w:rsidRPr="001A4499" w:rsidRDefault="00FF5B9D" w:rsidP="008809B7">
      <w:r w:rsidRPr="001A4499">
        <w:rPr>
          <w:rStyle w:val="HideTWBExt"/>
          <w:color w:val="auto"/>
        </w:rPr>
        <w:t>&lt;/Amend&gt;</w:t>
      </w:r>
    </w:p>
    <w:p w:rsidR="008809B7" w:rsidRPr="001A4499" w:rsidRDefault="00FF5B9D" w:rsidP="008809B7">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234</w:t>
      </w:r>
      <w:r w:rsidRPr="001A4499">
        <w:rPr>
          <w:rStyle w:val="HideTWBExt"/>
          <w:color w:val="auto"/>
        </w:rPr>
        <w:t>&lt;/NumAm&gt;</w:t>
      </w:r>
    </w:p>
    <w:p w:rsidR="008809B7" w:rsidRPr="001A4499" w:rsidRDefault="00FF5B9D" w:rsidP="008809B7">
      <w:pPr>
        <w:pStyle w:val="NormalBold"/>
      </w:pPr>
      <w:r w:rsidRPr="001A4499">
        <w:rPr>
          <w:rStyle w:val="HideTWBExt"/>
          <w:b w:val="0"/>
          <w:color w:val="auto"/>
        </w:rPr>
        <w:t>&lt;RepeatBlock-By&gt;&lt;Members&gt;</w:t>
      </w:r>
      <w:r w:rsidRPr="001A4499">
        <w:t>Niels Fuglsang, Matthias Ecke, Bruno Gonçalves, Evelyn Regner</w:t>
      </w:r>
      <w:r w:rsidRPr="001A4499">
        <w:rPr>
          <w:rStyle w:val="HideTWBExt"/>
          <w:b w:val="0"/>
          <w:color w:val="auto"/>
        </w:rPr>
        <w:t>&lt;/Members&gt;</w:t>
      </w:r>
    </w:p>
    <w:p w:rsidR="008809B7" w:rsidRPr="001A4499" w:rsidRDefault="00FF5B9D" w:rsidP="008809B7">
      <w:pPr>
        <w:pStyle w:val="NormalBold"/>
      </w:pPr>
      <w:r w:rsidRPr="001A4499">
        <w:rPr>
          <w:rStyle w:val="HideTWBExt"/>
          <w:b w:val="0"/>
          <w:color w:val="auto"/>
        </w:rPr>
        <w:t>&lt;/RepeatBlock-By&gt;</w:t>
      </w:r>
    </w:p>
    <w:p w:rsidR="008809B7" w:rsidRPr="001A4499" w:rsidRDefault="00FF5B9D" w:rsidP="008809B7">
      <w:pPr>
        <w:pStyle w:val="NormalBold"/>
      </w:pPr>
      <w:r w:rsidRPr="001A4499">
        <w:rPr>
          <w:rStyle w:val="HideTWBExt"/>
          <w:color w:val="auto"/>
        </w:rPr>
        <w:t>&lt;DocAmend&gt;</w:t>
      </w:r>
      <w:r w:rsidRPr="001A4499">
        <w:t>Proposta di risoluzione</w:t>
      </w:r>
      <w:r w:rsidRPr="001A4499">
        <w:rPr>
          <w:rStyle w:val="HideTWBExt"/>
          <w:color w:val="auto"/>
        </w:rPr>
        <w:t>&lt;/DocAmend&gt;</w:t>
      </w:r>
    </w:p>
    <w:p w:rsidR="008809B7" w:rsidRPr="001A4499" w:rsidRDefault="00FF5B9D" w:rsidP="008809B7">
      <w:pPr>
        <w:pStyle w:val="NormalBold"/>
      </w:pPr>
      <w:r w:rsidRPr="001A4499">
        <w:rPr>
          <w:rStyle w:val="HideTWBExt"/>
          <w:color w:val="auto"/>
        </w:rPr>
        <w:t>&lt;Article&gt;</w:t>
      </w:r>
      <w:r w:rsidRPr="001A4499">
        <w:t>Paragrafo -20 bis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C4069E">
        <w:trPr>
          <w:trHeight w:val="240"/>
          <w:jc w:val="center"/>
        </w:trPr>
        <w:tc>
          <w:tcPr>
            <w:tcW w:w="9752" w:type="dxa"/>
            <w:gridSpan w:val="2"/>
            <w:tcBorders>
              <w:top w:val="nil"/>
              <w:left w:val="nil"/>
              <w:bottom w:val="nil"/>
              <w:right w:val="nil"/>
            </w:tcBorders>
          </w:tcPr>
          <w:p w:rsidR="008809B7" w:rsidRPr="001A4499" w:rsidRDefault="008809B7" w:rsidP="00C4069E"/>
        </w:tc>
      </w:tr>
      <w:tr w:rsidR="001A4499" w:rsidRPr="001A4499" w:rsidTr="00C4069E">
        <w:trPr>
          <w:trHeight w:val="240"/>
          <w:jc w:val="center"/>
        </w:trPr>
        <w:tc>
          <w:tcPr>
            <w:tcW w:w="4876" w:type="dxa"/>
            <w:tcBorders>
              <w:top w:val="nil"/>
              <w:left w:val="nil"/>
              <w:bottom w:val="nil"/>
              <w:right w:val="nil"/>
            </w:tcBorders>
            <w:hideMark/>
          </w:tcPr>
          <w:p w:rsidR="008809B7" w:rsidRPr="001A4499" w:rsidRDefault="00FF5B9D" w:rsidP="00C4069E">
            <w:pPr>
              <w:pStyle w:val="AmColumnHeading"/>
            </w:pPr>
            <w:r w:rsidRPr="001A4499">
              <w:lastRenderedPageBreak/>
              <w:t>Proposta di risoluzione</w:t>
            </w:r>
          </w:p>
        </w:tc>
        <w:tc>
          <w:tcPr>
            <w:tcW w:w="4876" w:type="dxa"/>
            <w:tcBorders>
              <w:top w:val="nil"/>
              <w:left w:val="nil"/>
              <w:bottom w:val="nil"/>
              <w:right w:val="nil"/>
            </w:tcBorders>
            <w:hideMark/>
          </w:tcPr>
          <w:p w:rsidR="008809B7" w:rsidRPr="001A4499" w:rsidRDefault="00FF5B9D" w:rsidP="00C4069E">
            <w:pPr>
              <w:pStyle w:val="AmColumnHeading"/>
            </w:pPr>
            <w:r w:rsidRPr="001A4499">
              <w:t>Emendamento</w:t>
            </w:r>
          </w:p>
        </w:tc>
      </w:tr>
      <w:tr w:rsidR="001A4499" w:rsidRPr="001A4499" w:rsidTr="00C4069E">
        <w:trPr>
          <w:jc w:val="center"/>
        </w:trPr>
        <w:tc>
          <w:tcPr>
            <w:tcW w:w="4876" w:type="dxa"/>
            <w:tcBorders>
              <w:top w:val="nil"/>
              <w:left w:val="nil"/>
              <w:bottom w:val="nil"/>
              <w:right w:val="nil"/>
            </w:tcBorders>
          </w:tcPr>
          <w:p w:rsidR="008809B7" w:rsidRPr="001A4499" w:rsidRDefault="008809B7" w:rsidP="00C4069E">
            <w:pPr>
              <w:pStyle w:val="Normal6a"/>
            </w:pPr>
          </w:p>
        </w:tc>
        <w:tc>
          <w:tcPr>
            <w:tcW w:w="4876" w:type="dxa"/>
            <w:tcBorders>
              <w:top w:val="nil"/>
              <w:left w:val="nil"/>
              <w:bottom w:val="nil"/>
              <w:right w:val="nil"/>
            </w:tcBorders>
            <w:hideMark/>
          </w:tcPr>
          <w:p w:rsidR="008809B7" w:rsidRPr="001A4499" w:rsidRDefault="00FF5B9D" w:rsidP="008809B7">
            <w:pPr>
              <w:pStyle w:val="Normal6a"/>
            </w:pPr>
            <w:r w:rsidRPr="001A4499">
              <w:rPr>
                <w:b/>
                <w:i/>
              </w:rPr>
              <w:t>-20 bis.</w:t>
            </w:r>
            <w:r w:rsidRPr="001A4499">
              <w:tab/>
            </w:r>
            <w:r w:rsidRPr="001A4499">
              <w:rPr>
                <w:b/>
                <w:i/>
              </w:rPr>
              <w:t>ritiene che i governi dovrebbero garantire che i regimi di incentivi fiscali alla R&amp;S offrano un buon rapporto qualità/prezzo, attraverso una valutazione regolare e rigorosa, basata su dati di alta qualità a livello aziendale; sottolinea che i regimi fisca</w:t>
            </w:r>
            <w:r w:rsidRPr="001A4499">
              <w:rPr>
                <w:b/>
                <w:i/>
              </w:rPr>
              <w:t>li speciali sugli utili riconducibili ai brevetti (patent box) in genere non stimolano la R&amp;S e possono invece essere utilizzati come strumento di trasferimento dei profitti, con conseguenti elevate perdite di entrate</w:t>
            </w:r>
            <w:r w:rsidRPr="001A4499">
              <w:rPr>
                <w:b/>
                <w:i/>
                <w:vertAlign w:val="superscript"/>
              </w:rPr>
              <w:t>1 ter</w:t>
            </w:r>
            <w:r w:rsidRPr="001A4499">
              <w:rPr>
                <w:b/>
                <w:i/>
              </w:rPr>
              <w:t>;</w:t>
            </w:r>
          </w:p>
        </w:tc>
      </w:tr>
      <w:tr w:rsidR="001A4499" w:rsidRPr="001A4499" w:rsidTr="00C4069E">
        <w:trPr>
          <w:jc w:val="center"/>
        </w:trPr>
        <w:tc>
          <w:tcPr>
            <w:tcW w:w="4876" w:type="dxa"/>
            <w:tcBorders>
              <w:top w:val="nil"/>
              <w:left w:val="nil"/>
              <w:bottom w:val="nil"/>
              <w:right w:val="nil"/>
            </w:tcBorders>
          </w:tcPr>
          <w:p w:rsidR="008809B7" w:rsidRPr="001A4499" w:rsidRDefault="008809B7" w:rsidP="00C4069E"/>
        </w:tc>
        <w:tc>
          <w:tcPr>
            <w:tcW w:w="4876" w:type="dxa"/>
            <w:tcBorders>
              <w:top w:val="nil"/>
              <w:left w:val="nil"/>
              <w:bottom w:val="nil"/>
              <w:right w:val="nil"/>
            </w:tcBorders>
            <w:hideMark/>
          </w:tcPr>
          <w:p w:rsidR="008809B7" w:rsidRPr="001A4499" w:rsidRDefault="00FF5B9D" w:rsidP="00C4069E">
            <w:pPr>
              <w:pStyle w:val="Normal6a"/>
            </w:pPr>
            <w:r w:rsidRPr="001A4499">
              <w:rPr>
                <w:b/>
                <w:i/>
              </w:rPr>
              <w:t>_________________</w:t>
            </w:r>
          </w:p>
        </w:tc>
      </w:tr>
      <w:tr w:rsidR="001A4499" w:rsidRPr="001A4499" w:rsidTr="00C4069E">
        <w:trPr>
          <w:jc w:val="center"/>
        </w:trPr>
        <w:tc>
          <w:tcPr>
            <w:tcW w:w="4876" w:type="dxa"/>
            <w:tcBorders>
              <w:top w:val="nil"/>
              <w:left w:val="nil"/>
              <w:bottom w:val="nil"/>
              <w:right w:val="nil"/>
            </w:tcBorders>
          </w:tcPr>
          <w:p w:rsidR="008809B7" w:rsidRPr="001A4499" w:rsidRDefault="008809B7" w:rsidP="00C4069E"/>
        </w:tc>
        <w:tc>
          <w:tcPr>
            <w:tcW w:w="4876" w:type="dxa"/>
            <w:tcBorders>
              <w:top w:val="nil"/>
              <w:left w:val="nil"/>
              <w:bottom w:val="nil"/>
              <w:right w:val="nil"/>
            </w:tcBorders>
            <w:hideMark/>
          </w:tcPr>
          <w:p w:rsidR="008809B7" w:rsidRPr="001A4499" w:rsidRDefault="00FF5B9D" w:rsidP="00C4069E">
            <w:pPr>
              <w:pStyle w:val="Normal6a"/>
            </w:pPr>
            <w:r w:rsidRPr="001A4499">
              <w:rPr>
                <w:b/>
                <w:i/>
                <w:vertAlign w:val="superscript"/>
              </w:rPr>
              <w:t>1 ter</w:t>
            </w:r>
            <w:r w:rsidRPr="001A4499">
              <w:t xml:space="preserve"> </w:t>
            </w:r>
            <w:r w:rsidRPr="001A4499">
              <w:rPr>
                <w:b/>
                <w:i/>
              </w:rPr>
              <w:t>Comm</w:t>
            </w:r>
            <w:r w:rsidRPr="001A4499">
              <w:rPr>
                <w:b/>
                <w:i/>
              </w:rPr>
              <w:t xml:space="preserve">issione europea "R&amp;D tax incentives How to make them most effective?" (Incentivi fiscali sulla R&amp;S, come renderli più efficaci?), settembre 2017, pag. 14. </w:t>
            </w:r>
          </w:p>
        </w:tc>
      </w:tr>
    </w:tbl>
    <w:p w:rsidR="008809B7" w:rsidRPr="001A4499" w:rsidRDefault="00FF5B9D" w:rsidP="008809B7">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8809B7" w:rsidRPr="001A4499" w:rsidRDefault="00FF5B9D" w:rsidP="008809B7">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235</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w:t>
      </w:r>
      <w:r w:rsidRPr="001A4499">
        <w:rPr>
          <w:rStyle w:val="HideTWBExt"/>
          <w:b w:val="0"/>
          <w:color w:val="auto"/>
        </w:rPr>
        <w:t>mbers&gt;</w:t>
      </w:r>
      <w:r w:rsidRPr="001A4499">
        <w:t>Fernand Kartheiser</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20</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20.</w:t>
            </w:r>
            <w:r w:rsidRPr="001A4499">
              <w:tab/>
              <w:t xml:space="preserve">invita </w:t>
            </w:r>
            <w:r w:rsidRPr="001A4499">
              <w:rPr>
                <w:b/>
                <w:i/>
              </w:rPr>
              <w:t>la Commissione</w:t>
            </w:r>
            <w:r w:rsidRPr="001A4499">
              <w:t xml:space="preserve"> a condurre nuovi studi sugli effetti prodotti dagli incentivi fiscali al settore della ricerca e sviluppo e dell'innovazione ai fini del miglioramento della competitività europea sulla scena mondiale, conformemente alle proposte della relazione Draghi; ch</w:t>
            </w:r>
            <w:r w:rsidRPr="001A4499">
              <w:t>iede un rafforzamento della cooperazione e della fiducia tra gli Stati membri, teso a promuovere condizioni di parità per il commercio elettronico, i servizi digitali e altri settori in rapida crescita;</w:t>
            </w:r>
          </w:p>
        </w:tc>
        <w:tc>
          <w:tcPr>
            <w:tcW w:w="4876" w:type="dxa"/>
            <w:tcBorders>
              <w:top w:val="nil"/>
              <w:left w:val="nil"/>
              <w:bottom w:val="nil"/>
              <w:right w:val="nil"/>
            </w:tcBorders>
            <w:hideMark/>
          </w:tcPr>
          <w:p w:rsidR="00D20070" w:rsidRPr="001A4499" w:rsidRDefault="00FF5B9D">
            <w:pPr>
              <w:pStyle w:val="Normal6a"/>
            </w:pPr>
            <w:r w:rsidRPr="001A4499">
              <w:t>20.</w:t>
            </w:r>
            <w:r w:rsidRPr="001A4499">
              <w:tab/>
              <w:t xml:space="preserve">invita </w:t>
            </w:r>
            <w:r w:rsidRPr="001A4499">
              <w:rPr>
                <w:b/>
                <w:i/>
              </w:rPr>
              <w:t>gli Stati membri</w:t>
            </w:r>
            <w:r w:rsidRPr="001A4499">
              <w:t xml:space="preserve"> a condurre nuovi studi su</w:t>
            </w:r>
            <w:r w:rsidRPr="001A4499">
              <w:t>gli effetti prodotti dagli incentivi fiscali al settore della ricerca e sviluppo e dell'innovazione ai fini del miglioramento della competitività europea sulla scena mondiale, conformemente alle proposte della relazione Draghi; chiede un rafforzamento dell</w:t>
            </w:r>
            <w:r w:rsidRPr="001A4499">
              <w:t>a cooperazione e della fiducia tra gli Stati membri, teso a promuovere condizioni di parità per il commercio elettronico, i servizi digitali e altri settori in rapida crescita;</w:t>
            </w:r>
          </w:p>
        </w:tc>
      </w:tr>
    </w:tbl>
    <w:p w:rsidR="00D20070" w:rsidRPr="001A4499" w:rsidRDefault="00FF5B9D" w:rsidP="00D20070">
      <w:pPr>
        <w:pStyle w:val="AmOrLang"/>
        <w:rPr>
          <w:lang w:eastAsia="en-US"/>
        </w:rPr>
      </w:pPr>
      <w:r w:rsidRPr="001A4499">
        <w:lastRenderedPageBreak/>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236</w:t>
      </w:r>
      <w:r w:rsidRPr="001A4499">
        <w:rPr>
          <w:rStyle w:val="HideTWBExt"/>
          <w:color w:val="auto"/>
        </w:rPr>
        <w:t>&lt;/NumAm</w:t>
      </w:r>
      <w:r w:rsidRPr="001A4499">
        <w:rPr>
          <w:rStyle w:val="HideTWBExt"/>
          <w:color w:val="auto"/>
        </w:rPr>
        <w:t>&gt;</w:t>
      </w:r>
    </w:p>
    <w:p w:rsidR="00D20070" w:rsidRPr="001A4499" w:rsidRDefault="00FF5B9D" w:rsidP="00D20070">
      <w:pPr>
        <w:pStyle w:val="NormalBold"/>
      </w:pPr>
      <w:r w:rsidRPr="001A4499">
        <w:rPr>
          <w:rStyle w:val="HideTWBExt"/>
          <w:b w:val="0"/>
          <w:color w:val="auto"/>
        </w:rPr>
        <w:t>&lt;RepeatBlock-By&gt;&lt;Members&gt;</w:t>
      </w:r>
      <w:r w:rsidRPr="001A4499">
        <w:t>Kira Marie Peter-Hansen</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20</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20.</w:t>
            </w:r>
            <w:r w:rsidRPr="001A4499">
              <w:tab/>
              <w:t xml:space="preserve">invita la Commissione a </w:t>
            </w:r>
            <w:r w:rsidRPr="001A4499">
              <w:rPr>
                <w:b/>
                <w:i/>
              </w:rPr>
              <w:t>condurre nuovi studi sugli effetti prodotti dagli</w:t>
            </w:r>
            <w:r w:rsidRPr="001A4499">
              <w:t xml:space="preserve"> incentivi fiscali </w:t>
            </w:r>
            <w:r w:rsidRPr="001A4499">
              <w:rPr>
                <w:b/>
                <w:i/>
              </w:rPr>
              <w:t>al settore della ricerca e sviluppo e dell'innovazione ai fini del miglioramento della</w:t>
            </w:r>
            <w:r w:rsidRPr="001A4499">
              <w:t xml:space="preserve"> competitività europea sulla scena mondiale, conformemente alle proposte della relazione Draghi; </w:t>
            </w:r>
            <w:r w:rsidRPr="001A4499">
              <w:rPr>
                <w:b/>
                <w:i/>
              </w:rPr>
              <w:t>chied</w:t>
            </w:r>
            <w:r w:rsidRPr="001A4499">
              <w:rPr>
                <w:b/>
                <w:i/>
              </w:rPr>
              <w:t>e un rafforzamento della cooperazione e della fiducia tra gli Stati membri, teso a promuovere condizioni di parità per il commercio elettronico, i servizi digitali e altri settori in rapida crescita</w:t>
            </w:r>
            <w:r w:rsidRPr="001A4499">
              <w:t>;</w:t>
            </w:r>
          </w:p>
        </w:tc>
        <w:tc>
          <w:tcPr>
            <w:tcW w:w="4876" w:type="dxa"/>
            <w:tcBorders>
              <w:top w:val="nil"/>
              <w:left w:val="nil"/>
              <w:bottom w:val="nil"/>
              <w:right w:val="nil"/>
            </w:tcBorders>
            <w:hideMark/>
          </w:tcPr>
          <w:p w:rsidR="00D20070" w:rsidRPr="001A4499" w:rsidRDefault="00FF5B9D">
            <w:pPr>
              <w:pStyle w:val="Normal6a"/>
            </w:pPr>
            <w:r w:rsidRPr="001A4499">
              <w:t>20.</w:t>
            </w:r>
            <w:r w:rsidRPr="001A4499">
              <w:tab/>
              <w:t xml:space="preserve">invita la Commissione a </w:t>
            </w:r>
            <w:r w:rsidRPr="001A4499">
              <w:rPr>
                <w:b/>
                <w:i/>
              </w:rPr>
              <w:t>creare un quadro dell'UE per gli</w:t>
            </w:r>
            <w:r w:rsidRPr="001A4499">
              <w:t xml:space="preserve"> incentivi fiscali </w:t>
            </w:r>
            <w:r w:rsidRPr="001A4499">
              <w:rPr>
                <w:b/>
                <w:i/>
              </w:rPr>
              <w:t>alle imprese, al fine di semplificare gli incentivi fiscali nell'Unione e garantire che gli incentivi siano ben concepiti per raggiungere gli obiettivi politici prefissati senza erodere le entrate fiscali,</w:t>
            </w:r>
            <w:r w:rsidRPr="001A4499">
              <w:rPr>
                <w:b/>
                <w:i/>
              </w:rPr>
              <w:t xml:space="preserve"> al fine di migliorare la</w:t>
            </w:r>
            <w:r w:rsidRPr="001A4499">
              <w:t xml:space="preserve"> competitività europea sulla scena mondiale, conformemente alle proposte della relazione Draghi; </w:t>
            </w:r>
            <w:r w:rsidRPr="001A4499">
              <w:rPr>
                <w:b/>
                <w:i/>
              </w:rPr>
              <w:t>osserva che le differenze negli incentivi fiscali all'interno dell'UE contribuiscono a ecosistemi dell'innovazione promiscui e ineffic</w:t>
            </w:r>
            <w:r w:rsidRPr="001A4499">
              <w:rPr>
                <w:b/>
                <w:i/>
              </w:rPr>
              <w:t>ienti nell'Unione;</w:t>
            </w:r>
            <w:r w:rsidRPr="001A4499">
              <w:t xml:space="preserve"> </w:t>
            </w:r>
            <w:r w:rsidRPr="001A4499">
              <w:rPr>
                <w:b/>
                <w:i/>
              </w:rPr>
              <w:t>invita la Commissione a condurre uno studio sugli effetti dell'attuazione del secondo pilastro sugli incentivi fiscali nell'Unione, in particolare quelli per la ricerca e sviluppo (R&amp;S) e l'innovazione; osserva che in base agli ultimi da</w:t>
            </w:r>
            <w:r w:rsidRPr="001A4499">
              <w:rPr>
                <w:b/>
                <w:i/>
              </w:rPr>
              <w:t>ti</w:t>
            </w:r>
            <w:r w:rsidRPr="001A4499">
              <w:rPr>
                <w:b/>
                <w:i/>
                <w:vertAlign w:val="superscript"/>
              </w:rPr>
              <w:t>24 bis</w:t>
            </w:r>
            <w:r w:rsidRPr="001A4499">
              <w:t xml:space="preserve"> </w:t>
            </w:r>
            <w:r w:rsidRPr="001A4499">
              <w:rPr>
                <w:b/>
                <w:i/>
              </w:rPr>
              <w:t>pubblicati dall'OCSE, quasi il 55 % del sostegno totale alla R&amp;S imprenditoriale nell'area OCSE assume la forma di incentivi fiscali;</w:t>
            </w:r>
          </w:p>
        </w:tc>
      </w:tr>
      <w:tr w:rsidR="001A4499" w:rsidRPr="001A4499" w:rsidTr="00D20070">
        <w:trPr>
          <w:jc w:val="center"/>
        </w:trPr>
        <w:tc>
          <w:tcPr>
            <w:tcW w:w="4876" w:type="dxa"/>
            <w:tcBorders>
              <w:top w:val="nil"/>
              <w:left w:val="nil"/>
              <w:bottom w:val="nil"/>
              <w:right w:val="nil"/>
            </w:tcBorders>
          </w:tcPr>
          <w:p w:rsidR="00D20070" w:rsidRPr="001A4499" w:rsidRDefault="00D20070"/>
        </w:tc>
        <w:tc>
          <w:tcPr>
            <w:tcW w:w="4876" w:type="dxa"/>
            <w:tcBorders>
              <w:top w:val="nil"/>
              <w:left w:val="nil"/>
              <w:bottom w:val="nil"/>
              <w:right w:val="nil"/>
            </w:tcBorders>
            <w:hideMark/>
          </w:tcPr>
          <w:p w:rsidR="00D20070" w:rsidRPr="001A4499" w:rsidRDefault="00FF5B9D">
            <w:pPr>
              <w:pStyle w:val="Normal6a"/>
            </w:pPr>
            <w:r w:rsidRPr="001A4499">
              <w:rPr>
                <w:b/>
                <w:i/>
              </w:rPr>
              <w:t>_________________</w:t>
            </w:r>
          </w:p>
        </w:tc>
      </w:tr>
      <w:tr w:rsidR="001A4499" w:rsidRPr="001A4499" w:rsidTr="00D20070">
        <w:trPr>
          <w:jc w:val="center"/>
        </w:trPr>
        <w:tc>
          <w:tcPr>
            <w:tcW w:w="4876" w:type="dxa"/>
            <w:tcBorders>
              <w:top w:val="nil"/>
              <w:left w:val="nil"/>
              <w:bottom w:val="nil"/>
              <w:right w:val="nil"/>
            </w:tcBorders>
          </w:tcPr>
          <w:p w:rsidR="00D20070" w:rsidRPr="001A4499" w:rsidRDefault="00D20070"/>
        </w:tc>
        <w:tc>
          <w:tcPr>
            <w:tcW w:w="4876" w:type="dxa"/>
            <w:tcBorders>
              <w:top w:val="nil"/>
              <w:left w:val="nil"/>
              <w:bottom w:val="nil"/>
              <w:right w:val="nil"/>
            </w:tcBorders>
            <w:hideMark/>
          </w:tcPr>
          <w:p w:rsidR="00D20070" w:rsidRPr="001A4499" w:rsidRDefault="00FF5B9D">
            <w:pPr>
              <w:pStyle w:val="Normal6a"/>
            </w:pPr>
            <w:r w:rsidRPr="001A4499">
              <w:rPr>
                <w:b/>
                <w:i/>
                <w:vertAlign w:val="superscript"/>
              </w:rPr>
              <w:t>24 bis</w:t>
            </w:r>
            <w:r w:rsidRPr="001A4499">
              <w:t xml:space="preserve"> </w:t>
            </w:r>
            <w:r w:rsidRPr="001A4499">
              <w:rPr>
                <w:b/>
                <w:i/>
              </w:rPr>
              <w:t xml:space="preserve">https://data-explorer.oecd.org/vis?lc=en&amp;df[ds]=dsDisseminateFinalDMZ&amp;df[id]=DSD_RDTAX%40DF_RDTAX&amp;df[ag]=OECD.STI.STP&amp;dq=.A..PT_B1GQ..&amp;pd=2015%2C&amp;to[TIME_PERIOD]=false&amp;pg=0&amp;mc_cid=925ebbaf6e&amp;mc_eid=c21efa1830 </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lastRenderedPageBreak/>
        <w:t>&lt;Amend&gt;</w:t>
      </w:r>
      <w:r w:rsidRPr="001A4499">
        <w:t>Emendamento</w:t>
      </w:r>
      <w:r w:rsidRPr="001A4499">
        <w:tab/>
      </w:r>
      <w:r w:rsidRPr="001A4499">
        <w:tab/>
      </w:r>
      <w:r w:rsidRPr="001A4499">
        <w:rPr>
          <w:rStyle w:val="HideTWBExt"/>
          <w:color w:val="auto"/>
        </w:rPr>
        <w:t>&lt;NumAm&gt;</w:t>
      </w:r>
      <w:r w:rsidRPr="001A4499">
        <w:t>237</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Niels Fuglsang, Matthias Ecke, Bruno Gonçalves, Aurore Lalucq, Evelyn Regner</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20</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w:t>
            </w:r>
            <w:r w:rsidRPr="001A4499">
              <w:t xml:space="preserve">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20.</w:t>
            </w:r>
            <w:r w:rsidRPr="001A4499">
              <w:tab/>
              <w:t xml:space="preserve">invita la Commissione a condurre nuovi studi sugli effetti </w:t>
            </w:r>
            <w:r w:rsidRPr="001A4499">
              <w:rPr>
                <w:b/>
                <w:bCs/>
                <w:i/>
                <w:iCs/>
              </w:rPr>
              <w:t>prodotti dagli</w:t>
            </w:r>
            <w:r w:rsidRPr="001A4499">
              <w:t xml:space="preserve"> incentivi fiscali al settore della ricerca e sviluppo e dell'innovazione ai fini del miglioramento della competitività europea sulla scena mondiale, conformemente alle proposte della relazione Draghi; chiede un rafforzamento della cooperazione e della fid</w:t>
            </w:r>
            <w:r w:rsidRPr="001A4499">
              <w:t>ucia tra gli Stati membri, teso a promuovere condizioni di parità per il commercio elettronico, i servizi digitali e altri settori in rapida crescita;</w:t>
            </w:r>
          </w:p>
        </w:tc>
        <w:tc>
          <w:tcPr>
            <w:tcW w:w="4876" w:type="dxa"/>
            <w:tcBorders>
              <w:top w:val="nil"/>
              <w:left w:val="nil"/>
              <w:bottom w:val="nil"/>
              <w:right w:val="nil"/>
            </w:tcBorders>
            <w:hideMark/>
          </w:tcPr>
          <w:p w:rsidR="00D20070" w:rsidRPr="001A4499" w:rsidRDefault="00FF5B9D">
            <w:pPr>
              <w:pStyle w:val="Normal6a"/>
            </w:pPr>
            <w:r w:rsidRPr="001A4499">
              <w:t>20.</w:t>
            </w:r>
            <w:r w:rsidRPr="001A4499">
              <w:tab/>
              <w:t xml:space="preserve">invita la Commissione a condurre nuovi studi sugli effetti </w:t>
            </w:r>
            <w:r w:rsidRPr="001A4499">
              <w:rPr>
                <w:b/>
                <w:i/>
              </w:rPr>
              <w:t>e sull'efficacia dei costi dei diversi tipi di</w:t>
            </w:r>
            <w:r w:rsidRPr="001A4499">
              <w:t xml:space="preserve"> incentivi fiscali al settore della ricerca e sviluppo e dell'innovazione ai fini del miglioramento della competitività europea sulla scena mondiale, conformemente alle proposte della relazione Draghi; </w:t>
            </w:r>
            <w:r w:rsidRPr="001A4499">
              <w:rPr>
                <w:b/>
                <w:i/>
              </w:rPr>
              <w:t>invita l</w:t>
            </w:r>
            <w:r w:rsidRPr="001A4499">
              <w:rPr>
                <w:b/>
                <w:i/>
              </w:rPr>
              <w:t xml:space="preserve">a Commissione a valutare ulteriormente le esternalità di tali incentivi in altri Stati membri, i rischi per l'evasione fiscale e il loro impatto complessivo nel mercato interno; </w:t>
            </w:r>
            <w:r w:rsidRPr="001A4499">
              <w:t>chiede un rafforzamento della cooperazione e della fiducia tra gli Stati membr</w:t>
            </w:r>
            <w:r w:rsidRPr="001A4499">
              <w:t>i, teso a promuovere condizioni di parità per il commercio elettronico, i servizi digitali e altri settori in rapida crescita;</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238</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Fernando Navarrete Roja</w:t>
      </w:r>
      <w:r w:rsidRPr="001A4499">
        <w:t>s</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20</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20.</w:t>
            </w:r>
            <w:r w:rsidRPr="001A4499">
              <w:tab/>
            </w:r>
            <w:r w:rsidRPr="001A4499">
              <w:t>invita la Commissione a condurre nuovi studi sugli effetti prodotti dagli incentivi fiscali al settore della ricerca e sviluppo e dell'innovazione ai fini del miglioramento della competitività europea sulla scena mondiale, conformemente alle proposte della</w:t>
            </w:r>
            <w:r w:rsidRPr="001A4499">
              <w:t xml:space="preserve"> relazione Draghi; chiede un rafforzamento della cooperazione e della </w:t>
            </w:r>
            <w:r w:rsidRPr="001A4499">
              <w:lastRenderedPageBreak/>
              <w:t>fiducia tra gli Stati membri, teso a promuovere condizioni di parità per il commercio elettronico, i servizi digitali e altri settori in rapida crescita;</w:t>
            </w:r>
          </w:p>
        </w:tc>
        <w:tc>
          <w:tcPr>
            <w:tcW w:w="4876" w:type="dxa"/>
            <w:tcBorders>
              <w:top w:val="nil"/>
              <w:left w:val="nil"/>
              <w:bottom w:val="nil"/>
              <w:right w:val="nil"/>
            </w:tcBorders>
            <w:hideMark/>
          </w:tcPr>
          <w:p w:rsidR="00D20070" w:rsidRPr="001A4499" w:rsidRDefault="00FF5B9D">
            <w:pPr>
              <w:pStyle w:val="Normal6a"/>
            </w:pPr>
            <w:r w:rsidRPr="001A4499">
              <w:lastRenderedPageBreak/>
              <w:t>20.</w:t>
            </w:r>
            <w:r w:rsidRPr="001A4499">
              <w:tab/>
              <w:t>invita la Commissione a cond</w:t>
            </w:r>
            <w:r w:rsidRPr="001A4499">
              <w:t>urre nuovi studi sugli effetti prodotti dagli incentivi fiscali al settore della ricerca e sviluppo e dell'innovazione ai fini del miglioramento della competitività europea sulla scena mondiale, conformemente alle proposte della relazione Draghi;</w:t>
            </w:r>
            <w:r w:rsidRPr="001A4499">
              <w:rPr>
                <w:b/>
                <w:i/>
              </w:rPr>
              <w:t xml:space="preserve"> e la invi</w:t>
            </w:r>
            <w:r w:rsidRPr="001A4499">
              <w:rPr>
                <w:b/>
                <w:i/>
              </w:rPr>
              <w:t xml:space="preserve">ta ad esplorare meccanismi come i crediti </w:t>
            </w:r>
            <w:r w:rsidRPr="001A4499">
              <w:rPr>
                <w:b/>
                <w:i/>
              </w:rPr>
              <w:lastRenderedPageBreak/>
              <w:t>d'imposta trasferibili per migliorare l'accessibilità e l'efficacia di tali incentivi, in particolare per le start-up e le società con responsabilità fiscale limitata;</w:t>
            </w:r>
            <w:r w:rsidRPr="001A4499">
              <w:t xml:space="preserve"> chiede un rafforzamento della cooperazione e d</w:t>
            </w:r>
            <w:r w:rsidRPr="001A4499">
              <w:t>ella fiducia tra gli Stati membri, teso a promuovere condizioni di parità per il commercio elettronico, i servizi digitali e altri settori in rapida crescita;</w:t>
            </w:r>
          </w:p>
        </w:tc>
      </w:tr>
    </w:tbl>
    <w:p w:rsidR="00D20070" w:rsidRPr="001A4499" w:rsidRDefault="00FF5B9D" w:rsidP="00D20070">
      <w:pPr>
        <w:pStyle w:val="AmOrLang"/>
        <w:rPr>
          <w:lang w:eastAsia="en-US"/>
        </w:rPr>
      </w:pPr>
      <w:r w:rsidRPr="001A4499">
        <w:lastRenderedPageBreak/>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239</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w:t>
      </w:r>
      <w:r w:rsidRPr="001A4499">
        <w:rPr>
          <w:rStyle w:val="HideTWBExt"/>
          <w:b w:val="0"/>
          <w:color w:val="auto"/>
        </w:rPr>
        <w:t>&lt;Members&gt;</w:t>
      </w:r>
      <w:r w:rsidRPr="001A4499">
        <w:t>Billy Kelleher, Stéphanie Yon-Courtin</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20</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hideMark/>
          </w:tcPr>
          <w:p w:rsidR="00D20070" w:rsidRPr="001A4499" w:rsidRDefault="00FF5B9D">
            <w:pPr>
              <w:pStyle w:val="Normal6a"/>
            </w:pPr>
            <w:r w:rsidRPr="001A4499">
              <w:t>20.</w:t>
            </w:r>
            <w:r w:rsidRPr="001A4499">
              <w:tab/>
            </w:r>
            <w:r w:rsidRPr="001A4499">
              <w:t>invita la Commissione a condurre nuovi studi sugli effetti prodotti dagli incentivi fiscali al settore della ricerca e sviluppo e dell'innovazione ai fini del miglioramento della competitività europea sulla scena mondiale, conformemente alle proposte della</w:t>
            </w:r>
            <w:r w:rsidRPr="001A4499">
              <w:t xml:space="preserve"> relazione Draghi; chiede un rafforzamento della cooperazione e della fiducia tra gli Stati membri, teso a promuovere condizioni di parità per il commercio elettronico, i servizi digitali e altri settori in rapida crescita;</w:t>
            </w:r>
          </w:p>
        </w:tc>
        <w:tc>
          <w:tcPr>
            <w:tcW w:w="4876" w:type="dxa"/>
            <w:tcBorders>
              <w:top w:val="nil"/>
              <w:left w:val="nil"/>
              <w:bottom w:val="nil"/>
              <w:right w:val="nil"/>
            </w:tcBorders>
            <w:hideMark/>
          </w:tcPr>
          <w:p w:rsidR="00D20070" w:rsidRPr="001A4499" w:rsidRDefault="00FF5B9D">
            <w:pPr>
              <w:pStyle w:val="Normal6a"/>
            </w:pPr>
            <w:r w:rsidRPr="001A4499">
              <w:t>20.</w:t>
            </w:r>
            <w:r w:rsidRPr="001A4499">
              <w:tab/>
              <w:t>invita la Commissione a cond</w:t>
            </w:r>
            <w:r w:rsidRPr="001A4499">
              <w:t xml:space="preserve">urre nuovi studi sugli effetti prodotti dagli incentivi fiscali al settore della ricerca e sviluppo e dell'innovazione ai fini del miglioramento della competitività europea sulla scena mondiale, conformemente alle proposte della relazione Draghi; </w:t>
            </w:r>
            <w:r w:rsidRPr="001A4499">
              <w:rPr>
                <w:b/>
                <w:i/>
              </w:rPr>
              <w:t>esorta gl</w:t>
            </w:r>
            <w:r w:rsidRPr="001A4499">
              <w:rPr>
                <w:b/>
                <w:i/>
              </w:rPr>
              <w:t>i Stati membri a considerare i potenziali vantaggi di un migliore coordinamento e coerenza degli incentivi fiscali per l'innovazione al fine di incoraggiare progetti e collaborazioni transfrontalieri; sottolinea che sarebbe prudente allineare gli incentivi</w:t>
            </w:r>
            <w:r w:rsidRPr="001A4499">
              <w:rPr>
                <w:b/>
                <w:i/>
              </w:rPr>
              <w:t xml:space="preserve"> all'innovazione e alla R&amp;S con gli incentivi agli investimenti;</w:t>
            </w:r>
            <w:r w:rsidRPr="001A4499">
              <w:t xml:space="preserve"> chiede un rafforzamento della cooperazione e della fiducia tra gli Stati membri, teso a promuovere condizioni di parità per il commercio elettronico, i servizi digitali e altri settori in rap</w:t>
            </w:r>
            <w:r w:rsidRPr="001A4499">
              <w:t>ida crescita;</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240</w:t>
      </w:r>
      <w:r w:rsidRPr="001A4499">
        <w:rPr>
          <w:rStyle w:val="HideTWBExt"/>
          <w:color w:val="auto"/>
        </w:rPr>
        <w:t>&lt;/NumAm&gt;</w:t>
      </w:r>
    </w:p>
    <w:p w:rsidR="00D20070" w:rsidRPr="001A4499" w:rsidRDefault="00FF5B9D" w:rsidP="00D20070">
      <w:pPr>
        <w:pStyle w:val="NormalBold"/>
      </w:pPr>
      <w:r w:rsidRPr="001A4499">
        <w:rPr>
          <w:rStyle w:val="HideTWBExt"/>
          <w:b w:val="0"/>
          <w:color w:val="auto"/>
        </w:rPr>
        <w:lastRenderedPageBreak/>
        <w:t>&lt;RepeatBlock-By&gt;&lt;Members&gt;</w:t>
      </w:r>
      <w:r w:rsidRPr="001A4499">
        <w:t>Michalis Hadjipantela</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20 bis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20 bis.</w:t>
            </w:r>
            <w:r w:rsidRPr="001A4499">
              <w:tab/>
            </w:r>
            <w:r w:rsidRPr="001A4499">
              <w:rPr>
                <w:b/>
                <w:i/>
              </w:rPr>
              <w:t xml:space="preserve">sottolinea che l'innovazione è un motore fondamentale della crescita economica, della competitività globale e del benessere; </w:t>
            </w:r>
            <w:r w:rsidRPr="001A4499">
              <w:rPr>
                <w:b/>
                <w:i/>
              </w:rPr>
              <w:t xml:space="preserve">sottolinea che la promozione degli investimenti in R&amp;S dovrebbe essere uno dei principali obiettivi dell'UE; fa presente che, in ragione dell'attuale contesto economico e geopolitico, gli Stati membri dovrebbero avere la flessibilità di adottare incentivi </w:t>
            </w:r>
            <w:r w:rsidRPr="001A4499">
              <w:rPr>
                <w:b/>
                <w:i/>
              </w:rPr>
              <w:t>mirati che stimolino gli investimenti, la crescita e migliorino la competitività europea sulla scena mondiale, conformemente alle proposte della relazione Draghi; sottolinea la necessità di una maggiore disponibilità di incentivi fiscali, quali agevolazion</w:t>
            </w:r>
            <w:r w:rsidRPr="001A4499">
              <w:rPr>
                <w:b/>
                <w:i/>
              </w:rPr>
              <w:t>i fiscali significative, crediti, ammortamenti accelerati e superdetrazioni</w:t>
            </w:r>
            <w:r w:rsidRPr="001A4499">
              <w:rPr>
                <w:b/>
                <w:i/>
                <w:vertAlign w:val="superscript"/>
              </w:rPr>
              <w:t>1 bis</w:t>
            </w:r>
            <w:r w:rsidRPr="001A4499">
              <w:rPr>
                <w:b/>
                <w:i/>
              </w:rPr>
              <w:t>; invita, a tale riguardo, la Commissione a formulare raccomandazioni e a integrare adeguatamente gli incentivi fiscali, anche in materia di R&amp;S, nel quadro del secondo pilastr</w:t>
            </w:r>
            <w:r w:rsidRPr="001A4499">
              <w:rPr>
                <w:b/>
                <w:i/>
              </w:rPr>
              <w:t>o;</w:t>
            </w:r>
          </w:p>
        </w:tc>
      </w:tr>
      <w:tr w:rsidR="001A4499" w:rsidRPr="001A4499" w:rsidTr="00D20070">
        <w:trPr>
          <w:jc w:val="center"/>
        </w:trPr>
        <w:tc>
          <w:tcPr>
            <w:tcW w:w="4876" w:type="dxa"/>
            <w:tcBorders>
              <w:top w:val="nil"/>
              <w:left w:val="nil"/>
              <w:bottom w:val="nil"/>
              <w:right w:val="nil"/>
            </w:tcBorders>
          </w:tcPr>
          <w:p w:rsidR="00D20070" w:rsidRPr="001A4499" w:rsidRDefault="00D20070"/>
        </w:tc>
        <w:tc>
          <w:tcPr>
            <w:tcW w:w="4876" w:type="dxa"/>
            <w:tcBorders>
              <w:top w:val="nil"/>
              <w:left w:val="nil"/>
              <w:bottom w:val="nil"/>
              <w:right w:val="nil"/>
            </w:tcBorders>
            <w:hideMark/>
          </w:tcPr>
          <w:p w:rsidR="00D20070" w:rsidRPr="001A4499" w:rsidRDefault="00FF5B9D">
            <w:pPr>
              <w:pStyle w:val="Normal6a"/>
            </w:pPr>
            <w:r w:rsidRPr="001A4499">
              <w:rPr>
                <w:b/>
                <w:i/>
              </w:rPr>
              <w:t>_________________</w:t>
            </w:r>
          </w:p>
        </w:tc>
      </w:tr>
      <w:tr w:rsidR="001A4499" w:rsidRPr="001A4499" w:rsidTr="00D20070">
        <w:trPr>
          <w:jc w:val="center"/>
        </w:trPr>
        <w:tc>
          <w:tcPr>
            <w:tcW w:w="4876" w:type="dxa"/>
            <w:tcBorders>
              <w:top w:val="nil"/>
              <w:left w:val="nil"/>
              <w:bottom w:val="nil"/>
              <w:right w:val="nil"/>
            </w:tcBorders>
          </w:tcPr>
          <w:p w:rsidR="00D20070" w:rsidRPr="001A4499" w:rsidRDefault="00D20070"/>
        </w:tc>
        <w:tc>
          <w:tcPr>
            <w:tcW w:w="4876" w:type="dxa"/>
            <w:tcBorders>
              <w:top w:val="nil"/>
              <w:left w:val="nil"/>
              <w:bottom w:val="nil"/>
              <w:right w:val="nil"/>
            </w:tcBorders>
            <w:hideMark/>
          </w:tcPr>
          <w:p w:rsidR="00D20070" w:rsidRPr="001A4499" w:rsidRDefault="00FF5B9D">
            <w:pPr>
              <w:pStyle w:val="Normal6a"/>
            </w:pPr>
            <w:r w:rsidRPr="001A4499">
              <w:rPr>
                <w:b/>
                <w:i/>
                <w:vertAlign w:val="superscript"/>
              </w:rPr>
              <w:t>1 bis</w:t>
            </w:r>
            <w:r w:rsidRPr="001A4499">
              <w:t xml:space="preserve"> </w:t>
            </w:r>
            <w:r w:rsidRPr="001A4499">
              <w:rPr>
                <w:b/>
                <w:i/>
              </w:rPr>
              <w:t xml:space="preserve">Audizione pubblica "Simplification and transparency: </w:t>
            </w:r>
            <w:r w:rsidRPr="001A4499">
              <w:rPr>
                <w:b/>
                <w:i/>
              </w:rPr>
              <w:t>Role of simplified tax policy to encourage growth, job creation, competitiveness and cross-border business within the EU" (Il ruolo della politica fiscale semplificata per incoraggiare la crescita, la creazione di posti di lavoro, la competitività e le imp</w:t>
            </w:r>
            <w:r w:rsidRPr="001A4499">
              <w:rPr>
                <w:b/>
                <w:i/>
              </w:rPr>
              <w:t>rese transfrontaliere all'interno dell'UE), https://www.europarl.europa.eu/cmsdata/290198/Christiana%20HJI%20Panayi%20-%20Statement.pdf</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lastRenderedPageBreak/>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241</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Niels Fuglsang</w:t>
      </w:r>
      <w:r w:rsidRPr="001A4499">
        <w:t>, Matthias Ecke, Bruno Gonçalves, Aurore Lalucq, Evelyn Regner</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20 bis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20 bis.</w:t>
            </w:r>
            <w:r w:rsidRPr="001A4499">
              <w:tab/>
            </w:r>
            <w:r w:rsidRPr="001A4499">
              <w:rPr>
                <w:b/>
                <w:i/>
              </w:rPr>
              <w:t>esorta la Commissione a rivedere la portata dell'azione dell'UE sull'equa tassazione dell'economia digitale alla luce dei recenti sviluppi politici nel quadro del secondo pilastro dell'OCSE; ricorda che la frammentazione dei regimi di tassazione dei serviz</w:t>
            </w:r>
            <w:r w:rsidRPr="001A4499">
              <w:rPr>
                <w:b/>
                <w:i/>
              </w:rPr>
              <w:t>i digitali negli Stati membri rischia di compromettere il mercato interno e di creare ulteriore complessità e incertezza giuridica; chiede di prendere nuovamente in considerazione un prelievo dell'UE sul digitale che garantisca un approccio comune in mater</w:t>
            </w:r>
            <w:r w:rsidRPr="001A4499">
              <w:rPr>
                <w:b/>
                <w:i/>
              </w:rPr>
              <w:t>ia di tassazione del settore digitale e rafforzi la competitività globale dell'UE stabilendo la certezza del diritto e condizioni di parità per le imprese digitali che operano all'interno dell'Unione;</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242</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Billy Kelleher, Stéphanie Yon-Courtin</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20 bis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20 bis.</w:t>
            </w:r>
            <w:r w:rsidRPr="001A4499">
              <w:tab/>
            </w:r>
            <w:r w:rsidRPr="001A4499">
              <w:rPr>
                <w:b/>
                <w:i/>
              </w:rPr>
              <w:t>ricorda gli impegni dell'UE in materia di cambiamenti climatici</w:t>
            </w:r>
            <w:r w:rsidRPr="001A4499">
              <w:rPr>
                <w:b/>
                <w:i/>
                <w:vertAlign w:val="superscript"/>
              </w:rPr>
              <w:t>1 bis</w:t>
            </w:r>
            <w:r w:rsidRPr="001A4499">
              <w:rPr>
                <w:b/>
                <w:i/>
              </w:rPr>
              <w:t xml:space="preserve"> e il costante sostegno del Parlamento a tali obiettivi; sottolinea l'ambizione e la necessità di tali obiettivi ed evidenzia la stima della Commissione secondo cui </w:t>
            </w:r>
            <w:r w:rsidRPr="001A4499">
              <w:rPr>
                <w:b/>
                <w:i/>
              </w:rPr>
              <w:lastRenderedPageBreak/>
              <w:t xml:space="preserve">sono necessari </w:t>
            </w:r>
            <w:r w:rsidRPr="001A4499">
              <w:rPr>
                <w:b/>
                <w:i/>
              </w:rPr>
              <w:t>ulteriori 477 miliardi di EUR di investimenti verdi all'anno per consentire all'UE di rispettare i suoi impegni in materia di cambiamenti climatici</w:t>
            </w:r>
            <w:r w:rsidRPr="001A4499">
              <w:rPr>
                <w:b/>
                <w:i/>
                <w:vertAlign w:val="superscript"/>
              </w:rPr>
              <w:t>1 ter</w:t>
            </w:r>
            <w:r w:rsidRPr="001A4499">
              <w:rPr>
                <w:b/>
                <w:i/>
              </w:rPr>
              <w:t xml:space="preserve">; esorta, in tale contesto, la Commissione e gli Stati membri a prendere in considerazione i potenziali </w:t>
            </w:r>
            <w:r w:rsidRPr="001A4499">
              <w:rPr>
                <w:b/>
                <w:i/>
              </w:rPr>
              <w:t>benefici degli incentivi fiscali per gli investimenti verdi; osserva che tali misure non dovrebbero riguardare solo determinati settori, in modo da contribuire a incentivare una transizione più generale verso attività economiche più sostenibili;</w:t>
            </w:r>
          </w:p>
        </w:tc>
      </w:tr>
      <w:tr w:rsidR="001A4499" w:rsidRPr="001A4499" w:rsidTr="00D20070">
        <w:trPr>
          <w:jc w:val="center"/>
        </w:trPr>
        <w:tc>
          <w:tcPr>
            <w:tcW w:w="4876" w:type="dxa"/>
            <w:tcBorders>
              <w:top w:val="nil"/>
              <w:left w:val="nil"/>
              <w:bottom w:val="nil"/>
              <w:right w:val="nil"/>
            </w:tcBorders>
          </w:tcPr>
          <w:p w:rsidR="00D20070" w:rsidRPr="001A4499" w:rsidRDefault="00D20070"/>
        </w:tc>
        <w:tc>
          <w:tcPr>
            <w:tcW w:w="4876" w:type="dxa"/>
            <w:tcBorders>
              <w:top w:val="nil"/>
              <w:left w:val="nil"/>
              <w:bottom w:val="nil"/>
              <w:right w:val="nil"/>
            </w:tcBorders>
            <w:hideMark/>
          </w:tcPr>
          <w:p w:rsidR="00D20070" w:rsidRPr="001A4499" w:rsidRDefault="00FF5B9D">
            <w:pPr>
              <w:pStyle w:val="Normal6a"/>
            </w:pPr>
            <w:r w:rsidRPr="001A4499">
              <w:rPr>
                <w:b/>
                <w:i/>
              </w:rPr>
              <w:t>_________________</w:t>
            </w:r>
          </w:p>
        </w:tc>
      </w:tr>
      <w:tr w:rsidR="001A4499" w:rsidRPr="001A4499" w:rsidTr="00D20070">
        <w:trPr>
          <w:jc w:val="center"/>
        </w:trPr>
        <w:tc>
          <w:tcPr>
            <w:tcW w:w="4876" w:type="dxa"/>
            <w:tcBorders>
              <w:top w:val="nil"/>
              <w:left w:val="nil"/>
              <w:bottom w:val="nil"/>
              <w:right w:val="nil"/>
            </w:tcBorders>
          </w:tcPr>
          <w:p w:rsidR="00D20070" w:rsidRPr="001A4499" w:rsidRDefault="00D20070"/>
        </w:tc>
        <w:tc>
          <w:tcPr>
            <w:tcW w:w="4876" w:type="dxa"/>
            <w:tcBorders>
              <w:top w:val="nil"/>
              <w:left w:val="nil"/>
              <w:bottom w:val="nil"/>
              <w:right w:val="nil"/>
            </w:tcBorders>
            <w:hideMark/>
          </w:tcPr>
          <w:p w:rsidR="00D20070" w:rsidRPr="001A4499" w:rsidRDefault="00FF5B9D">
            <w:pPr>
              <w:pStyle w:val="Normal6a"/>
            </w:pPr>
            <w:r w:rsidRPr="001A4499">
              <w:rPr>
                <w:b/>
                <w:i/>
                <w:vertAlign w:val="superscript"/>
              </w:rPr>
              <w:t>1 bis</w:t>
            </w:r>
            <w:r w:rsidRPr="001A4499">
              <w:t xml:space="preserve"> </w:t>
            </w:r>
            <w:r w:rsidRPr="001A4499">
              <w:rPr>
                <w:b/>
                <w:i/>
              </w:rPr>
              <w:t>Normativa europea sul clima (regolamento (UE) 2021/1119)</w:t>
            </w:r>
          </w:p>
        </w:tc>
      </w:tr>
      <w:tr w:rsidR="001A4499" w:rsidRPr="001A4499" w:rsidTr="00D20070">
        <w:trPr>
          <w:jc w:val="center"/>
        </w:trPr>
        <w:tc>
          <w:tcPr>
            <w:tcW w:w="4876" w:type="dxa"/>
            <w:tcBorders>
              <w:top w:val="nil"/>
              <w:left w:val="nil"/>
              <w:bottom w:val="nil"/>
              <w:right w:val="nil"/>
            </w:tcBorders>
          </w:tcPr>
          <w:p w:rsidR="00D20070" w:rsidRPr="001A4499" w:rsidRDefault="00D20070"/>
        </w:tc>
        <w:tc>
          <w:tcPr>
            <w:tcW w:w="4876" w:type="dxa"/>
            <w:tcBorders>
              <w:top w:val="nil"/>
              <w:left w:val="nil"/>
              <w:bottom w:val="nil"/>
              <w:right w:val="nil"/>
            </w:tcBorders>
            <w:hideMark/>
          </w:tcPr>
          <w:p w:rsidR="00D20070" w:rsidRPr="001A4499" w:rsidRDefault="00FF5B9D">
            <w:pPr>
              <w:pStyle w:val="Normal6a"/>
            </w:pPr>
            <w:r w:rsidRPr="001A4499">
              <w:rPr>
                <w:b/>
                <w:i/>
                <w:vertAlign w:val="superscript"/>
              </w:rPr>
              <w:t>1 ter</w:t>
            </w:r>
            <w:r w:rsidRPr="001A4499">
              <w:t xml:space="preserve"> </w:t>
            </w:r>
            <w:r w:rsidRPr="001A4499">
              <w:rPr>
                <w:b/>
                <w:i/>
              </w:rPr>
              <w:t>Commissione europea, documento di lavoro dei servizi della Commissione, 2023, "Investment needs assessment and funding availabilities to strengthen EU’s Net-Zero tec</w:t>
            </w:r>
            <w:r w:rsidRPr="001A4499">
              <w:rPr>
                <w:b/>
                <w:i/>
              </w:rPr>
              <w:t>hnology manufacturing capacity" (Valutazione delle esigenze di investimento e disponibilità di fondi per rafforzare la capacità di produzione di tecnologie a zero emissioni nette dell'UE) https://single-market-economy.ec.europa.eu/system/files/2023-03/SWD_</w:t>
            </w:r>
            <w:r w:rsidRPr="001A4499">
              <w:rPr>
                <w:b/>
                <w:i/>
              </w:rPr>
              <w:t>2023_68_F1_STAFF_WORKING_PAPER_EN_V4_P1_2629849.PDF</w:t>
            </w:r>
          </w:p>
        </w:tc>
      </w:tr>
    </w:tbl>
    <w:p w:rsidR="00D20070" w:rsidRPr="001A4499" w:rsidRDefault="00FF5B9D" w:rsidP="00D20070">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D20070" w:rsidRPr="001A4499" w:rsidRDefault="00FF5B9D" w:rsidP="00D20070">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243</w:t>
      </w:r>
      <w:r w:rsidRPr="001A4499">
        <w:rPr>
          <w:rStyle w:val="HideTWBExt"/>
          <w:color w:val="auto"/>
        </w:rPr>
        <w:t>&lt;/NumAm&gt;</w:t>
      </w:r>
    </w:p>
    <w:p w:rsidR="00D20070" w:rsidRPr="001A4499" w:rsidRDefault="00FF5B9D" w:rsidP="00D20070">
      <w:pPr>
        <w:pStyle w:val="NormalBold"/>
      </w:pPr>
      <w:r w:rsidRPr="001A4499">
        <w:rPr>
          <w:rStyle w:val="HideTWBExt"/>
          <w:b w:val="0"/>
          <w:color w:val="auto"/>
        </w:rPr>
        <w:t>&lt;RepeatBlock-By&gt;&lt;Members&gt;</w:t>
      </w:r>
      <w:r w:rsidRPr="001A4499">
        <w:t>Michalis Hadjipantela</w:t>
      </w:r>
      <w:r w:rsidRPr="001A4499">
        <w:rPr>
          <w:rStyle w:val="HideTWBExt"/>
          <w:b w:val="0"/>
          <w:color w:val="auto"/>
        </w:rPr>
        <w:t>&lt;/Members&gt;</w:t>
      </w:r>
    </w:p>
    <w:p w:rsidR="00D20070" w:rsidRPr="001A4499" w:rsidRDefault="00FF5B9D" w:rsidP="00D20070">
      <w:pPr>
        <w:pStyle w:val="NormalBold"/>
      </w:pPr>
      <w:r w:rsidRPr="001A4499">
        <w:rPr>
          <w:rStyle w:val="HideTWBExt"/>
          <w:b w:val="0"/>
          <w:color w:val="auto"/>
        </w:rPr>
        <w:t>&lt;/RepeatBlock-By&gt;</w:t>
      </w:r>
    </w:p>
    <w:p w:rsidR="00D20070" w:rsidRPr="001A4499" w:rsidRDefault="00FF5B9D" w:rsidP="00D20070">
      <w:pPr>
        <w:pStyle w:val="NormalBold"/>
      </w:pPr>
      <w:r w:rsidRPr="001A4499">
        <w:rPr>
          <w:rStyle w:val="HideTWBExt"/>
          <w:color w:val="auto"/>
        </w:rPr>
        <w:t>&lt;DocAmend&gt;</w:t>
      </w:r>
      <w:r w:rsidRPr="001A4499">
        <w:t>Proposta di risoluzione</w:t>
      </w:r>
      <w:r w:rsidRPr="001A4499">
        <w:rPr>
          <w:rStyle w:val="HideTWBExt"/>
          <w:color w:val="auto"/>
        </w:rPr>
        <w:t>&lt;/DocAmend&gt;</w:t>
      </w:r>
    </w:p>
    <w:p w:rsidR="00D20070" w:rsidRPr="001A4499" w:rsidRDefault="00FF5B9D" w:rsidP="00D20070">
      <w:pPr>
        <w:pStyle w:val="NormalBold"/>
      </w:pPr>
      <w:r w:rsidRPr="001A4499">
        <w:rPr>
          <w:rStyle w:val="HideTWBExt"/>
          <w:color w:val="auto"/>
        </w:rPr>
        <w:t>&lt;Article&gt;</w:t>
      </w:r>
      <w:r w:rsidRPr="001A4499">
        <w:t>Paragrafo 20 ter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D20070">
        <w:trPr>
          <w:trHeight w:val="240"/>
          <w:jc w:val="center"/>
        </w:trPr>
        <w:tc>
          <w:tcPr>
            <w:tcW w:w="9752" w:type="dxa"/>
            <w:gridSpan w:val="2"/>
            <w:tcBorders>
              <w:top w:val="nil"/>
              <w:left w:val="nil"/>
              <w:bottom w:val="nil"/>
              <w:right w:val="nil"/>
            </w:tcBorders>
          </w:tcPr>
          <w:p w:rsidR="00D20070" w:rsidRPr="001A4499" w:rsidRDefault="00D20070"/>
        </w:tc>
      </w:tr>
      <w:tr w:rsidR="001A4499" w:rsidRPr="001A4499" w:rsidTr="00D20070">
        <w:trPr>
          <w:trHeight w:val="240"/>
          <w:jc w:val="center"/>
        </w:trPr>
        <w:tc>
          <w:tcPr>
            <w:tcW w:w="4876" w:type="dxa"/>
            <w:tcBorders>
              <w:top w:val="nil"/>
              <w:left w:val="nil"/>
              <w:bottom w:val="nil"/>
              <w:right w:val="nil"/>
            </w:tcBorders>
            <w:hideMark/>
          </w:tcPr>
          <w:p w:rsidR="00D20070" w:rsidRPr="001A4499" w:rsidRDefault="00FF5B9D">
            <w:pPr>
              <w:pStyle w:val="AmColumnHeading"/>
            </w:pPr>
            <w:r w:rsidRPr="001A4499">
              <w:t>Proposta di risoluzione</w:t>
            </w:r>
          </w:p>
        </w:tc>
        <w:tc>
          <w:tcPr>
            <w:tcW w:w="4876" w:type="dxa"/>
            <w:tcBorders>
              <w:top w:val="nil"/>
              <w:left w:val="nil"/>
              <w:bottom w:val="nil"/>
              <w:right w:val="nil"/>
            </w:tcBorders>
            <w:hideMark/>
          </w:tcPr>
          <w:p w:rsidR="00D20070" w:rsidRPr="001A4499" w:rsidRDefault="00FF5B9D">
            <w:pPr>
              <w:pStyle w:val="AmColumnHeading"/>
            </w:pPr>
            <w:r w:rsidRPr="001A4499">
              <w:t>Emendamento</w:t>
            </w:r>
          </w:p>
        </w:tc>
      </w:tr>
      <w:tr w:rsidR="001A4499" w:rsidRPr="001A4499" w:rsidTr="00D20070">
        <w:trPr>
          <w:jc w:val="center"/>
        </w:trPr>
        <w:tc>
          <w:tcPr>
            <w:tcW w:w="4876" w:type="dxa"/>
            <w:tcBorders>
              <w:top w:val="nil"/>
              <w:left w:val="nil"/>
              <w:bottom w:val="nil"/>
              <w:right w:val="nil"/>
            </w:tcBorders>
          </w:tcPr>
          <w:p w:rsidR="00D20070" w:rsidRPr="001A4499" w:rsidRDefault="00D20070">
            <w:pPr>
              <w:pStyle w:val="Normal6a"/>
            </w:pPr>
          </w:p>
        </w:tc>
        <w:tc>
          <w:tcPr>
            <w:tcW w:w="4876" w:type="dxa"/>
            <w:tcBorders>
              <w:top w:val="nil"/>
              <w:left w:val="nil"/>
              <w:bottom w:val="nil"/>
              <w:right w:val="nil"/>
            </w:tcBorders>
            <w:hideMark/>
          </w:tcPr>
          <w:p w:rsidR="00D20070" w:rsidRPr="001A4499" w:rsidRDefault="00FF5B9D">
            <w:pPr>
              <w:pStyle w:val="Normal6a"/>
            </w:pPr>
            <w:r w:rsidRPr="001A4499">
              <w:rPr>
                <w:b/>
                <w:i/>
              </w:rPr>
              <w:t>20 ter.</w:t>
            </w:r>
            <w:r w:rsidRPr="001A4499">
              <w:tab/>
            </w:r>
            <w:r w:rsidRPr="001A4499">
              <w:rPr>
                <w:b/>
                <w:i/>
              </w:rPr>
              <w:t xml:space="preserve">sottolinea l'importanza di garantire che gli incentivi fiscali rimangano pienamente coerenti con l'attuale quadro dell'UE in materia di </w:t>
            </w:r>
            <w:r w:rsidRPr="001A4499">
              <w:rPr>
                <w:b/>
                <w:i/>
              </w:rPr>
              <w:lastRenderedPageBreak/>
              <w:t xml:space="preserve">aiuti di Stato; </w:t>
            </w:r>
            <w:r w:rsidRPr="001A4499">
              <w:rPr>
                <w:b/>
                <w:i/>
              </w:rPr>
              <w:t>sottolinea il valore della disciplina degli aiuti di Stato dell'UE nel preservare una concorrenza leale nel mercato interno e nel garantire la certezza del diritto e condizioni di parità per tutti gli Stati membri; prende atto dell'analisi in corso da part</w:t>
            </w:r>
            <w:r w:rsidRPr="001A4499">
              <w:rPr>
                <w:b/>
                <w:i/>
              </w:rPr>
              <w:t>e della Commissione di strumenti quali i crediti d'imposta trasferibili, al fine di sostenere gli investimenti senza compromettere la parità di condizioni;</w:t>
            </w:r>
          </w:p>
        </w:tc>
      </w:tr>
    </w:tbl>
    <w:p w:rsidR="00D20070" w:rsidRPr="001A4499" w:rsidRDefault="00FF5B9D" w:rsidP="00D20070">
      <w:pPr>
        <w:pStyle w:val="AmOrLang"/>
        <w:rPr>
          <w:lang w:eastAsia="en-US"/>
        </w:rPr>
      </w:pPr>
      <w:r w:rsidRPr="001A4499">
        <w:lastRenderedPageBreak/>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D20070" w:rsidRPr="001A4499" w:rsidRDefault="00FF5B9D" w:rsidP="00D20070">
      <w:r w:rsidRPr="001A4499">
        <w:rPr>
          <w:rStyle w:val="HideTWBExt"/>
          <w:color w:val="auto"/>
        </w:rPr>
        <w:t>&lt;/Amend&gt;</w:t>
      </w:r>
    </w:p>
    <w:p w:rsidR="00CD1EB9" w:rsidRPr="001A4499" w:rsidRDefault="00FF5B9D" w:rsidP="00CD1EB9">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244</w:t>
      </w:r>
      <w:r w:rsidRPr="001A4499">
        <w:rPr>
          <w:rStyle w:val="HideTWBExt"/>
          <w:color w:val="auto"/>
        </w:rPr>
        <w:t>&lt;/NumAm&gt;</w:t>
      </w:r>
    </w:p>
    <w:p w:rsidR="00CD1EB9" w:rsidRPr="001A4499" w:rsidRDefault="00FF5B9D" w:rsidP="00CD1EB9">
      <w:pPr>
        <w:pStyle w:val="NormalBold"/>
      </w:pPr>
      <w:r w:rsidRPr="001A4499">
        <w:rPr>
          <w:rStyle w:val="HideTWBExt"/>
          <w:b w:val="0"/>
          <w:color w:val="auto"/>
        </w:rPr>
        <w:t>&lt;RepeatBlock-By&gt;&lt;Me</w:t>
      </w:r>
      <w:r w:rsidRPr="001A4499">
        <w:rPr>
          <w:rStyle w:val="HideTWBExt"/>
          <w:b w:val="0"/>
          <w:color w:val="auto"/>
        </w:rPr>
        <w:t>mbers&gt;</w:t>
      </w:r>
      <w:r w:rsidRPr="001A4499">
        <w:t>Kira Marie Peter-Hansen</w:t>
      </w:r>
      <w:r w:rsidRPr="001A4499">
        <w:rPr>
          <w:rStyle w:val="HideTWBExt"/>
          <w:b w:val="0"/>
          <w:color w:val="auto"/>
        </w:rPr>
        <w:t>&lt;/Members&gt;</w:t>
      </w:r>
    </w:p>
    <w:p w:rsidR="00CD1EB9" w:rsidRPr="001A4499" w:rsidRDefault="00FF5B9D" w:rsidP="00CD1EB9">
      <w:pPr>
        <w:pStyle w:val="NormalBold"/>
      </w:pPr>
      <w:r w:rsidRPr="001A4499">
        <w:rPr>
          <w:rStyle w:val="HideTWBExt"/>
          <w:b w:val="0"/>
          <w:color w:val="auto"/>
        </w:rPr>
        <w:t>&lt;/RepeatBlock-By&gt;</w:t>
      </w:r>
    </w:p>
    <w:p w:rsidR="00CD1EB9" w:rsidRPr="001A4499" w:rsidRDefault="00FF5B9D" w:rsidP="00CD1EB9">
      <w:pPr>
        <w:pStyle w:val="NormalBold"/>
      </w:pPr>
      <w:r w:rsidRPr="001A4499">
        <w:rPr>
          <w:rStyle w:val="HideTWBExt"/>
          <w:color w:val="auto"/>
        </w:rPr>
        <w:t>&lt;DocAmend&gt;</w:t>
      </w:r>
      <w:r w:rsidRPr="001A4499">
        <w:t>Proposta di risoluzione</w:t>
      </w:r>
      <w:r w:rsidRPr="001A4499">
        <w:rPr>
          <w:rStyle w:val="HideTWBExt"/>
          <w:color w:val="auto"/>
        </w:rPr>
        <w:t>&lt;/DocAmend&gt;</w:t>
      </w:r>
    </w:p>
    <w:p w:rsidR="00CD1EB9" w:rsidRPr="001A4499" w:rsidRDefault="00FF5B9D" w:rsidP="00CD1EB9">
      <w:pPr>
        <w:pStyle w:val="NormalBold"/>
      </w:pPr>
      <w:r w:rsidRPr="001A4499">
        <w:rPr>
          <w:rStyle w:val="HideTWBExt"/>
          <w:color w:val="auto"/>
        </w:rPr>
        <w:t>&lt;Article&gt;</w:t>
      </w:r>
      <w:r w:rsidRPr="001A4499">
        <w:t>Sottotitolo 8 bis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C4069E">
        <w:trPr>
          <w:trHeight w:val="240"/>
          <w:jc w:val="center"/>
        </w:trPr>
        <w:tc>
          <w:tcPr>
            <w:tcW w:w="9752" w:type="dxa"/>
            <w:gridSpan w:val="2"/>
            <w:tcBorders>
              <w:top w:val="nil"/>
              <w:left w:val="nil"/>
              <w:bottom w:val="nil"/>
              <w:right w:val="nil"/>
            </w:tcBorders>
          </w:tcPr>
          <w:p w:rsidR="00CD1EB9" w:rsidRPr="001A4499" w:rsidRDefault="00CD1EB9" w:rsidP="00C4069E"/>
        </w:tc>
      </w:tr>
      <w:tr w:rsidR="001A4499" w:rsidRPr="001A4499" w:rsidTr="00C4069E">
        <w:trPr>
          <w:trHeight w:val="240"/>
          <w:jc w:val="center"/>
        </w:trPr>
        <w:tc>
          <w:tcPr>
            <w:tcW w:w="4876" w:type="dxa"/>
            <w:tcBorders>
              <w:top w:val="nil"/>
              <w:left w:val="nil"/>
              <w:bottom w:val="nil"/>
              <w:right w:val="nil"/>
            </w:tcBorders>
            <w:hideMark/>
          </w:tcPr>
          <w:p w:rsidR="00CD1EB9" w:rsidRPr="001A4499" w:rsidRDefault="00FF5B9D" w:rsidP="00C4069E">
            <w:pPr>
              <w:pStyle w:val="AmColumnHeading"/>
            </w:pPr>
            <w:r w:rsidRPr="001A4499">
              <w:t>Proposta di risoluzione</w:t>
            </w:r>
          </w:p>
        </w:tc>
        <w:tc>
          <w:tcPr>
            <w:tcW w:w="4876" w:type="dxa"/>
            <w:tcBorders>
              <w:top w:val="nil"/>
              <w:left w:val="nil"/>
              <w:bottom w:val="nil"/>
              <w:right w:val="nil"/>
            </w:tcBorders>
            <w:hideMark/>
          </w:tcPr>
          <w:p w:rsidR="00CD1EB9" w:rsidRPr="001A4499" w:rsidRDefault="00FF5B9D" w:rsidP="00C4069E">
            <w:pPr>
              <w:pStyle w:val="AmColumnHeading"/>
            </w:pPr>
            <w:r w:rsidRPr="001A4499">
              <w:t>Emendamento</w:t>
            </w:r>
          </w:p>
        </w:tc>
      </w:tr>
      <w:tr w:rsidR="001A4499" w:rsidRPr="001A4499" w:rsidTr="00C4069E">
        <w:trPr>
          <w:jc w:val="center"/>
        </w:trPr>
        <w:tc>
          <w:tcPr>
            <w:tcW w:w="4876" w:type="dxa"/>
            <w:tcBorders>
              <w:top w:val="nil"/>
              <w:left w:val="nil"/>
              <w:bottom w:val="nil"/>
              <w:right w:val="nil"/>
            </w:tcBorders>
          </w:tcPr>
          <w:p w:rsidR="00CD1EB9" w:rsidRPr="001A4499" w:rsidRDefault="00CD1EB9" w:rsidP="00C4069E">
            <w:pPr>
              <w:pStyle w:val="Normal6a"/>
            </w:pPr>
          </w:p>
        </w:tc>
        <w:tc>
          <w:tcPr>
            <w:tcW w:w="4876" w:type="dxa"/>
            <w:tcBorders>
              <w:top w:val="nil"/>
              <w:left w:val="nil"/>
              <w:bottom w:val="nil"/>
              <w:right w:val="nil"/>
            </w:tcBorders>
            <w:hideMark/>
          </w:tcPr>
          <w:p w:rsidR="00CD1EB9" w:rsidRPr="001A4499" w:rsidRDefault="00FF5B9D" w:rsidP="00C4069E">
            <w:pPr>
              <w:pStyle w:val="Normal6a"/>
            </w:pPr>
            <w:r w:rsidRPr="001A4499">
              <w:rPr>
                <w:b/>
                <w:i/>
              </w:rPr>
              <w:t>Tassazione dell'energia</w:t>
            </w:r>
          </w:p>
        </w:tc>
      </w:tr>
    </w:tbl>
    <w:p w:rsidR="00CD1EB9" w:rsidRPr="001A4499" w:rsidRDefault="00FF5B9D" w:rsidP="00CD1EB9">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CD1EB9" w:rsidRPr="001A4499" w:rsidRDefault="00FF5B9D" w:rsidP="00CD1EB9">
      <w:r w:rsidRPr="001A4499">
        <w:rPr>
          <w:rStyle w:val="HideTWBExt"/>
          <w:color w:val="auto"/>
        </w:rPr>
        <w:t>&lt;/Amend&gt;</w:t>
      </w:r>
    </w:p>
    <w:p w:rsidR="00085D92" w:rsidRPr="001A4499" w:rsidRDefault="00FF5B9D" w:rsidP="00085D92">
      <w:pPr>
        <w:pStyle w:val="AmNumberTabs"/>
      </w:pPr>
      <w:r w:rsidRPr="001A4499">
        <w:rPr>
          <w:rStyle w:val="HideTWBExt"/>
          <w:color w:val="auto"/>
        </w:rPr>
        <w:t>&lt;Amend&gt;</w:t>
      </w:r>
      <w:r w:rsidRPr="001A4499">
        <w:t>Emendamento</w:t>
      </w:r>
      <w:r w:rsidRPr="001A4499">
        <w:tab/>
      </w:r>
      <w:r w:rsidRPr="001A4499">
        <w:tab/>
      </w:r>
      <w:r w:rsidRPr="001A4499">
        <w:rPr>
          <w:rStyle w:val="HideTWBExt"/>
          <w:color w:val="auto"/>
        </w:rPr>
        <w:t>&lt;NumAm&gt;</w:t>
      </w:r>
      <w:r w:rsidRPr="001A4499">
        <w:t>245</w:t>
      </w:r>
      <w:r w:rsidRPr="001A4499">
        <w:rPr>
          <w:rStyle w:val="HideTWBExt"/>
          <w:color w:val="auto"/>
        </w:rPr>
        <w:t>&lt;/NumAm&gt;</w:t>
      </w:r>
    </w:p>
    <w:p w:rsidR="00085D92" w:rsidRPr="001A4499" w:rsidRDefault="00FF5B9D" w:rsidP="00085D92">
      <w:pPr>
        <w:pStyle w:val="NormalBold"/>
      </w:pPr>
      <w:r w:rsidRPr="001A4499">
        <w:rPr>
          <w:rStyle w:val="HideTWBExt"/>
          <w:b w:val="0"/>
          <w:color w:val="auto"/>
        </w:rPr>
        <w:t>&lt;RepeatBlock-By&gt;&lt;Members&gt;</w:t>
      </w:r>
      <w:r w:rsidRPr="001A4499">
        <w:t>Kira Marie Peter-Hansen</w:t>
      </w:r>
      <w:r w:rsidRPr="001A4499">
        <w:rPr>
          <w:rStyle w:val="HideTWBExt"/>
          <w:b w:val="0"/>
          <w:color w:val="auto"/>
        </w:rPr>
        <w:t>&lt;/Members&gt;</w:t>
      </w:r>
    </w:p>
    <w:p w:rsidR="00085D92" w:rsidRPr="001A4499" w:rsidRDefault="00FF5B9D" w:rsidP="00085D92">
      <w:pPr>
        <w:pStyle w:val="NormalBold"/>
      </w:pPr>
      <w:r w:rsidRPr="001A4499">
        <w:rPr>
          <w:rStyle w:val="HideTWBExt"/>
          <w:b w:val="0"/>
          <w:color w:val="auto"/>
        </w:rPr>
        <w:t>&lt;/RepeatBlock-By&gt;</w:t>
      </w:r>
    </w:p>
    <w:p w:rsidR="00085D92" w:rsidRPr="001A4499" w:rsidRDefault="00FF5B9D" w:rsidP="00085D92">
      <w:pPr>
        <w:pStyle w:val="NormalBold"/>
      </w:pPr>
      <w:r w:rsidRPr="001A4499">
        <w:rPr>
          <w:rStyle w:val="HideTWBExt"/>
          <w:color w:val="auto"/>
        </w:rPr>
        <w:t>&lt;DocAmend&gt;</w:t>
      </w:r>
      <w:r w:rsidRPr="001A4499">
        <w:t>Proposta di risoluzione</w:t>
      </w:r>
      <w:r w:rsidRPr="001A4499">
        <w:rPr>
          <w:rStyle w:val="HideTWBExt"/>
          <w:color w:val="auto"/>
        </w:rPr>
        <w:t>&lt;/DocAmend&gt;</w:t>
      </w:r>
    </w:p>
    <w:p w:rsidR="00085D92" w:rsidRPr="001A4499" w:rsidRDefault="00FF5B9D" w:rsidP="00085D92">
      <w:pPr>
        <w:pStyle w:val="NormalBold"/>
      </w:pPr>
      <w:r w:rsidRPr="001A4499">
        <w:rPr>
          <w:rStyle w:val="HideTWBExt"/>
          <w:color w:val="auto"/>
        </w:rPr>
        <w:t>&lt;Article&gt;</w:t>
      </w:r>
      <w:r w:rsidRPr="001A4499">
        <w:t>Paragrafo -21 (nuovo)</w:t>
      </w:r>
      <w:r w:rsidRPr="001A449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4499" w:rsidRPr="001A4499" w:rsidTr="00C4069E">
        <w:trPr>
          <w:trHeight w:val="240"/>
          <w:jc w:val="center"/>
        </w:trPr>
        <w:tc>
          <w:tcPr>
            <w:tcW w:w="9752" w:type="dxa"/>
            <w:gridSpan w:val="2"/>
            <w:tcBorders>
              <w:top w:val="nil"/>
              <w:left w:val="nil"/>
              <w:bottom w:val="nil"/>
              <w:right w:val="nil"/>
            </w:tcBorders>
          </w:tcPr>
          <w:p w:rsidR="00085D92" w:rsidRPr="001A4499" w:rsidRDefault="00085D92" w:rsidP="00C4069E"/>
        </w:tc>
      </w:tr>
      <w:tr w:rsidR="001A4499" w:rsidRPr="001A4499" w:rsidTr="00C4069E">
        <w:trPr>
          <w:trHeight w:val="240"/>
          <w:jc w:val="center"/>
        </w:trPr>
        <w:tc>
          <w:tcPr>
            <w:tcW w:w="4876" w:type="dxa"/>
            <w:tcBorders>
              <w:top w:val="nil"/>
              <w:left w:val="nil"/>
              <w:bottom w:val="nil"/>
              <w:right w:val="nil"/>
            </w:tcBorders>
            <w:hideMark/>
          </w:tcPr>
          <w:p w:rsidR="00085D92" w:rsidRPr="001A4499" w:rsidRDefault="00FF5B9D" w:rsidP="00C4069E">
            <w:pPr>
              <w:pStyle w:val="AmColumnHeading"/>
            </w:pPr>
            <w:r w:rsidRPr="001A4499">
              <w:t>Proposta di risoluzione</w:t>
            </w:r>
          </w:p>
        </w:tc>
        <w:tc>
          <w:tcPr>
            <w:tcW w:w="4876" w:type="dxa"/>
            <w:tcBorders>
              <w:top w:val="nil"/>
              <w:left w:val="nil"/>
              <w:bottom w:val="nil"/>
              <w:right w:val="nil"/>
            </w:tcBorders>
            <w:hideMark/>
          </w:tcPr>
          <w:p w:rsidR="00085D92" w:rsidRPr="001A4499" w:rsidRDefault="00FF5B9D" w:rsidP="00C4069E">
            <w:pPr>
              <w:pStyle w:val="AmColumnHeading"/>
            </w:pPr>
            <w:r w:rsidRPr="001A4499">
              <w:t>Emendamento</w:t>
            </w:r>
          </w:p>
        </w:tc>
      </w:tr>
      <w:tr w:rsidR="001A4499" w:rsidRPr="001A4499" w:rsidTr="00C4069E">
        <w:trPr>
          <w:jc w:val="center"/>
        </w:trPr>
        <w:tc>
          <w:tcPr>
            <w:tcW w:w="4876" w:type="dxa"/>
            <w:tcBorders>
              <w:top w:val="nil"/>
              <w:left w:val="nil"/>
              <w:bottom w:val="nil"/>
              <w:right w:val="nil"/>
            </w:tcBorders>
          </w:tcPr>
          <w:p w:rsidR="00085D92" w:rsidRPr="001A4499" w:rsidRDefault="00085D92" w:rsidP="00C4069E">
            <w:pPr>
              <w:pStyle w:val="Normal6a"/>
            </w:pPr>
          </w:p>
        </w:tc>
        <w:tc>
          <w:tcPr>
            <w:tcW w:w="4876" w:type="dxa"/>
            <w:tcBorders>
              <w:top w:val="nil"/>
              <w:left w:val="nil"/>
              <w:bottom w:val="nil"/>
              <w:right w:val="nil"/>
            </w:tcBorders>
            <w:hideMark/>
          </w:tcPr>
          <w:p w:rsidR="00085D92" w:rsidRPr="001A4499" w:rsidRDefault="00FF5B9D" w:rsidP="00C4069E">
            <w:pPr>
              <w:pStyle w:val="Normal6a"/>
            </w:pPr>
            <w:r w:rsidRPr="001A4499">
              <w:rPr>
                <w:b/>
                <w:i/>
              </w:rPr>
              <w:t>-21.</w:t>
            </w:r>
            <w:r w:rsidRPr="001A4499">
              <w:tab/>
            </w:r>
            <w:r w:rsidRPr="001A4499">
              <w:rPr>
                <w:b/>
                <w:i/>
              </w:rPr>
              <w:t>invita il Consiglio a giungere finalmente a un accordo ambizioso sulla revisione delle aliquote fiscali minime obsolete sui prodotti energetici; sottolinea le raccomandazioni formulate dalla relazione Draghi</w:t>
            </w:r>
            <w:r w:rsidRPr="001A4499">
              <w:rPr>
                <w:b/>
                <w:i/>
                <w:vertAlign w:val="superscript"/>
              </w:rPr>
              <w:t>25 bis</w:t>
            </w:r>
            <w:r w:rsidRPr="001A4499">
              <w:rPr>
                <w:b/>
                <w:i/>
              </w:rPr>
              <w:t xml:space="preserve"> per ridurre i costi del consumo di energia</w:t>
            </w:r>
            <w:r w:rsidRPr="001A4499">
              <w:rPr>
                <w:b/>
                <w:i/>
              </w:rPr>
              <w:t xml:space="preserve"> elettrica al fine di rafforzare la nostra competitività e accelerare la transizione;</w:t>
            </w:r>
          </w:p>
        </w:tc>
      </w:tr>
      <w:tr w:rsidR="001A4499" w:rsidRPr="001A4499" w:rsidTr="00C4069E">
        <w:trPr>
          <w:jc w:val="center"/>
        </w:trPr>
        <w:tc>
          <w:tcPr>
            <w:tcW w:w="4876" w:type="dxa"/>
            <w:tcBorders>
              <w:top w:val="nil"/>
              <w:left w:val="nil"/>
              <w:bottom w:val="nil"/>
              <w:right w:val="nil"/>
            </w:tcBorders>
          </w:tcPr>
          <w:p w:rsidR="00085D92" w:rsidRPr="001A4499" w:rsidRDefault="00085D92" w:rsidP="00C4069E"/>
        </w:tc>
        <w:tc>
          <w:tcPr>
            <w:tcW w:w="4876" w:type="dxa"/>
            <w:tcBorders>
              <w:top w:val="nil"/>
              <w:left w:val="nil"/>
              <w:bottom w:val="nil"/>
              <w:right w:val="nil"/>
            </w:tcBorders>
            <w:hideMark/>
          </w:tcPr>
          <w:p w:rsidR="00085D92" w:rsidRPr="001A4499" w:rsidRDefault="00FF5B9D" w:rsidP="00C4069E">
            <w:pPr>
              <w:pStyle w:val="Normal6a"/>
            </w:pPr>
            <w:r w:rsidRPr="001A4499">
              <w:rPr>
                <w:b/>
                <w:i/>
              </w:rPr>
              <w:t>_________________</w:t>
            </w:r>
          </w:p>
        </w:tc>
      </w:tr>
      <w:tr w:rsidR="001A4499" w:rsidRPr="001A4499" w:rsidTr="00C4069E">
        <w:trPr>
          <w:jc w:val="center"/>
        </w:trPr>
        <w:tc>
          <w:tcPr>
            <w:tcW w:w="4876" w:type="dxa"/>
            <w:tcBorders>
              <w:top w:val="nil"/>
              <w:left w:val="nil"/>
              <w:bottom w:val="nil"/>
              <w:right w:val="nil"/>
            </w:tcBorders>
          </w:tcPr>
          <w:p w:rsidR="00085D92" w:rsidRPr="001A4499" w:rsidRDefault="00085D92" w:rsidP="00C4069E"/>
        </w:tc>
        <w:tc>
          <w:tcPr>
            <w:tcW w:w="4876" w:type="dxa"/>
            <w:tcBorders>
              <w:top w:val="nil"/>
              <w:left w:val="nil"/>
              <w:bottom w:val="nil"/>
              <w:right w:val="nil"/>
            </w:tcBorders>
            <w:hideMark/>
          </w:tcPr>
          <w:p w:rsidR="00085D92" w:rsidRPr="001A4499" w:rsidRDefault="00FF5B9D" w:rsidP="00C4069E">
            <w:pPr>
              <w:pStyle w:val="Normal6a"/>
            </w:pPr>
            <w:r w:rsidRPr="001A4499">
              <w:rPr>
                <w:b/>
                <w:i/>
                <w:vertAlign w:val="superscript"/>
              </w:rPr>
              <w:t>25 bis</w:t>
            </w:r>
            <w:r w:rsidRPr="001A4499">
              <w:t xml:space="preserve"> </w:t>
            </w:r>
            <w:r w:rsidRPr="001A4499">
              <w:rPr>
                <w:b/>
                <w:i/>
              </w:rPr>
              <w:t xml:space="preserve">https://commission.europa.eu/document/download/ec1409c1-d4b4-4882-8bdd-3519f86bbb92_en?filename=The%20future%20of%20European%20competitiveness_%20In-depth%20analysis%20and%20recommendations_0.pdf </w:t>
            </w:r>
          </w:p>
        </w:tc>
      </w:tr>
    </w:tbl>
    <w:p w:rsidR="00085D92" w:rsidRPr="001A4499" w:rsidRDefault="00FF5B9D" w:rsidP="00085D92">
      <w:pPr>
        <w:pStyle w:val="AmOrLang"/>
        <w:rPr>
          <w:lang w:eastAsia="en-US"/>
        </w:rPr>
      </w:pPr>
      <w:r w:rsidRPr="001A4499">
        <w:t xml:space="preserve">Or. </w:t>
      </w:r>
      <w:r w:rsidRPr="001A4499">
        <w:rPr>
          <w:rStyle w:val="HideTWBExt"/>
          <w:color w:val="auto"/>
        </w:rPr>
        <w:t>&lt;Original&gt;</w:t>
      </w:r>
      <w:r w:rsidRPr="001A4499">
        <w:rPr>
          <w:rStyle w:val="HideTWBInt"/>
          <w:color w:val="auto"/>
        </w:rPr>
        <w:t>{EN}</w:t>
      </w:r>
      <w:r w:rsidRPr="001A4499">
        <w:t>en</w:t>
      </w:r>
      <w:r w:rsidRPr="001A4499">
        <w:rPr>
          <w:rStyle w:val="HideTWBExt"/>
          <w:color w:val="auto"/>
        </w:rPr>
        <w:t>&lt;/Original&gt;</w:t>
      </w:r>
    </w:p>
    <w:p w:rsidR="00085D92" w:rsidRPr="001A4499" w:rsidRDefault="00FF5B9D" w:rsidP="00085D92">
      <w:r w:rsidRPr="001A4499">
        <w:rPr>
          <w:rStyle w:val="HideTWBExt"/>
          <w:color w:val="auto"/>
        </w:rPr>
        <w:t>&lt;/Amend&gt;</w:t>
      </w:r>
    </w:p>
    <w:p w:rsidR="00F14A4B" w:rsidRPr="001A4499" w:rsidRDefault="00FF5B9D" w:rsidP="00F14A4B">
      <w:r w:rsidRPr="001A4499">
        <w:rPr>
          <w:rStyle w:val="HideTWBExt"/>
          <w:color w:val="auto"/>
        </w:rPr>
        <w:t>&lt;/RepeatBlock-Ame</w:t>
      </w:r>
      <w:r w:rsidRPr="001A4499">
        <w:rPr>
          <w:rStyle w:val="HideTWBExt"/>
          <w:color w:val="auto"/>
        </w:rPr>
        <w:t>nd&gt;</w:t>
      </w:r>
    </w:p>
    <w:p w:rsidR="00794E41" w:rsidRPr="001A4499" w:rsidRDefault="00794E41" w:rsidP="00794E41"/>
    <w:sectPr w:rsidR="00794E41" w:rsidRPr="001A4499" w:rsidSect="0048774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5129CE" w:rsidRDefault="00FF5B9D">
      <w:r w:rsidRPr="005129CE">
        <w:separator/>
      </w:r>
    </w:p>
  </w:endnote>
  <w:endnote w:type="continuationSeparator" w:id="0">
    <w:p w:rsidR="00000000" w:rsidRPr="005129CE" w:rsidRDefault="00FF5B9D">
      <w:r w:rsidRPr="005129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74D" w:rsidRPr="005129CE" w:rsidRDefault="0048774D" w:rsidP="0048774D">
    <w:pPr>
      <w:pStyle w:val="EPFooter"/>
    </w:pPr>
    <w:r w:rsidRPr="005129CE">
      <w:t>PE</w:t>
    </w:r>
    <w:r w:rsidRPr="005129CE">
      <w:rPr>
        <w:rStyle w:val="HideTWBExt"/>
      </w:rPr>
      <w:t>&lt;NoPE&gt;</w:t>
    </w:r>
    <w:r w:rsidRPr="005129CE">
      <w:t>773.100</w:t>
    </w:r>
    <w:r w:rsidRPr="005129CE">
      <w:rPr>
        <w:rStyle w:val="HideTWBExt"/>
      </w:rPr>
      <w:t>&lt;/NoPE&gt;&lt;Version&gt;</w:t>
    </w:r>
    <w:r w:rsidRPr="005129CE">
      <w:t>v01-00</w:t>
    </w:r>
    <w:r w:rsidRPr="005129CE">
      <w:rPr>
        <w:rStyle w:val="HideTWBExt"/>
      </w:rPr>
      <w:t>&lt;/Version&gt;</w:t>
    </w:r>
    <w:r w:rsidRPr="005129CE">
      <w:tab/>
    </w:r>
    <w:r w:rsidRPr="005129CE">
      <w:fldChar w:fldCharType="begin"/>
    </w:r>
    <w:r w:rsidRPr="005129CE">
      <w:instrText xml:space="preserve"> PAGE  \* MERGEFORMAT </w:instrText>
    </w:r>
    <w:r w:rsidRPr="005129CE">
      <w:fldChar w:fldCharType="separate"/>
    </w:r>
    <w:r w:rsidR="00FF5B9D">
      <w:rPr>
        <w:noProof/>
      </w:rPr>
      <w:t>74</w:t>
    </w:r>
    <w:r w:rsidRPr="005129CE">
      <w:fldChar w:fldCharType="end"/>
    </w:r>
    <w:r w:rsidRPr="005129CE">
      <w:t>/</w:t>
    </w:r>
    <w:fldSimple w:instr=" NUMPAGES  \* MERGEFORMAT ">
      <w:r w:rsidR="00FF5B9D">
        <w:rPr>
          <w:noProof/>
        </w:rPr>
        <w:t>141</w:t>
      </w:r>
    </w:fldSimple>
    <w:r w:rsidRPr="005129CE">
      <w:tab/>
    </w:r>
    <w:r w:rsidRPr="005129CE">
      <w:rPr>
        <w:rStyle w:val="HideTWBExt"/>
      </w:rPr>
      <w:t>&lt;PathFdR&gt;</w:t>
    </w:r>
    <w:r w:rsidRPr="005129CE">
      <w:t>AM\1319959IT.docx</w:t>
    </w:r>
    <w:r w:rsidRPr="005129CE">
      <w:rPr>
        <w:rStyle w:val="HideTWBExt"/>
      </w:rPr>
      <w:t>&lt;/PathFdR&gt;</w:t>
    </w:r>
  </w:p>
  <w:p w:rsidR="00C4069E" w:rsidRPr="005129CE" w:rsidRDefault="0048774D" w:rsidP="0048774D">
    <w:pPr>
      <w:pStyle w:val="EPFooter2"/>
    </w:pPr>
    <w:r w:rsidRPr="005129CE">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74D" w:rsidRPr="005129CE" w:rsidRDefault="0048774D" w:rsidP="0048774D">
    <w:pPr>
      <w:pStyle w:val="EPFooter"/>
    </w:pPr>
    <w:r w:rsidRPr="005129CE">
      <w:rPr>
        <w:rStyle w:val="HideTWBExt"/>
      </w:rPr>
      <w:t>&lt;PathFdR&gt;</w:t>
    </w:r>
    <w:r w:rsidRPr="005129CE">
      <w:t>AM\1319959IT.docx</w:t>
    </w:r>
    <w:r w:rsidRPr="005129CE">
      <w:rPr>
        <w:rStyle w:val="HideTWBExt"/>
      </w:rPr>
      <w:t>&lt;/PathFdR&gt;</w:t>
    </w:r>
    <w:r w:rsidRPr="005129CE">
      <w:tab/>
    </w:r>
    <w:r w:rsidRPr="005129CE">
      <w:fldChar w:fldCharType="begin"/>
    </w:r>
    <w:r w:rsidRPr="005129CE">
      <w:instrText xml:space="preserve"> PAGE  \* MERGEFORMAT </w:instrText>
    </w:r>
    <w:r w:rsidRPr="005129CE">
      <w:fldChar w:fldCharType="separate"/>
    </w:r>
    <w:r w:rsidR="00FF5B9D">
      <w:rPr>
        <w:noProof/>
      </w:rPr>
      <w:t>73</w:t>
    </w:r>
    <w:r w:rsidRPr="005129CE">
      <w:fldChar w:fldCharType="end"/>
    </w:r>
    <w:r w:rsidRPr="005129CE">
      <w:t>/</w:t>
    </w:r>
    <w:fldSimple w:instr=" NUMPAGES  \* MERGEFORMAT ">
      <w:r w:rsidR="00FF5B9D">
        <w:rPr>
          <w:noProof/>
        </w:rPr>
        <w:t>141</w:t>
      </w:r>
    </w:fldSimple>
    <w:r w:rsidRPr="005129CE">
      <w:tab/>
      <w:t>PE</w:t>
    </w:r>
    <w:r w:rsidRPr="005129CE">
      <w:rPr>
        <w:rStyle w:val="HideTWBExt"/>
      </w:rPr>
      <w:t>&lt;NoPE&gt;</w:t>
    </w:r>
    <w:r w:rsidRPr="005129CE">
      <w:t>773.100</w:t>
    </w:r>
    <w:r w:rsidRPr="005129CE">
      <w:rPr>
        <w:rStyle w:val="HideTWBExt"/>
      </w:rPr>
      <w:t>&lt;/NoPE&gt;&lt;Version&gt;</w:t>
    </w:r>
    <w:r w:rsidRPr="005129CE">
      <w:t>v01-00</w:t>
    </w:r>
    <w:r w:rsidRPr="005129CE">
      <w:rPr>
        <w:rStyle w:val="HideTWBExt"/>
      </w:rPr>
      <w:t>&lt;/Version&gt;</w:t>
    </w:r>
  </w:p>
  <w:p w:rsidR="00C4069E" w:rsidRPr="005129CE" w:rsidRDefault="0048774D" w:rsidP="0048774D">
    <w:pPr>
      <w:pStyle w:val="EPFooter2"/>
    </w:pPr>
    <w:r w:rsidRPr="005129CE">
      <w:tab/>
    </w:r>
    <w:r w:rsidRPr="005129CE">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74D" w:rsidRPr="005129CE" w:rsidRDefault="0048774D" w:rsidP="0048774D">
    <w:pPr>
      <w:pStyle w:val="EPFooter"/>
    </w:pPr>
    <w:r w:rsidRPr="005129CE">
      <w:rPr>
        <w:rStyle w:val="HideTWBExt"/>
      </w:rPr>
      <w:t>&lt;PathFdR&gt;</w:t>
    </w:r>
    <w:r w:rsidRPr="005129CE">
      <w:t>AM\1319959IT.docx</w:t>
    </w:r>
    <w:r w:rsidRPr="005129CE">
      <w:rPr>
        <w:rStyle w:val="HideTWBExt"/>
      </w:rPr>
      <w:t>&lt;/PathFdR&gt;</w:t>
    </w:r>
    <w:r w:rsidRPr="005129CE">
      <w:tab/>
    </w:r>
    <w:r w:rsidRPr="005129CE">
      <w:tab/>
      <w:t>PE</w:t>
    </w:r>
    <w:r w:rsidRPr="005129CE">
      <w:rPr>
        <w:rStyle w:val="HideTWBExt"/>
      </w:rPr>
      <w:t>&lt;NoPE&gt;</w:t>
    </w:r>
    <w:r w:rsidRPr="005129CE">
      <w:t>773.100</w:t>
    </w:r>
    <w:r w:rsidRPr="005129CE">
      <w:rPr>
        <w:rStyle w:val="HideTWBExt"/>
      </w:rPr>
      <w:t>&lt;/NoPE&gt;&lt;Version&gt;</w:t>
    </w:r>
    <w:r w:rsidRPr="005129CE">
      <w:t>v01-00</w:t>
    </w:r>
    <w:r w:rsidRPr="005129CE">
      <w:rPr>
        <w:rStyle w:val="HideTWBExt"/>
      </w:rPr>
      <w:t>&lt;/Version&gt;</w:t>
    </w:r>
  </w:p>
  <w:p w:rsidR="00C4069E" w:rsidRPr="005129CE" w:rsidRDefault="0048774D" w:rsidP="0048774D">
    <w:pPr>
      <w:pStyle w:val="EPFooter2"/>
    </w:pPr>
    <w:r w:rsidRPr="005129CE">
      <w:t>IT</w:t>
    </w:r>
    <w:r w:rsidRPr="005129CE">
      <w:tab/>
    </w:r>
    <w:r w:rsidRPr="005129CE">
      <w:rPr>
        <w:b w:val="0"/>
        <w:i/>
        <w:color w:val="C0C0C0"/>
        <w:sz w:val="22"/>
      </w:rPr>
      <w:t>Unita nella diversità</w:t>
    </w:r>
    <w:r w:rsidRPr="005129CE">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5129CE" w:rsidRDefault="00FF5B9D">
      <w:r w:rsidRPr="005129CE">
        <w:separator/>
      </w:r>
    </w:p>
  </w:footnote>
  <w:footnote w:type="continuationSeparator" w:id="0">
    <w:p w:rsidR="00000000" w:rsidRPr="005129CE" w:rsidRDefault="00FF5B9D">
      <w:r w:rsidRPr="005129C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4499" w:rsidRDefault="001A44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4499" w:rsidRDefault="001A449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4499" w:rsidRDefault="001A44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3"/>
  </w:num>
  <w:num w:numId="2">
    <w:abstractNumId w:val="2"/>
  </w:num>
  <w:num w:numId="3">
    <w:abstractNumId w:val="1"/>
  </w:num>
  <w:num w:numId="4">
    <w:abstractNumId w:val="0"/>
  </w:num>
  <w:num w:numId="5">
    <w:abstractNumId w:val="6"/>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INIMNU" w:val=" 1"/>
    <w:docVar w:name="AMPLURMNU" w:val=" 1"/>
    <w:docVar w:name="CODEMNU" w:val=" 1"/>
    <w:docVar w:name="COMKEY" w:val="ECON"/>
    <w:docVar w:name="COMMKEY" w:val="ECON"/>
    <w:docVar w:name="CVar" w:val="1"/>
    <w:docVar w:name="DOCDT" w:val="02/05/2025"/>
    <w:docVar w:name="DOCREFINIMNU" w:val=" 1"/>
    <w:docVar w:name="iNoAmend" w:val="1"/>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75881 HideTWBExt;}{\*\cs18 \additive \v\f1\fs20\cf15 _x000d__x000a_\spriority0 \styrsid475881 HideTWBInt;}{\s19\qr \li0\ri0\sb240\sa240\nowidctlpar\wrapdefault\aspalpha\aspnum\faauto\adjustright\rin0\lin0\itap0 \rtlch\fcs1 \af0\afs20\alang1025 \ltrch\fcs0 \fs24\lang2057\langfe2057\cgrid\langnp2057\langfenp2057 _x000d__x000a_\sbasedon0 \snext19 \spriority0 \styrsid475881 AmOrLang;}{\s20\ql \li0\ri0\sa120\nowidctlpar\wrapdefault\aspalpha\aspnum\faauto\adjustright\rin0\lin0\itap0 \rtlch\fcs1 \af0\afs20\alang1025 \ltrch\fcs0 _x000d__x000a_\fs24\lang2057\langfe2057\cgrid\langnp2057\langfenp2057 \sbasedon0 \snext20 \spriority0 \styrsid475881 Normal6a;}{\s21\ql \li0\ri0\nowidctlpar\wrapdefault\aspalpha\aspnum\faauto\adjustright\rin0\lin0\itap0 \rtlch\fcs1 \af0\afs20\alang1025 \ltrch\fcs0 _x000d__x000a_\b\fs24\lang2057\langfe2057\cgrid\langnp2057\langfenp2057 \sbasedon0 \snext21 \spriority0 \styrsid475881 NormalBold;}{\s22\qc \li0\ri0\sa240\nowidctlpar\wrapdefault\aspalpha\aspnum\faauto\adjustright\rin0\lin0\itap0 \rtlch\fcs1 \af0\afs20\alang1025 _x000d__x000a_\ltrch\fcs0 \i\fs24\lang2057\langfe2057\cgrid\langnp2057\langfenp2057 \sbasedon0 \snext22 \spriority0 \styrsid47588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475881 AmNumberTabs;}}{\*\rsidtbl \rsid24658\rsid223860\rsid475881\rsid735077\rsid1718133\rsid2892074\rsid3565327\rsid4666813\rsid6166294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ESPOSITO Odila}{\operator ESPOSITO Odila}{\creatim\yr2025\mo5\dy2\hr10\min31}{\revtim\yr2025\mo5\dy2\hr10\min31}{\version1}{\edmins0}{\nofpages1}{\nofwords92}{\nofchars528}_x000d__x000a_{\nofcharsws61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75881\newtblstyruls\nogrowautofit\usenormstyforlist\noindnmbrts\felnbrelev\nocxsptable\indrlsweleven\noafcnsttbl\afelev\utinl\hwelev\spltpgpar\notcvasp\notbrkcnstfrctbl\notvatxbx\krnprsnet\cachedcolbal \nouicompat \fet0_x000d__x000a_{\*\wgrffmtfilter 013f}\nofeaturethrottle1\ilfomacatclnup0{\*\template C:\\Users\\OESPOS~1\\AppData\\Local\\Temp\\Blank1.dotx}{\*\ftnsep \ltrpar \pard\plain \ltrpar\ql \li0\ri0\widctlpar\wrapdefault\aspalpha\aspnum\faauto\adjustright\rin0\lin0\itap0 _x000d__x000a_\rtlch\fcs1 \af0\afs20\alang1025 \ltrch\fcs0 \fs24\lang2057\langfe2057\cgrid\langnp2057\langfenp2057 {\rtlch\fcs1 \af0 \ltrch\fcs0 \insrsid6166294 \chftnsep _x000d__x000a_\par }}{\*\ftnsepc \ltrpar \pard\plain \ltrpar\ql \li0\ri0\widctlpar\wrapdefault\aspalpha\aspnum\faauto\adjustright\rin0\lin0\itap0 \rtlch\fcs1 \af0\afs20\alang1025 \ltrch\fcs0 \fs24\lang2057\langfe2057\cgrid\langnp2057\langfenp2057 {\rtlch\fcs1 \af0 _x000d__x000a_\ltrch\fcs0 \insrsid6166294 \chftnsepc _x000d__x000a_\par }}{\*\aftnsep \ltrpar \pard\plain \ltrpar\ql \li0\ri0\widctlpar\wrapdefault\aspalpha\aspnum\faauto\adjustright\rin0\lin0\itap0 \rtlch\fcs1 \af0\afs20\alang1025 \ltrch\fcs0 \fs24\lang2057\langfe2057\cgrid\langnp2057\langfenp2057 {\rtlch\fcs1 \af0 _x000d__x000a_\ltrch\fcs0 \insrsid6166294 \chftnsep _x000d__x000a_\par }}{\*\aftnsepc \ltrpar \pard\plain \ltrpar\ql \li0\ri0\widctlpar\wrapdefault\aspalpha\aspnum\faauto\adjustright\rin0\lin0\itap0 \rtlch\fcs1 \af0\afs20\alang1025 \ltrch\fcs0 \fs24\lang2057\langfe2057\cgrid\langnp2057\langfenp2057 {\rtlch\fcs1 \af0 _x000d__x000a_\ltrch\fcs0 \insrsid616629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475881 \rtlch\fcs1 _x000d__x000a_\af0\afs20\alang1025 \ltrch\fcs0 \b\fs24\lang2057\langfe2057\cgrid\langnp2057\langfenp2057 {\rtlch\fcs1 \af0 \ltrch\fcs0 \cs17\b0\v\f1\fs20\cf9\lang1024\langfe1024\noproof\insrsid475881\charrsid8389036 {\*\bkmkstart restart}&lt;Amend&gt;}{\rtlch\fcs1 \af0 _x000d__x000a_\ltrch\fcs0 \insrsid475881\charrsid8389036 Amendment\tab \tab }{\rtlch\fcs1 \af0 \ltrch\fcs0 \cs17\b0\v\f1\fs20\cf9\lang1024\langfe1024\noproof\insrsid475881\charrsid8389036 &lt;NumAm&gt;}{\rtlch\fcs1 \af0 \ltrch\fcs0 \insrsid475881\charrsid8389036 #}{_x000d__x000a_\rtlch\fcs1 \af1 \ltrch\fcs0 \cs18\v\f1\fs20\cf15\insrsid475881\charrsid8389036 ENMIENDA@NRAM@}{\rtlch\fcs1 \af0 \ltrch\fcs0 \insrsid475881\charrsid8389036 #}{\rtlch\fcs1 \af0 \ltrch\fcs0 _x000d__x000a_\cs17\b0\v\f1\fs20\cf9\lang1024\langfe1024\noproof\insrsid475881\charrsid8389036 &lt;/NumAm&gt;}{\rtlch\fcs1 \af0 \ltrch\fcs0 \insrsid475881\charrsid8389036 _x000d__x000a_\par }\pard\plain \ltrpar\s21\ql \li0\ri0\nowidctlpar\wrapdefault\aspalpha\aspnum\faauto\adjustright\rin0\lin0\itap0\pararsid475881 \rtlch\fcs1 \af0\afs20\alang1025 \ltrch\fcs0 \b\fs24\lang2057\langfe2057\cgrid\langnp2057\langfenp2057 {\rtlch\fcs1 \af0 _x000d__x000a_\ltrch\fcs0 \cs17\b0\v\f1\fs20\cf9\lang1024\langfe1024\noproof\insrsid475881\charrsid8389036 &lt;RepeatBlock-By&gt;}{\rtlch\fcs1 \af0 \ltrch\fcs0 \insrsid475881\charrsid8389036 #}{\rtlch\fcs1 \af1 \ltrch\fcs0 \cs18\v\f1\fs20\cf15\insrsid475881\charrsid8389036 _x000d__x000a_(MOD@InsideLoop()}{\rtlch\fcs1 \af0 \ltrch\fcs0 \insrsid475881\charrsid8389036 ##}{\rtlch\fcs1 \af1 \ltrch\fcs0 \cs18\v\f1\fs20\cf15\insrsid475881\charrsid8389036 &gt;&gt;&gt;@[ZMEMBERSMSG]@}{\rtlch\fcs1 \af0 \ltrch\fcs0 \insrsid475881\charrsid8389036 #}{_x000d__x000a_\rtlch\fcs1 \af0 \ltrch\fcs0 \cs17\b0\v\f1\fs20\cf9\lang1024\langfe1024\noproof\insrsid475881\charrsid8389036 &lt;Members&gt;}{\rtlch\fcs1 \af0 \ltrch\fcs0 \insrsid475881\charrsid8389036 #}{\rtlch\fcs1 \af1 \ltrch\fcs0 _x000d__x000a_\cs18\v\f1\fs20\cf15\insrsid475881\charrsid8389036 (MOD@InsideLoop(\'a7)}{\rtlch\fcs1 \af0 \ltrch\fcs0 \insrsid475881\charrsid8389036 #}{\rtlch\fcs1 \af0 \ltrch\fcs0 \cf10\insrsid475881\charrsid8389036 \u9668\'3f}{\rtlch\fcs1 \af0 \ltrch\fcs0 _x000d__x000a_\insrsid475881\charrsid8389036 #}{\rtlch\fcs1 \af1 \ltrch\fcs0 \cs18\v\f1\fs20\cf15\insrsid475881\charrsid8389036 TVTMEMBERS\'a7@MEMBERS@}{\rtlch\fcs1 \af0 \ltrch\fcs0 \insrsid475881\charrsid8389036 #}{\rtlch\fcs1 \af0 \ltrch\fcs0 _x000d__x000a_\cf10\insrsid475881\charrsid8389036 \u9658\'3f}{\rtlch\fcs1 \af0 \ltrch\fcs0 \cs17\b0\v\f1\fs20\cf9\lang1024\langfe1024\noproof\insrsid475881\charrsid8389036 &lt;/Members&gt;}{\rtlch\fcs1 \af0 \ltrch\fcs0 \insrsid475881\charrsid8389036 _x000d__x000a_\par }\pard\plain \ltrpar\ql \li0\ri0\widctlpar\wrapdefault\aspalpha\aspnum\faauto\adjustright\rin0\lin0\itap0\pararsid475881 \rtlch\fcs1 \af0\afs20\alang1025 \ltrch\fcs0 \fs24\lang2057\langfe2057\cgrid\langnp2057\langfenp2057 {\rtlch\fcs1 \af0 \ltrch\fcs0 _x000d__x000a_\cs17\v\f1\fs20\cf9\lang1024\langfe1024\noproof\insrsid475881\charrsid8389036 &lt;AuNomDe&gt;&lt;OptDel&gt;}{\rtlch\fcs1 \af0 \ltrch\fcs0 \insrsid475881\charrsid8389036 #}{\rtlch\fcs1 \af1 \ltrch\fcs0 \cs18\v\f1\fs20\cf15\insrsid475881\charrsid8389036 _x000d__x000a_MNU[ONBEHALFYES][NOTAPP]@CHOICE@}{\rtlch\fcs1 \af0 \ltrch\fcs0 \insrsid475881\charrsid8389036 #}{\rtlch\fcs1 \af0 \ltrch\fcs0 \cs17\v\f1\fs20\cf9\lang1024\langfe1024\noproof\insrsid475881\charrsid8389036 &lt;/OptDel&gt;&lt;/AuNomDe&gt;}{\rtlch\fcs1 \af0 \ltrch\fcs0 _x000d__x000a_\insrsid475881\charrsid8389036 _x000d__x000a_\par &lt;&lt;&lt;}{\rtlch\fcs1 \af0 \ltrch\fcs0 \cs17\v\f1\fs20\cf9\lang1024\langfe1024\noproof\insrsid475881\charrsid8389036 &lt;/RepeatBlock-By&gt;}{\rtlch\fcs1 \af0 \ltrch\fcs0 \insrsid475881\charrsid8389036 _x000d__x000a_\par }\pard\plain \ltrpar\s21\ql \li0\ri0\nowidctlpar\wrapdefault\aspalpha\aspnum\faauto\adjustright\rin0\lin0\itap0\pararsid475881 \rtlch\fcs1 \af0\afs20\alang1025 \ltrch\fcs0 \b\fs24\lang2057\langfe2057\cgrid\langnp2057\langfenp2057 {\rtlch\fcs1 \af0 _x000d__x000a_\ltrch\fcs0 \cs17\b0\v\f1\fs20\cf9\lang1024\langfe1024\noproof\insrsid475881\charrsid8389036 &lt;DocAmend&gt;}{\rtlch\fcs1 \af0 \ltrch\fcs0 \insrsid475881\charrsid8389036 #}{\rtlch\fcs1 \af1 \ltrch\fcs0 \cs18\v\f1\fs20\cf15\insrsid475881\charrsid8389036 _x000d__x000a_MNU[OPTAMDOCINI][AMDOCA1][OPTAMDOCNLE][AMDOCA1][AMDOCA2][AMDOCA1][AMDOCA1][OPTAMDOCDEC]@CHOICE@CODEMNU}{\rtlch\fcs1 \af0 \ltrch\fcs0 \insrsid475881\charrsid8389036 #}{\rtlch\fcs1 \af0 \ltrch\fcs0 _x000d__x000a_\cs17\b0\v\f1\fs20\cf9\lang1024\langfe1024\noproof\insrsid475881\charrsid8389036 &lt;/DocAmend&gt;}{\rtlch\fcs1 \af0 \ltrch\fcs0 \insrsid475881\charrsid8389036 _x000d__x000a_\par }{\rtlch\fcs1 \af0 \ltrch\fcs0 \cs17\b0\v\f1\fs20\cf9\lang1024\langfe1024\noproof\insrsid475881\charrsid8389036 &lt;Article&gt;}{\rtlch\fcs1 \af0 \ltrch\fcs0 \cf10\insrsid475881\charrsid8389036 \u9668\'3f}{\rtlch\fcs1 \af0 \ltrch\fcs0 _x000d__x000a_\insrsid475881\charrsid8389036 #}{\rtlch\fcs1 \af1 \ltrch\fcs0 \cs18\v\f1\fs20\cf15\insrsid475881\charrsid8389036 TVTAMPART@AMPART@}{\rtlch\fcs1 \af0 \ltrch\fcs0 \insrsid475881\charrsid8389036 #}{\rtlch\fcs1 \af0 \ltrch\fcs0 _x000d__x000a_\cf10\insrsid475881\charrsid8389036 \u9658\'3f}{\rtlch\fcs1 \af0 \ltrch\fcs0 \cs17\b0\v\f1\fs20\cf9\lang1024\langfe1024\noproof\insrsid475881\charrsid8389036 &lt;/Article&gt;}{\rtlch\fcs1 \af0 \ltrch\fcs0 \insrsid475881\charrsid8389036 _x000d__x000a_\par \ltrrow}\trowd \irow0\irowband0\ltrrow\ts11\trqc\trgaph340\trleft0\trftsWidth3\trwWidth9752\trftsWidthB3\trpaddl340\trpaddr340\trpaddfl3\trpaddft3\trpaddfb3\trpaddfr3\tblrsid7949889\tblind0\tblindtype3 \clvertalt\clbrdrt\brdrtbl \clbrdrl\brdrtbl \clbrdrb_x000d__x000a_\brdrtbl \clbrdrr\brdrtbl \cltxlrtb\clftsWidth3\clwWidth9752\clshdrawnil \cellx9752\pard\plain \ltrpar\ql \li0\ri0\keepn\widctlpar\intbl\wrapdefault\aspalpha\aspnum\faauto\adjustright\rin0\lin0\pararsid13053803 \rtlch\fcs1 \af0\afs20\alang1025 _x000d__x000a_\ltrch\fcs0 \fs24\lang2057\langfe2057\cgrid\langnp2057\langfenp2057 {\rtlch\fcs1 \af0 \ltrch\fcs0 \insrsid475881\charrsid8389036 \cell }\pard\plain \ltrpar\ql \li0\ri0\widctlpar\intbl\wrapdefault\aspalpha\aspnum\faauto\adjustright\rin0\lin0 \rtlch\fcs1 _x000d__x000a_\af0\afs20\alang1025 \ltrch\fcs0 \fs24\lang2057\langfe2057\cgrid\langnp2057\langfenp2057 {\rtlch\fcs1 \af0 \ltrch\fcs0 \insrsid475881\charrsid8389036 \trowd \irow0\irowband0\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2057\langfe2057\cgrid\langnp2057\langfenp2057 {\rtlch\fcs1 \af0 \ltrch\fcs0 _x000d__x000a_\insrsid475881\charrsid8389036 #}{\rtlch\fcs1 \af1 \ltrch\fcs0 \cs18\v\f1\fs20\cf15\insrsid475881\charrsid8389036 MNU[OPTAMDOCINI][AMDOCA1][OPTAMDOCNLE][AMDOCA1][AMDOCA2][AMDOCA1][AMDOCA1][OPTAMDOCDEC]@CHOICE@CODEMNU}{\rtlch\fcs1 \af0 \ltrch\fcs0 _x000d__x000a_\insrsid475881\charrsid8389036 #\cell Amendment\cell }\pard\plain \ltrpar\ql \li0\ri0\widctlpar\intbl\wrapdefault\aspalpha\aspnum\faauto\adjustright\rin0\lin0 \rtlch\fcs1 \af0\afs20\alang1025 \ltrch\fcs0 _x000d__x000a_\fs24\lang2057\langfe2057\cgrid\langnp2057\langfenp2057 {\rtlch\fcs1 \af0 \ltrch\fcs0 \insrsid475881\charrsid8389036 \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475881\charrsid8389036 ##\cell ##}{\rtlch\fcs1 \af0\afs24 \ltrch\fcs0 \insrsid475881\charrsid8389036 \cell }\pard\plain \ltrpar\ql \li0\ri0\widctlpar\intbl\wrapdefault\aspalpha\aspnum\faauto\adjustright\rin0\lin0 \rtlch\fcs1 \af0\afs20\alang1025 _x000d__x000a_\ltrch\fcs0 \fs24\lang2057\langfe2057\cgrid\langnp2057\langfenp2057 {\rtlch\fcs1 \af0 \ltrch\fcs0 \insrsid475881\charrsid8389036 \trowd \irow2\irowband2\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475881 \rtlch\fcs1 \af0\afs20\alang1025 \ltrch\fcs0 \fs24\lang2057\langfe2057\cgrid\langnp2057\langfenp2057 {\rtlch\fcs1 \af0 \ltrch\fcs0 _x000d__x000a_\insrsid475881\charrsid8389036 Or. }{\rtlch\fcs1 \af0 \ltrch\fcs0 \cs17\v\f1\fs20\cf9\lang1024\langfe1024\noproof\insrsid475881\charrsid8389036 &lt;Original&gt;}{\rtlch\fcs1 \af0 \ltrch\fcs0 \insrsid475881\charrsid8389036 #}{\rtlch\fcs1 \af1 \ltrch\fcs0 _x000d__x000a_\cs18\v\f1\fs20\cf15\insrsid475881\charrsid8389036 KEY(MAIN/LANGMIN)sh@ORLANGMSG@}{\rtlch\fcs1 \af0 \ltrch\fcs0 \insrsid475881\charrsid8389036 #}{\rtlch\fcs1 \af0 \ltrch\fcs0 \cs17\v\f1\fs20\cf9\lang1024\langfe1024\noproof\insrsid475881\charrsid8389036 _x000d__x000a_&lt;/Original&gt;}{\rtlch\fcs1 \af0 \ltrch\fcs0 \insrsid475881\charrsid8389036 _x000d__x000a_\par }\pard\plain \ltrpar\ql \li0\ri0\widctlpar\wrapdefault\aspalpha\aspnum\faauto\adjustright\rin0\lin0\itap0\pararsid475881 \rtlch\fcs1 \af0\afs20\alang1025 \ltrch\fcs0 \fs24\lang2057\langfe2057\cgrid\langnp2057\langfenp2057 {\rtlch\fcs1 \af0 \ltrch\fcs0 _x000d__x000a_\cs17\v\f1\fs20\cf9\lang1024\langfe1024\noproof\insrsid475881\charrsid8389036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63_x000d__x000a_f38a3cbb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9"/>
    <w:docVar w:name="TVTAMPART" w:val="Recital 1"/>
    <w:docVar w:name="TVTMEMBERS1" w:val="Pasquale Tridico"/>
    <w:docVar w:name="TXTAUTHOR" w:val="Michalis Hadjipantela"/>
    <w:docVar w:name="TXTLANGUE" w:val="IT"/>
    <w:docVar w:name="TXTLANGUEMIN" w:val="it"/>
    <w:docVar w:name="TXTNRFIRSTAM" w:val="1"/>
    <w:docVar w:name="TXTNRLASTAM" w:val="245"/>
    <w:docVar w:name="TXTNRPE" w:val="773.100"/>
    <w:docVar w:name="TXTNRPE2" w:val="770.261"/>
    <w:docVar w:name="TXTNRPROC" w:val="2024/2118"/>
    <w:docVar w:name="TXTPEorAP" w:val="PE"/>
    <w:docVar w:name="TXTROUTE" w:val="AM\1319959IT.docx"/>
    <w:docVar w:name="TXTTITLE" w:val="The role of simple tax rules and tax fragmentation in European competitiveness"/>
    <w:docVar w:name="TXTVERSION" w:val="01-00"/>
    <w:docVar w:name="TXTVERSION2" w:val="01-00"/>
  </w:docVars>
  <w:rsids>
    <w:rsidRoot w:val="008001AC"/>
    <w:rsid w:val="000058AA"/>
    <w:rsid w:val="000061A6"/>
    <w:rsid w:val="00047B73"/>
    <w:rsid w:val="00072B4B"/>
    <w:rsid w:val="00085D92"/>
    <w:rsid w:val="0011298B"/>
    <w:rsid w:val="0012108E"/>
    <w:rsid w:val="00125041"/>
    <w:rsid w:val="0015022B"/>
    <w:rsid w:val="00175062"/>
    <w:rsid w:val="001767FD"/>
    <w:rsid w:val="001A4499"/>
    <w:rsid w:val="001B1694"/>
    <w:rsid w:val="001C108E"/>
    <w:rsid w:val="001C6BFC"/>
    <w:rsid w:val="00202FE7"/>
    <w:rsid w:val="00206BA9"/>
    <w:rsid w:val="0026132A"/>
    <w:rsid w:val="00262416"/>
    <w:rsid w:val="002A3EAA"/>
    <w:rsid w:val="002B6DE3"/>
    <w:rsid w:val="002B799B"/>
    <w:rsid w:val="002F0149"/>
    <w:rsid w:val="00307E56"/>
    <w:rsid w:val="00336C04"/>
    <w:rsid w:val="00344203"/>
    <w:rsid w:val="00385C54"/>
    <w:rsid w:val="003C7A69"/>
    <w:rsid w:val="003D7856"/>
    <w:rsid w:val="003D7B19"/>
    <w:rsid w:val="003E552A"/>
    <w:rsid w:val="004106BA"/>
    <w:rsid w:val="0044299E"/>
    <w:rsid w:val="00444941"/>
    <w:rsid w:val="0048774D"/>
    <w:rsid w:val="004B02E9"/>
    <w:rsid w:val="004B3808"/>
    <w:rsid w:val="004D02AB"/>
    <w:rsid w:val="004D4487"/>
    <w:rsid w:val="004E4A92"/>
    <w:rsid w:val="005129CE"/>
    <w:rsid w:val="005B4DAA"/>
    <w:rsid w:val="005D04A2"/>
    <w:rsid w:val="005E5FA1"/>
    <w:rsid w:val="006121A3"/>
    <w:rsid w:val="00617CA4"/>
    <w:rsid w:val="00635283"/>
    <w:rsid w:val="00663E24"/>
    <w:rsid w:val="006838B3"/>
    <w:rsid w:val="00734882"/>
    <w:rsid w:val="00742225"/>
    <w:rsid w:val="00794E41"/>
    <w:rsid w:val="007964AA"/>
    <w:rsid w:val="007B1846"/>
    <w:rsid w:val="007C1252"/>
    <w:rsid w:val="007D282E"/>
    <w:rsid w:val="007E54B7"/>
    <w:rsid w:val="007E5D6B"/>
    <w:rsid w:val="007F22E4"/>
    <w:rsid w:val="008001AC"/>
    <w:rsid w:val="00826A54"/>
    <w:rsid w:val="008305E9"/>
    <w:rsid w:val="00840ADF"/>
    <w:rsid w:val="00866CBA"/>
    <w:rsid w:val="00873A27"/>
    <w:rsid w:val="008809B7"/>
    <w:rsid w:val="008A0915"/>
    <w:rsid w:val="008B040A"/>
    <w:rsid w:val="0093376E"/>
    <w:rsid w:val="0095177E"/>
    <w:rsid w:val="00952F4F"/>
    <w:rsid w:val="009531F4"/>
    <w:rsid w:val="00954A54"/>
    <w:rsid w:val="009A5711"/>
    <w:rsid w:val="009B54E9"/>
    <w:rsid w:val="009C2758"/>
    <w:rsid w:val="00A530BE"/>
    <w:rsid w:val="00A57C56"/>
    <w:rsid w:val="00A72F81"/>
    <w:rsid w:val="00A7559D"/>
    <w:rsid w:val="00A76F36"/>
    <w:rsid w:val="00A771CC"/>
    <w:rsid w:val="00A804CE"/>
    <w:rsid w:val="00A836A6"/>
    <w:rsid w:val="00AC7CDE"/>
    <w:rsid w:val="00AD3D9F"/>
    <w:rsid w:val="00AE20EB"/>
    <w:rsid w:val="00AF41A3"/>
    <w:rsid w:val="00B374D4"/>
    <w:rsid w:val="00B4019F"/>
    <w:rsid w:val="00B43C20"/>
    <w:rsid w:val="00BE6658"/>
    <w:rsid w:val="00BF6585"/>
    <w:rsid w:val="00C2201D"/>
    <w:rsid w:val="00C4069E"/>
    <w:rsid w:val="00C4749E"/>
    <w:rsid w:val="00C47511"/>
    <w:rsid w:val="00C72F6B"/>
    <w:rsid w:val="00C83592"/>
    <w:rsid w:val="00C855E3"/>
    <w:rsid w:val="00C90A8D"/>
    <w:rsid w:val="00C92FB9"/>
    <w:rsid w:val="00C9733A"/>
    <w:rsid w:val="00CA7F28"/>
    <w:rsid w:val="00CC2762"/>
    <w:rsid w:val="00CD1EB9"/>
    <w:rsid w:val="00CF4E9D"/>
    <w:rsid w:val="00D20070"/>
    <w:rsid w:val="00D2257D"/>
    <w:rsid w:val="00D22FB1"/>
    <w:rsid w:val="00D24B05"/>
    <w:rsid w:val="00D34123"/>
    <w:rsid w:val="00D35B06"/>
    <w:rsid w:val="00D42F84"/>
    <w:rsid w:val="00DA7120"/>
    <w:rsid w:val="00DC19A9"/>
    <w:rsid w:val="00DC1DD4"/>
    <w:rsid w:val="00DC3244"/>
    <w:rsid w:val="00DC36BD"/>
    <w:rsid w:val="00DF038C"/>
    <w:rsid w:val="00E67987"/>
    <w:rsid w:val="00E752E2"/>
    <w:rsid w:val="00EA1780"/>
    <w:rsid w:val="00EB2407"/>
    <w:rsid w:val="00EF54D2"/>
    <w:rsid w:val="00F14A4B"/>
    <w:rsid w:val="00F15510"/>
    <w:rsid w:val="00F20F19"/>
    <w:rsid w:val="00F457AA"/>
    <w:rsid w:val="00F61888"/>
    <w:rsid w:val="00F61FB2"/>
    <w:rsid w:val="00F74217"/>
    <w:rsid w:val="00F759E2"/>
    <w:rsid w:val="00F925F1"/>
    <w:rsid w:val="00FA7F93"/>
    <w:rsid w:val="00FB3CF9"/>
    <w:rsid w:val="00FD5DEA"/>
    <w:rsid w:val="00FF5B9D"/>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E1989F"/>
  <w15:chartTrackingRefBased/>
  <w15:docId w15:val="{DE10EE77-262A-42D8-9F0A-92D973886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71C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rPr>
      <w:rFonts w:ascii="Arial" w:hAnsi="Arial"/>
      <w:noProof/>
      <w:vanish/>
      <w:color w:val="000080"/>
      <w:sz w:val="20"/>
    </w:rPr>
  </w:style>
  <w:style w:type="character" w:customStyle="1" w:styleId="HideTWBInt">
    <w:name w:val="HideTWBInt"/>
    <w:rPr>
      <w:rFonts w:ascii="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paragraph" w:customStyle="1" w:styleId="msonormal0">
    <w:name w:val="msonormal"/>
    <w:basedOn w:val="Normal"/>
    <w:rsid w:val="00D20070"/>
    <w:pPr>
      <w:widowControl/>
      <w:spacing w:before="100" w:beforeAutospacing="1" w:after="100" w:afterAutospacing="1"/>
    </w:pPr>
    <w:rPr>
      <w:szCs w:val="24"/>
    </w:rPr>
  </w:style>
  <w:style w:type="paragraph" w:customStyle="1" w:styleId="AmCrossRef">
    <w:name w:val="AmCrossRef"/>
    <w:basedOn w:val="Normal"/>
    <w:rsid w:val="00D20070"/>
    <w:pPr>
      <w:spacing w:before="240" w:after="240"/>
      <w:jc w:val="center"/>
    </w:pPr>
    <w:rPr>
      <w:i/>
      <w:szCs w:val="24"/>
      <w:lang w:eastAsia="en-US"/>
    </w:rPr>
  </w:style>
  <w:style w:type="paragraph" w:customStyle="1" w:styleId="EPFooterLandscape">
    <w:name w:val="EPFooterLandscape"/>
    <w:rsid w:val="00D20070"/>
    <w:pPr>
      <w:widowControl w:val="0"/>
      <w:tabs>
        <w:tab w:val="center" w:pos="6800"/>
        <w:tab w:val="right" w:pos="15020"/>
      </w:tabs>
    </w:pPr>
    <w:rPr>
      <w:sz w:val="22"/>
      <w:lang w:eastAsia="en-US"/>
    </w:rPr>
  </w:style>
  <w:style w:type="paragraph" w:customStyle="1" w:styleId="Normal0">
    <w:name w:val="Normal0"/>
    <w:basedOn w:val="Normal"/>
    <w:rsid w:val="00D20070"/>
    <w:rPr>
      <w:sz w:val="2"/>
      <w:szCs w:val="24"/>
      <w:lang w:eastAsia="en-US"/>
    </w:rPr>
  </w:style>
  <w:style w:type="paragraph" w:customStyle="1" w:styleId="EPFooter2Landscape">
    <w:name w:val="EPFooter2Landscape"/>
    <w:rsid w:val="00D20070"/>
    <w:pPr>
      <w:widowControl w:val="0"/>
      <w:tabs>
        <w:tab w:val="center" w:pos="4520"/>
        <w:tab w:val="center" w:pos="9920"/>
        <w:tab w:val="right" w:pos="15020"/>
      </w:tabs>
    </w:pPr>
    <w:rPr>
      <w:rFonts w:ascii="Arial" w:eastAsia="Arial" w:hAnsi="Arial" w:cs="Arial"/>
      <w:b/>
      <w:sz w:val="48"/>
      <w:lang w:eastAsia="en-US"/>
    </w:rPr>
  </w:style>
  <w:style w:type="paragraph" w:customStyle="1" w:styleId="PMissingStyle">
    <w:name w:val="P_MissingStyle"/>
    <w:basedOn w:val="Normal"/>
    <w:rsid w:val="00D20070"/>
    <w:pPr>
      <w:shd w:val="clear" w:color="auto" w:fill="000000"/>
    </w:pPr>
    <w:rPr>
      <w:color w:val="FFFFFF"/>
      <w:szCs w:val="24"/>
      <w:lang w:eastAsia="en-US"/>
    </w:rPr>
  </w:style>
  <w:style w:type="paragraph" w:customStyle="1" w:styleId="Normal12a">
    <w:name w:val="Normal12a"/>
    <w:basedOn w:val="Normal"/>
    <w:rsid w:val="00D20070"/>
    <w:pPr>
      <w:spacing w:after="240"/>
    </w:pPr>
    <w:rPr>
      <w:szCs w:val="24"/>
      <w:lang w:eastAsia="en-US"/>
    </w:rPr>
  </w:style>
  <w:style w:type="character" w:customStyle="1" w:styleId="EPFooter2Motto">
    <w:name w:val="EPFooter2Motto"/>
    <w:rsid w:val="00D20070"/>
    <w:rPr>
      <w:rFonts w:ascii="Arial" w:hAnsi="Arial" w:cs="Arial" w:hint="default"/>
      <w:b/>
      <w:bCs w:val="0"/>
      <w:i/>
      <w:iCs w:val="0"/>
      <w:color w:val="C0C0C0"/>
      <w:sz w:val="22"/>
    </w:rPr>
  </w:style>
  <w:style w:type="character" w:customStyle="1" w:styleId="EPFooter2Middle">
    <w:name w:val="EPFooter2Middle"/>
    <w:rsid w:val="00D20070"/>
    <w:rPr>
      <w:rFonts w:ascii="Arial" w:hAnsi="Arial" w:cs="Arial" w:hint="default"/>
      <w:b w:val="0"/>
      <w:bCs w:val="0"/>
      <w:i/>
      <w:iCs w:val="0"/>
      <w:color w:val="AEAAAA"/>
      <w:sz w:val="22"/>
      <w:shd w:val="pct50" w:color="auto" w:fill="auto"/>
    </w:rPr>
  </w:style>
  <w:style w:type="character" w:customStyle="1" w:styleId="CMissingStyle">
    <w:name w:val="C_MissingStyle"/>
    <w:rsid w:val="00D20070"/>
    <w:rPr>
      <w:color w:val="FFFFFF"/>
      <w:sz w:val="22"/>
      <w:shd w:val="clear" w:color="auto" w:fill="000000"/>
    </w:rPr>
  </w:style>
  <w:style w:type="character" w:styleId="CommentReference">
    <w:name w:val="annotation reference"/>
    <w:basedOn w:val="DefaultParagraphFont"/>
    <w:rsid w:val="00C9733A"/>
    <w:rPr>
      <w:sz w:val="16"/>
      <w:szCs w:val="16"/>
    </w:rPr>
  </w:style>
  <w:style w:type="paragraph" w:styleId="CommentText">
    <w:name w:val="annotation text"/>
    <w:basedOn w:val="Normal"/>
    <w:link w:val="CommentTextChar"/>
    <w:rsid w:val="00C9733A"/>
    <w:rPr>
      <w:sz w:val="20"/>
    </w:rPr>
  </w:style>
  <w:style w:type="character" w:customStyle="1" w:styleId="CommentTextChar">
    <w:name w:val="Comment Text Char"/>
    <w:basedOn w:val="DefaultParagraphFont"/>
    <w:link w:val="CommentText"/>
    <w:rsid w:val="00C9733A"/>
  </w:style>
  <w:style w:type="paragraph" w:styleId="CommentSubject">
    <w:name w:val="annotation subject"/>
    <w:basedOn w:val="CommentText"/>
    <w:next w:val="CommentText"/>
    <w:link w:val="CommentSubjectChar"/>
    <w:semiHidden/>
    <w:unhideWhenUsed/>
    <w:rsid w:val="00C9733A"/>
    <w:rPr>
      <w:b/>
      <w:bCs/>
    </w:rPr>
  </w:style>
  <w:style w:type="character" w:customStyle="1" w:styleId="CommentSubjectChar">
    <w:name w:val="Comment Subject Char"/>
    <w:basedOn w:val="CommentTextChar"/>
    <w:link w:val="CommentSubject"/>
    <w:semiHidden/>
    <w:rsid w:val="00C9733A"/>
    <w:rPr>
      <w:b/>
      <w:bCs/>
    </w:rPr>
  </w:style>
  <w:style w:type="paragraph" w:styleId="Footer">
    <w:name w:val="footer"/>
    <w:basedOn w:val="Normal"/>
    <w:link w:val="FooterChar"/>
    <w:semiHidden/>
    <w:rsid w:val="00C9733A"/>
    <w:pPr>
      <w:tabs>
        <w:tab w:val="center" w:pos="4513"/>
        <w:tab w:val="right" w:pos="9026"/>
      </w:tabs>
    </w:pPr>
  </w:style>
  <w:style w:type="character" w:customStyle="1" w:styleId="FooterChar">
    <w:name w:val="Footer Char"/>
    <w:basedOn w:val="DefaultParagraphFont"/>
    <w:link w:val="Footer"/>
    <w:semiHidden/>
    <w:rsid w:val="00C9733A"/>
    <w:rPr>
      <w:sz w:val="24"/>
    </w:rPr>
  </w:style>
  <w:style w:type="paragraph" w:styleId="Revision">
    <w:name w:val="Revision"/>
    <w:hidden/>
    <w:uiPriority w:val="99"/>
    <w:semiHidden/>
    <w:rsid w:val="00C9733A"/>
    <w:rPr>
      <w:sz w:val="24"/>
    </w:rPr>
  </w:style>
  <w:style w:type="paragraph" w:styleId="BalloonText">
    <w:name w:val="Balloon Text"/>
    <w:basedOn w:val="Normal"/>
    <w:link w:val="BalloonTextChar"/>
    <w:semiHidden/>
    <w:unhideWhenUsed/>
    <w:rsid w:val="00C9733A"/>
    <w:rPr>
      <w:rFonts w:ascii="Segoe UI" w:hAnsi="Segoe UI" w:cs="Segoe UI"/>
      <w:sz w:val="18"/>
      <w:szCs w:val="18"/>
    </w:rPr>
  </w:style>
  <w:style w:type="character" w:customStyle="1" w:styleId="BalloonTextChar">
    <w:name w:val="Balloon Text Char"/>
    <w:basedOn w:val="DefaultParagraphFont"/>
    <w:link w:val="BalloonText"/>
    <w:semiHidden/>
    <w:rsid w:val="00C9733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386191-26E7-4391-B485-21596F1460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141</Pages>
  <Words>31404</Words>
  <Characters>191667</Characters>
  <Application>Microsoft Office Word</Application>
  <DocSecurity>0</DocSecurity>
  <Lines>7629</Lines>
  <Paragraphs>2177</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221190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cp:lastPrinted>2025-05-02T12:47:00Z</cp:lastPrinted>
  <dcterms:created xsi:type="dcterms:W3CDTF">2025-05-20T08:52:00Z</dcterms:created>
  <dcterms:modified xsi:type="dcterms:W3CDTF">2025-05-20T08:52:00Z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1319959</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14:39:05)</vt:lpwstr>
  </property>
  <property fmtid="{D5CDD505-2E9C-101B-9397-08002B2CF9AE}" pid="6" name="&lt;ModelTra&gt;">
    <vt:lpwstr>\\eiciBRUpr1\pdocep$\DocEP\TRANSFIL\EN\AM_Com_NonLegReport.EN(17/08/2024 01:22:03)</vt:lpwstr>
  </property>
  <property fmtid="{D5CDD505-2E9C-101B-9397-08002B2CF9AE}" pid="7" name="&lt;Type&gt;">
    <vt:lpwstr>AM</vt:lpwstr>
  </property>
  <property fmtid="{D5CDD505-2E9C-101B-9397-08002B2CF9AE}" pid="8" name="Created with">
    <vt:lpwstr>10.1.0 Build [20250401]</vt:lpwstr>
  </property>
  <property fmtid="{D5CDD505-2E9C-101B-9397-08002B2CF9AE}" pid="9" name="FooterPath">
    <vt:lpwstr>AM\1319959IT.docx</vt:lpwstr>
  </property>
  <property fmtid="{D5CDD505-2E9C-101B-9397-08002B2CF9AE}" pid="10" name="LastEdited with">
    <vt:lpwstr>10.1.1 Build [20250421]</vt:lpwstr>
  </property>
  <property fmtid="{D5CDD505-2E9C-101B-9397-08002B2CF9AE}" pid="11" name="PE number">
    <vt:lpwstr>773.100</vt:lpwstr>
  </property>
  <property fmtid="{D5CDD505-2E9C-101B-9397-08002B2CF9AE}" pid="12" name="SendToEpades">
    <vt:lpwstr>OK - 2025/05/02 16:27</vt:lpwstr>
  </property>
  <property fmtid="{D5CDD505-2E9C-101B-9397-08002B2CF9AE}" pid="13" name="OriLang">
    <vt:lpwstr>EN</vt:lpwstr>
  </property>
  <property fmtid="{D5CDD505-2E9C-101B-9397-08002B2CF9AE}" pid="14" name="Bookout">
    <vt:lpwstr>OK - 2025/05/20 10:47</vt:lpwstr>
  </property>
</Properties>
</file>