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97FFA">
        <w:trPr>
          <w:trHeight w:hRule="exact" w:val="1417"/>
          <w:jc w:val="center"/>
        </w:trPr>
        <w:tc>
          <w:tcPr>
            <w:tcW w:w="6804" w:type="dxa"/>
            <w:tcBorders>
              <w:top w:val="nil"/>
              <w:left w:val="nil"/>
              <w:bottom w:val="nil"/>
              <w:right w:val="nil"/>
            </w:tcBorders>
            <w:vAlign w:val="center"/>
          </w:tcPr>
          <w:p w:rsidR="00F2637A" w:rsidRPr="00C34506" w:rsidRDefault="004855AE">
            <w:pPr>
              <w:pStyle w:val="EPName"/>
            </w:pPr>
            <w:r>
              <w:t>Европейски парламент</w:t>
            </w:r>
          </w:p>
          <w:p w:rsidR="00F2637A" w:rsidRPr="00C34506" w:rsidRDefault="004855AE">
            <w:pPr>
              <w:pStyle w:val="EPTerm"/>
            </w:pPr>
            <w:r>
              <w:t>2024-2029</w:t>
            </w:r>
          </w:p>
        </w:tc>
        <w:tc>
          <w:tcPr>
            <w:tcW w:w="2268" w:type="dxa"/>
            <w:tcBorders>
              <w:top w:val="nil"/>
              <w:left w:val="nil"/>
              <w:bottom w:val="nil"/>
              <w:right w:val="nil"/>
            </w:tcBorders>
          </w:tcPr>
          <w:p w:rsidR="00F2637A" w:rsidRPr="00C34506" w:rsidRDefault="004855AE">
            <w:pPr>
              <w:pStyle w:val="EPLogo"/>
            </w:pPr>
            <w:r w:rsidRPr="00C34506">
              <w:rPr>
                <w:noProof/>
                <w:lang w:val="en-GB" w:eastAsia="en-GB"/>
              </w:rPr>
              <w:drawing>
                <wp:inline distT="0" distB="0" distL="0" distR="0">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rsidR="00F2637A" w:rsidRPr="00C34506" w:rsidRDefault="004855AE">
      <w:pPr>
        <w:pStyle w:val="LineTop"/>
      </w:pPr>
      <w:r>
        <w:t xml:space="preserve"> </w:t>
      </w:r>
    </w:p>
    <w:p w:rsidR="00F2637A" w:rsidRPr="00C34506" w:rsidRDefault="004855AE">
      <w:pPr>
        <w:pStyle w:val="EPBody"/>
      </w:pPr>
      <w:r>
        <w:rPr>
          <w:rStyle w:val="HideTWBExt"/>
          <w:i w:val="0"/>
        </w:rPr>
        <w:t>&lt;Commission&gt;</w:t>
      </w:r>
      <w:r>
        <w:rPr>
          <w:rStyle w:val="HideTWBInt"/>
          <w:i w:val="0"/>
          <w:color w:val="auto"/>
        </w:rPr>
        <w:t>{ECON}</w:t>
      </w:r>
      <w:r>
        <w:t>Комисия по икономически и парични въпроси</w:t>
      </w:r>
      <w:r>
        <w:rPr>
          <w:rStyle w:val="HideTWBExt"/>
          <w:i w:val="0"/>
        </w:rPr>
        <w:t>&lt;/Commission&gt;</w:t>
      </w:r>
    </w:p>
    <w:p w:rsidR="00F2637A" w:rsidRPr="00C34506" w:rsidRDefault="004855AE">
      <w:pPr>
        <w:pStyle w:val="LineBottom"/>
      </w:pPr>
      <w:r>
        <w:t xml:space="preserve"> </w:t>
      </w:r>
    </w:p>
    <w:p w:rsidR="00F2637A" w:rsidRPr="00C34506" w:rsidRDefault="004855AE">
      <w:pPr>
        <w:pStyle w:val="CoverReference"/>
      </w:pPr>
      <w:r>
        <w:rPr>
          <w:rStyle w:val="HideTWBExt"/>
          <w:b w:val="0"/>
        </w:rPr>
        <w:t>&lt;RefProc&gt;</w:t>
      </w:r>
      <w:r>
        <w:t>2024/2116</w:t>
      </w:r>
      <w:r>
        <w:rPr>
          <w:rStyle w:val="HideTWBExt"/>
          <w:b w:val="0"/>
        </w:rPr>
        <w:t>&lt;/RefProc&gt;&lt;RefTypeProc&gt;</w:t>
      </w:r>
      <w:r>
        <w:t>(INI)</w:t>
      </w:r>
      <w:r>
        <w:rPr>
          <w:rStyle w:val="HideTWBExt"/>
          <w:b w:val="0"/>
        </w:rPr>
        <w:t>&lt;/RefTypeProc&gt;</w:t>
      </w:r>
    </w:p>
    <w:p w:rsidR="00F2637A" w:rsidRPr="00C34506" w:rsidRDefault="004855AE">
      <w:pPr>
        <w:pStyle w:val="CoverDate"/>
      </w:pPr>
      <w:r>
        <w:rPr>
          <w:rStyle w:val="HideTWBExt"/>
        </w:rPr>
        <w:t>&lt;Date&gt;</w:t>
      </w:r>
      <w:r>
        <w:rPr>
          <w:rStyle w:val="HideTWBInt"/>
          <w:color w:val="auto"/>
        </w:rPr>
        <w:t>{05/05/2025}</w:t>
      </w:r>
      <w:r>
        <w:t>5.5.2025</w:t>
      </w:r>
      <w:r>
        <w:rPr>
          <w:rStyle w:val="HideTWBExt"/>
        </w:rPr>
        <w:t>&lt;/Date&gt;</w:t>
      </w:r>
    </w:p>
    <w:p w:rsidR="00F2637A" w:rsidRPr="00C34506" w:rsidRDefault="004855AE">
      <w:pPr>
        <w:pStyle w:val="CoverDocType"/>
      </w:pPr>
      <w:r>
        <w:rPr>
          <w:rStyle w:val="HideTWBExt"/>
          <w:b w:val="0"/>
        </w:rPr>
        <w:t>&lt;TypeAM&gt;</w:t>
      </w:r>
      <w:r>
        <w:t>ИЗМЕНЕНИЯ</w:t>
      </w:r>
      <w:r>
        <w:rPr>
          <w:rStyle w:val="HideTWBExt"/>
          <w:b w:val="0"/>
        </w:rPr>
        <w:t>&lt;/TypeAM&gt;</w:t>
      </w:r>
    </w:p>
    <w:p w:rsidR="00F2637A" w:rsidRPr="00C34506" w:rsidRDefault="004855AE">
      <w:pPr>
        <w:pStyle w:val="CoverDocType24a"/>
      </w:pPr>
      <w:r>
        <w:rPr>
          <w:rStyle w:val="HideTWBExt"/>
          <w:b w:val="0"/>
        </w:rPr>
        <w:t>&lt;RangeAM&gt;</w:t>
      </w:r>
      <w:r>
        <w:t>1 - 339</w:t>
      </w:r>
      <w:r>
        <w:rPr>
          <w:rStyle w:val="HideTWBExt"/>
          <w:b w:val="0"/>
        </w:rPr>
        <w:t>&lt;/RangeAM&gt;</w:t>
      </w:r>
    </w:p>
    <w:p w:rsidR="00F2637A" w:rsidRPr="00C34506" w:rsidRDefault="004855AE">
      <w:pPr>
        <w:pStyle w:val="CoverBold"/>
      </w:pPr>
      <w:r>
        <w:rPr>
          <w:rStyle w:val="HideTWBExt"/>
          <w:b w:val="0"/>
        </w:rPr>
        <w:t>&lt;TitreType&gt;</w:t>
      </w:r>
      <w:r>
        <w:t>Проект на доклад</w:t>
      </w:r>
      <w:r>
        <w:rPr>
          <w:rStyle w:val="HideTWBExt"/>
          <w:b w:val="0"/>
        </w:rPr>
        <w:t>&lt;/TitreType&gt;</w:t>
      </w:r>
    </w:p>
    <w:p w:rsidR="00F2637A" w:rsidRPr="00C34506" w:rsidRDefault="004855AE">
      <w:pPr>
        <w:pStyle w:val="CoverBold"/>
      </w:pPr>
      <w:r>
        <w:rPr>
          <w:rStyle w:val="HideTWBExt"/>
          <w:b w:val="0"/>
        </w:rPr>
        <w:t>&lt;Rapporteur&gt;</w:t>
      </w:r>
      <w:r>
        <w:t>Орор Лалюк</w:t>
      </w:r>
      <w:r>
        <w:rPr>
          <w:rStyle w:val="HideTWBExt"/>
          <w:b w:val="0"/>
        </w:rPr>
        <w:t>&lt;/Rapporteur&gt;</w:t>
      </w:r>
    </w:p>
    <w:p w:rsidR="00F2637A" w:rsidRPr="00C34506" w:rsidRDefault="004855AE">
      <w:pPr>
        <w:pStyle w:val="CoverNormal24a"/>
      </w:pPr>
      <w:r>
        <w:rPr>
          <w:rStyle w:val="HideTWBExt"/>
        </w:rPr>
        <w:t>&lt;DocRefPE&gt;</w:t>
      </w:r>
      <w:r>
        <w:t>(PE770.112v01-00)</w:t>
      </w:r>
      <w:r>
        <w:rPr>
          <w:rStyle w:val="HideTWBExt"/>
        </w:rPr>
        <w:t>&lt;/DocRefPE&gt;</w:t>
      </w:r>
    </w:p>
    <w:p w:rsidR="00F2637A" w:rsidRPr="00C34506" w:rsidRDefault="004855AE">
      <w:pPr>
        <w:pStyle w:val="CoverNormal"/>
      </w:pPr>
      <w:r>
        <w:rPr>
          <w:rStyle w:val="HideTWBExt"/>
        </w:rPr>
        <w:t>&lt;Titre&gt;</w:t>
      </w:r>
      <w:r>
        <w:t>Улесняване на финансирането на инвестиции и реформи за стимулиране на европейската конкурентоспособност и създаване на съюз</w:t>
      </w:r>
      <w:r>
        <w:t xml:space="preserve"> на капиталовите пазари (доклад на Марио Драги)</w:t>
      </w:r>
      <w:r>
        <w:rPr>
          <w:rStyle w:val="HideTWBExt"/>
        </w:rPr>
        <w:t>&lt;/Titre&gt;</w:t>
      </w:r>
    </w:p>
    <w:p w:rsidR="00F2637A" w:rsidRPr="00C34506" w:rsidRDefault="004855AE">
      <w:pPr>
        <w:pStyle w:val="CoverNormal24a"/>
      </w:pPr>
      <w:r>
        <w:rPr>
          <w:rStyle w:val="HideTWBExt"/>
        </w:rPr>
        <w:t>&lt;DocRef&gt;</w:t>
      </w:r>
      <w:r>
        <w:t>(2024/2116(INI))</w:t>
      </w:r>
      <w:r>
        <w:rPr>
          <w:rStyle w:val="HideTWBExt"/>
        </w:rPr>
        <w:t>&lt;/DocRef&gt;</w:t>
      </w:r>
    </w:p>
    <w:p w:rsidR="00F2637A" w:rsidRPr="00C34506" w:rsidRDefault="004855AE">
      <w:r>
        <w:br w:type="page"/>
      </w:r>
      <w:r>
        <w:lastRenderedPageBreak/>
        <w:t>AM_Com_NonLegReport</w:t>
      </w:r>
    </w:p>
    <w:p w:rsidR="004855AE" w:rsidRPr="00C34506" w:rsidRDefault="004855AE" w:rsidP="004855AE">
      <w:pPr>
        <w:pStyle w:val="AmNumberTabs"/>
      </w:pPr>
      <w:r>
        <w:br w:type="page"/>
      </w:r>
      <w:r w:rsidRPr="004855AE">
        <w:rPr>
          <w:rStyle w:val="HideTWBExt"/>
          <w:b w:val="0"/>
        </w:rPr>
        <w:lastRenderedPageBreak/>
        <w:t>&lt;RepeatBlock-Amend&gt;</w:t>
      </w:r>
      <w:r>
        <w:rPr>
          <w:rStyle w:val="HideTWBExt"/>
          <w:b w:val="0"/>
        </w:rPr>
        <w:t>&lt;Amend&gt;</w:t>
      </w:r>
      <w:bookmarkStart w:id="0" w:name="_GoBack"/>
      <w:bookmarkEnd w:id="0"/>
      <w:r>
        <w:t>Изменение</w:t>
      </w:r>
      <w:r>
        <w:tab/>
      </w:r>
      <w:r>
        <w:tab/>
      </w:r>
      <w:r>
        <w:rPr>
          <w:rStyle w:val="HideTWBExt"/>
          <w:b w:val="0"/>
        </w:rPr>
        <w:t>&lt;NumAm&gt;</w:t>
      </w:r>
      <w:r>
        <w:t>1</w:t>
      </w:r>
      <w:r>
        <w:rPr>
          <w:rStyle w:val="HideTWBExt"/>
          <w:b w:val="0"/>
        </w:rPr>
        <w:t>&lt;/NumAm&gt;</w:t>
      </w:r>
    </w:p>
    <w:p w:rsidR="004855AE" w:rsidRPr="00C34506" w:rsidRDefault="004855AE" w:rsidP="004855AE">
      <w:pPr>
        <w:pStyle w:val="NormalBold"/>
      </w:pPr>
      <w:r>
        <w:rPr>
          <w:rStyle w:val="HideTWBExt"/>
          <w:b w:val="0"/>
        </w:rPr>
        <w:t>&lt;RepeatBlock-By&gt;&lt;Members&gt;</w:t>
      </w:r>
      <w:r>
        <w:t>Людовит Одор, Анук Ван Брюг, Паскал Канфен, Били Келъхър, Стефани Йон</w:t>
      </w:r>
      <w:r>
        <w:noBreakHyphen/>
        <w:t>Куртен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-1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като взе предвид съобщението на Комисията от 19 март 2025 г., озаглавено „Съюз на спестяванията и инвестициите – Стратегия за насърчаване на благосъстоянието на гражданите и икономическата конкурентоспособност в ЕС“ (COM(2025)124),</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w:t>
      </w:r>
      <w:r>
        <w:rPr>
          <w:rStyle w:val="HideTWBExt"/>
          <w:b w:val="0"/>
        </w:rPr>
        <w:t>&lt;/NumAm&gt;</w:t>
      </w:r>
    </w:p>
    <w:p w:rsidR="004855AE" w:rsidRPr="00C34506" w:rsidRDefault="004855AE" w:rsidP="004855AE">
      <w:pPr>
        <w:pStyle w:val="NormalBold"/>
      </w:pPr>
      <w:r>
        <w:rPr>
          <w:rStyle w:val="HideTWBExt"/>
          <w:b w:val="0"/>
        </w:rPr>
        <w:t>&lt;RepeatBlock-By&gt;&lt;Members&gt;</w:t>
      </w:r>
      <w:r>
        <w:t>Реджина Дохърти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4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като взе предвид съобщението на Комисията от 29 януари 2025 г., озаглавено „Компас за конкурентоспособността на ЕС“ (COM(2025)30),</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w:t>
      </w:r>
      <w:r>
        <w:rPr>
          <w:rStyle w:val="HideTWBExt"/>
          <w:b w:val="0"/>
        </w:rPr>
        <w:t>&lt;/NumAm&gt;</w:t>
      </w:r>
    </w:p>
    <w:p w:rsidR="004855AE" w:rsidRPr="00C34506" w:rsidRDefault="004855AE" w:rsidP="004855AE">
      <w:pPr>
        <w:pStyle w:val="NormalBold"/>
      </w:pPr>
      <w:r>
        <w:rPr>
          <w:rStyle w:val="HideTWBExt"/>
          <w:b w:val="0"/>
        </w:rPr>
        <w:t>&lt;RepeatBlock-By&gt;&lt;Members&gt;</w:t>
      </w:r>
      <w:r>
        <w:t>Сирпа Пиетикяйнен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6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 xml:space="preserve">като взе предвид съобщението </w:t>
            </w:r>
            <w:r>
              <w:rPr>
                <w:b/>
                <w:i/>
              </w:rPr>
              <w:lastRenderedPageBreak/>
              <w:t>на Комисията от 26 февруари 2025 г., озаглавено „Пактът за чиста промишленост: Съвместна пътна карта за конкурентоспособност и декарбонизация“ (COM(2025)85),</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4</w:t>
      </w:r>
      <w:r>
        <w:rPr>
          <w:rStyle w:val="HideTWBExt"/>
          <w:b w:val="0"/>
        </w:rPr>
        <w:t>&lt;/NumAm&gt;</w:t>
      </w:r>
    </w:p>
    <w:p w:rsidR="004855AE" w:rsidRPr="00C34506" w:rsidRDefault="004855AE" w:rsidP="004855AE">
      <w:pPr>
        <w:pStyle w:val="NormalBold"/>
      </w:pPr>
      <w:r>
        <w:rPr>
          <w:rStyle w:val="HideTWBExt"/>
          <w:b w:val="0"/>
        </w:rPr>
        <w:t>&lt;RepeatBlock-By&gt;&lt;Members&gt;</w:t>
      </w:r>
      <w:r>
        <w:t>Сирпа Пиетикяйнен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6 б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като взе предвид съобщението на Комисията от 11 декември 2019 г. относно Европейския зелен пакт (COM(2019)640),</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5</w:t>
      </w:r>
      <w:r>
        <w:rPr>
          <w:rStyle w:val="HideTWBExt"/>
          <w:b w:val="0"/>
        </w:rPr>
        <w:t>&lt;/NumAm&gt;</w:t>
      </w:r>
    </w:p>
    <w:p w:rsidR="004855AE" w:rsidRPr="00C34506" w:rsidRDefault="004855AE" w:rsidP="004855AE">
      <w:pPr>
        <w:pStyle w:val="NormalBold"/>
      </w:pPr>
      <w:r>
        <w:rPr>
          <w:rStyle w:val="HideTWBExt"/>
          <w:b w:val="0"/>
        </w:rPr>
        <w:t>&lt;RepeatBlock-By&gt;&lt;Members&gt;</w:t>
      </w:r>
      <w:r>
        <w:t>Сирпа Пиетикяйнен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6 в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като взе предвид своята резолюция от 15 януари 2020 г. относно Европейския зелен пакт (P9.TA(2020)0005),</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6</w:t>
      </w:r>
      <w:r>
        <w:rPr>
          <w:rStyle w:val="HideTWBExt"/>
          <w:b w:val="0"/>
        </w:rPr>
        <w:t>&lt;/NumAm&gt;</w:t>
      </w:r>
    </w:p>
    <w:p w:rsidR="004855AE" w:rsidRPr="00C34506" w:rsidRDefault="004855AE" w:rsidP="004855AE">
      <w:pPr>
        <w:pStyle w:val="NormalBold"/>
      </w:pPr>
      <w:r>
        <w:rPr>
          <w:rStyle w:val="HideTWBExt"/>
          <w:b w:val="0"/>
        </w:rPr>
        <w:t>&lt;RepeatBlock-By&gt;&lt;Members&gt;</w:t>
      </w:r>
      <w:r>
        <w:t>Сирпа Пиетикяйнен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6 г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като взе предвид съобщението на Комисията от 11 март 2020 г., озаглавено „Нов план за действие относно кръговата икономика — За по-чиста и по-конкурентоспособна Европа“ (COM(2020)98),</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7</w:t>
      </w:r>
      <w:r>
        <w:rPr>
          <w:rStyle w:val="HideTWBExt"/>
          <w:b w:val="0"/>
        </w:rPr>
        <w:t>&lt;/NumAm&gt;</w:t>
      </w:r>
    </w:p>
    <w:p w:rsidR="004855AE" w:rsidRPr="00C34506" w:rsidRDefault="004855AE" w:rsidP="004855AE">
      <w:pPr>
        <w:pStyle w:val="NormalBold"/>
      </w:pPr>
      <w:r>
        <w:rPr>
          <w:rStyle w:val="HideTWBExt"/>
          <w:b w:val="0"/>
        </w:rPr>
        <w:t>&lt;RepeatBlock-By&gt;&lt;Members&gt;</w:t>
      </w:r>
      <w:r>
        <w:t>Сирпа Пиетикяйнен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6 д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като взе предвид своята резолюция от 10 февруари 2021 г. относно новия План за действие относно кръговата икономика (P9.TA(2021)0640),</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8</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Евелин Регнер, Нилс Фулсанг, Клер Фита, Карла Тавареш, Томас Баяда,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8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 xml:space="preserve">като взе предвид съобщението на Комисията от 19 март 2025 г., озаглавено „Съюз на спестяванията и инвестициите – Стратегия за насърчаване на благосъстоянието на гражданите и икономическата </w:t>
            </w:r>
            <w:r>
              <w:rPr>
                <w:b/>
                <w:i/>
              </w:rPr>
              <w:lastRenderedPageBreak/>
              <w:t>конкурентоспособност в ЕС“ (COM(2025)124),</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9</w:t>
      </w:r>
      <w:r>
        <w:rPr>
          <w:rStyle w:val="HideTWBExt"/>
          <w:b w:val="0"/>
        </w:rPr>
        <w:t>&lt;/NumAm&gt;</w:t>
      </w:r>
    </w:p>
    <w:p w:rsidR="004855AE" w:rsidRPr="00C34506" w:rsidRDefault="004855AE" w:rsidP="004855AE">
      <w:pPr>
        <w:pStyle w:val="NormalBold"/>
      </w:pPr>
      <w:r>
        <w:rPr>
          <w:rStyle w:val="HideTWBExt"/>
          <w:b w:val="0"/>
        </w:rPr>
        <w:t>&lt;RepeatBlock-By&gt;&lt;Members&gt;</w:t>
      </w:r>
      <w:r>
        <w:t>Арба Кокалари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8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като взе предвид съобщението на Комисията от 29 януари 2025 г., озаглавено „Компас за конкурентоспособността на ЕС“ (COM(2025)30),</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10</w:t>
      </w:r>
      <w:r>
        <w:rPr>
          <w:rStyle w:val="HideTWBExt"/>
          <w:b w:val="0"/>
        </w:rPr>
        <w:t>&lt;/NumAm&gt;</w:t>
      </w:r>
    </w:p>
    <w:p w:rsidR="004855AE" w:rsidRPr="00C34506" w:rsidRDefault="004855AE" w:rsidP="004855AE">
      <w:pPr>
        <w:pStyle w:val="NormalBold"/>
      </w:pPr>
      <w:r>
        <w:rPr>
          <w:rStyle w:val="HideTWBExt"/>
          <w:b w:val="0"/>
        </w:rPr>
        <w:t>&lt;RepeatBlock-By&gt;&lt;Members&gt;</w:t>
      </w:r>
      <w:r>
        <w:t>Дирк Готинк</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8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като взе предвид съобщението на Комисията от 29 януари 2025 г., озаглавено „Компас за конкурентоспособността на ЕС“ (COM(2025)30),</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11</w:t>
      </w:r>
      <w:r>
        <w:rPr>
          <w:rStyle w:val="HideTWBExt"/>
          <w:b w:val="0"/>
        </w:rPr>
        <w:t>&lt;/NumAm&gt;</w:t>
      </w:r>
    </w:p>
    <w:p w:rsidR="004855AE" w:rsidRPr="00C34506" w:rsidRDefault="004855AE" w:rsidP="004855AE">
      <w:pPr>
        <w:pStyle w:val="NormalBold"/>
      </w:pPr>
      <w:r>
        <w:rPr>
          <w:rStyle w:val="HideTWBExt"/>
          <w:b w:val="0"/>
        </w:rPr>
        <w:t>&lt;RepeatBlock-By&gt;&lt;Members&gt;</w:t>
      </w:r>
      <w:r>
        <w:t>Дирк Готинк</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8 б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lastRenderedPageBreak/>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като взе предвид съобщението на Комисията, озаглавено „Съюз на спестяванията и инвестициите – Стратегия за насърчаване на благосъстоянието на гражданите и икономическата конкурентоспособност в ЕС“ (COM(2025)124),</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12</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Евелин Регнер, Нилс Фулсанг, Клер Фита, Карла Тавареш,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9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като взе предвид проучвателното становище на Европейския икономически и социален комитет относно „Инвестиции и реформи за повишаване на европейската конкурентоспособност и създаване на съюз на капиталовите пазари“ (ECO/665),</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13</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11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 xml:space="preserve">като взе предвид пазарния доклад на ЕОЦКП „Разходи и </w:t>
            </w:r>
            <w:r>
              <w:rPr>
                <w:b/>
                <w:i/>
              </w:rPr>
              <w:lastRenderedPageBreak/>
              <w:t>резултати на инвестиционните продукти на дребно в ЕС за 2023 г.“ от декември 2023 г.,</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14</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11 б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като взе предвид становището на ЕОЦКП, озаглавено „Устойчиви инвестиции: Улесняване на пътя на инвеститорите — цялостна визия в дългосрочен план“ от юли 2024 г.,</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15</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11 в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като взе предвид работния документ на Европейския орган за застраховане и професионално пенсионно осигуряване (EIOPA) от септември 2024 г., озаглавен „Бъдещият общоевропейски пенсионен продукт“,</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16</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lastRenderedPageBreak/>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11 г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като взе предвид доклада на EIOPA „Разходи и резултати от миналото“ от април 2025 г.,</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17</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11 д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като взе предвид окончателния доклад на EIOPA относно пруденциалното третиране на рисковете за устойчивостта за застрахователите от ноември 2024 г.,</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18</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12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като взе предвид съобщението на Комисията от 19 март 2025 г., озаглавено „Съюз на спестяванията и инвестициите – Стратегия за насърчаване на благосъстоянието на гражданите и икономическата конкурентоспособност в ЕС“ (COM(2025)129),</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lastRenderedPageBreak/>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19</w:t>
      </w:r>
      <w:r>
        <w:rPr>
          <w:rStyle w:val="HideTWBExt"/>
          <w:b w:val="0"/>
        </w:rPr>
        <w:t>&lt;/NumAm&gt;</w:t>
      </w:r>
    </w:p>
    <w:p w:rsidR="004855AE" w:rsidRPr="00C34506" w:rsidRDefault="004855AE" w:rsidP="004855AE">
      <w:pPr>
        <w:pStyle w:val="NormalBold"/>
      </w:pPr>
      <w:r>
        <w:rPr>
          <w:rStyle w:val="HideTWBExt"/>
          <w:b w:val="0"/>
        </w:rPr>
        <w:t>&lt;RepeatBlock-By&gt;&lt;Members&gt;</w:t>
      </w:r>
      <w:r>
        <w:t>Жил Боайе, Стефани Йон</w:t>
      </w:r>
      <w:r>
        <w:noBreakHyphen/>
        <w:t>Куртен, Паскал Канфен, Анук Ван Брюг, Били Келъхър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12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като взе предвид доклада на Съвместния комитет на европейските надзорни агенции относно прилагането и функционирането на Регламента за секюритизациите,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20</w:t>
      </w:r>
      <w:r>
        <w:rPr>
          <w:rStyle w:val="HideTWBExt"/>
          <w:b w:val="0"/>
        </w:rPr>
        <w:t>&lt;/NumAm&gt;</w:t>
      </w:r>
    </w:p>
    <w:p w:rsidR="004855AE" w:rsidRPr="00C34506" w:rsidRDefault="004855AE" w:rsidP="004855AE">
      <w:pPr>
        <w:pStyle w:val="NormalBold"/>
      </w:pPr>
      <w:r>
        <w:rPr>
          <w:rStyle w:val="HideTWBExt"/>
          <w:b w:val="0"/>
        </w:rPr>
        <w:t>&lt;RepeatBlock-By&gt;&lt;Members&gt;</w:t>
      </w:r>
      <w:r>
        <w:t>Сирпа Пиетикяйнен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12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като взе предвид шестия обобщаващ доклад на Междуправителствения комитет по изменение на климата (МКИК),</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21</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12 б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 xml:space="preserve">като взе предвид доклада на Европейския орган за ценни книжа и пазари от 21 септември 2023 г., озаглавен „Пазарът на </w:t>
            </w:r>
            <w:r>
              <w:rPr>
                <w:b/>
                <w:i/>
              </w:rPr>
              <w:lastRenderedPageBreak/>
              <w:t xml:space="preserve">секюритизациите в ЕС — преглед“ </w:t>
            </w:r>
            <w:r>
              <w:rPr>
                <w:b/>
                <w:i/>
                <w:vertAlign w:val="superscript"/>
              </w:rPr>
              <w:t>1a</w:t>
            </w:r>
            <w:r>
              <w:rPr>
                <w:b/>
                <w:i/>
              </w:rPr>
              <w:t>,</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1a</w:t>
            </w:r>
            <w:r>
              <w:t xml:space="preserve"> </w:t>
            </w:r>
            <w:r>
              <w:rPr>
                <w:b/>
                <w:i/>
              </w:rPr>
              <w:t>ESMA50-524821-2908</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22</w:t>
      </w:r>
      <w:r>
        <w:rPr>
          <w:rStyle w:val="HideTWBExt"/>
          <w:b w:val="0"/>
        </w:rPr>
        <w:t>&lt;/NumAm&gt;</w:t>
      </w:r>
    </w:p>
    <w:p w:rsidR="004855AE" w:rsidRPr="00C34506" w:rsidRDefault="004855AE" w:rsidP="004855AE">
      <w:pPr>
        <w:pStyle w:val="NormalBold"/>
      </w:pPr>
      <w:r>
        <w:rPr>
          <w:rStyle w:val="HideTWBExt"/>
          <w:b w:val="0"/>
        </w:rPr>
        <w:t>&lt;RepeatBlock-By&gt;&lt;Members&gt;</w:t>
      </w:r>
      <w:r>
        <w:t>Сирпа Пиетикяйнен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12 б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като взе предвид решението на Конвенцията на ООН за биологичното разнообразие от декември 2022 г. „Глобална рамка за биологичното разнообразие Кунмин-Монреал“,</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23</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12 в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като взе предвид законодателното предложение на Комисията от 12 февруари 2025 г. за съкращаване на цикъла на сетълмент на ценни книжа на ЕС от два дни на един</w:t>
            </w:r>
            <w:r>
              <w:rPr>
                <w:b/>
                <w:i/>
                <w:vertAlign w:val="superscript"/>
              </w:rPr>
              <w:t>1а</w:t>
            </w:r>
            <w:r>
              <w:rPr>
                <w:b/>
                <w:i/>
              </w:rPr>
              <w:t>,</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1a</w:t>
            </w:r>
            <w:r>
              <w:t xml:space="preserve"> </w:t>
            </w:r>
            <w:r>
              <w:rPr>
                <w:b/>
                <w:i/>
              </w:rPr>
              <w:t>COM(2025) 38 final</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lastRenderedPageBreak/>
        <w:t>&lt;Amend&gt;</w:t>
      </w:r>
      <w:r>
        <w:t>Изменение</w:t>
      </w:r>
      <w:r>
        <w:tab/>
      </w:r>
      <w:r>
        <w:tab/>
      </w:r>
      <w:r>
        <w:rPr>
          <w:rStyle w:val="HideTWBExt"/>
          <w:b w:val="0"/>
        </w:rPr>
        <w:t>&lt;NumAm&gt;</w:t>
      </w:r>
      <w:r>
        <w:t>24</w:t>
      </w:r>
      <w:r>
        <w:rPr>
          <w:rStyle w:val="HideTWBExt"/>
          <w:b w:val="0"/>
        </w:rPr>
        <w:t>&lt;/NumAm&gt;</w:t>
      </w:r>
    </w:p>
    <w:p w:rsidR="004855AE" w:rsidRPr="00C34506" w:rsidRDefault="004855AE" w:rsidP="004855AE">
      <w:pPr>
        <w:pStyle w:val="NormalBold"/>
      </w:pPr>
      <w:r>
        <w:rPr>
          <w:rStyle w:val="HideTWBExt"/>
          <w:b w:val="0"/>
        </w:rPr>
        <w:t>&lt;RepeatBlock-By&gt;&lt;Members&gt;</w:t>
      </w:r>
      <w:r>
        <w:t>Лидия Перейра,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14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като взе предвид съобщението на Комисията от 19 март 2025 г., озаглавено „Съюз на спестяванията и инвестициите – Стратегия за насърчаване на благосъстоянието на гражданите и икономическата конкурентоспособност в ЕС“ (COM(2025)124),</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25</w:t>
      </w:r>
      <w:r>
        <w:rPr>
          <w:rStyle w:val="HideTWBExt"/>
          <w:b w:val="0"/>
        </w:rPr>
        <w:t>&lt;/NumAm&gt;</w:t>
      </w:r>
    </w:p>
    <w:p w:rsidR="004855AE" w:rsidRPr="00C34506" w:rsidRDefault="004855AE" w:rsidP="004855AE">
      <w:pPr>
        <w:pStyle w:val="NormalBold"/>
      </w:pPr>
      <w:r>
        <w:rPr>
          <w:rStyle w:val="HideTWBExt"/>
          <w:b w:val="0"/>
        </w:rPr>
        <w:t>&lt;RepeatBlock-By&gt;&lt;Members&gt;</w:t>
      </w:r>
      <w:r>
        <w:t>Кинга Колар,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Позоваване 17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w:t>
            </w:r>
            <w:r>
              <w:tab/>
            </w:r>
            <w:r>
              <w:rPr>
                <w:b/>
                <w:i/>
              </w:rPr>
              <w:t>като взе предвид инициативата „Европейски технологични шампиони“, стартирана през февруари 2023 г.,</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26</w:t>
      </w:r>
      <w:r>
        <w:rPr>
          <w:rStyle w:val="HideTWBExt"/>
          <w:b w:val="0"/>
        </w:rPr>
        <w:t>&lt;/NumAm&gt;</w:t>
      </w:r>
    </w:p>
    <w:p w:rsidR="004855AE" w:rsidRPr="00C34506" w:rsidRDefault="004855AE" w:rsidP="004855AE">
      <w:pPr>
        <w:pStyle w:val="NormalBold"/>
      </w:pPr>
      <w:r>
        <w:rPr>
          <w:rStyle w:val="HideTWBExt"/>
          <w:b w:val="0"/>
        </w:rPr>
        <w:t>&lt;RepeatBlock-By&gt;&lt;Members&gt;</w:t>
      </w:r>
      <w:r>
        <w:t>Сирпа Пиетикяйнен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-A.</w:t>
            </w:r>
            <w:r>
              <w:tab/>
            </w:r>
            <w:r>
              <w:rPr>
                <w:b/>
                <w:i/>
              </w:rPr>
              <w:t xml:space="preserve">като има предвид, че европейският растеж и конкурентоспособност са силно </w:t>
            </w:r>
            <w:r>
              <w:rPr>
                <w:b/>
                <w:i/>
              </w:rPr>
              <w:lastRenderedPageBreak/>
              <w:t>зависими от външни суровини и минерали от критично значение и поради това изискват спешен преход към ефективно използване на ресурсите и истинска кръговост; като има предвид, че не съществува устойчива конкурентоспособност, без да се вземат предвид безпрецедентната криза в областта на климата, загубата на биологично разнообразие и социалната устойчивост;</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27</w:t>
      </w:r>
      <w:r>
        <w:rPr>
          <w:rStyle w:val="HideTWBExt"/>
          <w:b w:val="0"/>
        </w:rPr>
        <w:t>&lt;/NumAm&gt;</w:t>
      </w:r>
    </w:p>
    <w:p w:rsidR="004855AE" w:rsidRPr="00C34506" w:rsidRDefault="004855AE" w:rsidP="004855AE">
      <w:pPr>
        <w:pStyle w:val="NormalBold"/>
      </w:pPr>
      <w:r>
        <w:rPr>
          <w:rStyle w:val="HideTWBExt"/>
          <w:b w:val="0"/>
        </w:rPr>
        <w:t>&lt;RepeatBlock-By&gt;&lt;Members&gt;</w:t>
      </w:r>
      <w:r>
        <w:t>Сирпа Пиетикяйнен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-A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-Aa.</w:t>
            </w:r>
            <w:r>
              <w:tab/>
            </w:r>
            <w:r>
              <w:rPr>
                <w:b/>
                <w:i/>
              </w:rPr>
              <w:t>като има предвид, че тези предизвикателства могат да бъдат решени единствено чрез насочване на финансовите потоци към нов и устойчив растеж и че годишният недостиг на инвестиции в световен мащаб за постигане на нулеви нетни емисии до 2050 г. е над 8 000 милиарда евро; като има предвид, че едва 3,1 % от управляваните световни активи са насочени към очевидно устойчиви инвестиции, а до 70 % са насочени към дейности, които са вредни за климата или околната среда;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28</w:t>
      </w:r>
      <w:r>
        <w:rPr>
          <w:rStyle w:val="HideTWBExt"/>
          <w:b w:val="0"/>
        </w:rPr>
        <w:t>&lt;/NumAm&gt;</w:t>
      </w:r>
    </w:p>
    <w:p w:rsidR="004855AE" w:rsidRPr="00C34506" w:rsidRDefault="004855AE" w:rsidP="004855AE">
      <w:pPr>
        <w:pStyle w:val="NormalBold"/>
      </w:pPr>
      <w:r>
        <w:rPr>
          <w:rStyle w:val="HideTWBExt"/>
          <w:b w:val="0"/>
        </w:rPr>
        <w:t>&lt;RepeatBlock-By&gt;&lt;Members&gt;</w:t>
      </w:r>
      <w:r>
        <w:t>Пиер Пемпи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A.</w:t>
            </w:r>
            <w:r>
              <w:tab/>
              <w:t xml:space="preserve">като има предвид, че в доклада на Драги се посочва, че са необходими най-малко 750—800 милиарда евро допълнителни годишни инвестиции, за да се възстанови производителността </w:t>
            </w:r>
            <w:r>
              <w:rPr>
                <w:b/>
                <w:i/>
              </w:rPr>
              <w:t xml:space="preserve">на ЕС </w:t>
            </w:r>
            <w:r>
              <w:t xml:space="preserve">и </w:t>
            </w:r>
            <w:r>
              <w:rPr>
                <w:b/>
                <w:i/>
              </w:rPr>
              <w:t>да се постигнат екологичните и социалните цели</w:t>
            </w:r>
            <w:r>
              <w:t xml:space="preserve"> на ЕС;</w:t>
            </w:r>
          </w:p>
        </w:tc>
        <w:tc>
          <w:tcPr>
            <w:tcW w:w="4876" w:type="dxa"/>
            <w:tcBorders>
              <w:top w:val="nil"/>
              <w:left w:val="nil"/>
              <w:bottom w:val="nil"/>
              <w:right w:val="nil"/>
            </w:tcBorders>
          </w:tcPr>
          <w:p w:rsidR="004855AE" w:rsidRPr="00C34506" w:rsidRDefault="004855AE" w:rsidP="00061FA7">
            <w:pPr>
              <w:pStyle w:val="Normal6a"/>
            </w:pPr>
            <w:r>
              <w:t>A.</w:t>
            </w:r>
            <w:r>
              <w:tab/>
              <w:t xml:space="preserve">като има предвид, че в доклада на Драги се посочва, че са необходими най-малко 750—800 милиарда евро допълнителни годишни инвестиции, за да се възстанови производителността и </w:t>
            </w:r>
            <w:r>
              <w:rPr>
                <w:b/>
                <w:i/>
              </w:rPr>
              <w:t>конкурентоспособността</w:t>
            </w:r>
            <w:r>
              <w:t xml:space="preserve"> на ЕС;</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29</w:t>
      </w:r>
      <w:r>
        <w:rPr>
          <w:rStyle w:val="HideTWBExt"/>
          <w:b w:val="0"/>
        </w:rPr>
        <w:t>&lt;/NumAm&gt;</w:t>
      </w:r>
    </w:p>
    <w:p w:rsidR="004855AE" w:rsidRPr="00C34506" w:rsidRDefault="004855AE" w:rsidP="004855AE">
      <w:pPr>
        <w:pStyle w:val="NormalBold"/>
      </w:pPr>
      <w:r>
        <w:rPr>
          <w:rStyle w:val="HideTWBExt"/>
          <w:b w:val="0"/>
        </w:rPr>
        <w:t>&lt;RepeatBlock-By&gt;&lt;Members&gt;</w:t>
      </w:r>
      <w:r>
        <w:t>Михалис Хаджипандела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A.</w:t>
            </w:r>
            <w:r>
              <w:tab/>
              <w:t xml:space="preserve">като има предвид, че в доклада на Драги се </w:t>
            </w:r>
            <w:r>
              <w:rPr>
                <w:b/>
                <w:i/>
              </w:rPr>
              <w:t>посочва, че са необходими най-малко 750—800 милиарда евро допълнителни годишни инвестиции</w:t>
            </w:r>
            <w:r>
              <w:t xml:space="preserve">, за да се </w:t>
            </w:r>
            <w:r>
              <w:rPr>
                <w:b/>
                <w:i/>
              </w:rPr>
              <w:t>възстанови производителността</w:t>
            </w:r>
            <w:r>
              <w:t xml:space="preserve"> на ЕС и да се постигнат </w:t>
            </w:r>
            <w:r>
              <w:rPr>
                <w:b/>
                <w:i/>
              </w:rPr>
              <w:t>екологичните и социалните цели</w:t>
            </w:r>
            <w:r>
              <w:t xml:space="preserve"> на ЕС;</w:t>
            </w:r>
          </w:p>
        </w:tc>
        <w:tc>
          <w:tcPr>
            <w:tcW w:w="4876" w:type="dxa"/>
            <w:tcBorders>
              <w:top w:val="nil"/>
              <w:left w:val="nil"/>
              <w:bottom w:val="nil"/>
              <w:right w:val="nil"/>
            </w:tcBorders>
          </w:tcPr>
          <w:p w:rsidR="004855AE" w:rsidRPr="00C34506" w:rsidRDefault="004855AE" w:rsidP="00061FA7">
            <w:pPr>
              <w:pStyle w:val="Normal6a"/>
            </w:pPr>
            <w:r>
              <w:t>A.</w:t>
            </w:r>
            <w:r>
              <w:tab/>
              <w:t xml:space="preserve">като има предвид, че в доклада на Драги се </w:t>
            </w:r>
            <w:r>
              <w:rPr>
                <w:b/>
                <w:i/>
              </w:rPr>
              <w:t>посочват нарастващите нужди от финансиране</w:t>
            </w:r>
            <w:r>
              <w:t xml:space="preserve">, за да се </w:t>
            </w:r>
            <w:r>
              <w:rPr>
                <w:b/>
                <w:i/>
              </w:rPr>
              <w:t>възстановявят конкурентоспособността и икономическият растеж</w:t>
            </w:r>
            <w:r>
              <w:t xml:space="preserve"> на ЕС</w:t>
            </w:r>
            <w:r>
              <w:rPr>
                <w:b/>
                <w:i/>
              </w:rPr>
              <w:t>, както</w:t>
            </w:r>
            <w:r>
              <w:t xml:space="preserve"> и да се постигнат </w:t>
            </w:r>
            <w:r>
              <w:rPr>
                <w:b/>
                <w:i/>
              </w:rPr>
              <w:t>целите</w:t>
            </w:r>
            <w:r>
              <w:t xml:space="preserve"> на ЕС;</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30</w:t>
      </w:r>
      <w:r>
        <w:rPr>
          <w:rStyle w:val="HideTWBExt"/>
          <w:b w:val="0"/>
        </w:rPr>
        <w:t>&lt;/NumAm&gt;</w:t>
      </w:r>
    </w:p>
    <w:p w:rsidR="004855AE" w:rsidRPr="00C34506" w:rsidRDefault="004855AE" w:rsidP="004855AE">
      <w:pPr>
        <w:pStyle w:val="NormalBold"/>
      </w:pPr>
      <w:r>
        <w:rPr>
          <w:rStyle w:val="HideTWBExt"/>
          <w:b w:val="0"/>
        </w:rPr>
        <w:t>&lt;RepeatBlock-By&gt;&lt;Members&gt;</w:t>
      </w:r>
      <w:r>
        <w:t>Анук Ван Брюг, Енгин Ероглу</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A.</w:t>
            </w:r>
            <w:r>
              <w:tab/>
              <w:t xml:space="preserve">като има предвид, че в доклада на Драги се посочва, че са необходими най-малко 750—800 милиарда евро допълнителни годишни инвестиции, за да се възстанови производителността на </w:t>
            </w:r>
            <w:r>
              <w:lastRenderedPageBreak/>
              <w:t xml:space="preserve">ЕС и да се </w:t>
            </w:r>
            <w:r>
              <w:rPr>
                <w:b/>
                <w:i/>
              </w:rPr>
              <w:t>постигнат екологичните и социалните цели</w:t>
            </w:r>
            <w:r>
              <w:t xml:space="preserve"> на </w:t>
            </w:r>
            <w:r>
              <w:rPr>
                <w:b/>
                <w:i/>
              </w:rPr>
              <w:t>ЕС</w:t>
            </w:r>
            <w:r>
              <w:t>;</w:t>
            </w:r>
          </w:p>
        </w:tc>
        <w:tc>
          <w:tcPr>
            <w:tcW w:w="4876" w:type="dxa"/>
            <w:tcBorders>
              <w:top w:val="nil"/>
              <w:left w:val="nil"/>
              <w:bottom w:val="nil"/>
              <w:right w:val="nil"/>
            </w:tcBorders>
          </w:tcPr>
          <w:p w:rsidR="004855AE" w:rsidRPr="00C34506" w:rsidRDefault="004855AE" w:rsidP="00061FA7">
            <w:pPr>
              <w:pStyle w:val="Normal6a"/>
            </w:pPr>
            <w:r>
              <w:lastRenderedPageBreak/>
              <w:t>A.</w:t>
            </w:r>
            <w:r>
              <w:tab/>
              <w:t xml:space="preserve">като има предвид, че в доклада на Драги се посочва, че са необходими най-малко 750—800 милиарда евро допълнителни годишни инвестиции, за да се възстанови производителността на </w:t>
            </w:r>
            <w:r>
              <w:lastRenderedPageBreak/>
              <w:t xml:space="preserve">ЕС и да се </w:t>
            </w:r>
            <w:r>
              <w:rPr>
                <w:b/>
                <w:i/>
              </w:rPr>
              <w:t>даде нов тласък</w:t>
            </w:r>
            <w:r>
              <w:t xml:space="preserve"> на </w:t>
            </w:r>
            <w:r>
              <w:rPr>
                <w:b/>
                <w:i/>
              </w:rPr>
              <w:t>европейската конкурентоспособност</w:t>
            </w:r>
            <w:r>
              <w:t>;</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31</w:t>
      </w:r>
      <w:r>
        <w:rPr>
          <w:rStyle w:val="HideTWBExt"/>
          <w:b w:val="0"/>
        </w:rPr>
        <w:t>&lt;/NumAm&gt;</w:t>
      </w:r>
    </w:p>
    <w:p w:rsidR="004855AE" w:rsidRPr="00C34506" w:rsidRDefault="004855AE" w:rsidP="004855AE">
      <w:pPr>
        <w:pStyle w:val="NormalBold"/>
      </w:pPr>
      <w:r>
        <w:rPr>
          <w:rStyle w:val="HideTWBExt"/>
          <w:b w:val="0"/>
        </w:rPr>
        <w:t>&lt;RepeatBlock-By&gt;&lt;Members&gt;</w:t>
      </w:r>
      <w:r>
        <w:t>Дирк Готинк</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A.</w:t>
            </w:r>
            <w:r>
              <w:tab/>
              <w:t>като има предвид, че в доклада на Драги се посочва, че са необходими най-малко 750—800 милиарда евро допълнителни годишни инвестиции, за да се възстанови производителността</w:t>
            </w:r>
            <w:r>
              <w:rPr>
                <w:b/>
                <w:i/>
              </w:rPr>
              <w:t xml:space="preserve"> на ЕС и</w:t>
            </w:r>
            <w:r>
              <w:t xml:space="preserve"> да се </w:t>
            </w:r>
            <w:r>
              <w:rPr>
                <w:b/>
                <w:i/>
              </w:rPr>
              <w:t>постигнат екологичните</w:t>
            </w:r>
            <w:r>
              <w:t xml:space="preserve"> и </w:t>
            </w:r>
            <w:r>
              <w:rPr>
                <w:b/>
                <w:i/>
              </w:rPr>
              <w:t>социалните цели на ЕС</w:t>
            </w:r>
            <w:r>
              <w:t>;</w:t>
            </w:r>
          </w:p>
        </w:tc>
        <w:tc>
          <w:tcPr>
            <w:tcW w:w="4876" w:type="dxa"/>
            <w:tcBorders>
              <w:top w:val="nil"/>
              <w:left w:val="nil"/>
              <w:bottom w:val="nil"/>
              <w:right w:val="nil"/>
            </w:tcBorders>
          </w:tcPr>
          <w:p w:rsidR="004855AE" w:rsidRPr="00C34506" w:rsidRDefault="004855AE" w:rsidP="00061FA7">
            <w:pPr>
              <w:pStyle w:val="Normal6a"/>
            </w:pPr>
            <w:r>
              <w:t>A.</w:t>
            </w:r>
            <w:r>
              <w:tab/>
              <w:t xml:space="preserve">като има предвид, че в доклада на Драги се посочва, че са необходими най-малко 750—800 милиарда евро допълнителни годишни инвестиции, за да се </w:t>
            </w:r>
            <w:r>
              <w:rPr>
                <w:b/>
                <w:i/>
              </w:rPr>
              <w:t xml:space="preserve">даде нов тласък на устойчивото развитие, да се </w:t>
            </w:r>
            <w:r>
              <w:t>възстанови производителността</w:t>
            </w:r>
            <w:r>
              <w:rPr>
                <w:b/>
                <w:i/>
              </w:rPr>
              <w:t>, да се подкрепи конкурентоспособността,</w:t>
            </w:r>
            <w:r>
              <w:t xml:space="preserve"> да се </w:t>
            </w:r>
            <w:r>
              <w:rPr>
                <w:b/>
                <w:i/>
              </w:rPr>
              <w:t>стимулират иновациите, да се увеличат отбраната</w:t>
            </w:r>
            <w:r>
              <w:t xml:space="preserve"> и </w:t>
            </w:r>
            <w:r>
              <w:rPr>
                <w:b/>
                <w:i/>
              </w:rPr>
              <w:t>сигурността и да се намали зависимостта</w:t>
            </w:r>
            <w:r>
              <w:t>;</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32</w:t>
      </w:r>
      <w:r>
        <w:rPr>
          <w:rStyle w:val="HideTWBExt"/>
          <w:b w:val="0"/>
        </w:rPr>
        <w:t>&lt;/NumAm&gt;</w:t>
      </w:r>
    </w:p>
    <w:p w:rsidR="004855AE" w:rsidRPr="00C34506" w:rsidRDefault="004855AE" w:rsidP="004855AE">
      <w:pPr>
        <w:pStyle w:val="NormalBold"/>
      </w:pPr>
      <w:r>
        <w:rPr>
          <w:rStyle w:val="HideTWBExt"/>
          <w:b w:val="0"/>
        </w:rPr>
        <w:t>&lt;RepeatBlock-By&gt;&lt;Members&gt;</w:t>
      </w:r>
      <w:r>
        <w:t>Джовани Крозето, Доменико Денис Неши, Франческо Вентола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A.</w:t>
            </w:r>
            <w:r>
              <w:tab/>
              <w:t xml:space="preserve">като има предвид, че в доклада на Драги се посочва, че са необходими най-малко 750—800 милиарда евро допълнителни годишни инвестиции, за да се </w:t>
            </w:r>
            <w:r>
              <w:rPr>
                <w:b/>
                <w:i/>
              </w:rPr>
              <w:t>възстанови производителността</w:t>
            </w:r>
            <w:r>
              <w:t xml:space="preserve"> на ЕС</w:t>
            </w:r>
            <w:r>
              <w:rPr>
                <w:b/>
                <w:i/>
              </w:rPr>
              <w:t xml:space="preserve"> и</w:t>
            </w:r>
            <w:r>
              <w:t xml:space="preserve"> да се </w:t>
            </w:r>
            <w:r>
              <w:rPr>
                <w:b/>
                <w:i/>
              </w:rPr>
              <w:t>постигнат екологичните</w:t>
            </w:r>
            <w:r>
              <w:t xml:space="preserve"> и </w:t>
            </w:r>
            <w:r>
              <w:rPr>
                <w:b/>
                <w:i/>
              </w:rPr>
              <w:t>социалните цели</w:t>
            </w:r>
            <w:r>
              <w:t xml:space="preserve"> на ЕС;</w:t>
            </w:r>
          </w:p>
        </w:tc>
        <w:tc>
          <w:tcPr>
            <w:tcW w:w="4876" w:type="dxa"/>
            <w:tcBorders>
              <w:top w:val="nil"/>
              <w:left w:val="nil"/>
              <w:bottom w:val="nil"/>
              <w:right w:val="nil"/>
            </w:tcBorders>
          </w:tcPr>
          <w:p w:rsidR="004855AE" w:rsidRPr="00C34506" w:rsidRDefault="004855AE" w:rsidP="00061FA7">
            <w:pPr>
              <w:pStyle w:val="Normal6a"/>
            </w:pPr>
            <w:r>
              <w:t>A.</w:t>
            </w:r>
            <w:r>
              <w:tab/>
              <w:t xml:space="preserve">като има предвид, че в доклада на Драги се посочва, че са необходими най-малко 750—800 милиарда евро допълнителни годишни инвестиции, за да се </w:t>
            </w:r>
            <w:r>
              <w:rPr>
                <w:b/>
                <w:i/>
              </w:rPr>
              <w:t>подкрепи енергийният преход</w:t>
            </w:r>
            <w:r>
              <w:t xml:space="preserve"> на ЕС</w:t>
            </w:r>
            <w:r>
              <w:rPr>
                <w:b/>
                <w:i/>
              </w:rPr>
              <w:t>, да се засили водещата му роля в цифровите технологии,</w:t>
            </w:r>
            <w:r>
              <w:t xml:space="preserve"> да се </w:t>
            </w:r>
            <w:r>
              <w:rPr>
                <w:b/>
                <w:i/>
              </w:rPr>
              <w:t>укрепят отбраната и сигурността</w:t>
            </w:r>
            <w:r>
              <w:t xml:space="preserve"> и </w:t>
            </w:r>
            <w:r>
              <w:rPr>
                <w:b/>
                <w:i/>
              </w:rPr>
              <w:t>да се стимулира произовдителността</w:t>
            </w:r>
            <w:r>
              <w:t xml:space="preserve"> на ЕС;</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33</w:t>
      </w:r>
      <w:r>
        <w:rPr>
          <w:rStyle w:val="HideTWBExt"/>
          <w:b w:val="0"/>
        </w:rPr>
        <w:t>&lt;/NumAm&gt;</w:t>
      </w:r>
    </w:p>
    <w:p w:rsidR="004855AE" w:rsidRPr="00C34506" w:rsidRDefault="004855AE" w:rsidP="004855AE">
      <w:pPr>
        <w:pStyle w:val="NormalBold"/>
      </w:pPr>
      <w:r>
        <w:rPr>
          <w:rStyle w:val="HideTWBExt"/>
          <w:b w:val="0"/>
        </w:rPr>
        <w:t>&lt;RepeatBlock-By&gt;&lt;Members&gt;</w:t>
      </w:r>
      <w:r>
        <w:t>Еникьо Дьори, Пиер Пемпи, Хорхе Мартин Фриас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A.</w:t>
            </w:r>
            <w:r>
              <w:tab/>
              <w:t xml:space="preserve">като има предвид, че в доклада на Драги се посочва, че са необходими най-малко 750—800 милиарда евро допълнителни годишни инвестиции, за да се възстанови производителността </w:t>
            </w:r>
            <w:r>
              <w:rPr>
                <w:b/>
                <w:i/>
              </w:rPr>
              <w:t xml:space="preserve">на ЕС </w:t>
            </w:r>
            <w:r>
              <w:t xml:space="preserve">и </w:t>
            </w:r>
            <w:r>
              <w:rPr>
                <w:b/>
                <w:i/>
              </w:rPr>
              <w:t>да се постигнат екологичните и социалните цели</w:t>
            </w:r>
            <w:r>
              <w:t xml:space="preserve"> на ЕС;</w:t>
            </w:r>
          </w:p>
        </w:tc>
        <w:tc>
          <w:tcPr>
            <w:tcW w:w="4876" w:type="dxa"/>
            <w:tcBorders>
              <w:top w:val="nil"/>
              <w:left w:val="nil"/>
              <w:bottom w:val="nil"/>
              <w:right w:val="nil"/>
            </w:tcBorders>
          </w:tcPr>
          <w:p w:rsidR="004855AE" w:rsidRPr="00C34506" w:rsidRDefault="004855AE" w:rsidP="00061FA7">
            <w:pPr>
              <w:pStyle w:val="Normal6a"/>
            </w:pPr>
            <w:r>
              <w:t>A.</w:t>
            </w:r>
            <w:r>
              <w:tab/>
              <w:t xml:space="preserve">като има предвид, че в доклада на Драги се посочва, че са необходими най-малко 750—800 милиарда евро допълнителни годишни инвестиции, за да се възстанови производителността и </w:t>
            </w:r>
            <w:r>
              <w:rPr>
                <w:b/>
                <w:i/>
              </w:rPr>
              <w:t>конкурентоспособността</w:t>
            </w:r>
            <w:r>
              <w:t xml:space="preserve"> на ЕС;</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34</w:t>
      </w:r>
      <w:r>
        <w:rPr>
          <w:rStyle w:val="HideTWBExt"/>
          <w:b w:val="0"/>
        </w:rPr>
        <w:t>&lt;/NumAm&gt;</w:t>
      </w:r>
    </w:p>
    <w:p w:rsidR="004855AE" w:rsidRPr="00C34506" w:rsidRDefault="004855AE" w:rsidP="004855AE">
      <w:pPr>
        <w:pStyle w:val="NormalBold"/>
      </w:pPr>
      <w:r>
        <w:rPr>
          <w:rStyle w:val="HideTWBExt"/>
          <w:b w:val="0"/>
        </w:rPr>
        <w:t>&lt;RepeatBlock-By&gt;&lt;Members&gt;</w:t>
      </w:r>
      <w:r>
        <w:t>Лидия Перейра,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A.</w:t>
            </w:r>
            <w:r>
              <w:tab/>
              <w:t>като има предвид, че в доклада на Драги се посочва, че са необходими най-малко 750—800 милиарда евро допълнителни годишни инвестиции, за да се възстанови производителността на ЕС и да се постигнат екологичните и социалните цели на ЕС;</w:t>
            </w:r>
          </w:p>
        </w:tc>
        <w:tc>
          <w:tcPr>
            <w:tcW w:w="4876" w:type="dxa"/>
            <w:tcBorders>
              <w:top w:val="nil"/>
              <w:left w:val="nil"/>
              <w:bottom w:val="nil"/>
              <w:right w:val="nil"/>
            </w:tcBorders>
          </w:tcPr>
          <w:p w:rsidR="004855AE" w:rsidRPr="00C34506" w:rsidRDefault="004855AE" w:rsidP="00061FA7">
            <w:pPr>
              <w:pStyle w:val="Normal6a"/>
            </w:pPr>
            <w:r>
              <w:t>A.</w:t>
            </w:r>
            <w:r>
              <w:tab/>
              <w:t xml:space="preserve">като има предвид, че в доклада на Драги се посочва, че са необходими най-малко 750—800 милиарда евро допълнителни годишни инвестиции, за да се възстанови производителността </w:t>
            </w:r>
            <w:r>
              <w:rPr>
                <w:b/>
                <w:i/>
              </w:rPr>
              <w:t xml:space="preserve">и конкурентоспособността </w:t>
            </w:r>
            <w:r>
              <w:t>на ЕС и да се постигнат</w:t>
            </w:r>
            <w:r>
              <w:rPr>
                <w:b/>
                <w:i/>
              </w:rPr>
              <w:t xml:space="preserve"> икономическите,</w:t>
            </w:r>
            <w:r>
              <w:t xml:space="preserve"> екологичните и социалните цели на ЕС;</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35</w:t>
      </w:r>
      <w:r>
        <w:rPr>
          <w:rStyle w:val="HideTWBExt"/>
          <w:b w:val="0"/>
        </w:rPr>
        <w:t>&lt;/NumAm&gt;</w:t>
      </w:r>
    </w:p>
    <w:p w:rsidR="004855AE" w:rsidRPr="00C34506" w:rsidRDefault="004855AE" w:rsidP="004855AE">
      <w:pPr>
        <w:pStyle w:val="NormalBold"/>
      </w:pPr>
      <w:r>
        <w:rPr>
          <w:rStyle w:val="HideTWBExt"/>
          <w:b w:val="0"/>
        </w:rPr>
        <w:t>&lt;RepeatBlock-By&gt;&lt;Members&gt;</w:t>
      </w:r>
      <w:r>
        <w:t>Фернандо Наварете Рохас,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lastRenderedPageBreak/>
        <w:t>&lt;Article&gt;</w:t>
      </w:r>
      <w:r>
        <w:t>Съображение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A.</w:t>
            </w:r>
            <w:r>
              <w:tab/>
              <w:t xml:space="preserve">като има предвид, че в доклада на Драги се посочва, че са необходими най-малко 750—800 милиарда евро допълнителни годишни инвестиции, за да се възстанови </w:t>
            </w:r>
            <w:r>
              <w:rPr>
                <w:b/>
                <w:i/>
              </w:rPr>
              <w:t>производителността</w:t>
            </w:r>
            <w:r>
              <w:t xml:space="preserve"> на ЕС и </w:t>
            </w:r>
            <w:r>
              <w:rPr>
                <w:b/>
                <w:i/>
              </w:rPr>
              <w:t>да се постигнат екологичните и социалните цели</w:t>
            </w:r>
            <w:r>
              <w:t xml:space="preserve"> на </w:t>
            </w:r>
            <w:r>
              <w:rPr>
                <w:b/>
                <w:i/>
              </w:rPr>
              <w:t>ЕС</w:t>
            </w:r>
            <w:r>
              <w:t>;</w:t>
            </w:r>
          </w:p>
        </w:tc>
        <w:tc>
          <w:tcPr>
            <w:tcW w:w="4876" w:type="dxa"/>
            <w:tcBorders>
              <w:top w:val="nil"/>
              <w:left w:val="nil"/>
              <w:bottom w:val="nil"/>
              <w:right w:val="nil"/>
            </w:tcBorders>
          </w:tcPr>
          <w:p w:rsidR="004855AE" w:rsidRPr="00C34506" w:rsidRDefault="004855AE" w:rsidP="00061FA7">
            <w:pPr>
              <w:pStyle w:val="Normal6a"/>
            </w:pPr>
            <w:r>
              <w:t>A.</w:t>
            </w:r>
            <w:r>
              <w:tab/>
              <w:t xml:space="preserve">като има предвид, че в доклада на Драги се посочва, че са необходими най-малко 750—800 милиарда евро допълнителни годишни инвестиции, за да се възстанови </w:t>
            </w:r>
            <w:r>
              <w:rPr>
                <w:b/>
                <w:i/>
              </w:rPr>
              <w:t>конкурентоспособността</w:t>
            </w:r>
            <w:r>
              <w:t xml:space="preserve"> на ЕС и </w:t>
            </w:r>
            <w:r>
              <w:rPr>
                <w:b/>
                <w:i/>
              </w:rPr>
              <w:t>структурната трансформация</w:t>
            </w:r>
            <w:r>
              <w:t xml:space="preserve"> на </w:t>
            </w:r>
            <w:r>
              <w:rPr>
                <w:b/>
                <w:i/>
              </w:rPr>
              <w:t>европейската икономика</w:t>
            </w:r>
            <w:r>
              <w:t>;</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36</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A.</w:t>
            </w:r>
            <w:r>
              <w:tab/>
              <w:t xml:space="preserve">като има предвид, че в доклада на Драги се </w:t>
            </w:r>
            <w:r>
              <w:rPr>
                <w:b/>
                <w:i/>
              </w:rPr>
              <w:t>посочва, че са необходими най-малко 750—800 милиарда евро допълнителни годишни инвестиции, за да се възстанови производителността</w:t>
            </w:r>
            <w:r>
              <w:t xml:space="preserve"> на </w:t>
            </w:r>
            <w:r>
              <w:rPr>
                <w:b/>
                <w:i/>
              </w:rPr>
              <w:t>ЕС</w:t>
            </w:r>
            <w:r>
              <w:t xml:space="preserve"> и </w:t>
            </w:r>
            <w:r>
              <w:rPr>
                <w:b/>
                <w:i/>
              </w:rPr>
              <w:t>да се постигнат екологичните и социалните цели на</w:t>
            </w:r>
            <w:r>
              <w:t xml:space="preserve"> ЕС;</w:t>
            </w:r>
          </w:p>
        </w:tc>
        <w:tc>
          <w:tcPr>
            <w:tcW w:w="4876" w:type="dxa"/>
            <w:tcBorders>
              <w:top w:val="nil"/>
              <w:left w:val="nil"/>
              <w:bottom w:val="nil"/>
              <w:right w:val="nil"/>
            </w:tcBorders>
          </w:tcPr>
          <w:p w:rsidR="004855AE" w:rsidRPr="00C34506" w:rsidRDefault="004855AE" w:rsidP="00061FA7">
            <w:pPr>
              <w:pStyle w:val="Normal6a"/>
            </w:pPr>
            <w:r>
              <w:t>A.</w:t>
            </w:r>
            <w:r>
              <w:tab/>
              <w:t xml:space="preserve">като има предвид, че в доклада на Драги се </w:t>
            </w:r>
            <w:r>
              <w:rPr>
                <w:b/>
                <w:i/>
              </w:rPr>
              <w:t>посочват високите равнища на разпокъсаност на пазара, несъответствията в данъчните политики и законодателството в областта</w:t>
            </w:r>
            <w:r>
              <w:t xml:space="preserve"> на </w:t>
            </w:r>
            <w:r>
              <w:rPr>
                <w:b/>
                <w:i/>
              </w:rPr>
              <w:t>несъстоятелността</w:t>
            </w:r>
            <w:r>
              <w:t xml:space="preserve"> и </w:t>
            </w:r>
            <w:r>
              <w:rPr>
                <w:b/>
                <w:i/>
              </w:rPr>
              <w:t>прекомерното разчитане на дългово финансиране като някои от първопричините за ниското инвестиционно финансиране в</w:t>
            </w:r>
            <w:r>
              <w:t xml:space="preserve"> ЕС;</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37</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A.</w:t>
            </w:r>
            <w:r>
              <w:tab/>
              <w:t xml:space="preserve">като има предвид, че в доклада </w:t>
            </w:r>
            <w:r>
              <w:lastRenderedPageBreak/>
              <w:t xml:space="preserve">на Драги се </w:t>
            </w:r>
            <w:r>
              <w:rPr>
                <w:b/>
                <w:i/>
              </w:rPr>
              <w:t>посочва</w:t>
            </w:r>
            <w:r>
              <w:t xml:space="preserve">, че са необходими най-малко 750—800 милиарда евро допълнителни годишни инвестиции, за да се </w:t>
            </w:r>
            <w:r>
              <w:rPr>
                <w:b/>
                <w:i/>
              </w:rPr>
              <w:t>възстанови производителността</w:t>
            </w:r>
            <w:r>
              <w:t xml:space="preserve"> на ЕС</w:t>
            </w:r>
            <w:r>
              <w:rPr>
                <w:b/>
                <w:i/>
              </w:rPr>
              <w:t xml:space="preserve"> и да се постигнат екологичните и социалните цели</w:t>
            </w:r>
            <w:r>
              <w:t xml:space="preserve"> на </w:t>
            </w:r>
            <w:r>
              <w:rPr>
                <w:b/>
                <w:i/>
              </w:rPr>
              <w:t>ЕС</w:t>
            </w:r>
            <w:r>
              <w:t>;</w:t>
            </w:r>
          </w:p>
        </w:tc>
        <w:tc>
          <w:tcPr>
            <w:tcW w:w="4876" w:type="dxa"/>
            <w:tcBorders>
              <w:top w:val="nil"/>
              <w:left w:val="nil"/>
              <w:bottom w:val="nil"/>
              <w:right w:val="nil"/>
            </w:tcBorders>
          </w:tcPr>
          <w:p w:rsidR="004855AE" w:rsidRPr="00C34506" w:rsidRDefault="004855AE" w:rsidP="00061FA7">
            <w:pPr>
              <w:pStyle w:val="Normal6a"/>
            </w:pPr>
            <w:r>
              <w:lastRenderedPageBreak/>
              <w:t>A.</w:t>
            </w:r>
            <w:r>
              <w:tab/>
              <w:t xml:space="preserve">като има предвид, че в доклада </w:t>
            </w:r>
            <w:r>
              <w:lastRenderedPageBreak/>
              <w:t xml:space="preserve">на Драги се </w:t>
            </w:r>
            <w:r>
              <w:rPr>
                <w:b/>
                <w:i/>
              </w:rPr>
              <w:t>изказва мнение</w:t>
            </w:r>
            <w:r>
              <w:t xml:space="preserve">, че са необходими най-малко 750—800 милиарда евро допълнителни годишни инвестиции, за да се </w:t>
            </w:r>
            <w:r>
              <w:rPr>
                <w:b/>
                <w:i/>
              </w:rPr>
              <w:t>запази конкурентоспособността</w:t>
            </w:r>
            <w:r>
              <w:t xml:space="preserve"> на ЕС</w:t>
            </w:r>
            <w:r>
              <w:rPr>
                <w:b/>
                <w:i/>
              </w:rPr>
              <w:t>, че тази сума съответства на годишния БВП за 2023 г. по текущи цени</w:t>
            </w:r>
            <w:r>
              <w:t xml:space="preserve"> на </w:t>
            </w:r>
            <w:r>
              <w:rPr>
                <w:b/>
                <w:i/>
              </w:rPr>
              <w:t>10 държави членки</w:t>
            </w:r>
            <w:r>
              <w:t>;</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38</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Евелин Регнер, Нилс Фулсанг, Клер Фита, Карла Тавареш,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A.</w:t>
            </w:r>
            <w:r>
              <w:tab/>
              <w:t>като има предвид, че в доклада на Драги се посочва, че са необходими най-малко 750—800 милиарда евро допълнителни годишни инвестиции, за да се възстанови производителността на ЕС и да се постигнат екологичните и социалните цели на ЕС;</w:t>
            </w:r>
          </w:p>
        </w:tc>
        <w:tc>
          <w:tcPr>
            <w:tcW w:w="4876" w:type="dxa"/>
            <w:tcBorders>
              <w:top w:val="nil"/>
              <w:left w:val="nil"/>
              <w:bottom w:val="nil"/>
              <w:right w:val="nil"/>
            </w:tcBorders>
          </w:tcPr>
          <w:p w:rsidR="004855AE" w:rsidRPr="00C34506" w:rsidRDefault="004855AE" w:rsidP="00061FA7">
            <w:pPr>
              <w:pStyle w:val="Normal6a"/>
            </w:pPr>
            <w:r>
              <w:t>A.</w:t>
            </w:r>
            <w:r>
              <w:tab/>
              <w:t xml:space="preserve">като има предвид, че в доклада на Драги се посочва, че са необходими най-малко 750—800 милиарда евро допълнителни годишни инвестиции, за да се възстанови производителността на ЕС и да се постигнат екологичните и социалните цели на ЕС; </w:t>
            </w:r>
            <w:r>
              <w:rPr>
                <w:b/>
                <w:i/>
              </w:rPr>
              <w:t>като има предвид, че през 2023 г. това съответстваше на 4,4—-4,7 % от БВП на ЕС</w:t>
            </w:r>
            <w:r>
              <w:rPr>
                <w:b/>
                <w:i/>
                <w:vertAlign w:val="superscript"/>
              </w:rPr>
              <w:t>1a</w:t>
            </w:r>
            <w:r>
              <w:rPr>
                <w:b/>
                <w:i/>
              </w:rPr>
              <w:t>;</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1а</w:t>
            </w:r>
            <w:r>
              <w:t xml:space="preserve"> </w:t>
            </w:r>
            <w:r>
              <w:rPr>
                <w:b/>
                <w:i/>
              </w:rPr>
              <w:t>Марио Драги, „The future of European competitiveness (Part A | A competitiveness strategy for Europe“ (Бъдещето на европейската конкурентоспособност, част A, Стратегия за конкурентоспособност за Европа), септември 2024 г.</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39</w:t>
      </w:r>
      <w:r>
        <w:rPr>
          <w:rStyle w:val="HideTWBExt"/>
          <w:b w:val="0"/>
        </w:rPr>
        <w:t>&lt;/NumAm&gt;</w:t>
      </w:r>
    </w:p>
    <w:p w:rsidR="004855AE" w:rsidRPr="00C34506" w:rsidRDefault="004855AE" w:rsidP="004855AE">
      <w:pPr>
        <w:pStyle w:val="NormalBold"/>
      </w:pPr>
      <w:r>
        <w:rPr>
          <w:rStyle w:val="HideTWBExt"/>
          <w:b w:val="0"/>
        </w:rPr>
        <w:lastRenderedPageBreak/>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A.</w:t>
            </w:r>
            <w:r>
              <w:tab/>
              <w:t>като има предвид, че в доклада на Драги се посочва, че са необходими най-малко 750—800 милиарда евро допълнителни годишни инвестиции, за да се възстанови производителността на ЕС и да се постигнат екологичните и социалните цели на ЕС;</w:t>
            </w:r>
          </w:p>
        </w:tc>
        <w:tc>
          <w:tcPr>
            <w:tcW w:w="4876" w:type="dxa"/>
            <w:tcBorders>
              <w:top w:val="nil"/>
              <w:left w:val="nil"/>
              <w:bottom w:val="nil"/>
              <w:right w:val="nil"/>
            </w:tcBorders>
          </w:tcPr>
          <w:p w:rsidR="004855AE" w:rsidRPr="00C34506" w:rsidRDefault="004855AE" w:rsidP="00061FA7">
            <w:pPr>
              <w:pStyle w:val="Normal6a"/>
            </w:pPr>
            <w:r>
              <w:t>A.</w:t>
            </w:r>
            <w:r>
              <w:tab/>
              <w:t xml:space="preserve">като има предвид, че в доклада на Драги се посочва, че са необходими най-малко 750—800 милиарда евро допълнителни годишни инвестиции, за да се възстанови производителността на ЕС и да се постигнат екологичните и социалните цели на ЕС; </w:t>
            </w:r>
            <w:r>
              <w:rPr>
                <w:b/>
                <w:i/>
              </w:rPr>
              <w:t>включително 450 млрд. евро само за енергийния преход, от които според института „Русо“ 260 млрд. евро следва да дойдат от публичния сектор;</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40</w:t>
      </w:r>
      <w:r>
        <w:rPr>
          <w:rStyle w:val="HideTWBExt"/>
          <w:b w:val="0"/>
        </w:rPr>
        <w:t>&lt;/NumAm&gt;</w:t>
      </w:r>
    </w:p>
    <w:p w:rsidR="004855AE" w:rsidRPr="00C34506" w:rsidRDefault="004855AE" w:rsidP="004855AE">
      <w:pPr>
        <w:pStyle w:val="NormalBold"/>
      </w:pPr>
      <w:r>
        <w:rPr>
          <w:rStyle w:val="HideTWBExt"/>
          <w:b w:val="0"/>
        </w:rPr>
        <w:t>&lt;RepeatBlock-By&gt;&lt;Members&gt;</w:t>
      </w:r>
      <w:r>
        <w:t>Еникьо Дьори, Пиер Пемпи, Хорхе Мартин Фриас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A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Aa.</w:t>
            </w:r>
            <w:r>
              <w:tab/>
            </w:r>
            <w:r>
              <w:rPr>
                <w:b/>
                <w:i/>
              </w:rPr>
              <w:t>като има предвид, че голяма част от силно техническото, обременяващо и често противоречиво регулиране, заедно с универсален политически подход и усилия за централизация, са основните причини, поради които по-ранните опити за създаване на бизнес и благоприятстващ инвестициите съюз на капиталовите пазари не са довели до значителни резултати;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41</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lastRenderedPageBreak/>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A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Aa.</w:t>
            </w:r>
            <w:r>
              <w:tab/>
            </w:r>
            <w:r>
              <w:rPr>
                <w:b/>
                <w:i/>
              </w:rPr>
              <w:t>като има предвид, че в доклада се отбелязва, че през последните 50 години не е създадено дружество в Съюза с пазарна капитализация над 100 милиарда евро като ново дружество, докато през същия период в САЩ са създадени шест дружества на стойност над един трилион долара;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42</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A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Aa.</w:t>
            </w:r>
            <w:r>
              <w:tab/>
            </w:r>
            <w:r>
              <w:rPr>
                <w:b/>
                <w:i/>
              </w:rPr>
              <w:t>като има предвид, че в доклада на Драги се посочва сериозен недостатък на общата конкурентоспособност на европейската икономика и по-специално липсата на растеж на производителността; </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43</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Рене Репази, Нилс Фулсанг, Клер Фита,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A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lastRenderedPageBreak/>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Aa.</w:t>
            </w:r>
            <w:r>
              <w:tab/>
            </w:r>
            <w:r>
              <w:rPr>
                <w:b/>
                <w:i/>
              </w:rPr>
              <w:t>като има предвид, че в краткосрочен план Съюзът може да се нуждае от годишни разходи за отбрана в размер на най-малко 250 милиарда евро, с цел възпиране на руската агресия;</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keepNext/>
      </w:pPr>
      <w:bookmarkStart w:id="1" w:name="restart"/>
      <w:r>
        <w:rPr>
          <w:rStyle w:val="HideTWBExt"/>
          <w:b w:val="0"/>
        </w:rPr>
        <w:t>&lt;Amend&gt;</w:t>
      </w:r>
      <w:r>
        <w:t>Изменение</w:t>
      </w:r>
      <w:r>
        <w:tab/>
      </w:r>
      <w:r>
        <w:tab/>
      </w:r>
      <w:r>
        <w:rPr>
          <w:rStyle w:val="HideTWBExt"/>
          <w:b w:val="0"/>
        </w:rPr>
        <w:t>&lt;NumAm&gt;</w:t>
      </w:r>
      <w:r>
        <w:t>44</w:t>
      </w:r>
      <w:r>
        <w:rPr>
          <w:rStyle w:val="HideTWBExt"/>
          <w:b w:val="0"/>
        </w:rPr>
        <w:t>&lt;/NumAm&gt;</w:t>
      </w:r>
    </w:p>
    <w:p w:rsidR="004855AE" w:rsidRPr="00C34506" w:rsidRDefault="004855AE" w:rsidP="004855AE">
      <w:pPr>
        <w:pStyle w:val="NormalBold"/>
      </w:pPr>
      <w:r>
        <w:rPr>
          <w:rStyle w:val="HideTWBExt"/>
          <w:b w:val="0"/>
        </w:rPr>
        <w:t>&lt;RepeatBlock-By&gt;&lt;Members&gt;</w:t>
      </w:r>
      <w:r>
        <w:t>Дануше Нерудова</w:t>
      </w:r>
      <w:r>
        <w:rPr>
          <w:rStyle w:val="HideTWBExt"/>
          <w:b w:val="0"/>
        </w:rPr>
        <w:t>&lt;/Members&gt;</w:t>
      </w:r>
    </w:p>
    <w:p w:rsidR="004855AE" w:rsidRPr="00C34506" w:rsidRDefault="004855AE" w:rsidP="004855AE">
      <w:r>
        <w:rPr>
          <w:rStyle w:val="HideTWBExt"/>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A a (ново)</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855AE" w:rsidTr="00061FA7">
        <w:trPr>
          <w:jc w:val="center"/>
        </w:trPr>
        <w:tc>
          <w:tcPr>
            <w:tcW w:w="9752" w:type="dxa"/>
            <w:gridSpan w:val="2"/>
          </w:tcPr>
          <w:p w:rsidR="004855AE" w:rsidRPr="00C34506" w:rsidRDefault="004855AE" w:rsidP="00061FA7">
            <w:pPr>
              <w:keepNext/>
            </w:pPr>
          </w:p>
        </w:tc>
      </w:tr>
      <w:tr w:rsidR="004855AE" w:rsidTr="00061FA7">
        <w:trPr>
          <w:jc w:val="center"/>
        </w:trPr>
        <w:tc>
          <w:tcPr>
            <w:tcW w:w="4876" w:type="dxa"/>
          </w:tcPr>
          <w:p w:rsidR="004855AE" w:rsidRPr="00C34506" w:rsidRDefault="004855AE" w:rsidP="00061FA7">
            <w:pPr>
              <w:pStyle w:val="AmColumnHeading"/>
              <w:keepNext/>
            </w:pPr>
            <w:r>
              <w:t>Предложение за резолюция</w:t>
            </w:r>
          </w:p>
        </w:tc>
        <w:tc>
          <w:tcPr>
            <w:tcW w:w="4876" w:type="dxa"/>
          </w:tcPr>
          <w:p w:rsidR="004855AE" w:rsidRPr="00C34506" w:rsidRDefault="004855AE" w:rsidP="00061FA7">
            <w:pPr>
              <w:pStyle w:val="AmColumnHeading"/>
              <w:keepNext/>
            </w:pPr>
            <w:r>
              <w:t>Изменение</w:t>
            </w:r>
          </w:p>
        </w:tc>
      </w:tr>
      <w:tr w:rsidR="004855AE" w:rsidTr="00061FA7">
        <w:trPr>
          <w:jc w:val="center"/>
        </w:trPr>
        <w:tc>
          <w:tcPr>
            <w:tcW w:w="4876" w:type="dxa"/>
          </w:tcPr>
          <w:p w:rsidR="004855AE" w:rsidRPr="00C34506" w:rsidRDefault="004855AE" w:rsidP="00061FA7">
            <w:pPr>
              <w:pStyle w:val="Normal6a"/>
            </w:pPr>
          </w:p>
        </w:tc>
        <w:tc>
          <w:tcPr>
            <w:tcW w:w="4876" w:type="dxa"/>
          </w:tcPr>
          <w:p w:rsidR="004855AE" w:rsidRPr="00C34506" w:rsidRDefault="004855AE" w:rsidP="00061FA7">
            <w:pPr>
              <w:pStyle w:val="Normal6a"/>
            </w:pPr>
            <w:r>
              <w:rPr>
                <w:b/>
                <w:i/>
              </w:rPr>
              <w:t>Aa.</w:t>
            </w:r>
            <w:r>
              <w:rPr>
                <w:b/>
                <w:i/>
              </w:rPr>
              <w:tab/>
              <w:t>като има предвид, че годишният бюджет на ЕС предоставя ограничено фискално пространство за изпълнението на Европейския пакт за конкурентоспособност;</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bookmarkEnd w:id="1"/>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45</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A б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Aб.</w:t>
            </w:r>
            <w:r>
              <w:tab/>
            </w:r>
            <w:r>
              <w:rPr>
                <w:b/>
                <w:i/>
              </w:rPr>
              <w:t xml:space="preserve">като има предвид, че европейският рисков капитал изостава значително от САЩ, като изостава с 80 % в началната фаза, със 73 % в ранния етап и с 82 % в етапа на растеж; през периода 2000—2019 г. производителността в Европа е намаляла с повече от 0,5 %; спадът в раждаемостта доведе до забавяне на </w:t>
            </w:r>
            <w:r>
              <w:rPr>
                <w:b/>
                <w:i/>
              </w:rPr>
              <w:lastRenderedPageBreak/>
              <w:t>растежа на населението в трудоспособна възраст от 90-те години на миналия век насам и към намаляване през последното десетилетие;</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46</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A в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Aв.</w:t>
            </w:r>
            <w:r>
              <w:tab/>
            </w:r>
            <w:r>
              <w:rPr>
                <w:b/>
                <w:i/>
              </w:rPr>
              <w:t>като има предвид, че Драги предполага, че решението се състои в привличането на инвестиции, до голяма степен чрез отключване на частния капитал, със създаването на съюза на спестяванията и инвестициите;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47</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A г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Aг.</w:t>
            </w:r>
            <w:r>
              <w:tab/>
            </w:r>
            <w:r>
              <w:rPr>
                <w:b/>
                <w:i/>
              </w:rPr>
              <w:t xml:space="preserve">като има предвид, че през 2022 г. пенсионните активи в Европейския съюз представляваха едва 32 % от БВП в сравнение с 142 % в САЩ, което подчертава значителните различия в дълбочината и развитието на частните пенсионни системи в Европа; като има предвид, че тази разлика отразява недостатъчното развитие на пенсионните системи по </w:t>
            </w:r>
            <w:r>
              <w:rPr>
                <w:b/>
                <w:i/>
              </w:rPr>
              <w:lastRenderedPageBreak/>
              <w:t>втория стълб в много държави членки, което ограничава възможностите за дългосрочни спестявания за европейските граждани; като има предвид, че частните пенсионни схеми играят решаваща роля за гарантиране на финансовата сигурност при пенсиониране, облекчаване на натиска върху публичните пенсионни системи и повишаване на цялостната устойчивост на европейските финансови пазари; като има предвид, че съществува спешна необходимост от конкретни мерки за насърчаване на развитието на частното пенсионно осигуряване в Европа, включително стимули за дългосрочни спестявания, опростяване на трансграничните пенсионни инвестиции и премахване на пречките пред растежа на пенсионните фондове, за укрепване на бъдещата икономическа сигурност на европейските граждани и за гарантиране на устойчивостта на пенсионните системи;</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48</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Б</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Б.</w:t>
            </w:r>
            <w:r>
              <w:tab/>
              <w:t xml:space="preserve">като има предвид, че планът за превъоръжаване на Европа (ReArm Europe) се състои от пет стълба, насочени към финансиране на сигурността и отбраната на Европа, които обхващат </w:t>
            </w:r>
            <w:r>
              <w:rPr>
                <w:b/>
                <w:i/>
              </w:rPr>
              <w:t>както публичните</w:t>
            </w:r>
            <w:r>
              <w:t xml:space="preserve"> инвестиции, </w:t>
            </w:r>
            <w:r>
              <w:rPr>
                <w:b/>
                <w:i/>
              </w:rPr>
              <w:t>така и</w:t>
            </w:r>
            <w:r>
              <w:t xml:space="preserve"> спестяванията и инвестиционния съюз;</w:t>
            </w:r>
          </w:p>
        </w:tc>
        <w:tc>
          <w:tcPr>
            <w:tcW w:w="4876" w:type="dxa"/>
            <w:tcBorders>
              <w:top w:val="nil"/>
              <w:left w:val="nil"/>
              <w:bottom w:val="nil"/>
              <w:right w:val="nil"/>
            </w:tcBorders>
          </w:tcPr>
          <w:p w:rsidR="004855AE" w:rsidRPr="00C34506" w:rsidRDefault="004855AE" w:rsidP="00061FA7">
            <w:pPr>
              <w:pStyle w:val="Normal6a"/>
            </w:pPr>
            <w:r>
              <w:t>Б.</w:t>
            </w:r>
            <w:r>
              <w:tab/>
              <w:t xml:space="preserve">като има предвид, че планът за превъоръжаване на Европа (ReArm Europe) се състои от пет стълба, насочени към финансиране на сигурността и отбраната на Европа, които обхващат </w:t>
            </w:r>
            <w:r>
              <w:rPr>
                <w:b/>
                <w:i/>
              </w:rPr>
              <w:t>полезните взаимодействия между публичния и частния сектор с цел привличането на</w:t>
            </w:r>
            <w:r>
              <w:t xml:space="preserve"> инвестиции, </w:t>
            </w:r>
            <w:r>
              <w:rPr>
                <w:b/>
                <w:i/>
              </w:rPr>
              <w:t>чрез развитието на</w:t>
            </w:r>
            <w:r>
              <w:t xml:space="preserve"> </w:t>
            </w:r>
            <w:r>
              <w:lastRenderedPageBreak/>
              <w:t>спестяванията и инвестиционния съюз;</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49</w:t>
      </w:r>
      <w:r>
        <w:rPr>
          <w:rStyle w:val="HideTWBExt"/>
          <w:b w:val="0"/>
        </w:rPr>
        <w:t>&lt;/NumAm&gt;</w:t>
      </w:r>
    </w:p>
    <w:p w:rsidR="004855AE" w:rsidRPr="00C34506" w:rsidRDefault="004855AE" w:rsidP="004855AE">
      <w:pPr>
        <w:pStyle w:val="NormalBold"/>
      </w:pPr>
      <w:r>
        <w:rPr>
          <w:rStyle w:val="HideTWBExt"/>
          <w:b w:val="0"/>
        </w:rPr>
        <w:t>&lt;RepeatBlock-By&gt;&lt;Members&gt;</w:t>
      </w:r>
      <w:r>
        <w:t>Людовит Одор, Анук Ван Брюг, Били Келъхър, Стефани Йон</w:t>
      </w:r>
      <w:r>
        <w:noBreakHyphen/>
        <w:t>Куртен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Б</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Б.</w:t>
            </w:r>
            <w:r>
              <w:tab/>
              <w:t xml:space="preserve">като има предвид, че планът за превъоръжаване на Европа (ReArm Europe) се състои от пет стълба, насочени към финансиране на сигурността и отбраната на Европа, които обхващат както публичните инвестиции, така и спестяванията и </w:t>
            </w:r>
            <w:r>
              <w:rPr>
                <w:b/>
                <w:i/>
              </w:rPr>
              <w:t>инвестиционния съюз</w:t>
            </w:r>
            <w:r>
              <w:t>;</w:t>
            </w:r>
          </w:p>
        </w:tc>
        <w:tc>
          <w:tcPr>
            <w:tcW w:w="4876" w:type="dxa"/>
            <w:tcBorders>
              <w:top w:val="nil"/>
              <w:left w:val="nil"/>
              <w:bottom w:val="nil"/>
              <w:right w:val="nil"/>
            </w:tcBorders>
          </w:tcPr>
          <w:p w:rsidR="004855AE" w:rsidRPr="00C34506" w:rsidRDefault="004855AE" w:rsidP="00061FA7">
            <w:pPr>
              <w:pStyle w:val="Normal6a"/>
            </w:pPr>
            <w:r>
              <w:t>Б.</w:t>
            </w:r>
            <w:r>
              <w:tab/>
              <w:t xml:space="preserve">като има предвид, че планът за превъоръжаване на Европа (ReArm Europe) се състои от пет стълба, насочени към финансиране на сигурността и отбраната на Европа, които обхващат както публичните инвестиции, така и </w:t>
            </w:r>
            <w:r>
              <w:rPr>
                <w:b/>
                <w:i/>
              </w:rPr>
              <w:t xml:space="preserve">съюза на </w:t>
            </w:r>
            <w:r>
              <w:t xml:space="preserve">спестяванията и </w:t>
            </w:r>
            <w:r>
              <w:rPr>
                <w:b/>
                <w:i/>
              </w:rPr>
              <w:t>инвестициите</w:t>
            </w:r>
            <w:r>
              <w:t>;</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i/>
              </w:rPr>
              <w:t>(Настоящото изменение се прилага в целия текст.)</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50</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Б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Бa.</w:t>
            </w:r>
            <w:r>
              <w:tab/>
            </w:r>
            <w:r>
              <w:rPr>
                <w:b/>
                <w:i/>
              </w:rPr>
              <w:t xml:space="preserve">като има предвид, че неотдавнашните решения на администрацията на САЩ, включително за увеличаване на митата, породиха висока степен на несигурност, която оказва отрицателно въздействие върху прогнозите за растежа, инфлацията и заетостта; като има предвид, че финансовите пазари реагираха силно на новата политика на САЩ; като има предвид, че долара се е обезценил </w:t>
            </w:r>
            <w:r>
              <w:rPr>
                <w:b/>
                <w:i/>
              </w:rPr>
              <w:lastRenderedPageBreak/>
              <w:t>значително от януари 2025 г. насам, докато доходността на държавните облигации на САЩ се е увеличила, което подсказва, че инвеститорите може би пренасочват капиталовите потоци;</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51</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В.</w:t>
            </w:r>
            <w:r>
              <w:tab/>
              <w:t xml:space="preserve">като има предвид, че в </w:t>
            </w:r>
            <w:r>
              <w:rPr>
                <w:b/>
                <w:i/>
              </w:rPr>
              <w:t xml:space="preserve">исторически план в </w:t>
            </w:r>
            <w:r>
              <w:t xml:space="preserve">Европа частният сектор е допринасял за около четири пети от производствените инвестиции, </w:t>
            </w:r>
            <w:r>
              <w:rPr>
                <w:b/>
                <w:i/>
              </w:rPr>
              <w:t>а</w:t>
            </w:r>
            <w:r>
              <w:t xml:space="preserve"> публичният сектор е допринасял за останалата част</w:t>
            </w:r>
            <w:r>
              <w:rPr>
                <w:vertAlign w:val="superscript"/>
              </w:rPr>
              <w:t>3</w:t>
            </w:r>
            <w:r>
              <w:t>;</w:t>
            </w:r>
          </w:p>
        </w:tc>
        <w:tc>
          <w:tcPr>
            <w:tcW w:w="4876" w:type="dxa"/>
            <w:tcBorders>
              <w:top w:val="nil"/>
              <w:left w:val="nil"/>
              <w:bottom w:val="nil"/>
              <w:right w:val="nil"/>
            </w:tcBorders>
          </w:tcPr>
          <w:p w:rsidR="004855AE" w:rsidRPr="00C34506" w:rsidRDefault="004855AE" w:rsidP="00061FA7">
            <w:pPr>
              <w:pStyle w:val="Normal6a"/>
            </w:pPr>
            <w:r>
              <w:t>В.</w:t>
            </w:r>
            <w:r>
              <w:tab/>
              <w:t xml:space="preserve">като има предвид, че в Европа частният сектор е допринасял за около четири пети от производствените инвестиции, </w:t>
            </w:r>
            <w:r>
              <w:rPr>
                <w:b/>
                <w:i/>
              </w:rPr>
              <w:t>докато</w:t>
            </w:r>
            <w:r>
              <w:t xml:space="preserve"> публичният сектор е допринасял за останалата част</w:t>
            </w:r>
            <w:r>
              <w:rPr>
                <w:vertAlign w:val="superscript"/>
              </w:rPr>
              <w:t>3</w:t>
            </w:r>
            <w:r>
              <w:t>;</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rPr>
                <w:b/>
                <w:i/>
              </w:rPr>
              <w:t>_________________</w:t>
            </w:r>
          </w:p>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rPr>
                <w:vertAlign w:val="superscript"/>
              </w:rPr>
              <w:t>3</w:t>
            </w:r>
            <w:r>
              <w:t xml:space="preserve"> Марио Драги, „The future of European competitiveness (Part A | A competitiveness strategy for Europe“ (Бъдещето на европейската конкурентоспособност, част A, Стратегия за конкурентоспособност за Европа), септември 2024 г.</w:t>
            </w:r>
          </w:p>
        </w:tc>
        <w:tc>
          <w:tcPr>
            <w:tcW w:w="4876" w:type="dxa"/>
            <w:tcBorders>
              <w:top w:val="nil"/>
              <w:left w:val="nil"/>
              <w:bottom w:val="nil"/>
              <w:right w:val="nil"/>
            </w:tcBorders>
          </w:tcPr>
          <w:p w:rsidR="004855AE" w:rsidRPr="00C34506" w:rsidRDefault="004855AE" w:rsidP="00061FA7">
            <w:pPr>
              <w:pStyle w:val="Normal6a"/>
            </w:pPr>
            <w:r>
              <w:rPr>
                <w:vertAlign w:val="superscript"/>
              </w:rPr>
              <w:t>3</w:t>
            </w:r>
            <w:r>
              <w:t xml:space="preserve"> Марио Драги, „The future of European competitiveness (Part A | A competitiveness strategy for Europe“ (Бъдещето на европейската конкурентоспособност, част A, Стратегия за конкурентоспособност за Европа), септември 2024 г.</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52</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В.</w:t>
            </w:r>
            <w:r>
              <w:tab/>
              <w:t xml:space="preserve">като има предвид, че в исторически план в Европа частният </w:t>
            </w:r>
            <w:r>
              <w:lastRenderedPageBreak/>
              <w:t>сектор е допринасял за около четири пети от производствените инвестиции, а публичният сектор е допринасял за останалата част</w:t>
            </w:r>
            <w:r>
              <w:rPr>
                <w:vertAlign w:val="superscript"/>
              </w:rPr>
              <w:t>3</w:t>
            </w:r>
            <w:r>
              <w:t>;</w:t>
            </w:r>
          </w:p>
        </w:tc>
        <w:tc>
          <w:tcPr>
            <w:tcW w:w="4876" w:type="dxa"/>
            <w:tcBorders>
              <w:top w:val="nil"/>
              <w:left w:val="nil"/>
              <w:bottom w:val="nil"/>
              <w:right w:val="nil"/>
            </w:tcBorders>
          </w:tcPr>
          <w:p w:rsidR="004855AE" w:rsidRPr="00C34506" w:rsidRDefault="004855AE" w:rsidP="00061FA7">
            <w:pPr>
              <w:pStyle w:val="Normal6a"/>
            </w:pPr>
            <w:r>
              <w:lastRenderedPageBreak/>
              <w:t>В.</w:t>
            </w:r>
            <w:r>
              <w:tab/>
              <w:t xml:space="preserve">като има предвид, че в исторически план в Европа частният </w:t>
            </w:r>
            <w:r>
              <w:lastRenderedPageBreak/>
              <w:t>сектор е допринасял за около четири пети от производствените инвестиции, а публичният сектор е допринасял за останалата част</w:t>
            </w:r>
            <w:r>
              <w:rPr>
                <w:vertAlign w:val="superscript"/>
              </w:rPr>
              <w:t>3</w:t>
            </w:r>
            <w:r>
              <w:t xml:space="preserve">; </w:t>
            </w:r>
            <w:r>
              <w:rPr>
                <w:b/>
                <w:i/>
              </w:rPr>
              <w:t>като има предвид, че през последните две десетилетия общите равнища на производствените инвестиции в ЕС са значително по-ниски, отколкото в САЩ;</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rPr>
                <w:b/>
                <w:i/>
              </w:rPr>
              <w:lastRenderedPageBreak/>
              <w:t>_________________</w:t>
            </w:r>
          </w:p>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rPr>
                <w:vertAlign w:val="superscript"/>
              </w:rPr>
              <w:t>3</w:t>
            </w:r>
            <w:r>
              <w:t xml:space="preserve"> Марио Драги, „The future of European competitiveness (Part A | A competitiveness strategy for Europe“ (Бъдещето на европейската конкурентоспособност, част A, Стратегия за конкурентоспособност за Европа), септември 2024 г.</w:t>
            </w:r>
          </w:p>
        </w:tc>
        <w:tc>
          <w:tcPr>
            <w:tcW w:w="4876" w:type="dxa"/>
            <w:tcBorders>
              <w:top w:val="nil"/>
              <w:left w:val="nil"/>
              <w:bottom w:val="nil"/>
              <w:right w:val="nil"/>
            </w:tcBorders>
          </w:tcPr>
          <w:p w:rsidR="004855AE" w:rsidRPr="00C34506" w:rsidRDefault="004855AE" w:rsidP="00061FA7">
            <w:pPr>
              <w:pStyle w:val="Normal6a"/>
            </w:pPr>
            <w:r>
              <w:rPr>
                <w:vertAlign w:val="superscript"/>
              </w:rPr>
              <w:t>3</w:t>
            </w:r>
            <w:r>
              <w:t xml:space="preserve"> Марио Драги, „The future of European competitiveness (Part A | A competitiveness strategy for Europe“ (Бъдещето на европейската конкурентоспособност, част A, Стратегия за конкурентоспособност за Европа), септември 2024 г.</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53</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В.</w:t>
            </w:r>
            <w:r>
              <w:tab/>
              <w:t>като има предвид, че в исторически план в Европа частният сектор е допринасял за около четири пети от производствените инвестиции, а публичният сектор е допринасял за останалата част</w:t>
            </w:r>
            <w:r>
              <w:rPr>
                <w:vertAlign w:val="superscript"/>
              </w:rPr>
              <w:t>3</w:t>
            </w:r>
            <w:r>
              <w:t>;</w:t>
            </w:r>
          </w:p>
        </w:tc>
        <w:tc>
          <w:tcPr>
            <w:tcW w:w="4876" w:type="dxa"/>
            <w:tcBorders>
              <w:top w:val="nil"/>
              <w:left w:val="nil"/>
              <w:bottom w:val="nil"/>
              <w:right w:val="nil"/>
            </w:tcBorders>
          </w:tcPr>
          <w:p w:rsidR="004855AE" w:rsidRPr="00C34506" w:rsidRDefault="004855AE" w:rsidP="00061FA7">
            <w:pPr>
              <w:pStyle w:val="Normal6a"/>
            </w:pPr>
            <w:r>
              <w:t>В.</w:t>
            </w:r>
            <w:r>
              <w:tab/>
              <w:t>като има предвид, че в исторически план в Европа частният сектор е допринасял за около четири пети от производствените инвестиции, а публичният сектор е допринасял за останалата част</w:t>
            </w:r>
            <w:r>
              <w:rPr>
                <w:vertAlign w:val="superscript"/>
              </w:rPr>
              <w:t>3</w:t>
            </w:r>
            <w:r>
              <w:t>;</w:t>
            </w:r>
            <w:r>
              <w:rPr>
                <w:b/>
                <w:i/>
              </w:rPr>
              <w:t> като има предвид, че според Finance Watch капиталовите пазари могат да предоставят само една трета от потребностите от инвестиции на ЕС</w:t>
            </w:r>
            <w:r>
              <w:rPr>
                <w:b/>
                <w:i/>
                <w:vertAlign w:val="superscript"/>
              </w:rPr>
              <w:t>3а</w:t>
            </w:r>
            <w:r>
              <w:rPr>
                <w:b/>
                <w:i/>
              </w:rPr>
              <w:t>;</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rPr>
                <w:b/>
                <w:i/>
              </w:rPr>
              <w:t>_________________</w:t>
            </w:r>
          </w:p>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rPr>
                <w:vertAlign w:val="superscript"/>
              </w:rPr>
              <w:t>3</w:t>
            </w:r>
            <w:r>
              <w:t xml:space="preserve"> Марио Драги, „The future of European competitiveness (Part A | A competitiveness strategy for Europe“ (Бъдещето на европейската конкурентоспособност, част A, Стратегия за конкурентоспособност за </w:t>
            </w:r>
            <w:r>
              <w:lastRenderedPageBreak/>
              <w:t>Европа), септември 2024 г.</w:t>
            </w:r>
          </w:p>
        </w:tc>
        <w:tc>
          <w:tcPr>
            <w:tcW w:w="4876" w:type="dxa"/>
            <w:tcBorders>
              <w:top w:val="nil"/>
              <w:left w:val="nil"/>
              <w:bottom w:val="nil"/>
              <w:right w:val="nil"/>
            </w:tcBorders>
          </w:tcPr>
          <w:p w:rsidR="004855AE" w:rsidRPr="00C34506" w:rsidRDefault="004855AE" w:rsidP="00061FA7">
            <w:pPr>
              <w:pStyle w:val="Normal6a"/>
            </w:pPr>
            <w:r>
              <w:rPr>
                <w:vertAlign w:val="superscript"/>
              </w:rPr>
              <w:lastRenderedPageBreak/>
              <w:t>3</w:t>
            </w:r>
            <w:r>
              <w:t xml:space="preserve"> Марио Драги, „The future of European competitiveness (Part A | A competitiveness strategy for Europe“ (Бъдещето на европейската конкурентоспособност, част A, Стратегия за конкурентоспособност за </w:t>
            </w:r>
            <w:r>
              <w:lastRenderedPageBreak/>
              <w:t>Европа), септември 2024 г.</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3a Philipponnat, Europe’s coming investment crisis. What if capital markets could only meet a third of Europe’s essential funding needs? („Предстоящата инвестиционна криза в Европа. Какво предстои, ако се окаже че капиталовите пазари могат да задоволят само една трета от основните нужди от финансиране на Европа?“), доклад на Finance Watch, 2024 г.</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54</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В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Ва.</w:t>
            </w:r>
            <w:r>
              <w:tab/>
            </w:r>
            <w:r>
              <w:rPr>
                <w:b/>
                <w:i/>
              </w:rPr>
              <w:t xml:space="preserve">като има предвид, че само 18 % от европейските граждани притежават високо равнище на финансова грамотност, както се подчертава в Европейския обзор на финансовата грамотност, изготвен от Европейската комисия; като има предвид, че мнозинството, 64 %, имат средно равнище на финансови познания, а 18 % притежават ниско равнище на финансова грамотност, което създава значителна разлика във финансовите възможности на европейските граждани; като има предвид, че само четири държави членки, представляващи повече от една четвърт от населението на ЕС, имат високи равнища на финансови познания, а именно Нидерландия, Дания, Швеция и Словения; като има предвид, че повишаването на финансовата грамотност е от съществено значение, за да се даде </w:t>
            </w:r>
            <w:r>
              <w:rPr>
                <w:b/>
                <w:i/>
              </w:rPr>
              <w:lastRenderedPageBreak/>
              <w:t>възможност на хората да вземат информирани решения относно спестяванията, инвестициите и пенсионното планиране, като по този начин подобрят своето дългосрочно финансово благосъстояние; като има предвид, че укрепването на финансовото образование в целия ЕС е необходимо, за да се предоставят на гражданите уменията, необходими, за да се ориентират във все по-сложните финансови пазари и да се възползват в пълна степен от възможностите за инвестиции, които ще допринесат за растежа на икономиката;</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55</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Евелин Регнер, Нилс Фулсанг, Клер Фита, Карла Тавареш,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В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Ва.</w:t>
            </w:r>
            <w:r>
              <w:tab/>
            </w:r>
            <w:r>
              <w:rPr>
                <w:b/>
                <w:i/>
              </w:rPr>
              <w:t xml:space="preserve">като има предвид, че БВП на ЕС представляваше 17 % от световния БВП през 2023 г., което е сходно равнище с това на Китай, но с 9 процентни пункта под равнището на САЩ; като има предвид, че Съюзът има един от най-ниските коефициенти на Джини в света </w:t>
            </w:r>
            <w:r>
              <w:rPr>
                <w:b/>
                <w:i/>
                <w:vertAlign w:val="superscript"/>
              </w:rPr>
              <w:t>1a</w:t>
            </w:r>
            <w:r>
              <w:rPr>
                <w:b/>
                <w:i/>
              </w:rPr>
              <w:t xml:space="preserve">, което показва относително ниско неравенство по отношение на доходите в сравнение с други големи икономики; като има предвид, че по-бавният растеж на производителността на свой ред е свързан с по-бавния растеж на доходите и по-слабото вътрешно </w:t>
            </w:r>
            <w:r>
              <w:rPr>
                <w:b/>
                <w:i/>
              </w:rPr>
              <w:lastRenderedPageBreak/>
              <w:t>търсене в Европа</w:t>
            </w:r>
            <w:r>
              <w:rPr>
                <w:b/>
                <w:i/>
                <w:vertAlign w:val="superscript"/>
              </w:rPr>
              <w:t>1б</w:t>
            </w:r>
            <w:r>
              <w:rPr>
                <w:b/>
                <w:i/>
              </w:rPr>
              <w:t>;</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1a</w:t>
            </w:r>
            <w:r>
              <w:t xml:space="preserve"> </w:t>
            </w:r>
            <w:r>
              <w:rPr>
                <w:b/>
                <w:i/>
              </w:rPr>
              <w:t xml:space="preserve">https://data.worldbank.org/indicator/SI.POV.GINI?locations=EU </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1б</w:t>
            </w:r>
            <w:r>
              <w:t xml:space="preserve"> </w:t>
            </w:r>
            <w:r>
              <w:rPr>
                <w:b/>
                <w:i/>
              </w:rPr>
              <w:t xml:space="preserve"> Марио Драги, „The future of European competitiveness (Part A | A competitiveness strategy for Europe“ (Бъдещето на европейската конкурентоспособност, част A, Стратегия за конкурентоспособност за Европа), септември 2024 г.</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56</w:t>
      </w:r>
      <w:r>
        <w:rPr>
          <w:rStyle w:val="HideTWBExt"/>
          <w:b w:val="0"/>
        </w:rPr>
        <w:t>&lt;/NumAm&gt;</w:t>
      </w:r>
    </w:p>
    <w:p w:rsidR="004855AE" w:rsidRPr="00C34506" w:rsidRDefault="004855AE" w:rsidP="004855AE">
      <w:pPr>
        <w:pStyle w:val="NormalBold"/>
      </w:pPr>
      <w:r>
        <w:rPr>
          <w:rStyle w:val="HideTWBExt"/>
          <w:b w:val="0"/>
        </w:rPr>
        <w:t>&lt;RepeatBlock-By&gt;&lt;Members&gt;</w:t>
      </w:r>
      <w:r>
        <w:t>Ауке Зейлстра, Еникьо Дьори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Г</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Г.</w:t>
            </w:r>
            <w:r>
              <w:tab/>
              <w:t>като има предвид, че според доклада на Драги спестяванията на домакинствата в ЕС през 2022 г. възлизат на 1390 милиарда евро в сравнение с 840 милиарда евро в САЩ;</w:t>
            </w:r>
          </w:p>
        </w:tc>
        <w:tc>
          <w:tcPr>
            <w:tcW w:w="4876" w:type="dxa"/>
            <w:tcBorders>
              <w:top w:val="nil"/>
              <w:left w:val="nil"/>
              <w:bottom w:val="nil"/>
              <w:right w:val="nil"/>
            </w:tcBorders>
          </w:tcPr>
          <w:p w:rsidR="004855AE" w:rsidRPr="00C34506" w:rsidRDefault="004855AE" w:rsidP="00061FA7">
            <w:pPr>
              <w:pStyle w:val="Normal6a"/>
            </w:pPr>
            <w:r>
              <w:t>Г.</w:t>
            </w:r>
            <w:r>
              <w:tab/>
              <w:t>като има предвид, че според доклада на Драги спестяванията на домакинствата в ЕС през 2022 г. възлизат на 1390 милиарда евро в сравнение с 840 милиарда евро в САЩ</w:t>
            </w:r>
            <w:r>
              <w:rPr>
                <w:b/>
                <w:i/>
              </w:rPr>
              <w:t>, което отразява различни стратегии по отношение на спестяванията и инвестициите, произтичащи от много различните финансови култури</w:t>
            </w:r>
            <w:r>
              <w:t>;</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57</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Г</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lastRenderedPageBreak/>
              <w:t>Г.</w:t>
            </w:r>
            <w:r>
              <w:tab/>
              <w:t>като има предвид, че според доклада на Драги спестяванията на домакинствата в ЕС през 2022 г. възлизат на 1390 милиарда евро в сравнение с 840 милиарда евро в САЩ;</w:t>
            </w:r>
          </w:p>
        </w:tc>
        <w:tc>
          <w:tcPr>
            <w:tcW w:w="4876" w:type="dxa"/>
            <w:tcBorders>
              <w:top w:val="nil"/>
              <w:left w:val="nil"/>
              <w:bottom w:val="nil"/>
              <w:right w:val="nil"/>
            </w:tcBorders>
          </w:tcPr>
          <w:p w:rsidR="004855AE" w:rsidRPr="00C34506" w:rsidRDefault="004855AE" w:rsidP="00061FA7">
            <w:pPr>
              <w:pStyle w:val="Normal6a"/>
            </w:pPr>
            <w:r>
              <w:t>Г.</w:t>
            </w:r>
            <w:r>
              <w:tab/>
              <w:t>като има предвид, че според доклада на Драги спестяванията на домакинствата в ЕС през 2022 г. възлизат на 1390 милиарда евро в сравнение с 840 милиарда евро в САЩ</w:t>
            </w:r>
            <w:r>
              <w:rPr>
                <w:b/>
                <w:i/>
              </w:rPr>
              <w:t>, но въпреки това домакинствата в ЕС разполагат със значително по-малко богатство, отколкото тези в САЩ</w:t>
            </w:r>
            <w:r>
              <w:t>;</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lang w:eastAsia="en-GB"/>
        </w:rPr>
        <w:t>&lt;Amend&gt;</w:t>
      </w:r>
      <w:r>
        <w:t>Изменение</w:t>
      </w:r>
      <w:r>
        <w:tab/>
      </w:r>
      <w:r>
        <w:tab/>
      </w:r>
      <w:r>
        <w:rPr>
          <w:rStyle w:val="HideTWBExt"/>
          <w:b w:val="0"/>
          <w:lang w:eastAsia="en-GB"/>
        </w:rPr>
        <w:t>&lt;NumAm&gt;</w:t>
      </w:r>
      <w:r>
        <w:t>58</w:t>
      </w:r>
      <w:r>
        <w:rPr>
          <w:rStyle w:val="HideTWBExt"/>
          <w:b w:val="0"/>
          <w:lang w:eastAsia="en-GB"/>
        </w:rPr>
        <w:t>&lt;/NumAm&gt;</w:t>
      </w:r>
    </w:p>
    <w:p w:rsidR="004855AE" w:rsidRPr="00C34506" w:rsidRDefault="004855AE" w:rsidP="004855AE">
      <w:pPr>
        <w:pStyle w:val="NormalBold"/>
      </w:pPr>
      <w:r>
        <w:rPr>
          <w:rStyle w:val="HideTWBExt"/>
          <w:b w:val="0"/>
          <w:lang w:eastAsia="en-GB"/>
        </w:rPr>
        <w:t>&lt;RepeatBlock-By&gt;&lt;Members&gt;</w:t>
      </w:r>
      <w:r>
        <w:t>Кристоф Гомар</w:t>
      </w:r>
      <w:r>
        <w:rPr>
          <w:rStyle w:val="HideTWBExt"/>
          <w:b w:val="0"/>
          <w:lang w:eastAsia="en-GB"/>
        </w:rPr>
        <w:t>&lt;/Members&gt;</w:t>
      </w:r>
    </w:p>
    <w:p w:rsidR="004855AE" w:rsidRPr="00C34506" w:rsidRDefault="004855AE" w:rsidP="004855AE">
      <w:pPr>
        <w:pStyle w:val="NormalBold"/>
      </w:pPr>
      <w:r>
        <w:rPr>
          <w:rStyle w:val="HideTWBExt"/>
          <w:b w:val="0"/>
          <w:lang w:eastAsia="en-GB"/>
        </w:rPr>
        <w:t>&lt;/RepeatBlock-By&gt;</w:t>
      </w:r>
    </w:p>
    <w:p w:rsidR="004855AE" w:rsidRPr="00C34506" w:rsidRDefault="004855AE" w:rsidP="004855AE">
      <w:pPr>
        <w:pStyle w:val="NormalBold"/>
      </w:pPr>
      <w:r>
        <w:rPr>
          <w:rStyle w:val="HideTWBExt"/>
          <w:b w:val="0"/>
          <w:lang w:eastAsia="en-GB"/>
        </w:rPr>
        <w:t>&lt;DocAmend&gt;</w:t>
      </w:r>
      <w:r>
        <w:t>Предложение за резолюция</w:t>
      </w:r>
      <w:r>
        <w:rPr>
          <w:rStyle w:val="HideTWBExt"/>
          <w:b w:val="0"/>
          <w:lang w:eastAsia="en-GB"/>
        </w:rPr>
        <w:t>&lt;/DocAmend&gt;</w:t>
      </w:r>
    </w:p>
    <w:p w:rsidR="004855AE" w:rsidRPr="00C34506" w:rsidRDefault="004855AE" w:rsidP="004855AE">
      <w:pPr>
        <w:pStyle w:val="NormalBold"/>
      </w:pPr>
      <w:r>
        <w:rPr>
          <w:rStyle w:val="HideTWBExt"/>
          <w:b w:val="0"/>
          <w:lang w:eastAsia="en-GB"/>
        </w:rPr>
        <w:t>&lt;Article&gt;</w:t>
      </w:r>
      <w:r>
        <w:t>Съображение Г</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Г.</w:t>
            </w:r>
            <w:r>
              <w:tab/>
              <w:t>като има предвид, че според доклада на Драги спестяванията на домакинствата в ЕС през 2022 г. възлизат на 1390 милиарда евро в сравнение с 840 милиарда евро в САЩ;</w:t>
            </w:r>
          </w:p>
        </w:tc>
        <w:tc>
          <w:tcPr>
            <w:tcW w:w="4876" w:type="dxa"/>
            <w:tcBorders>
              <w:top w:val="nil"/>
              <w:left w:val="nil"/>
              <w:bottom w:val="nil"/>
              <w:right w:val="nil"/>
            </w:tcBorders>
          </w:tcPr>
          <w:p w:rsidR="004855AE" w:rsidRPr="00C34506" w:rsidRDefault="004855AE" w:rsidP="00061FA7">
            <w:pPr>
              <w:pStyle w:val="Normal6a"/>
            </w:pPr>
            <w:r>
              <w:t>Г.</w:t>
            </w:r>
            <w:r>
              <w:tab/>
              <w:t xml:space="preserve">като има предвид, че според доклада на Драги спестяванията на домакинствата в ЕС през 2022 г. възлизат на 1390 милиарда евро в сравнение с 840 милиарда евро в САЩ; </w:t>
            </w:r>
            <w:r>
              <w:rPr>
                <w:b/>
                <w:i/>
              </w:rPr>
              <w:t>като има предвид, че средно 300 милиарда евро годишно от спестяванията на домакинствата в ЕС се пренасочват към икономиката на САЩ;</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{FR}</w:t>
      </w:r>
      <w:r w:rsidRPr="00C34506">
        <w:t>fr</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59</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Г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Гa.</w:t>
            </w:r>
            <w:r>
              <w:tab/>
            </w:r>
            <w:r>
              <w:rPr>
                <w:b/>
                <w:i/>
              </w:rPr>
              <w:t xml:space="preserve">като има предвид, че пазарно ориентираната икономика е от съществено значение за насърчаване на иновациите, растежа и инвестициите и че спазването на </w:t>
            </w:r>
            <w:r>
              <w:rPr>
                <w:b/>
                <w:i/>
              </w:rPr>
              <w:lastRenderedPageBreak/>
              <w:t>този принцип е от решаващо значение за икономическата конкурентоспособност на Европа; като има предвид, че в една пазарно ориентирана икономика частният капитал играе централна роля за стимулиране на иновациите, предприемачеството и създаването на нови работни места, което е особено важно за развитието на сектора на рисковия капитал; като има предвид, че въпреки силната спестовна база на Европа, частните инвестиции, особено в рисков капитал, продължават да изостават значително от тези на Съединените щати; като има предвид, че политиките, които дават възможност за свободна и конкурентна пазарна среда, са от съществено значение за преодоляване на тези различия и за гарантиране, че Европа може да използва пълноценно своя икономически потенциал, като привлича както вътрешни, така и международни инвестиции;</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60</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Евелин Регнер, Нилс Фулсанг, Клер Фита, Карла Тавареш,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Г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Гa.</w:t>
            </w:r>
            <w:r>
              <w:tab/>
            </w:r>
            <w:r>
              <w:rPr>
                <w:b/>
                <w:i/>
              </w:rPr>
              <w:t xml:space="preserve">като има предвид, че финансовите ценни книжа (котирани акции, облигации, взаимни фондове и деривати), притежавани пряко от домакинствата, понастоящем представляват 43 % от богатството на домакинствата в САЩ, но само </w:t>
            </w:r>
            <w:r>
              <w:rPr>
                <w:b/>
                <w:i/>
              </w:rPr>
              <w:lastRenderedPageBreak/>
              <w:t>17 % от богатството на домакинствата в ЕС</w:t>
            </w:r>
            <w:r>
              <w:rPr>
                <w:b/>
                <w:i/>
                <w:vertAlign w:val="superscript"/>
              </w:rPr>
              <w:t>1a</w:t>
            </w:r>
            <w:r>
              <w:rPr>
                <w:b/>
                <w:i/>
              </w:rPr>
              <w:t>;</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1а</w:t>
            </w:r>
            <w:r>
              <w:t xml:space="preserve"> </w:t>
            </w:r>
            <w:r>
              <w:rPr>
                <w:b/>
                <w:i/>
              </w:rPr>
              <w:t xml:space="preserve"> Марио Драги, „The future of European competitiveness (Part A | A competitiveness strategy for Europe“ (Бъдещето на европейската конкурентоспособност, част A, Стратегия за конкурентоспособност за Европа), септември 2024 г.</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61</w:t>
      </w:r>
      <w:r>
        <w:rPr>
          <w:rStyle w:val="HideTWBExt"/>
          <w:b w:val="0"/>
        </w:rPr>
        <w:t>&lt;/NumAm&gt;</w:t>
      </w:r>
    </w:p>
    <w:p w:rsidR="004855AE" w:rsidRPr="00C34506" w:rsidRDefault="004855AE" w:rsidP="004855AE">
      <w:pPr>
        <w:pStyle w:val="NormalBold"/>
      </w:pPr>
      <w:r>
        <w:rPr>
          <w:rStyle w:val="HideTWBExt"/>
          <w:b w:val="0"/>
        </w:rPr>
        <w:t>&lt;RepeatBlock-By&gt;&lt;Members&gt;</w:t>
      </w:r>
      <w:r>
        <w:t>Ауке Зейлстра, Еникьо Дьори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Г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Гa.</w:t>
            </w:r>
            <w:r>
              <w:tab/>
            </w:r>
            <w:r>
              <w:rPr>
                <w:b/>
                <w:i/>
              </w:rPr>
              <w:t>като има предвид, че по-големите спестявания в Европа в сравнение със САЩ също ограничават инфлацията в сравнение със САЩ и следователно защитават по-добре покупателната способност на европейските домакинства;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62</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Г б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Гб.</w:t>
            </w:r>
            <w:r>
              <w:tab/>
            </w:r>
            <w:r>
              <w:rPr>
                <w:b/>
                <w:i/>
              </w:rPr>
              <w:t xml:space="preserve">като има предвид, че 70 % от спестяванията на дребно в Съюза се депозират в банкови депозити, а само 30 % се държат под формата на инструменти на капиталовия пазар, </w:t>
            </w:r>
            <w:r>
              <w:rPr>
                <w:b/>
                <w:i/>
              </w:rPr>
              <w:lastRenderedPageBreak/>
              <w:t>докато в Съединените щати положението е обратното;</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63</w:t>
      </w:r>
      <w:r>
        <w:rPr>
          <w:rStyle w:val="HideTWBExt"/>
          <w:b w:val="0"/>
        </w:rPr>
        <w:t>&lt;/NumAm&gt;</w:t>
      </w:r>
    </w:p>
    <w:p w:rsidR="004855AE" w:rsidRPr="00C34506" w:rsidRDefault="004855AE" w:rsidP="004855AE">
      <w:pPr>
        <w:pStyle w:val="NormalBold"/>
      </w:pPr>
      <w:r>
        <w:rPr>
          <w:rStyle w:val="HideTWBExt"/>
          <w:b w:val="0"/>
        </w:rPr>
        <w:t>&lt;RepeatBlock-By&gt;&lt;Members&gt;</w:t>
      </w:r>
      <w:r>
        <w:t>Людовит Одор, Анук Ван Брюг, Били Келъхър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Д</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Д.</w:t>
            </w:r>
            <w:r>
              <w:tab/>
              <w:t xml:space="preserve">като има предвид, че домакинствата в ЕС са спестили 14,79% от разполагаемия си доход, а гражданите на ЕС държаха 31,01% от спестяванията си (11,63 трилиона евро) във валута и депозити, които предлагат ограничена възвръщаемост; </w:t>
            </w:r>
            <w:r>
              <w:rPr>
                <w:b/>
                <w:i/>
              </w:rPr>
              <w:t>като</w:t>
            </w:r>
            <w:r>
              <w:t xml:space="preserve"> има предвид, че те държаха 36% (13,42 трилиона евро) в акции и дялове в инвестиционни фондове и 27% (</w:t>
            </w:r>
            <w:r>
              <w:rPr>
                <w:b/>
                <w:i/>
              </w:rPr>
              <w:t>10,06</w:t>
            </w:r>
            <w:r>
              <w:t> трилиона евро) в застраховки, пенсии и стандартизирани гаранции4;</w:t>
            </w:r>
          </w:p>
        </w:tc>
        <w:tc>
          <w:tcPr>
            <w:tcW w:w="4876" w:type="dxa"/>
            <w:tcBorders>
              <w:top w:val="nil"/>
              <w:left w:val="nil"/>
              <w:bottom w:val="nil"/>
              <w:right w:val="nil"/>
            </w:tcBorders>
          </w:tcPr>
          <w:p w:rsidR="004855AE" w:rsidRPr="00C34506" w:rsidRDefault="004855AE" w:rsidP="00061FA7">
            <w:pPr>
              <w:pStyle w:val="Normal6a"/>
            </w:pPr>
            <w:r>
              <w:t>Д.</w:t>
            </w:r>
            <w:r>
              <w:tab/>
              <w:t>като има предвид, че домакинствата в ЕС са спестили 14,79% от разполагаемия си доход</w:t>
            </w:r>
            <w:r>
              <w:rPr>
                <w:b/>
                <w:i/>
              </w:rPr>
              <w:t xml:space="preserve"> (стойност, повече от три пъти по-висока в сравнение с 4,7 % в Съединените щати</w:t>
            </w:r>
            <w:r>
              <w:rPr>
                <w:b/>
                <w:i/>
                <w:vertAlign w:val="superscript"/>
              </w:rPr>
              <w:t>2а</w:t>
            </w:r>
            <w:r>
              <w:rPr>
                <w:b/>
                <w:i/>
              </w:rPr>
              <w:t>)</w:t>
            </w:r>
            <w:r>
              <w:t>, а гражданите на ЕС държаха 31,01% от спестяванията си (11,63 трилиона евро) във валута и депозити</w:t>
            </w:r>
            <w:r>
              <w:rPr>
                <w:b/>
                <w:i/>
              </w:rPr>
              <w:t xml:space="preserve"> (12,1% в САЩ)</w:t>
            </w:r>
            <w:r>
              <w:t>, които предлагат</w:t>
            </w:r>
            <w:r>
              <w:rPr>
                <w:b/>
                <w:i/>
              </w:rPr>
              <w:t xml:space="preserve"> само</w:t>
            </w:r>
            <w:r>
              <w:t xml:space="preserve"> ограничена възвръщаемост; </w:t>
            </w:r>
            <w:r>
              <w:rPr>
                <w:b/>
                <w:i/>
              </w:rPr>
              <w:t>27 %като</w:t>
            </w:r>
            <w:r>
              <w:t xml:space="preserve"> има предвид, че те държаха 36% (13,42 трилиона евро) в акции и дялове в инвестиционни фондове </w:t>
            </w:r>
            <w:r>
              <w:rPr>
                <w:b/>
                <w:i/>
              </w:rPr>
              <w:t xml:space="preserve">(49,1% в САЩ) </w:t>
            </w:r>
            <w:r>
              <w:t>и 27% (</w:t>
            </w:r>
            <w:r>
              <w:rPr>
                <w:b/>
                <w:i/>
              </w:rPr>
              <w:t>1</w:t>
            </w:r>
            <w:r>
              <w:t> трилиона евро) в застраховки, пенсии и стандартизирани гаранции</w:t>
            </w:r>
            <w:r>
              <w:rPr>
                <w:b/>
                <w:i/>
              </w:rPr>
              <w:t xml:space="preserve"> (27,5 % в САЩ)</w:t>
            </w:r>
            <w:r>
              <w:rPr>
                <w:b/>
                <w:i/>
                <w:vertAlign w:val="superscript"/>
              </w:rPr>
              <w:t>3а</w:t>
            </w:r>
            <w:r>
              <w:rPr>
                <w:b/>
                <w:i/>
              </w:rPr>
              <w:t xml:space="preserve"> </w:t>
            </w:r>
            <w:r>
              <w:t>4;</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rPr>
                <w:b/>
                <w:i/>
              </w:rPr>
              <w:t>_________________</w:t>
            </w:r>
          </w:p>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2а Бюро за икономически анализ на САЩ, „Personal Income and Its Disposition, Monthly“ („Лични доходи и тяхното месечно разпределение“, 2025 г.</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3a Съвет на управителите на системата на Федералния резерв, „Balance Sheet of Households and Nonprofit Organizations“ („Счетоводен баланс на домакинствата и организациите с нестопанска цел“, 2025 г.</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 xml:space="preserve">4 Евростат, Financial flows and stock (Финансови потоци и наличности), </w:t>
            </w:r>
            <w:r>
              <w:lastRenderedPageBreak/>
              <w:t>2023 г. https://ec.europa.eu/eurostat/databrowser/view/NASA_10_F_BS__custom_13650774/default/table?lang=en.</w:t>
            </w:r>
          </w:p>
        </w:tc>
        <w:tc>
          <w:tcPr>
            <w:tcW w:w="4876" w:type="dxa"/>
            <w:tcBorders>
              <w:top w:val="nil"/>
              <w:left w:val="nil"/>
              <w:bottom w:val="nil"/>
              <w:right w:val="nil"/>
            </w:tcBorders>
          </w:tcPr>
          <w:p w:rsidR="004855AE" w:rsidRPr="00C34506" w:rsidRDefault="004855AE" w:rsidP="00061FA7">
            <w:pPr>
              <w:pStyle w:val="Normal6a"/>
            </w:pPr>
            <w:r>
              <w:rPr>
                <w:b/>
                <w:i/>
                <w:vertAlign w:val="superscript"/>
              </w:rPr>
              <w:lastRenderedPageBreak/>
              <w:t>4</w:t>
            </w:r>
            <w:r>
              <w:t xml:space="preserve"> Евростат, Financial flows and stock (Финансови потоци и наличности), </w:t>
            </w:r>
            <w:r>
              <w:lastRenderedPageBreak/>
              <w:t>2023 г. https://ec.europa.eu/eurostat/databrowser/view/NASA_10_F_BS__custom_13650774/default/table?lang=en.</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64</w:t>
      </w:r>
      <w:r>
        <w:rPr>
          <w:rStyle w:val="HideTWBExt"/>
          <w:b w:val="0"/>
        </w:rPr>
        <w:t>&lt;/NumAm&gt;</w:t>
      </w:r>
    </w:p>
    <w:p w:rsidR="004855AE" w:rsidRPr="00C34506" w:rsidRDefault="004855AE" w:rsidP="004855AE">
      <w:pPr>
        <w:pStyle w:val="NormalBold"/>
      </w:pPr>
      <w:r>
        <w:rPr>
          <w:rStyle w:val="HideTWBExt"/>
          <w:b w:val="0"/>
        </w:rPr>
        <w:t>&lt;RepeatBlock-By&gt;&lt;Members&gt;</w:t>
      </w:r>
      <w:r>
        <w:t>Ауке Зейлстра, Еникьо Дьори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Д</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Д.</w:t>
            </w:r>
            <w:r>
              <w:tab/>
              <w:t>като има предвид, че домакинствата в ЕС са спестили 14,79% от разполагаемия си доход, а гражданите на ЕС държаха 31,01% от спестяванията си (11,63 трилиона евро) във валута и депозити, които предлагат ограничена възвръщаемост; като има предвид, че те държаха 36% (13,42 трилиона евро) в акции и дялове в инвестиционни фондове и 27% (10,06 трилиона евро) в застраховки, пенсии и стандартизирани гаранции</w:t>
            </w:r>
            <w:r>
              <w:rPr>
                <w:vertAlign w:val="superscript"/>
              </w:rPr>
              <w:t>4</w:t>
            </w:r>
            <w:r>
              <w:t>;</w:t>
            </w:r>
          </w:p>
        </w:tc>
        <w:tc>
          <w:tcPr>
            <w:tcW w:w="4876" w:type="dxa"/>
            <w:tcBorders>
              <w:top w:val="nil"/>
              <w:left w:val="nil"/>
              <w:bottom w:val="nil"/>
              <w:right w:val="nil"/>
            </w:tcBorders>
          </w:tcPr>
          <w:p w:rsidR="004855AE" w:rsidRPr="00C34506" w:rsidRDefault="004855AE" w:rsidP="00061FA7">
            <w:pPr>
              <w:pStyle w:val="Normal6a"/>
            </w:pPr>
            <w:r>
              <w:t>Д.</w:t>
            </w:r>
            <w:r>
              <w:tab/>
              <w:t>като има предвид, че домакинствата в ЕС са спестили 14,79% от разполагаемия си доход, а гражданите на ЕС държаха 31,01% от спестяванията си (11,63 трилиона евро) във валута и депозити, които предлагат ограничена възвръщаемост</w:t>
            </w:r>
            <w:r>
              <w:rPr>
                <w:b/>
                <w:i/>
              </w:rPr>
              <w:t>, отчасти поради увеличаването на разходите за обслужване на банките, които от своя страна са резултат от непрозрачните разпоредби на равнището на ЕС</w:t>
            </w:r>
            <w:r>
              <w:t>; като има предвид, че те държаха 36% (13,42 трилиона евро) в акции и дялове в инвестиционни фондове и 27% (10,06 трилиона евро) в застраховки, пенсии и стандартизирани гаранции</w:t>
            </w:r>
            <w:r>
              <w:rPr>
                <w:vertAlign w:val="superscript"/>
              </w:rPr>
              <w:t>4</w:t>
            </w:r>
            <w:r>
              <w:t>;</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rPr>
                <w:b/>
                <w:i/>
              </w:rPr>
              <w:t>_________________</w:t>
            </w:r>
          </w:p>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rPr>
                <w:vertAlign w:val="superscript"/>
              </w:rPr>
              <w:t>4</w:t>
            </w:r>
            <w:r>
              <w:t xml:space="preserve"> Евростат, Financial flows and stock (Финансови потоци и наличности), 2023 г. https://ec.europa.eu/eurostat/databrowser/view/NASA_10_F_BS__custom_13650774/default/table?lang=en.</w:t>
            </w:r>
          </w:p>
        </w:tc>
        <w:tc>
          <w:tcPr>
            <w:tcW w:w="4876" w:type="dxa"/>
            <w:tcBorders>
              <w:top w:val="nil"/>
              <w:left w:val="nil"/>
              <w:bottom w:val="nil"/>
              <w:right w:val="nil"/>
            </w:tcBorders>
          </w:tcPr>
          <w:p w:rsidR="004855AE" w:rsidRPr="00C34506" w:rsidRDefault="004855AE" w:rsidP="00061FA7">
            <w:pPr>
              <w:pStyle w:val="Normal6a"/>
            </w:pPr>
            <w:r>
              <w:rPr>
                <w:vertAlign w:val="superscript"/>
              </w:rPr>
              <w:t>4</w:t>
            </w:r>
            <w:r>
              <w:t xml:space="preserve"> Евростат, Financial flows and stock (Финансови потоци и наличности), 2023 г. https://ec.europa.eu/eurostat/databrowser/view/NASA_10_F_BS__custom_13650774/default/table?lang=en.</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65</w:t>
      </w:r>
      <w:r>
        <w:rPr>
          <w:rStyle w:val="HideTWBExt"/>
          <w:b w:val="0"/>
        </w:rPr>
        <w:t>&lt;/NumAm&gt;</w:t>
      </w:r>
    </w:p>
    <w:p w:rsidR="004855AE" w:rsidRPr="00C34506" w:rsidRDefault="004855AE" w:rsidP="004855AE">
      <w:pPr>
        <w:pStyle w:val="NormalBold"/>
      </w:pPr>
      <w:r>
        <w:rPr>
          <w:rStyle w:val="HideTWBExt"/>
          <w:b w:val="0"/>
        </w:rPr>
        <w:t>&lt;RepeatBlock-By&gt;&lt;Members&gt;</w:t>
      </w:r>
      <w:r>
        <w:t>Сирпа Пиетикяйнен</w:t>
      </w:r>
      <w:r>
        <w:rPr>
          <w:rStyle w:val="HideTWBExt"/>
          <w:b w:val="0"/>
        </w:rPr>
        <w:t>&lt;/Members&gt;</w:t>
      </w:r>
    </w:p>
    <w:p w:rsidR="004855AE" w:rsidRPr="00C34506" w:rsidRDefault="004855AE" w:rsidP="004855AE">
      <w:pPr>
        <w:pStyle w:val="NormalBold"/>
      </w:pPr>
      <w:r>
        <w:rPr>
          <w:rStyle w:val="HideTWBExt"/>
          <w:b w:val="0"/>
        </w:rPr>
        <w:lastRenderedPageBreak/>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Д</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Д.</w:t>
            </w:r>
            <w:r>
              <w:tab/>
              <w:t>като има предвид, че домакинствата в ЕС са спестили 14,79% от разполагаемия си доход, а гражданите на ЕС държаха 31,01% от спестяванията си (11,63 трилиона евро) във валута и депозити, които предлагат ограничена възвръщаемост; като има предвид, че те държаха 36% (13,42 трилиона евро) в акции и дялове в инвестиционни фондове и 27% (10,06 трилиона евро) в застраховки, пенсии и стандартизирани гаранции</w:t>
            </w:r>
            <w:r>
              <w:rPr>
                <w:vertAlign w:val="superscript"/>
              </w:rPr>
              <w:t>4</w:t>
            </w:r>
            <w:r>
              <w:t>;</w:t>
            </w:r>
          </w:p>
        </w:tc>
        <w:tc>
          <w:tcPr>
            <w:tcW w:w="4876" w:type="dxa"/>
            <w:tcBorders>
              <w:top w:val="nil"/>
              <w:left w:val="nil"/>
              <w:bottom w:val="nil"/>
              <w:right w:val="nil"/>
            </w:tcBorders>
          </w:tcPr>
          <w:p w:rsidR="004855AE" w:rsidRPr="00C34506" w:rsidRDefault="004855AE" w:rsidP="00061FA7">
            <w:pPr>
              <w:pStyle w:val="Normal6a"/>
            </w:pPr>
            <w:r>
              <w:t>Д.</w:t>
            </w:r>
            <w:r>
              <w:tab/>
              <w:t>като има предвид, че домакинствата в ЕС са спестили 14,79% от разполагаемия си доход, а гражданите на ЕС държаха 31,01% от спестяванията си (11,63 трилиона евро) във валута и депозити, които предлагат ограничена възвръщаемост; като има предвид, че те държаха 36% (13,42 трилиона евро) в акции и дялове в инвестиционни фондове и 27% (10,06 трилиона евро) в застраховки, пенсии и стандартизирани гаранции</w:t>
            </w:r>
            <w:r>
              <w:rPr>
                <w:vertAlign w:val="superscript"/>
              </w:rPr>
              <w:t>4</w:t>
            </w:r>
            <w:r>
              <w:t>;</w:t>
            </w:r>
            <w:r>
              <w:rPr>
                <w:b/>
                <w:i/>
              </w:rPr>
              <w:t> като има предвид, че по-ефективното използване на депозитите, държани в европейските банкови сметки, на капиталовите пазари би могло да означава допълнителни 350 милиарда евро годишно за инвестиции;</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rPr>
                <w:b/>
                <w:i/>
              </w:rPr>
              <w:t>_________________</w:t>
            </w:r>
          </w:p>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rPr>
                <w:vertAlign w:val="superscript"/>
              </w:rPr>
              <w:t>4</w:t>
            </w:r>
            <w:r>
              <w:t xml:space="preserve"> Евростат, Financial flows and stock (Финансови потоци и наличности), 2023 г. https://ec.europa.eu/eurostat/databrowser/view/NASA_10_F_BS__custom_13650774/default/table?lang=en.</w:t>
            </w:r>
          </w:p>
        </w:tc>
        <w:tc>
          <w:tcPr>
            <w:tcW w:w="4876" w:type="dxa"/>
            <w:tcBorders>
              <w:top w:val="nil"/>
              <w:left w:val="nil"/>
              <w:bottom w:val="nil"/>
              <w:right w:val="nil"/>
            </w:tcBorders>
          </w:tcPr>
          <w:p w:rsidR="004855AE" w:rsidRPr="00C34506" w:rsidRDefault="004855AE" w:rsidP="00061FA7">
            <w:pPr>
              <w:pStyle w:val="Normal6a"/>
            </w:pPr>
            <w:r>
              <w:rPr>
                <w:vertAlign w:val="superscript"/>
              </w:rPr>
              <w:t>4</w:t>
            </w:r>
            <w:r>
              <w:t xml:space="preserve"> Евростат, Financial flows and stock (Финансови потоци и наличности), 2023 г. https://ec.europa.eu/eurostat/databrowser/view/NASA_10_F_BS__custom_13650774/default/table?lang=en.</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66</w:t>
      </w:r>
      <w:r>
        <w:rPr>
          <w:rStyle w:val="HideTWBExt"/>
          <w:b w:val="0"/>
        </w:rPr>
        <w:t>&lt;/NumAm&gt;</w:t>
      </w:r>
    </w:p>
    <w:p w:rsidR="004855AE" w:rsidRPr="00C34506" w:rsidRDefault="004855AE" w:rsidP="004855AE">
      <w:pPr>
        <w:pStyle w:val="NormalBold"/>
      </w:pPr>
      <w:r>
        <w:rPr>
          <w:rStyle w:val="HideTWBExt"/>
          <w:b w:val="0"/>
        </w:rPr>
        <w:t>&lt;RepeatBlock-By&gt;&lt;Members&gt;</w:t>
      </w:r>
      <w:r>
        <w:t>Паскал Канфен, Стефани Йон</w:t>
      </w:r>
      <w:r>
        <w:noBreakHyphen/>
        <w:t>Куртен, Жил Боайе, Анук Ван Брюг</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Д</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Д.</w:t>
            </w:r>
            <w:r>
              <w:tab/>
              <w:t xml:space="preserve">като има предвид, че домакинствата в ЕС са спестили 14,79% от разполагаемия си доход, а </w:t>
            </w:r>
            <w:r>
              <w:lastRenderedPageBreak/>
              <w:t>гражданите на ЕС държаха 31,01% от спестяванията си (11,63 трилиона евро) във валута и депозити, които предлагат ограничена възвръщаемост; като има предвид, че те държаха 36% (13,42 трилиона евро) в акции и дялове в инвестиционни фондове и 27% (10,06 трилиона евро) в застраховки, пенсии и стандартизирани гаранции</w:t>
            </w:r>
            <w:r>
              <w:rPr>
                <w:vertAlign w:val="superscript"/>
              </w:rPr>
              <w:t>4</w:t>
            </w:r>
            <w:r>
              <w:t>;</w:t>
            </w:r>
          </w:p>
        </w:tc>
        <w:tc>
          <w:tcPr>
            <w:tcW w:w="4876" w:type="dxa"/>
            <w:tcBorders>
              <w:top w:val="nil"/>
              <w:left w:val="nil"/>
              <w:bottom w:val="nil"/>
              <w:right w:val="nil"/>
            </w:tcBorders>
          </w:tcPr>
          <w:p w:rsidR="004855AE" w:rsidRPr="00C34506" w:rsidRDefault="004855AE" w:rsidP="00061FA7">
            <w:pPr>
              <w:pStyle w:val="Normal6a"/>
            </w:pPr>
            <w:r>
              <w:lastRenderedPageBreak/>
              <w:t>Д.</w:t>
            </w:r>
            <w:r>
              <w:tab/>
              <w:t xml:space="preserve">като има предвид, че домакинствата в ЕС са спестили 14,79% от разполагаемия си доход, а </w:t>
            </w:r>
            <w:r>
              <w:lastRenderedPageBreak/>
              <w:t>гражданите на ЕС държаха 31,01% от спестяванията си (11,63 трилиона евро) във валута и депозити, които предлагат ограничена възвръщаемост; като има предвид, че те държаха 36% (13,42 трилиона евро) в акции и дялове в инвестиционни фондове и 27% (10,06 трилиона евро) в застраховки, пенсии и стандартизирани гаранции</w:t>
            </w:r>
            <w:r>
              <w:rPr>
                <w:vertAlign w:val="superscript"/>
              </w:rPr>
              <w:t>4</w:t>
            </w:r>
            <w:r>
              <w:t xml:space="preserve">; </w:t>
            </w:r>
            <w:r>
              <w:rPr>
                <w:b/>
                <w:i/>
              </w:rPr>
              <w:t>като има предвид, че според доклада Лета 300 милиарда евро от спестяванията на европейските семейства се отклоняват от пазара на ЕС към чуждестранните финансови пазари;</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rPr>
                <w:b/>
                <w:i/>
              </w:rPr>
              <w:lastRenderedPageBreak/>
              <w:t>_________________</w:t>
            </w:r>
          </w:p>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rPr>
                <w:vertAlign w:val="superscript"/>
              </w:rPr>
              <w:t>4</w:t>
            </w:r>
            <w:r>
              <w:t xml:space="preserve"> Евростат, Financial flows and stock (Финансови потоци и наличности), 2023 г. https://ec.europa.eu/eurostat/databrowser/view/NASA_10_F_BS__custom_13650774/default/table?lang=en.</w:t>
            </w:r>
          </w:p>
        </w:tc>
        <w:tc>
          <w:tcPr>
            <w:tcW w:w="4876" w:type="dxa"/>
            <w:tcBorders>
              <w:top w:val="nil"/>
              <w:left w:val="nil"/>
              <w:bottom w:val="nil"/>
              <w:right w:val="nil"/>
            </w:tcBorders>
          </w:tcPr>
          <w:p w:rsidR="004855AE" w:rsidRPr="00C34506" w:rsidRDefault="004855AE" w:rsidP="00061FA7">
            <w:pPr>
              <w:pStyle w:val="Normal6a"/>
            </w:pPr>
            <w:r>
              <w:rPr>
                <w:vertAlign w:val="superscript"/>
              </w:rPr>
              <w:t>4</w:t>
            </w:r>
            <w:r>
              <w:t xml:space="preserve"> Евростат, Financial flows and stock (Финансови потоци и наличности), 2023 г. https://ec.europa.eu/eurostat/databrowser/view/NASA_10_F_BS__custom_13650774/default/table?lang=en.</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67</w:t>
      </w:r>
      <w:r>
        <w:rPr>
          <w:rStyle w:val="HideTWBExt"/>
          <w:b w:val="0"/>
        </w:rPr>
        <w:t>&lt;/NumAm&gt;</w:t>
      </w:r>
    </w:p>
    <w:p w:rsidR="004855AE" w:rsidRPr="00C34506" w:rsidRDefault="004855AE" w:rsidP="004855AE">
      <w:pPr>
        <w:pStyle w:val="NormalBold"/>
      </w:pPr>
      <w:r>
        <w:rPr>
          <w:rStyle w:val="HideTWBExt"/>
          <w:b w:val="0"/>
        </w:rPr>
        <w:t>&lt;RepeatBlock-By&gt;&lt;Members&gt;</w:t>
      </w:r>
      <w:r>
        <w:t>Джовани Крозето, Доменико Денис Неши, Франческо Вентола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Д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Да.</w:t>
            </w:r>
            <w:r>
              <w:tab/>
            </w:r>
            <w:r>
              <w:rPr>
                <w:b/>
                <w:i/>
              </w:rPr>
              <w:t xml:space="preserve">като има предвид, че от финансовата криза от 2008 г. насам финансовото регулиране на ЕС се съсредоточава основно върху гарантирането на финансова стабилност и защитата на инвеститорите; като има предвид, че тези цели, макар и съществени, невинаги са преследвани чрез най-ефективните или пропорционални подходи; като има предвид, че бъдещите мерки следва да поставят по-силен акцент върху повишаването </w:t>
            </w:r>
            <w:r>
              <w:rPr>
                <w:b/>
                <w:i/>
              </w:rPr>
              <w:lastRenderedPageBreak/>
              <w:t>на привлекателността, достъпността и конкурентоспособността на европейските капиталови пазари както за емитентите, така и за инвеститорите; като има предвид, че защитата на инвеститорите е напълно съвместима с регулаторна рамка, основана в по-голяма степен на риска, която насърчава рентабилността, подкрепя развитието на пазара и насърчава по-голямото участие на инвеститорите на дребно в добре диверсифицирани, за предпочитане европейски инвестиционни портфейли;</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lang w:eastAsia="en-GB"/>
        </w:rPr>
        <w:t>&lt;Amend&gt;</w:t>
      </w:r>
      <w:r>
        <w:t>Изменение</w:t>
      </w:r>
      <w:r>
        <w:tab/>
      </w:r>
      <w:r>
        <w:tab/>
      </w:r>
      <w:r>
        <w:rPr>
          <w:rStyle w:val="HideTWBExt"/>
          <w:b w:val="0"/>
          <w:lang w:eastAsia="en-GB"/>
        </w:rPr>
        <w:t>&lt;NumAm&gt;</w:t>
      </w:r>
      <w:r>
        <w:t>68</w:t>
      </w:r>
      <w:r>
        <w:rPr>
          <w:rStyle w:val="HideTWBExt"/>
          <w:b w:val="0"/>
          <w:lang w:eastAsia="en-GB"/>
        </w:rPr>
        <w:t>&lt;/NumAm&gt;</w:t>
      </w:r>
    </w:p>
    <w:p w:rsidR="004855AE" w:rsidRPr="00C34506" w:rsidRDefault="004855AE" w:rsidP="004855AE">
      <w:pPr>
        <w:pStyle w:val="NormalBold"/>
      </w:pPr>
      <w:r>
        <w:rPr>
          <w:rStyle w:val="HideTWBExt"/>
          <w:b w:val="0"/>
          <w:lang w:eastAsia="en-GB"/>
        </w:rPr>
        <w:t>&lt;RepeatBlock-By&gt;&lt;Members&gt;</w:t>
      </w:r>
      <w:r>
        <w:t>Кристоф Гомар</w:t>
      </w:r>
      <w:r>
        <w:rPr>
          <w:rStyle w:val="HideTWBExt"/>
          <w:b w:val="0"/>
          <w:lang w:eastAsia="en-GB"/>
        </w:rPr>
        <w:t>&lt;/Members&gt;</w:t>
      </w:r>
    </w:p>
    <w:p w:rsidR="004855AE" w:rsidRPr="00C34506" w:rsidRDefault="004855AE" w:rsidP="004855AE">
      <w:pPr>
        <w:pStyle w:val="NormalBold"/>
      </w:pPr>
      <w:r>
        <w:rPr>
          <w:rStyle w:val="HideTWBExt"/>
          <w:b w:val="0"/>
          <w:lang w:eastAsia="en-GB"/>
        </w:rPr>
        <w:t>&lt;/RepeatBlock-By&gt;</w:t>
      </w:r>
    </w:p>
    <w:p w:rsidR="004855AE" w:rsidRPr="00C34506" w:rsidRDefault="004855AE" w:rsidP="004855AE">
      <w:pPr>
        <w:pStyle w:val="NormalBold"/>
      </w:pPr>
      <w:r>
        <w:rPr>
          <w:rStyle w:val="HideTWBExt"/>
          <w:b w:val="0"/>
          <w:lang w:eastAsia="en-GB"/>
        </w:rPr>
        <w:t>&lt;DocAmend&gt;</w:t>
      </w:r>
      <w:r>
        <w:t>Предложение за резолюция</w:t>
      </w:r>
      <w:r>
        <w:rPr>
          <w:rStyle w:val="HideTWBExt"/>
          <w:b w:val="0"/>
          <w:lang w:eastAsia="en-GB"/>
        </w:rPr>
        <w:t>&lt;/DocAmend&gt;</w:t>
      </w:r>
    </w:p>
    <w:p w:rsidR="004855AE" w:rsidRPr="00C34506" w:rsidRDefault="004855AE" w:rsidP="004855AE">
      <w:pPr>
        <w:pStyle w:val="NormalBold"/>
      </w:pPr>
      <w:r>
        <w:rPr>
          <w:rStyle w:val="HideTWBExt"/>
          <w:b w:val="0"/>
          <w:lang w:eastAsia="en-GB"/>
        </w:rPr>
        <w:t>&lt;Article&gt;</w:t>
      </w:r>
      <w:r>
        <w:t>Съображение Д a (ново)</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Да.</w:t>
            </w:r>
            <w:r>
              <w:tab/>
            </w:r>
            <w:r>
              <w:rPr>
                <w:b/>
                <w:i/>
              </w:rPr>
              <w:t>като има предвид, че според доклада Ноайе пазарът на секюритизации в Европа се е сринал от 2008 г. насам, като е намалял от 2 000 милиарда непогасени през 2008 г. на 1 200 милиарда през 2023 г., имайки предвид, че в Съединените щати настоящата цифра (13 700 милиарда през 2021 г.) се е увеличила от 11 300 милиарда през 2008 г.;</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{FR}</w:t>
      </w:r>
      <w:r w:rsidRPr="00C34506">
        <w:t>fr</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69</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Еро Хейнелуома, Евелин Регнер, Клер Фита, Карла Тавареш, Франсишку Асиш, Лара Волтерс</w:t>
      </w:r>
      <w:r>
        <w:rPr>
          <w:rStyle w:val="HideTWBExt"/>
          <w:b w:val="0"/>
        </w:rPr>
        <w:t>&lt;/Members&gt;</w:t>
      </w:r>
    </w:p>
    <w:p w:rsidR="004855AE" w:rsidRPr="00C34506" w:rsidRDefault="004855AE" w:rsidP="004855AE">
      <w:pPr>
        <w:pStyle w:val="NormalBold"/>
      </w:pPr>
      <w:r>
        <w:rPr>
          <w:rStyle w:val="HideTWBExt"/>
          <w:b w:val="0"/>
        </w:rPr>
        <w:lastRenderedPageBreak/>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Д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Да.</w:t>
            </w:r>
            <w:r>
              <w:tab/>
            </w:r>
            <w:r>
              <w:rPr>
                <w:b/>
                <w:i/>
              </w:rPr>
              <w:t>като има предвид, че средства в размер до 8 трилиона евро биха могли да бъдат прехвърлени към пазарни инвестиционни инструменти — или поток от около 350 милиарда евро годишно</w:t>
            </w:r>
            <w:r>
              <w:rPr>
                <w:b/>
                <w:i/>
                <w:vertAlign w:val="superscript"/>
              </w:rPr>
              <w:t>1a</w:t>
            </w:r>
            <w:r>
              <w:rPr>
                <w:b/>
                <w:i/>
              </w:rPr>
              <w:t xml:space="preserve"> — ако домакинствата в ЕС коригират разпределение между своите депозити и финансови активи, така че да отразява структурата, наблюдавана в домакинствата в САЩ;</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1a</w:t>
            </w:r>
            <w:r>
              <w:t xml:space="preserve"> </w:t>
            </w:r>
            <w:r>
              <w:rPr>
                <w:b/>
                <w:i/>
              </w:rPr>
              <w:t>Европейска централна банка, „Follow the money: channelling savings into investment and innovation in Europe,“ („Проследете парите: насочване на спестяванията към инвестиции и иновации“), реч на Кристин Лагард, председател на Европейската централна банка, 22 ноември 2024 г.</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70</w:t>
      </w:r>
      <w:r>
        <w:rPr>
          <w:rStyle w:val="HideTWBExt"/>
          <w:b w:val="0"/>
        </w:rPr>
        <w:t>&lt;/NumAm&gt;</w:t>
      </w:r>
    </w:p>
    <w:p w:rsidR="004855AE" w:rsidRPr="00C34506" w:rsidRDefault="004855AE" w:rsidP="004855AE">
      <w:pPr>
        <w:pStyle w:val="NormalBold"/>
      </w:pPr>
      <w:r>
        <w:rPr>
          <w:rStyle w:val="HideTWBExt"/>
          <w:b w:val="0"/>
        </w:rPr>
        <w:t>&lt;RepeatBlock-By&gt;&lt;Members&gt;</w:t>
      </w:r>
      <w:r>
        <w:t>Стефани Йон</w:t>
      </w:r>
      <w:r>
        <w:noBreakHyphen/>
        <w:t>Куртен, Жил Боайе, Паскал Канфен, Били Келъхър, Анук Ван Брюг</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Д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Да.</w:t>
            </w:r>
            <w:r>
              <w:tab/>
            </w:r>
            <w:r>
              <w:rPr>
                <w:b/>
                <w:i/>
              </w:rPr>
              <w:t xml:space="preserve">като има предвид, че според анализ на ЕЦБ, ако домакинствата в ЕС достигнат съотношението депозити — финансови активи на домакинствата в САЩ, общо до 8 трилиона евро, т.е. около 350 милиарда евро годишно, биха могли да бъдат пренасочени към </w:t>
            </w:r>
            <w:r>
              <w:rPr>
                <w:b/>
                <w:i/>
              </w:rPr>
              <w:lastRenderedPageBreak/>
              <w:t>пазарни инвестиции;</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71</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Д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Да.</w:t>
            </w:r>
            <w:r>
              <w:tab/>
            </w:r>
            <w:r>
              <w:rPr>
                <w:b/>
                <w:i/>
              </w:rPr>
              <w:t>като има предвид, че според изчисленията на ЕЦБ, ако домакинствата в Съюза достигнат съотношението депозити/финансови активи на домакинствата в Съединените щати, до 8 трилиона евро биха могли да бъдат пренасочени към пазарни инвестиции, което би се равнявало на поток от около 350 милиарда евро годишно;</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72</w:t>
      </w:r>
      <w:r>
        <w:rPr>
          <w:rStyle w:val="HideTWBExt"/>
          <w:b w:val="0"/>
        </w:rPr>
        <w:t>&lt;/NumAm&gt;</w:t>
      </w:r>
    </w:p>
    <w:p w:rsidR="004855AE" w:rsidRPr="00C34506" w:rsidRDefault="004855AE" w:rsidP="004855AE">
      <w:pPr>
        <w:pStyle w:val="NormalBold"/>
      </w:pPr>
      <w:r>
        <w:rPr>
          <w:rStyle w:val="HideTWBExt"/>
          <w:b w:val="0"/>
        </w:rPr>
        <w:t>&lt;RepeatBlock-By&gt;&lt;Members&gt;</w:t>
      </w:r>
      <w:r>
        <w:t>Реджина Дохърти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Д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Да.</w:t>
            </w:r>
            <w:r>
              <w:tab/>
            </w:r>
            <w:r>
              <w:rPr>
                <w:b/>
                <w:i/>
              </w:rPr>
              <w:t>като има предвид, че около 70 % от корпоративното финансиране в ЕС е под формата на заеми от банки, за разлика от САЩ, където около 77 % от корпоративното финансиране се финансира чрез капиталовите пазари;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lastRenderedPageBreak/>
        <w:t>&lt;Amend&gt;</w:t>
      </w:r>
      <w:r>
        <w:t>Изменение</w:t>
      </w:r>
      <w:r>
        <w:tab/>
      </w:r>
      <w:r>
        <w:tab/>
      </w:r>
      <w:r>
        <w:rPr>
          <w:rStyle w:val="HideTWBExt"/>
          <w:b w:val="0"/>
        </w:rPr>
        <w:t>&lt;NumAm&gt;</w:t>
      </w:r>
      <w:r>
        <w:t>73</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Еро Хейнелуома, Евелин Регнер, Нилс Фулсанг, Клер Фита, Карла Тавареш, Томас Баяда,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Д б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Дб.</w:t>
            </w:r>
            <w:r>
              <w:tab/>
            </w:r>
            <w:r>
              <w:rPr>
                <w:b/>
                <w:i/>
              </w:rPr>
              <w:t>като има предвид, че европейските домакинства инвестират приблизително 300 милиарда евро</w:t>
            </w:r>
            <w:r>
              <w:rPr>
                <w:b/>
                <w:i/>
                <w:vertAlign w:val="superscript"/>
              </w:rPr>
              <w:t>1a</w:t>
            </w:r>
            <w:r>
              <w:rPr>
                <w:b/>
                <w:i/>
              </w:rPr>
              <w:t xml:space="preserve"> годишно извън ЕС, предимно в Съединените щати; като има предвид, че тази сума е сравнима с допълнителния капитал, който би могъл да бъде мобилизиран в рамките на ЕС при по-пазарно ориентирани условия;</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1а</w:t>
            </w:r>
            <w:r>
              <w:t xml:space="preserve"> </w:t>
            </w:r>
            <w:r>
              <w:rPr>
                <w:b/>
                <w:i/>
              </w:rPr>
              <w:t>Much more than a Market („Много повече от пазар“), Енрико Лета, 2024 г.</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74</w:t>
      </w:r>
      <w:r>
        <w:rPr>
          <w:rStyle w:val="HideTWBExt"/>
          <w:b w:val="0"/>
        </w:rPr>
        <w:t>&lt;/NumAm&gt;</w:t>
      </w:r>
    </w:p>
    <w:p w:rsidR="004855AE" w:rsidRPr="00C34506" w:rsidRDefault="004855AE" w:rsidP="004855AE">
      <w:pPr>
        <w:pStyle w:val="NormalBold"/>
      </w:pPr>
      <w:r>
        <w:rPr>
          <w:rStyle w:val="HideTWBExt"/>
          <w:b w:val="0"/>
        </w:rPr>
        <w:t>&lt;RepeatBlock-By&gt;&lt;Members&gt;</w:t>
      </w:r>
      <w:r>
        <w:t>Реджина Дохърти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Д б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Дб.</w:t>
            </w:r>
            <w:r>
              <w:tab/>
            </w:r>
            <w:r>
              <w:rPr>
                <w:b/>
                <w:i/>
              </w:rPr>
              <w:t>като има предвид, че европейските пазари са изправени пред значителен недостиг на ликвидност в сравнение с други региони, по-специално САЩ;</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lastRenderedPageBreak/>
        <w:t>&lt;Amend&gt;</w:t>
      </w:r>
      <w:r>
        <w:t>Изменение</w:t>
      </w:r>
      <w:r>
        <w:tab/>
      </w:r>
      <w:r>
        <w:tab/>
      </w:r>
      <w:r>
        <w:rPr>
          <w:rStyle w:val="HideTWBExt"/>
          <w:b w:val="0"/>
        </w:rPr>
        <w:t>&lt;NumAm&gt;</w:t>
      </w:r>
      <w:r>
        <w:t>75</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Е</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Е.</w:t>
            </w:r>
            <w:r>
              <w:tab/>
              <w:t xml:space="preserve">като има предвид, че според доклада на Драги между 2008 г. и 2021 г. </w:t>
            </w:r>
            <w:r>
              <w:rPr>
                <w:b/>
                <w:i/>
              </w:rPr>
              <w:t>близо 30% от стартиращите</w:t>
            </w:r>
            <w:r>
              <w:t xml:space="preserve"> предприятия „еднорози“, които впоследствие бяха оценени на стойност над 1 милиарда щатски долара, са преместили седалището си в чужбина, главно в САЩ;</w:t>
            </w:r>
          </w:p>
        </w:tc>
        <w:tc>
          <w:tcPr>
            <w:tcW w:w="4876" w:type="dxa"/>
            <w:tcBorders>
              <w:top w:val="nil"/>
              <w:left w:val="nil"/>
              <w:bottom w:val="nil"/>
              <w:right w:val="nil"/>
            </w:tcBorders>
          </w:tcPr>
          <w:p w:rsidR="004855AE" w:rsidRPr="00C34506" w:rsidRDefault="004855AE" w:rsidP="00061FA7">
            <w:pPr>
              <w:pStyle w:val="Normal6a"/>
            </w:pPr>
            <w:r>
              <w:t>Е.</w:t>
            </w:r>
            <w:r>
              <w:tab/>
              <w:t xml:space="preserve">като има предвид, че според доклада на Драги между 2008 г. и 2021 г. </w:t>
            </w:r>
            <w:r>
              <w:rPr>
                <w:b/>
                <w:i/>
              </w:rPr>
              <w:t>бяха основани 147 стартиращи</w:t>
            </w:r>
            <w:r>
              <w:t xml:space="preserve"> предприятия „еднорози“, които впоследствие бяха оценени на стойност над 1 милиарда щатски долара, </w:t>
            </w:r>
            <w:r>
              <w:rPr>
                <w:b/>
                <w:i/>
              </w:rPr>
              <w:t xml:space="preserve">като 40 от тях </w:t>
            </w:r>
            <w:r>
              <w:t xml:space="preserve">са преместили седалището си в чужбина, главно в САЩ; </w:t>
            </w:r>
            <w:r>
              <w:rPr>
                <w:b/>
                <w:i/>
              </w:rPr>
              <w:t>като има предвид, че административната тежест за Съюза се оценява на около 150 милиарда евро (1,3 % от годишния БВП), а вътрешните бариери са представени като мито от 100 % на вътрешния пазар според МВФ;</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76</w:t>
      </w:r>
      <w:r>
        <w:rPr>
          <w:rStyle w:val="HideTWBExt"/>
          <w:b w:val="0"/>
        </w:rPr>
        <w:t>&lt;/NumAm&gt;</w:t>
      </w:r>
    </w:p>
    <w:p w:rsidR="004855AE" w:rsidRPr="00C34506" w:rsidRDefault="004855AE" w:rsidP="004855AE">
      <w:pPr>
        <w:pStyle w:val="NormalBold"/>
      </w:pPr>
      <w:r>
        <w:rPr>
          <w:rStyle w:val="HideTWBExt"/>
          <w:b w:val="0"/>
        </w:rPr>
        <w:t>&lt;RepeatBlock-By&gt;&lt;Members&gt;</w:t>
      </w:r>
      <w:r>
        <w:t>Ауке Зейлстра, Еникьо Дьори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Е</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Е.</w:t>
            </w:r>
            <w:r>
              <w:tab/>
              <w:t>като има предвид, че според доклада на Драги между 2008 г. и 2021 г. близо 30% от стартиращите предприятия „еднорози“, които впоследствие бяха оценени на стойност над 1 милиарда щатски долара, са преместили седалището си в чужбина, главно в САЩ;</w:t>
            </w:r>
          </w:p>
        </w:tc>
        <w:tc>
          <w:tcPr>
            <w:tcW w:w="4876" w:type="dxa"/>
            <w:tcBorders>
              <w:top w:val="nil"/>
              <w:left w:val="nil"/>
              <w:bottom w:val="nil"/>
              <w:right w:val="nil"/>
            </w:tcBorders>
          </w:tcPr>
          <w:p w:rsidR="004855AE" w:rsidRPr="00C34506" w:rsidRDefault="004855AE" w:rsidP="00061FA7">
            <w:pPr>
              <w:pStyle w:val="Normal6a"/>
            </w:pPr>
            <w:r>
              <w:t>Е.</w:t>
            </w:r>
            <w:r>
              <w:tab/>
              <w:t>като има предвид, че според доклада на Драги между 2008 г. и 2021 г. близо 30% от стартиращите предприятия „еднорози“, които впоследствие бяха оценени на стойност над 1 милиарда щатски долара, са преместили седалището си в чужбина, главно в САЩ</w:t>
            </w:r>
            <w:r>
              <w:rPr>
                <w:b/>
                <w:i/>
              </w:rPr>
              <w:t>, поради по-гостоприемната културна и регулаторна рамка за предприемачеството</w:t>
            </w:r>
            <w:r>
              <w:t>;</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lastRenderedPageBreak/>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77</w:t>
      </w:r>
      <w:r>
        <w:rPr>
          <w:rStyle w:val="HideTWBExt"/>
          <w:b w:val="0"/>
        </w:rPr>
        <w:t>&lt;/NumAm&gt;</w:t>
      </w:r>
    </w:p>
    <w:p w:rsidR="004855AE" w:rsidRPr="00C34506" w:rsidRDefault="004855AE" w:rsidP="004855AE">
      <w:pPr>
        <w:pStyle w:val="NormalBold"/>
      </w:pPr>
      <w:r>
        <w:rPr>
          <w:rStyle w:val="HideTWBExt"/>
          <w:b w:val="0"/>
        </w:rPr>
        <w:t>&lt;RepeatBlock-By&gt;&lt;Members&gt;</w:t>
      </w:r>
      <w:r>
        <w:t>Кинга Колар,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Е</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Е.</w:t>
            </w:r>
            <w:r>
              <w:tab/>
              <w:t>като има предвид, че според доклада на Драги между 2008 г. и 2021 г. близо 30% от стартиращите предприятия „еднорози“, които впоследствие бяха оценени на стойност над 1 милиарда щатски долара, са преместили седалището си в чужбина, главно в САЩ;</w:t>
            </w:r>
          </w:p>
        </w:tc>
        <w:tc>
          <w:tcPr>
            <w:tcW w:w="4876" w:type="dxa"/>
            <w:tcBorders>
              <w:top w:val="nil"/>
              <w:left w:val="nil"/>
              <w:bottom w:val="nil"/>
              <w:right w:val="nil"/>
            </w:tcBorders>
          </w:tcPr>
          <w:p w:rsidR="004855AE" w:rsidRPr="00C34506" w:rsidRDefault="004855AE" w:rsidP="00061FA7">
            <w:pPr>
              <w:pStyle w:val="Normal6a"/>
            </w:pPr>
            <w:r>
              <w:t>Е.</w:t>
            </w:r>
            <w:r>
              <w:tab/>
              <w:t xml:space="preserve">като има предвид, че според доклада на Драги между 2008 г. и 2021 г. близо 30% от стартиращите предприятия „еднорози“, които впоследствие бяха оценени на стойност над 1 милиарда щатски долара, са преместили седалището си в чужбина, главно в САЩ; </w:t>
            </w:r>
            <w:r>
              <w:rPr>
                <w:b/>
                <w:i/>
              </w:rPr>
              <w:t>припомня, че само 4 от 50-те най-големи технологични дружества в света са европейски;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78</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Е</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Е.</w:t>
            </w:r>
            <w:r>
              <w:tab/>
              <w:t xml:space="preserve">като има предвид, че според доклада на Драги между 2008 г. и 2021 г. близо 30% от </w:t>
            </w:r>
            <w:r>
              <w:rPr>
                <w:b/>
                <w:i/>
              </w:rPr>
              <w:t>стартиращите</w:t>
            </w:r>
            <w:r>
              <w:t xml:space="preserve"> предприятия „еднорози“, които впоследствие бяха оценени на стойност над 1 милиарда щатски долара, са преместили седалището си в чужбина, главно в САЩ;</w:t>
            </w:r>
          </w:p>
        </w:tc>
        <w:tc>
          <w:tcPr>
            <w:tcW w:w="4876" w:type="dxa"/>
            <w:tcBorders>
              <w:top w:val="nil"/>
              <w:left w:val="nil"/>
              <w:bottom w:val="nil"/>
              <w:right w:val="nil"/>
            </w:tcBorders>
          </w:tcPr>
          <w:p w:rsidR="004855AE" w:rsidRPr="00C34506" w:rsidRDefault="004855AE" w:rsidP="00061FA7">
            <w:pPr>
              <w:pStyle w:val="Normal6a"/>
            </w:pPr>
            <w:r>
              <w:t>Е.</w:t>
            </w:r>
            <w:r>
              <w:tab/>
              <w:t xml:space="preserve">като има предвид, че според доклада на Драги между 2008 г. и 2021 г. близо 30% от </w:t>
            </w:r>
            <w:r>
              <w:rPr>
                <w:b/>
                <w:i/>
              </w:rPr>
              <w:t>европейските стартиращи</w:t>
            </w:r>
            <w:r>
              <w:t xml:space="preserve"> предприятия „еднорози“, които впоследствие бяха оценени на стойност</w:t>
            </w:r>
            <w:r>
              <w:rPr>
                <w:b/>
                <w:i/>
              </w:rPr>
              <w:t xml:space="preserve"> от или</w:t>
            </w:r>
            <w:r>
              <w:t xml:space="preserve"> над 1 милиарда щатски долара, са преместили седалището си в чужбина, главно в САЩ;</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79</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lastRenderedPageBreak/>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Е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Еа.</w:t>
            </w:r>
            <w:r>
              <w:tab/>
            </w:r>
            <w:r>
              <w:rPr>
                <w:b/>
                <w:i/>
              </w:rPr>
              <w:t>като има предвид, че алтернативните разходи от липсата на хармонизация на европейско равнище възлизат на 200 милиарда евро годишно, главно поради сложността и прекомерния обем на европейското законодателство; между 2019 г. и 2024 г. в Конгреса на САЩ бяха приети 3 500 законодателни текста и 2 000 резолюции, а на европейско равнище бяха приети 13 000 акта;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80</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Е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Еа.</w:t>
            </w:r>
            <w:r>
              <w:tab/>
            </w:r>
            <w:r>
              <w:rPr>
                <w:b/>
                <w:i/>
              </w:rPr>
              <w:t>като има предвид, че Европейската централна банка подчертава, че рисковете, свързани с климата, оказват въздействие върху макроикономическите показатели, като инфлацията, икономическия растеж, финансовата стабилност и трансмисионния механизъм на паричната политика, и че загубата на биологично разнообразие и влошаването на състоянието на природните екосистеми вероятно ще увеличат рисковете, свързани с климата;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lastRenderedPageBreak/>
        <w:t>&lt;Amend&gt;</w:t>
      </w:r>
      <w:r>
        <w:t>Изменение</w:t>
      </w:r>
      <w:r>
        <w:tab/>
      </w:r>
      <w:r>
        <w:tab/>
      </w:r>
      <w:r>
        <w:rPr>
          <w:rStyle w:val="HideTWBExt"/>
          <w:b w:val="0"/>
        </w:rPr>
        <w:t>&lt;NumAm&gt;</w:t>
      </w:r>
      <w:r>
        <w:t>81</w:t>
      </w:r>
      <w:r>
        <w:rPr>
          <w:rStyle w:val="HideTWBExt"/>
          <w:b w:val="0"/>
        </w:rPr>
        <w:t>&lt;/NumAm&gt;</w:t>
      </w:r>
    </w:p>
    <w:p w:rsidR="004855AE" w:rsidRPr="00C34506" w:rsidRDefault="004855AE" w:rsidP="004855AE">
      <w:pPr>
        <w:pStyle w:val="NormalBold"/>
      </w:pPr>
      <w:r>
        <w:rPr>
          <w:rStyle w:val="HideTWBExt"/>
          <w:b w:val="0"/>
        </w:rPr>
        <w:t>&lt;RepeatBlock-By&gt;&lt;Members&gt;</w:t>
      </w:r>
      <w:r>
        <w:t>Людовит Одор, Анук Ван Брюг, Били Келъхър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Ж.</w:t>
            </w:r>
            <w:r>
              <w:tab/>
              <w:t>като има предвид, че през 2021 г. разходите за научноизследователска и развойна дейност възлизат на 2,1 % от БВП в ЕС, но на 3,5 % в САЩ и на 2,4 % в Китай, докато Лисабонската стратегия от 2000 г. определя цел за разходи за научноизследователска и развойна дейност от 3 %;</w:t>
            </w:r>
          </w:p>
        </w:tc>
        <w:tc>
          <w:tcPr>
            <w:tcW w:w="4876" w:type="dxa"/>
            <w:tcBorders>
              <w:top w:val="nil"/>
              <w:left w:val="nil"/>
              <w:bottom w:val="nil"/>
              <w:right w:val="nil"/>
            </w:tcBorders>
          </w:tcPr>
          <w:p w:rsidR="004855AE" w:rsidRPr="00C34506" w:rsidRDefault="004855AE" w:rsidP="00061FA7">
            <w:pPr>
              <w:pStyle w:val="Normal6a"/>
            </w:pPr>
            <w:r>
              <w:t>Ж.</w:t>
            </w:r>
            <w:r>
              <w:tab/>
              <w:t xml:space="preserve">като има предвид, че през 2021 г. разходите за научноизследователска и развойна дейност възлизат на 2,1 % от БВП в ЕС, но на 3,5 % в САЩ и на 2,4 % в Китай, докато Лисабонската стратегия от 2000 г. определя цел за разходи за научноизследователска и развойна дейност от 3 %; </w:t>
            </w:r>
            <w:r>
              <w:rPr>
                <w:b/>
                <w:i/>
              </w:rPr>
              <w:t>като има предвид, че от всички разходи за НИРД в рамките на ЕС делът на частния сектор е възлизал на 66%, в сравнение със 78% в САЩ и 77,7% в Китай;</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82</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Жa.</w:t>
            </w:r>
            <w:r>
              <w:tab/>
            </w:r>
            <w:r>
              <w:rPr>
                <w:b/>
                <w:i/>
              </w:rPr>
              <w:t xml:space="preserve">като има предвид, че привличането на частни инвестиции е от решаващо значение за стимулирането на икономическия растеж, иновациите и създаването на работни места в цяла Европа и че това може да се постигне чрез прилагането на фискални стимули; като има предвид, че подобни стимули биха намалили зависимостта на Европа от публични ресурси, насърчавайки ефективното разпределение на капитала и давайки възможност за финансиране на ключови сектори като рисковия </w:t>
            </w:r>
            <w:r>
              <w:rPr>
                <w:b/>
                <w:i/>
              </w:rPr>
              <w:lastRenderedPageBreak/>
              <w:t>капитал, инфраструктурата и технологиите; като има предвид, че фискалните мерки следва да бъдат разработени така, че да зачитат правомощията на държавите членки в областта на данъчната политика, като се гарантира, че те запазват гъвкавостта си да адаптират данъчните си системи в съответствие със своите национални приоритети, като същевременно се насърчават конкурентни и еднакви условия на конкуренция в целия Съюз; като има предвид, че създаването на съгласувана рамка от фискални стимули на европейско равнище, която не подкопава суверенитета на държавите членки, ще даде възможност за по-динамична и устойчива икономика, подкрепяйки прехода към пазарно ориентирана икономика;</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83</w:t>
      </w:r>
      <w:r>
        <w:rPr>
          <w:rStyle w:val="HideTWBExt"/>
          <w:b w:val="0"/>
        </w:rPr>
        <w:t>&lt;/NumAm&gt;</w:t>
      </w:r>
    </w:p>
    <w:p w:rsidR="004855AE" w:rsidRPr="00C34506" w:rsidRDefault="004855AE" w:rsidP="004855AE">
      <w:pPr>
        <w:pStyle w:val="NormalBold"/>
      </w:pPr>
      <w:r>
        <w:rPr>
          <w:rStyle w:val="HideTWBExt"/>
          <w:b w:val="0"/>
        </w:rPr>
        <w:t>&lt;RepeatBlock-By&gt;&lt;Members&gt;</w:t>
      </w:r>
      <w:r>
        <w:t>Джовани Крозето, Доменико Денис Неши, Франческо Вентола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Жa.</w:t>
            </w:r>
            <w:r>
              <w:tab/>
            </w:r>
            <w:r>
              <w:rPr>
                <w:b/>
                <w:i/>
              </w:rPr>
              <w:t xml:space="preserve">като има предвид, че банките продължават да бъдат крайъгълен камък на финансовата система на ЕС и ключов канал за финансиране на реалната икономика; като има предвид, че добре калибрираната регулаторна рамка е от съществено значение за запазване на финансовата стабилност, но прекалено строгите изисквания могат да ограничат кредитирането и да намалят конкурентоспособността; като има предвид, че в няколко случая ЕС надхвърли международните </w:t>
            </w:r>
            <w:r>
              <w:rPr>
                <w:b/>
                <w:i/>
              </w:rPr>
              <w:lastRenderedPageBreak/>
              <w:t>стандарти от Базел, което доведе до сравнително по-голяма тежест за банките в ЕС по отношение на спазването на изискванията;</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84</w:t>
      </w:r>
      <w:r>
        <w:rPr>
          <w:rStyle w:val="HideTWBExt"/>
          <w:b w:val="0"/>
        </w:rPr>
        <w:t>&lt;/NumAm&gt;</w:t>
      </w:r>
    </w:p>
    <w:p w:rsidR="004855AE" w:rsidRPr="00C34506" w:rsidRDefault="004855AE" w:rsidP="004855AE">
      <w:pPr>
        <w:pStyle w:val="NormalBold"/>
      </w:pPr>
      <w:r>
        <w:rPr>
          <w:rStyle w:val="HideTWBExt"/>
          <w:b w:val="0"/>
        </w:rPr>
        <w:t>&lt;RepeatBlock-By&gt;&lt;Members&gt;</w:t>
      </w:r>
      <w:r>
        <w:t>Михалис Хаджипандела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Жa.</w:t>
            </w:r>
            <w:r>
              <w:tab/>
            </w:r>
            <w:r>
              <w:rPr>
                <w:b/>
                <w:i/>
              </w:rPr>
              <w:t xml:space="preserve">като има предвид, че според доклада на Драги позициите на Европа в модерните технологии, които ще стимулират бъдещия растеж, отслабват, като се подчертава, че само четири от 50-те най-големи технологични дружества в света са европейски, докато позицията на ЕС в световен мащаб в областта на технологиите се влошава, като има предвид, че от 2013 г. до 2023 г. делът на ЕС в приходите от технологии в световен мащаб е намалял от 22 % на 18 %, докато делът на САЩ се е увеличил от 30 % на 38 % </w:t>
            </w:r>
            <w:r>
              <w:rPr>
                <w:b/>
                <w:i/>
                <w:vertAlign w:val="superscript"/>
              </w:rPr>
              <w:t>1a</w:t>
            </w:r>
            <w:r>
              <w:rPr>
                <w:b/>
                <w:i/>
              </w:rPr>
              <w:t>;</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1a</w:t>
            </w:r>
            <w:r>
              <w:t xml:space="preserve"> </w:t>
            </w:r>
            <w:r>
              <w:rPr>
                <w:b/>
                <w:i/>
              </w:rPr>
              <w:t>Доклад на Драги: Стратегия за конкурентоспособност за Европа (Част A), стр. 14</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85</w:t>
      </w:r>
      <w:r>
        <w:rPr>
          <w:rStyle w:val="HideTWBExt"/>
          <w:b w:val="0"/>
        </w:rPr>
        <w:t>&lt;/NumAm&gt;</w:t>
      </w:r>
    </w:p>
    <w:p w:rsidR="004855AE" w:rsidRPr="00C34506" w:rsidRDefault="004855AE" w:rsidP="004855AE">
      <w:pPr>
        <w:pStyle w:val="NormalBold"/>
      </w:pPr>
      <w:r>
        <w:rPr>
          <w:rStyle w:val="HideTWBExt"/>
          <w:b w:val="0"/>
        </w:rPr>
        <w:t>&lt;RepeatBlock-By&gt;&lt;Members&gt;</w:t>
      </w:r>
      <w:r>
        <w:t>Людовит Одор, Анук Ван Брюг, Били Келъхър, Стефани Йон</w:t>
      </w:r>
      <w:r>
        <w:noBreakHyphen/>
        <w:t>Куртен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lastRenderedPageBreak/>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Жa.</w:t>
            </w:r>
            <w:r>
              <w:tab/>
            </w:r>
            <w:r>
              <w:rPr>
                <w:b/>
                <w:i/>
              </w:rPr>
              <w:t>като има предвид, че според МВФ оставащите нетарифни бариери, ограничаващи търговията в рамките на ЕС, се оценяват на равнище на митата от около 45 % за средния производствен сектор (три пъти повече от равнището, изчислено между отделните щати в САЩ) и на 110 % за средния сектор на услугите</w:t>
            </w:r>
            <w:r>
              <w:rPr>
                <w:b/>
                <w:i/>
                <w:vertAlign w:val="superscript"/>
              </w:rPr>
              <w:t>5a</w:t>
            </w:r>
            <w:r>
              <w:rPr>
                <w:b/>
                <w:i/>
              </w:rPr>
              <w:t>;</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5a</w:t>
            </w:r>
            <w:r>
              <w:t xml:space="preserve"> </w:t>
            </w:r>
            <w:r>
              <w:rPr>
                <w:b/>
                <w:i/>
              </w:rPr>
              <w:t>Международен валутен фонд, Регионални икономически перспективи - Европа, ноември 2024 г., ‘Europe’s Declining Productivity Growth: Diagnoses and Remedies’ („Намаляващият растеж на производителността в Европа: Диагнози и лечения“, https://www.elibrary.imf.org/supplemental/book/9798400287312/9798400287312.xml/REOEUREA2024002-S001_SOURCE_PDF.pdf</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86</w:t>
      </w:r>
      <w:r>
        <w:rPr>
          <w:rStyle w:val="HideTWBExt"/>
          <w:b w:val="0"/>
        </w:rPr>
        <w:t>&lt;/NumAm&gt;</w:t>
      </w:r>
    </w:p>
    <w:p w:rsidR="004855AE" w:rsidRPr="00C34506" w:rsidRDefault="004855AE" w:rsidP="004855AE">
      <w:pPr>
        <w:pStyle w:val="NormalBold"/>
      </w:pPr>
      <w:r>
        <w:rPr>
          <w:rStyle w:val="HideTWBExt"/>
          <w:b w:val="0"/>
        </w:rPr>
        <w:t>&lt;RepeatBlock-By&gt;&lt;Members&gt;</w:t>
      </w:r>
      <w:r>
        <w:t>Сирпа Пиетикяйнен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Жa.</w:t>
            </w:r>
            <w:r>
              <w:tab/>
            </w:r>
            <w:r>
              <w:rPr>
                <w:b/>
                <w:i/>
              </w:rPr>
              <w:t>като има предвид, че се очаква несмекченото изменение на климата да намали световния БВП средно с над 2 % до 2060 г., като някои региони са потенциално изправени пред загуби в размер до 6 % поради неблагоприятните последици за производителността на труда, селскостопанското производство, човешкото здраве и инфраструктурите</w:t>
            </w:r>
            <w:r>
              <w:rPr>
                <w:b/>
                <w:i/>
                <w:vertAlign w:val="superscript"/>
              </w:rPr>
              <w:t>1a</w:t>
            </w:r>
            <w:r>
              <w:rPr>
                <w:b/>
                <w:i/>
              </w:rPr>
              <w:t>;</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1a</w:t>
            </w:r>
            <w:r>
              <w:t xml:space="preserve"> </w:t>
            </w:r>
            <w:r>
              <w:rPr>
                <w:b/>
                <w:i/>
              </w:rPr>
              <w:t>The Economic Consequences of Climate Change („Икономическите последици от изменението на климата“, ОИРС, 2015 г., https://www.oecd.org/env/the-economic-consequences-of-climate-change-9789264235410-en.htm</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87</w:t>
      </w:r>
      <w:r>
        <w:rPr>
          <w:rStyle w:val="HideTWBExt"/>
          <w:b w:val="0"/>
        </w:rPr>
        <w:t>&lt;/NumAm&gt;</w:t>
      </w:r>
    </w:p>
    <w:p w:rsidR="004855AE" w:rsidRPr="00C34506" w:rsidRDefault="004855AE" w:rsidP="004855AE">
      <w:pPr>
        <w:pStyle w:val="NormalBold"/>
      </w:pPr>
      <w:r>
        <w:rPr>
          <w:rStyle w:val="HideTWBExt"/>
          <w:b w:val="0"/>
        </w:rPr>
        <w:t>&lt;RepeatBlock-By&gt;&lt;Members&gt;</w:t>
      </w:r>
      <w:r>
        <w:t>Лидия Перейра,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Жa.</w:t>
            </w:r>
            <w:r>
              <w:tab/>
            </w:r>
            <w:r>
              <w:rPr>
                <w:b/>
                <w:i/>
              </w:rPr>
              <w:t>като има предвид, че ЕС е изправен пред положение на изтичане на капитали към Съединените американски щати, като всяка година към капиталовите пазари в САЩ се прехвърлят около 300 милиарда евро от спестяванията на европейците; като има предвид, че е спешно да се стимулират европейските домакинства да спестяват и инвестират в Европа;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88</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Жa.</w:t>
            </w:r>
            <w:r>
              <w:tab/>
            </w:r>
            <w:r>
              <w:rPr>
                <w:b/>
                <w:i/>
              </w:rPr>
              <w:t xml:space="preserve">като има предвид, че понастоящем над 80 % от европейските цифрови технологии се внасят от трети държави, което </w:t>
            </w:r>
            <w:r>
              <w:rPr>
                <w:b/>
                <w:i/>
              </w:rPr>
              <w:lastRenderedPageBreak/>
              <w:t>води до системна уязвимост и възпрепятства конкурентоспособността и потенциала за иновации на Европа;</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89</w:t>
      </w:r>
      <w:r>
        <w:rPr>
          <w:rStyle w:val="HideTWBExt"/>
          <w:b w:val="0"/>
        </w:rPr>
        <w:t>&lt;/NumAm&gt;</w:t>
      </w:r>
    </w:p>
    <w:p w:rsidR="004855AE" w:rsidRPr="00C34506" w:rsidRDefault="004855AE" w:rsidP="004855AE">
      <w:pPr>
        <w:pStyle w:val="NormalBold"/>
      </w:pPr>
      <w:r>
        <w:rPr>
          <w:rStyle w:val="HideTWBExt"/>
          <w:b w:val="0"/>
        </w:rPr>
        <w:t>&lt;RepeatBlock-By&gt;&lt;Members&gt;</w:t>
      </w:r>
      <w:r>
        <w:t>Фабио Де Мази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Жa.</w:t>
            </w:r>
            <w:r>
              <w:tab/>
            </w:r>
            <w:r>
              <w:rPr>
                <w:b/>
                <w:i/>
              </w:rPr>
              <w:t>като има предвид, че проучването на ЕЦБ относно банковото кредитиране в еврозоната (януари 2025 г.) и докладът на SAFE (ноември 2024 г.) определят липсата на търсене на заеми като основната пречка пред по-високия растеж на кредитите;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90</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Рене Репази, Евелин Регнер, Нилс Фулсанг, Клер Фита,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Жa.</w:t>
            </w:r>
            <w:r>
              <w:tab/>
            </w:r>
            <w:r>
              <w:rPr>
                <w:b/>
                <w:i/>
              </w:rPr>
              <w:t>като има предвид, че сред докладваните пречки на единния пазар 17% от МСП изтъкнаха ДДС, 12% – достъпа до пазара, 10 % – финансирането и 6 % – пазарните изисквания</w:t>
            </w:r>
            <w:r>
              <w:rPr>
                <w:b/>
                <w:i/>
                <w:vertAlign w:val="superscript"/>
              </w:rPr>
              <w:t>1a</w:t>
            </w:r>
            <w:r>
              <w:rPr>
                <w:b/>
                <w:i/>
              </w:rPr>
              <w:t>;</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1a</w:t>
            </w:r>
            <w:r>
              <w:t xml:space="preserve"> </w:t>
            </w:r>
            <w:r>
              <w:rPr>
                <w:b/>
                <w:i/>
              </w:rPr>
              <w:t xml:space="preserve">Годишен доклад за единния пазар и </w:t>
            </w:r>
            <w:r>
              <w:rPr>
                <w:b/>
                <w:i/>
              </w:rPr>
              <w:lastRenderedPageBreak/>
              <w:t>конкурентоспособността за 2025 г., COM(2025) 26 final</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lang w:eastAsia="en-GB"/>
        </w:rPr>
        <w:t>&lt;Amend&gt;</w:t>
      </w:r>
      <w:r>
        <w:t>Изменение</w:t>
      </w:r>
      <w:r>
        <w:tab/>
      </w:r>
      <w:r>
        <w:tab/>
      </w:r>
      <w:r>
        <w:rPr>
          <w:rStyle w:val="HideTWBExt"/>
          <w:b w:val="0"/>
          <w:lang w:eastAsia="en-GB"/>
        </w:rPr>
        <w:t>&lt;NumAm&gt;</w:t>
      </w:r>
      <w:r>
        <w:t>91</w:t>
      </w:r>
      <w:r>
        <w:rPr>
          <w:rStyle w:val="HideTWBExt"/>
          <w:b w:val="0"/>
          <w:lang w:eastAsia="en-GB"/>
        </w:rPr>
        <w:t>&lt;/NumAm&gt;</w:t>
      </w:r>
    </w:p>
    <w:p w:rsidR="004855AE" w:rsidRPr="00C34506" w:rsidRDefault="004855AE" w:rsidP="004855AE">
      <w:pPr>
        <w:pStyle w:val="NormalBold"/>
      </w:pPr>
      <w:r>
        <w:rPr>
          <w:rStyle w:val="HideTWBExt"/>
          <w:b w:val="0"/>
          <w:lang w:eastAsia="en-GB"/>
        </w:rPr>
        <w:t>&lt;RepeatBlock-By&gt;&lt;Members&gt;</w:t>
      </w:r>
      <w:r>
        <w:t>Кристоф Гомар</w:t>
      </w:r>
      <w:r>
        <w:rPr>
          <w:rStyle w:val="HideTWBExt"/>
          <w:b w:val="0"/>
          <w:lang w:eastAsia="en-GB"/>
        </w:rPr>
        <w:t>&lt;/Members&gt;</w:t>
      </w:r>
    </w:p>
    <w:p w:rsidR="004855AE" w:rsidRPr="00C34506" w:rsidRDefault="004855AE" w:rsidP="004855AE">
      <w:pPr>
        <w:pStyle w:val="NormalBold"/>
      </w:pPr>
      <w:r>
        <w:rPr>
          <w:rStyle w:val="HideTWBExt"/>
          <w:b w:val="0"/>
          <w:lang w:eastAsia="en-GB"/>
        </w:rPr>
        <w:t>&lt;/RepeatBlock-By&gt;</w:t>
      </w:r>
    </w:p>
    <w:p w:rsidR="004855AE" w:rsidRPr="00C34506" w:rsidRDefault="004855AE" w:rsidP="004855AE">
      <w:pPr>
        <w:pStyle w:val="NormalBold"/>
      </w:pPr>
      <w:r>
        <w:rPr>
          <w:rStyle w:val="HideTWBExt"/>
          <w:b w:val="0"/>
          <w:lang w:eastAsia="en-GB"/>
        </w:rPr>
        <w:t>&lt;DocAmend&gt;</w:t>
      </w:r>
      <w:r>
        <w:t>Предложение за резолюция</w:t>
      </w:r>
      <w:r>
        <w:rPr>
          <w:rStyle w:val="HideTWBExt"/>
          <w:b w:val="0"/>
          <w:lang w:eastAsia="en-GB"/>
        </w:rPr>
        <w:t>&lt;/DocAmend&gt;</w:t>
      </w:r>
    </w:p>
    <w:p w:rsidR="004855AE" w:rsidRPr="00C34506" w:rsidRDefault="004855AE" w:rsidP="004855AE">
      <w:pPr>
        <w:pStyle w:val="NormalBold"/>
      </w:pPr>
      <w:r>
        <w:rPr>
          <w:rStyle w:val="HideTWBExt"/>
          <w:b w:val="0"/>
          <w:lang w:eastAsia="en-GB"/>
        </w:rPr>
        <w:t>&lt;Article&gt;</w:t>
      </w:r>
      <w:r>
        <w:t>Съображение Ж a (ново)</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Жa.</w:t>
            </w:r>
            <w:r>
              <w:tab/>
            </w:r>
            <w:r>
              <w:rPr>
                <w:b/>
                <w:i/>
              </w:rPr>
              <w:t xml:space="preserve">като има предвид, че според проучване на Европейската комисия от 19 юли 2023 г. едва 18 % от европейците притежават високо равнище на финансова грамотност; </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{FR}</w:t>
      </w:r>
      <w:r w:rsidRPr="00C34506">
        <w:t>fr</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92</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Жa.</w:t>
            </w:r>
            <w:r>
              <w:tab/>
            </w:r>
            <w:r>
              <w:rPr>
                <w:b/>
                <w:i/>
              </w:rPr>
              <w:t>посочва, че Европейската комисия публикува първия си „План за действие за изграждане на съюз на капиталовите пазари“ през септември 2015 г.;</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93</w:t>
      </w:r>
      <w:r>
        <w:rPr>
          <w:rStyle w:val="HideTWBExt"/>
          <w:b w:val="0"/>
        </w:rPr>
        <w:t>&lt;/NumAm&gt;</w:t>
      </w:r>
    </w:p>
    <w:p w:rsidR="004855AE" w:rsidRPr="00C34506" w:rsidRDefault="004855AE" w:rsidP="004855AE">
      <w:pPr>
        <w:pStyle w:val="NormalBold"/>
      </w:pPr>
      <w:r>
        <w:rPr>
          <w:rStyle w:val="HideTWBExt"/>
          <w:b w:val="0"/>
        </w:rPr>
        <w:t>&lt;RepeatBlock-By&gt;&lt;Members&gt;</w:t>
      </w:r>
      <w:r>
        <w:t>Томас Баяда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a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lastRenderedPageBreak/>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Жa.</w:t>
            </w:r>
            <w:r>
              <w:tab/>
            </w:r>
            <w:r>
              <w:rPr>
                <w:b/>
                <w:i/>
              </w:rPr>
              <w:t>като има предвид, че проучването на Евробарометър от юли 2023 г. показва, че едва 18 % от гражданите на ЕС притежават високо равнище на финансова грамотност;</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94</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б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Жб.</w:t>
            </w:r>
            <w:r>
              <w:tab/>
            </w:r>
            <w:r>
              <w:rPr>
                <w:b/>
                <w:i/>
              </w:rPr>
              <w:t xml:space="preserve">като има предвид, че продължаващите търговски войни и тарифни спорове причиняват значителна несигурност на световните пазари, като засягат по-специално трансграничните инвестиции и нарушават установените вериги на доставки; като има предвид, че налагането на мита и търговски бариери подкопава принципите на свободна търговия и конкурентни пазари, които са от съществено значение за гладкото функциониране на частните капиталови пазари; като има предвид, че такова геополитическо напрежение създава допълнителни рискове за инвеститорите, като намалява доверието и възпрепятства потока от частен капитал през границите, което е от решаващо значение за финансирането на иновациите, стартиращите предприятия и бързо разрастващите се дружества; като има предвид, че нестабилността, причинена от тези търговски конфликти, рискува да забави развитието на Съюза на </w:t>
            </w:r>
            <w:r>
              <w:rPr>
                <w:b/>
                <w:i/>
              </w:rPr>
              <w:lastRenderedPageBreak/>
              <w:t>капиталовите пазари, като възпира инвестициите на европейския пазар, особено във високорискови сектори, които разчитат в голяма степен на световните търговски мрежи;</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95</w:t>
      </w:r>
      <w:r>
        <w:rPr>
          <w:rStyle w:val="HideTWBExt"/>
          <w:b w:val="0"/>
        </w:rPr>
        <w:t>&lt;/NumAm&gt;</w:t>
      </w:r>
    </w:p>
    <w:p w:rsidR="004855AE" w:rsidRPr="00C34506" w:rsidRDefault="004855AE" w:rsidP="004855AE">
      <w:pPr>
        <w:pStyle w:val="NormalBold"/>
      </w:pPr>
      <w:r>
        <w:rPr>
          <w:rStyle w:val="HideTWBExt"/>
          <w:b w:val="0"/>
        </w:rPr>
        <w:t>&lt;RepeatBlock-By&gt;&lt;Members&gt;</w:t>
      </w:r>
      <w:r>
        <w:t>Джовани Крозето, Доменико Денис Неши, Франческо Вентола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б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Жб.</w:t>
            </w:r>
            <w:r>
              <w:tab/>
            </w:r>
            <w:r>
              <w:rPr>
                <w:b/>
                <w:i/>
              </w:rPr>
              <w:t>като има предвид, че застрахователите играят основна роля за постигането на целите на съюза на капиталовите пазари, като осигуряват защита срещу рисковете за гражданите и предприятията, подкрепят пенсионните спестявания и действат като основни дългосрочни инвеститори в икономиката на ЕС;</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96</w:t>
      </w:r>
      <w:r>
        <w:rPr>
          <w:rStyle w:val="HideTWBExt"/>
          <w:b w:val="0"/>
        </w:rPr>
        <w:t>&lt;/NumAm&gt;</w:t>
      </w:r>
    </w:p>
    <w:p w:rsidR="004855AE" w:rsidRPr="00C34506" w:rsidRDefault="004855AE" w:rsidP="004855AE">
      <w:pPr>
        <w:pStyle w:val="NormalBold"/>
      </w:pPr>
      <w:r>
        <w:rPr>
          <w:rStyle w:val="HideTWBExt"/>
          <w:b w:val="0"/>
        </w:rPr>
        <w:t>&lt;RepeatBlock-By&gt;&lt;Members&gt;</w:t>
      </w:r>
      <w:r>
        <w:t>Михалис Хаджипандела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б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Жб.</w:t>
            </w:r>
            <w:r>
              <w:tab/>
            </w:r>
            <w:r>
              <w:rPr>
                <w:b/>
                <w:i/>
              </w:rPr>
              <w:t>като има предвид, че намаляването на финансовите ограничения би подпомогнало развитието на иновативни, новоосновани и малки дружества</w:t>
            </w:r>
            <w:r>
              <w:rPr>
                <w:b/>
                <w:i/>
                <w:vertAlign w:val="superscript"/>
              </w:rPr>
              <w:t>1а</w:t>
            </w:r>
            <w:r>
              <w:rPr>
                <w:b/>
                <w:i/>
              </w:rPr>
              <w:t>; като има предвид, че в доклада на Драги се подчертава, че прекомерното избягване на риска възпрепятства растежа;</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1a</w:t>
            </w:r>
            <w:r>
              <w:t xml:space="preserve"> </w:t>
            </w:r>
            <w:r>
              <w:rPr>
                <w:b/>
                <w:i/>
              </w:rPr>
              <w:t>Европейска централна банка, European competitiveness: the role of institutions and the case for structural reforms („Европейската конкурентоспособност: ролята на институциите и аргументът за структурни реформи“), https://www.ecb.europa.eu/press/economic-bulletin/articles/2025/html/ecb.ebart202501_01~fd1781599d.en.html</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97</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Еро Хейнелуома, Евелин Регнер, Нилс Фулсанг, Клер Фита, Карла Тавареш,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б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Жб.</w:t>
            </w:r>
            <w:r>
              <w:tab/>
            </w:r>
            <w:r>
              <w:rPr>
                <w:b/>
                <w:i/>
              </w:rPr>
              <w:t xml:space="preserve">като има предвид, че вътрешните бариери пред единния пазар са еквивалентни на мито от над 100 % само за финансовите услуги </w:t>
            </w:r>
            <w:r>
              <w:rPr>
                <w:b/>
                <w:i/>
                <w:vertAlign w:val="superscript"/>
              </w:rPr>
              <w:t>1a</w:t>
            </w:r>
            <w:r>
              <w:rPr>
                <w:b/>
                <w:i/>
              </w:rPr>
              <w:t>;</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1a</w:t>
            </w:r>
            <w:r>
              <w:t xml:space="preserve"> </w:t>
            </w:r>
            <w:r>
              <w:rPr>
                <w:b/>
                <w:i/>
              </w:rPr>
              <w:t xml:space="preserve"> МВФ, Регионални икономически перспективи, Europe’s Declining Productivity Growth: Diagnoses and Remedies („Намаляващият растеж на производителността в Европа: Диагнози и лечения“, стр. 19</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98</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lastRenderedPageBreak/>
        <w:t>&lt;Members&gt;</w:t>
      </w:r>
      <w:r>
        <w:t>Хонас Фернандес, Рене Репази, Евелин Регнер, Нилс Фулсанг, Клер Фита, Карла Тавареш,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в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Жв.</w:t>
            </w:r>
            <w:r>
              <w:tab/>
            </w:r>
            <w:r>
              <w:rPr>
                <w:b/>
                <w:i/>
              </w:rPr>
              <w:t>като има предвид, че към март 2023 г. в ЕС имаше 295 места за търговия, 14 централни контрагенти (ЦК) и 32 централни депозитари на ценни книжа (ЦДЦК); като има предвид, че 56—68 % от търговията на място през 2023 г. е извършена на вътрешния пазар за петте основни западноевропейски капиталови индекса (AEX 25, CAC 40, DAX 40, IBEX 35 и MIB 40)</w:t>
            </w:r>
            <w:r>
              <w:rPr>
                <w:b/>
                <w:i/>
                <w:vertAlign w:val="superscript"/>
              </w:rPr>
              <w:t>1a</w:t>
            </w:r>
            <w:r>
              <w:rPr>
                <w:b/>
                <w:i/>
              </w:rPr>
              <w:t>;</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1a</w:t>
            </w:r>
            <w:r>
              <w:t xml:space="preserve"> </w:t>
            </w:r>
            <w:r>
              <w:rPr>
                <w:b/>
                <w:i/>
              </w:rPr>
              <w:t>ECB Поредица тематични документи на ЕЦБ, № 369</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99</w:t>
      </w:r>
      <w:r>
        <w:rPr>
          <w:rStyle w:val="HideTWBExt"/>
          <w:b w:val="0"/>
        </w:rPr>
        <w:t>&lt;/NumAm&gt;</w:t>
      </w:r>
    </w:p>
    <w:p w:rsidR="004855AE" w:rsidRPr="00C34506" w:rsidRDefault="004855AE" w:rsidP="004855AE">
      <w:pPr>
        <w:pStyle w:val="NormalBold"/>
      </w:pPr>
      <w:r>
        <w:rPr>
          <w:rStyle w:val="HideTWBExt"/>
          <w:b w:val="0"/>
        </w:rPr>
        <w:t>&lt;RepeatBlock-By&gt;&lt;Members&gt;</w:t>
      </w:r>
      <w:r>
        <w:t>Джовани Крозето, Доменико Денис Неши, Франческо Вентола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в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Жв.</w:t>
            </w:r>
            <w:r>
              <w:tab/>
            </w:r>
            <w:r>
              <w:rPr>
                <w:b/>
                <w:i/>
              </w:rPr>
              <w:t>като има предвид, че европейските капиталови пазари са силно фрагментирани, при което в рамките на континента функционират значителен брой места за търговия;</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100</w:t>
      </w:r>
      <w:r>
        <w:rPr>
          <w:rStyle w:val="HideTWBExt"/>
          <w:b w:val="0"/>
        </w:rPr>
        <w:t>&lt;/NumAm&gt;</w:t>
      </w:r>
    </w:p>
    <w:p w:rsidR="004855AE" w:rsidRPr="00C34506" w:rsidRDefault="004855AE" w:rsidP="004855AE">
      <w:pPr>
        <w:pStyle w:val="NormalBold"/>
      </w:pPr>
      <w:r>
        <w:rPr>
          <w:rStyle w:val="HideTWBExt"/>
          <w:b w:val="0"/>
        </w:rPr>
        <w:t>&lt;RepeatBlock-By&gt;&lt;Members&gt;</w:t>
      </w:r>
      <w:r>
        <w:t>Джовани Крозето, Доменико Денис Неши, Франческо Вентола</w:t>
      </w:r>
      <w:r>
        <w:rPr>
          <w:rStyle w:val="HideTWBExt"/>
          <w:b w:val="0"/>
        </w:rPr>
        <w:t>&lt;/Members&gt;</w:t>
      </w:r>
    </w:p>
    <w:p w:rsidR="004855AE" w:rsidRPr="00C34506" w:rsidRDefault="004855AE" w:rsidP="004855AE">
      <w:pPr>
        <w:pStyle w:val="NormalBold"/>
      </w:pPr>
      <w:r>
        <w:rPr>
          <w:rStyle w:val="HideTWBExt"/>
          <w:b w:val="0"/>
        </w:rPr>
        <w:lastRenderedPageBreak/>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г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Жг.</w:t>
            </w:r>
            <w:r>
              <w:tab/>
            </w:r>
            <w:r>
              <w:rPr>
                <w:b/>
                <w:i/>
              </w:rPr>
              <w:t>като има предвид, че капиталовото финансиране има значителен неизползван потенциал за подкрепа на растежа и иновациите на дружествата от ЕС; като има предвид, че банките понастоящем представляват по-малко от 5 % от частните капиталови инвестиции, отчасти поради пруденциалното третиране на дяловите участия в предприятия съгласно Регламента за капиталовите изисквания и рамката Базел III;</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101</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Евелин Регнер, Нилс Фулсанг, Клер Фита, Карла Тавареш,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г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Жг.</w:t>
            </w:r>
            <w:r>
              <w:tab/>
            </w:r>
            <w:r>
              <w:rPr>
                <w:b/>
                <w:i/>
              </w:rPr>
              <w:t>като има предвид, че данъчните режими и режимите на несъстоятелност в държавите членки остават в значителна степен несъгласувани;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102</w:t>
      </w:r>
      <w:r>
        <w:rPr>
          <w:rStyle w:val="HideTWBExt"/>
          <w:b w:val="0"/>
        </w:rPr>
        <w:t>&lt;/NumAm&gt;</w:t>
      </w:r>
    </w:p>
    <w:p w:rsidR="004855AE" w:rsidRPr="00C34506" w:rsidRDefault="004855AE" w:rsidP="004855AE">
      <w:pPr>
        <w:pStyle w:val="NormalBold"/>
      </w:pPr>
      <w:r>
        <w:rPr>
          <w:rStyle w:val="HideTWBExt"/>
          <w:b w:val="0"/>
        </w:rPr>
        <w:t>&lt;RepeatBlock-By&gt;&lt;Members&gt;</w:t>
      </w:r>
      <w:r>
        <w:t>Джовани Крозето, Доменико Денис Неши, Франческо Вентола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lastRenderedPageBreak/>
        <w:t>&lt;Article&gt;</w:t>
      </w:r>
      <w:r>
        <w:t>Съображение Ж д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Жд.</w:t>
            </w:r>
            <w:r>
              <w:tab/>
            </w:r>
            <w:r>
              <w:rPr>
                <w:b/>
                <w:i/>
              </w:rPr>
              <w:t>като има предвид, че спестяванията ще бъдат инвестирани в Съюза само ако европейската икономика предлага достатъчно привлекателни и печеливши възможности; като има предвид, че успехът на Съюза на спестяванията и инвестициите зависи от значителното подобряване на конкурентоспособността на Съюза и цялостната икономическа привлекателност;</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103</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Евелин Регнер, Нилс Фулсанг, Клер Фита, Карла Тавареш,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д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Жд.</w:t>
            </w:r>
            <w:r>
              <w:tab/>
            </w:r>
            <w:r>
              <w:rPr>
                <w:b/>
                <w:i/>
              </w:rPr>
              <w:t>като има предвид, че според доклада на Драги гражданите на ЕС следва да могат да инвестират в цяла Европа без сложно данъчно облагане и че данъчното облагане, свързано с капиталови инвестиции, следва да бъде синхронизирано във възможно най-голяма степен, за да се намали разпокъсаността по отношение на стимулите</w:t>
            </w:r>
            <w:r>
              <w:rPr>
                <w:b/>
                <w:i/>
                <w:vertAlign w:val="superscript"/>
              </w:rPr>
              <w:t>1a</w:t>
            </w:r>
            <w:r>
              <w:rPr>
                <w:b/>
                <w:i/>
              </w:rPr>
              <w:t>;</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1a</w:t>
            </w:r>
            <w:r>
              <w:t xml:space="preserve"> </w:t>
            </w:r>
            <w:r>
              <w:rPr>
                <w:b/>
                <w:i/>
              </w:rPr>
              <w:t xml:space="preserve">Марио Драги “The Future of European Competitiveness”, („Бъдещето на европейската конкурентоспособност“, част Б , Задълбочен анализ и препоръки, </w:t>
            </w:r>
            <w:r>
              <w:rPr>
                <w:b/>
                <w:i/>
              </w:rPr>
              <w:lastRenderedPageBreak/>
              <w:t>септември 2024 г., стр. 293</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104</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Евелин Регнер, Нилс Фулсанг, Клер Фита, Карла Тавареш,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е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Же.</w:t>
            </w:r>
            <w:r>
              <w:tab/>
            </w:r>
            <w:r>
              <w:rPr>
                <w:b/>
                <w:i/>
              </w:rPr>
              <w:t>като има предвид, че според доклада Лета разпокъсаността на данъчното облагане продължава да бъде основна пречка за предприятията от ЕС, и по-специално за МСП, и че по-доброто привеждане в съответствие чрез хармонизирана данъчна рамка на ЕС е от ключово значение за улесняване на свободното движение на работници, стоки и услуги и за подпомагане на растежа и частните инвестиции</w:t>
            </w:r>
            <w:r>
              <w:rPr>
                <w:b/>
                <w:i/>
                <w:vertAlign w:val="superscript"/>
              </w:rPr>
              <w:t>1a</w:t>
            </w:r>
            <w:r>
              <w:rPr>
                <w:b/>
                <w:i/>
              </w:rPr>
              <w:t>;</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1a</w:t>
            </w:r>
            <w:r>
              <w:t xml:space="preserve"> </w:t>
            </w:r>
            <w:r>
              <w:rPr>
                <w:b/>
                <w:i/>
              </w:rPr>
              <w:t>Енрико Лета, „Much more than a market, Speed, Security, Solidarity Empowering the Single Market to deliver a sustainable future and prosperity for all EU Citizens“ („Нещо много повече от пазар – Бързина, сигурност, солидарност – Създаване възможности на единния пазар за постигане на устойчиво бъдеще и просперитет за всички граждани на ЕС“), април 2024 г., стр. 91—111.</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105</w:t>
      </w:r>
      <w:r>
        <w:rPr>
          <w:rStyle w:val="HideTWBExt"/>
          <w:b w:val="0"/>
        </w:rPr>
        <w:t>&lt;/NumAm&gt;</w:t>
      </w:r>
    </w:p>
    <w:p w:rsidR="004855AE" w:rsidRPr="00C34506" w:rsidRDefault="004855AE" w:rsidP="004855AE">
      <w:pPr>
        <w:pStyle w:val="NormalBold"/>
      </w:pPr>
      <w:r>
        <w:rPr>
          <w:rStyle w:val="HideTWBExt"/>
          <w:b w:val="0"/>
        </w:rPr>
        <w:t>&lt;RepeatBlock-By&gt;&lt;Members&gt;</w:t>
      </w:r>
      <w:r>
        <w:t>Джовани Крозето, Доменико Денис Неши, Франческо Вентола</w:t>
      </w:r>
      <w:r>
        <w:rPr>
          <w:rStyle w:val="HideTWBExt"/>
          <w:b w:val="0"/>
        </w:rPr>
        <w:t>&lt;/Members&gt;</w:t>
      </w:r>
    </w:p>
    <w:p w:rsidR="004855AE" w:rsidRPr="00C34506" w:rsidRDefault="004855AE" w:rsidP="004855AE">
      <w:pPr>
        <w:pStyle w:val="NormalBold"/>
      </w:pPr>
      <w:r>
        <w:rPr>
          <w:rStyle w:val="HideTWBExt"/>
          <w:b w:val="0"/>
        </w:rPr>
        <w:lastRenderedPageBreak/>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е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Же.</w:t>
            </w:r>
            <w:r>
              <w:tab/>
            </w:r>
            <w:r>
              <w:rPr>
                <w:b/>
                <w:i/>
              </w:rPr>
              <w:t>като има предвид, че оттеглянето на Обединеното кралство от Европейския съюз доведе до загуба на значителен дял от капиталовия пазар на Съюза, като същевременно създаде близък конкурент с добре развита финансова инфраструктура и дълбоки резерви от ликвидност;</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106</w:t>
      </w:r>
      <w:r>
        <w:rPr>
          <w:rStyle w:val="HideTWBExt"/>
          <w:b w:val="0"/>
        </w:rPr>
        <w:t>&lt;/NumAm&gt;</w:t>
      </w:r>
    </w:p>
    <w:p w:rsidR="004855AE" w:rsidRPr="00C34506" w:rsidRDefault="004855AE" w:rsidP="004855AE">
      <w:pPr>
        <w:pStyle w:val="NormalBold"/>
      </w:pPr>
      <w:r>
        <w:rPr>
          <w:rStyle w:val="HideTWBExt"/>
          <w:b w:val="0"/>
        </w:rPr>
        <w:t>&lt;RepeatBlock-By&gt;&lt;Members&gt;</w:t>
      </w:r>
      <w:r>
        <w:t>Джовани Крозето, Доменико Денис Неши, Франческо Вентола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ж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Жж.</w:t>
            </w:r>
            <w:r>
              <w:tab/>
            </w:r>
            <w:r>
              <w:rPr>
                <w:b/>
                <w:i/>
              </w:rPr>
              <w:t>като има предвид, че интеграцията на капиталовите пазари, макар и необходима, сама по себе си не е достатъчна за постигане на целевото увеличение на инвестициите; подобрената ефективност на капиталовите пазари следва да се допълва от подходящи фискални стимули и целенасочени публични инвестиции;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107</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Евелин Регнер, Нилс Фулсанг, Клер Фита, Карла Тавареш, Томас Баяда,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lastRenderedPageBreak/>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ж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Жж.</w:t>
            </w:r>
            <w:r>
              <w:tab/>
            </w:r>
            <w:r>
              <w:rPr>
                <w:b/>
                <w:i/>
              </w:rPr>
              <w:t>като има предвид, че липсата на възможности за оттегляне на инвеститорите е ключов фактор за недостатъчното развитие на фондовете за рисков капитал и капитал за растеж в ЕС, като има предвид, че ЕС разчита прекомерно на банково финансиране</w:t>
            </w:r>
            <w:r>
              <w:rPr>
                <w:b/>
                <w:i/>
                <w:vertAlign w:val="superscript"/>
              </w:rPr>
              <w:t>1a</w:t>
            </w:r>
            <w:r>
              <w:rPr>
                <w:b/>
                <w:i/>
              </w:rPr>
              <w:t>;</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1a</w:t>
            </w:r>
            <w:r>
              <w:t xml:space="preserve"> </w:t>
            </w:r>
            <w:r>
              <w:rPr>
                <w:b/>
                <w:i/>
              </w:rPr>
              <w:t>Банковите заеми представляваха 50,43 % от финансирането на нефинансови предприятия (ESTAT, ЕЦБ, ГД „Финансова стабилност, финансови услуги и съюз на капиталовите пазари“, изчисления от 2023 г.), Съобщение относно Европейския съюз на спестяванията и инвестициите, Покана за предоставяне на данни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108</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Еро Хейнелуома, Евелин Регнер, Нилс Фулсанг, Клер Фита, Карла Тавареш,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з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Жз.</w:t>
            </w:r>
            <w:r>
              <w:tab/>
            </w:r>
            <w:r>
              <w:rPr>
                <w:b/>
                <w:i/>
              </w:rPr>
              <w:t>като има предвид, че 84 %</w:t>
            </w:r>
            <w:r>
              <w:rPr>
                <w:b/>
                <w:i/>
                <w:vertAlign w:val="superscript"/>
              </w:rPr>
              <w:t>1a</w:t>
            </w:r>
            <w:r>
              <w:rPr>
                <w:b/>
                <w:i/>
              </w:rPr>
              <w:t xml:space="preserve"> от общите европейски секюритизации се държат от банките и не бяха продадени на инвеститори; като има предвид, че 80 % от емисиите на секюритизации са съсредоточени в четири държави членки; като има предвид, че пазарът за емисии на </w:t>
            </w:r>
            <w:r>
              <w:rPr>
                <w:b/>
                <w:i/>
              </w:rPr>
              <w:lastRenderedPageBreak/>
              <w:t>секюритизации е силно концентриран сред участниците на пазара</w:t>
            </w:r>
            <w:r>
              <w:rPr>
                <w:b/>
                <w:i/>
                <w:vertAlign w:val="superscript"/>
              </w:rPr>
              <w:t>1б</w:t>
            </w:r>
            <w:r>
              <w:rPr>
                <w:b/>
                <w:i/>
              </w:rPr>
              <w:t>;</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1а</w:t>
            </w:r>
            <w:r>
              <w:t xml:space="preserve"> </w:t>
            </w:r>
            <w:r>
              <w:rPr>
                <w:b/>
                <w:i/>
              </w:rPr>
              <w:t>Monitoring systemic risks in the EU securitisation market („Наблюдение на системните рискове на пазара на секюритизации в ЕС“, Европейски съвет за системен риск, юли 202 г.</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1б</w:t>
            </w:r>
            <w:r>
              <w:t xml:space="preserve"> </w:t>
            </w:r>
            <w:r>
              <w:rPr>
                <w:b/>
                <w:i/>
              </w:rPr>
              <w:t>Според Европейския съвет за системен риск (ЕССР) „Наблюдение на системните рискове на пазара на секюритизации в ЕС“ (юли 2022 г.) в най-големия сегмент на пазара на ЕС, RMBS, десет банки представляват две трети от общите емисии.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109</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Евелин Регнер, Нилс Фулсанг, Клер Фита, Карла Тавареш,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и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Жи.</w:t>
            </w:r>
            <w:r>
              <w:tab/>
            </w:r>
            <w:r>
              <w:rPr>
                <w:b/>
                <w:i/>
              </w:rPr>
              <w:t>като има предвид, че Механизмът за възстановяване и устойчивост (МВУ) би могъл да допринесе за кумулативно увеличение на БВП на Европейския съюз с между 0,4 и 0,9 процентни пункта до 2026 г., а в конкретните случаи на Италия и Испания — с между 1,2 и 1,9 процентни пункта</w:t>
            </w:r>
            <w:r>
              <w:rPr>
                <w:b/>
                <w:i/>
                <w:vertAlign w:val="superscript"/>
              </w:rPr>
              <w:t>1a</w:t>
            </w:r>
            <w:r>
              <w:rPr>
                <w:b/>
                <w:i/>
              </w:rPr>
              <w:t>;</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1a</w:t>
            </w:r>
            <w:r>
              <w:t xml:space="preserve"> </w:t>
            </w:r>
            <w:r>
              <w:rPr>
                <w:b/>
                <w:i/>
              </w:rPr>
              <w:t>ECB Поредица тематични документи на ЕЦБ, № 362</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lastRenderedPageBreak/>
        <w:t>&lt;Amend&gt;</w:t>
      </w:r>
      <w:r>
        <w:t>Изменение</w:t>
      </w:r>
      <w:r>
        <w:tab/>
      </w:r>
      <w:r>
        <w:tab/>
      </w:r>
      <w:r>
        <w:rPr>
          <w:rStyle w:val="HideTWBExt"/>
          <w:b w:val="0"/>
        </w:rPr>
        <w:t>&lt;NumAm&gt;</w:t>
      </w:r>
      <w:r>
        <w:t>110</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Евелин Регнер, Нилс Фулсанг, Клер Фита, Карла Тавареш, Томас Баяда,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й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Жй.</w:t>
            </w:r>
            <w:r>
              <w:tab/>
            </w:r>
            <w:r>
              <w:rPr>
                <w:b/>
                <w:i/>
              </w:rPr>
              <w:t>като има предвид, че плащанията по Механизма за възстановяване и устойчивост (МВУ) понастоящем не могат да бъдат извършени след декември 2026 г.;</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111</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Евелин Регнер, Нилс Фулсанг, Клер Фита, Карла Тавареш,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к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Жк.</w:t>
            </w:r>
            <w:r>
              <w:tab/>
            </w:r>
            <w:r>
              <w:rPr>
                <w:b/>
                <w:i/>
              </w:rPr>
              <w:t>като има предвид, че понастоящем най-големият инструмент на Съюза за споделяне на риска е програмата InvestEU; като има предвид, че повечето от партньорите по изпълнението продължават да бъдат съсредоточени главно върху по-нискорисковия обхват на инвестициите;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112</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lastRenderedPageBreak/>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Еро Хейнелуома, Евелин Регнер, Нилс Фулсанг, Клер Фита, Карла Тавареш,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Съображение Ж л (ново)</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Жл.</w:t>
            </w:r>
            <w:r>
              <w:tab/>
            </w:r>
            <w:r>
              <w:rPr>
                <w:b/>
                <w:i/>
              </w:rPr>
              <w:t>като има предвид, че политическата съпротива и различаващите се национални интереси попречиха на постигането на консенсус относно постигането на съюз на капиталовите пазари;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113</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Подзаглавие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 xml:space="preserve">Изграждане на споделена визия за производителността на Европа и необходимостта от </w:t>
            </w:r>
            <w:r>
              <w:rPr>
                <w:b/>
                <w:i/>
              </w:rPr>
              <w:t xml:space="preserve">устойчив </w:t>
            </w:r>
            <w:r>
              <w:t>растеж</w:t>
            </w:r>
          </w:p>
        </w:tc>
        <w:tc>
          <w:tcPr>
            <w:tcW w:w="4876" w:type="dxa"/>
            <w:tcBorders>
              <w:top w:val="nil"/>
              <w:left w:val="nil"/>
              <w:bottom w:val="nil"/>
              <w:right w:val="nil"/>
            </w:tcBorders>
          </w:tcPr>
          <w:p w:rsidR="004855AE" w:rsidRPr="00C34506" w:rsidRDefault="004855AE" w:rsidP="00061FA7">
            <w:pPr>
              <w:pStyle w:val="Normal6a"/>
            </w:pPr>
            <w:r>
              <w:t>Изграждане на споделена визия за производителността на Европа и необходимостта от растеж</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114</w:t>
      </w:r>
      <w:r>
        <w:rPr>
          <w:rStyle w:val="HideTWBExt"/>
          <w:b w:val="0"/>
        </w:rPr>
        <w:t>&lt;/NumAm&gt;</w:t>
      </w:r>
    </w:p>
    <w:p w:rsidR="004855AE" w:rsidRPr="00C34506" w:rsidRDefault="004855AE" w:rsidP="004855AE">
      <w:pPr>
        <w:pStyle w:val="NormalBold"/>
      </w:pPr>
      <w:r>
        <w:rPr>
          <w:rStyle w:val="HideTWBExt"/>
          <w:b w:val="0"/>
        </w:rPr>
        <w:t>&lt;RepeatBlock-By&gt;&lt;Members&gt;</w:t>
      </w:r>
      <w:r>
        <w:t>Лефтерис Николау</w:t>
      </w:r>
      <w:r>
        <w:noBreakHyphen/>
        <w:t>Алаванос, Костас Пападакис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-1.</w:t>
            </w:r>
            <w:r>
              <w:tab/>
            </w:r>
            <w:r>
              <w:rPr>
                <w:b/>
                <w:i/>
              </w:rPr>
              <w:t xml:space="preserve">Докладът на Драги относно „конкурентоспособността на предприятията в ЕС“ има за цел да преориентира капиталистическата икономика на ЕС в момент, когато </w:t>
            </w:r>
            <w:r>
              <w:rPr>
                <w:b/>
                <w:i/>
              </w:rPr>
              <w:lastRenderedPageBreak/>
              <w:t xml:space="preserve">геополитическата конкуренция на ЕС се засилва, както с Китай и САЩ, които се конкурират за първото място, но така и с Русия, докато първите признаци на нова икономическа криза вече са видими. Той има за цел да мобилизира натрупани средства, които не са инвестирани чрез Европейския зелен пакт и Фонда за възстановяване и устойчивост, като предостави допълнителни стимули на икономическите групи на стойност милиарди евро и дори предлага спестяванията на обикновените хора, пенсионните фондове — плодовете на цял живот усилен труд на работническите семейства. Докладът се характеризира с подкрепата си за преминаването на ЕС към „военна икономика“, която вече започва с плановете ReArm Europe, ЕС за Съюз за готовност и ProtectEU и означава нарастващото участие на ЕС в империалистическата война в Украйна, срещу капиталистическа Русия, в рамките на евроатлантическото планиране, но също така независимо от това – с „ограбването“ на минералното богатство на Украйна, мрежите за пренос на енергия и др. Това се отнася и до подкрепата на ЕС за окупиращата държава Израел, която извършва геноцид срещу палестинския народ. В името на конкурентоспособността докладът на Драги насърчава замразяването на заплатите и пенсиите, драстичните съкращения в образованието, здравеопазването, социалните грижи, гражданската защита и едновременното им търгуване с цел да се субсидира рентабилността на групите. В същия дух той насърчава по-нататъшното премахване на правата на синдикална организация и действия и на стачка, като насърчава </w:t>
            </w:r>
            <w:r>
              <w:rPr>
                <w:b/>
                <w:i/>
              </w:rPr>
              <w:lastRenderedPageBreak/>
              <w:t>климата на „заплахата от война“ и на „извънредни обстоятелства“. Според доклада на Драги сметката от 800 милиарда евро за военната икономика ще бъде платена много скъпо от работниците в ЕС, бедната работническа класа, за да се защитят рентабилността и интересите на големите предприятия, в момент, когато „работещите бедни“ включват повече от една трета от населението на ЕС, а четири от всеки десет души непрекъснато или периодично не са в състояние да посрещат постоянните си разходи.</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Поради тези причини докладът на Драги и насоченото срещу местното равнище планиране на ЕС, което има за цел да укрепи икономическите групи за сметка на правата и нуждите на работещите, се отхвърлят.</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{EL}</w:t>
      </w:r>
      <w:r w:rsidRPr="00C34506">
        <w:t>el</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115</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-1.</w:t>
            </w:r>
            <w:r>
              <w:tab/>
            </w:r>
            <w:r>
              <w:rPr>
                <w:b/>
                <w:i/>
              </w:rPr>
              <w:t xml:space="preserve">изразява загриженост във връзка с продължаващата геополитическа несигурност и нейното въздействие върху макроикономическите показатели и съответните социални последици; отбелязва, че тази несигурност вече значително увеличи нестабилността на финансовите пазари и доведе до отслабване на щатския долар; Счита, че сега е идеалният момент за ускоряване на интеграцията на европейските капиталови пазари, тъй </w:t>
            </w:r>
            <w:r>
              <w:rPr>
                <w:b/>
                <w:i/>
              </w:rPr>
              <w:lastRenderedPageBreak/>
              <w:t>като един по-интегриран капиталов пазар може да стимулира по-големи инвестиционни потоци, да подобри финансовата стабилност и да позиционира еврото като по-значима световна валута, като укрепи икономическия суверенитет и устойчивост на Европа; подчертава, че принципите на правовата държава, законодателната стабилност и предвидимостта са от основно значение за международните инвеститори; настоятелно призовава Комисията да се въздържа от внасянето на значителни промени в приетите наскоро законодателни актове; подчертава, че емитирането на общ дълг на ЕС би допринесло за привлекателността на финансовите пазари на ЕС, като предостави на международните инвеститори сигурен и ликвиден актив; подчертава, че цифровото евро – чрез предоставяне на сигурно, свободно и лесно достъпно платежно средство – би допринесло значително за паричния суверенитет и би насърчило международната роля на еврото;</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116</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w:t>
            </w:r>
            <w:r>
              <w:rPr>
                <w:b/>
                <w:i/>
              </w:rPr>
              <w:t>за поддържане</w:t>
            </w:r>
            <w:r>
              <w:t xml:space="preserve"> на </w:t>
            </w:r>
            <w:r>
              <w:rPr>
                <w:b/>
                <w:i/>
              </w:rPr>
              <w:t>зеления преход</w:t>
            </w:r>
            <w:r>
              <w:t xml:space="preserve">, </w:t>
            </w:r>
            <w:r>
              <w:rPr>
                <w:b/>
                <w:i/>
              </w:rPr>
              <w:t>за създаване</w:t>
            </w:r>
            <w:r>
              <w:t xml:space="preserve"> на качествени работни места и за </w:t>
            </w:r>
            <w:r>
              <w:rPr>
                <w:b/>
                <w:i/>
              </w:rPr>
              <w:t xml:space="preserve">допринасяне за социално </w:t>
            </w:r>
            <w:r>
              <w:rPr>
                <w:b/>
                <w:i/>
              </w:rPr>
              <w:lastRenderedPageBreak/>
              <w:t>сближаване във възходяща посока</w:t>
            </w:r>
            <w:r>
              <w:t xml:space="preserve"> в контекста на геополитическа нестабилност и международно напрежение;</w:t>
            </w:r>
          </w:p>
        </w:tc>
        <w:tc>
          <w:tcPr>
            <w:tcW w:w="4876" w:type="dxa"/>
            <w:tcBorders>
              <w:top w:val="nil"/>
              <w:left w:val="nil"/>
              <w:bottom w:val="nil"/>
              <w:right w:val="nil"/>
            </w:tcBorders>
          </w:tcPr>
          <w:p w:rsidR="004855AE" w:rsidRPr="00C34506" w:rsidRDefault="004855AE" w:rsidP="00061FA7">
            <w:pPr>
              <w:pStyle w:val="Normal6a"/>
            </w:pPr>
            <w:r>
              <w:lastRenderedPageBreak/>
              <w:t>1.</w:t>
            </w:r>
            <w:r>
              <w:tab/>
              <w:t xml:space="preserve">призовава за </w:t>
            </w:r>
            <w:r>
              <w:rPr>
                <w:b/>
                <w:i/>
              </w:rPr>
              <w:t xml:space="preserve">либерализация на пазара, която да стимулира </w:t>
            </w:r>
            <w:r>
              <w:t>общо мобилизиране на всички финансови ресурси и налични инструменти</w:t>
            </w:r>
            <w:r>
              <w:rPr>
                <w:b/>
                <w:i/>
              </w:rPr>
              <w:t>, предназначени ефективно</w:t>
            </w:r>
            <w:r>
              <w:t xml:space="preserve"> за укрепване на сигурността и промишления и технологичния суверенитет на ЕС, </w:t>
            </w:r>
            <w:r>
              <w:rPr>
                <w:b/>
                <w:i/>
              </w:rPr>
              <w:t xml:space="preserve">постигнати чрез частни инвестиции, </w:t>
            </w:r>
            <w:r>
              <w:rPr>
                <w:b/>
                <w:i/>
              </w:rPr>
              <w:lastRenderedPageBreak/>
              <w:t>отваряне</w:t>
            </w:r>
            <w:r>
              <w:t xml:space="preserve"> на </w:t>
            </w:r>
            <w:r>
              <w:rPr>
                <w:b/>
                <w:i/>
              </w:rPr>
              <w:t>пазара и намаляване на пречките</w:t>
            </w:r>
            <w:r>
              <w:t xml:space="preserve">, </w:t>
            </w:r>
            <w:r>
              <w:rPr>
                <w:b/>
                <w:i/>
              </w:rPr>
              <w:t>като по този начин се премахне силната зависимост от субсидии; припомня, че либерализацията на пазара води до привличане</w:t>
            </w:r>
            <w:r>
              <w:t xml:space="preserve"> на</w:t>
            </w:r>
            <w:r>
              <w:rPr>
                <w:b/>
                <w:i/>
              </w:rPr>
              <w:t xml:space="preserve"> инвестиции и стимулира създаването и растежа на дружества, което също така създава</w:t>
            </w:r>
            <w:r>
              <w:t xml:space="preserve"> качествени работни места и </w:t>
            </w:r>
            <w:r>
              <w:rPr>
                <w:b/>
                <w:i/>
              </w:rPr>
              <w:t xml:space="preserve">допринася </w:t>
            </w:r>
            <w:r>
              <w:t xml:space="preserve">за </w:t>
            </w:r>
            <w:r>
              <w:rPr>
                <w:b/>
                <w:i/>
              </w:rPr>
              <w:t>подобряване на качеството на живот на гражданите</w:t>
            </w:r>
            <w:r>
              <w:t xml:space="preserve"> в контекста на геополитическа нестабилност и международно напрежение</w:t>
            </w:r>
            <w:r>
              <w:rPr>
                <w:b/>
                <w:i/>
              </w:rPr>
              <w:t>, където свръхрегулирането възпира инвестициите и генерирането на богатство</w:t>
            </w:r>
            <w:r>
              <w:t>;</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117</w:t>
      </w:r>
      <w:r>
        <w:rPr>
          <w:rStyle w:val="HideTWBExt"/>
          <w:b w:val="0"/>
        </w:rPr>
        <w:t>&lt;/NumAm&gt;</w:t>
      </w:r>
    </w:p>
    <w:p w:rsidR="004855AE" w:rsidRPr="00C34506" w:rsidRDefault="004855AE" w:rsidP="004855AE">
      <w:pPr>
        <w:pStyle w:val="NormalBold"/>
      </w:pPr>
      <w:r>
        <w:rPr>
          <w:rStyle w:val="HideTWBExt"/>
          <w:b w:val="0"/>
        </w:rPr>
        <w:t>&lt;RepeatBlock-By&gt;&lt;Members&gt;</w:t>
      </w:r>
      <w:r>
        <w:t>Реджина Дохърти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общо мобилизиране на </w:t>
            </w:r>
            <w:r>
              <w:rPr>
                <w:b/>
                <w:i/>
              </w:rPr>
              <w:t>всички</w:t>
            </w:r>
            <w:r>
              <w:t xml:space="preserve"> финансови ресурси </w:t>
            </w:r>
            <w:r>
              <w:rPr>
                <w:b/>
                <w:i/>
              </w:rPr>
              <w:t>и налични инструменти за укрепване</w:t>
            </w:r>
            <w:r>
              <w:t xml:space="preserve"> на </w:t>
            </w:r>
            <w:r>
              <w:rPr>
                <w:b/>
                <w:i/>
              </w:rPr>
              <w:t>сигурността и промишления и технологичния суверенитет</w:t>
            </w:r>
            <w:r>
              <w:t xml:space="preserve"> на </w:t>
            </w:r>
            <w:r>
              <w:rPr>
                <w:b/>
                <w:i/>
              </w:rPr>
              <w:t>ЕС</w:t>
            </w:r>
            <w:r>
              <w:t xml:space="preserve">, </w:t>
            </w:r>
            <w:r>
              <w:rPr>
                <w:b/>
                <w:i/>
              </w:rPr>
              <w:t>за поддържане на зеления преход</w:t>
            </w:r>
            <w:r>
              <w:t xml:space="preserve">, за </w:t>
            </w:r>
            <w:r>
              <w:rPr>
                <w:b/>
                <w:i/>
              </w:rPr>
              <w:t>създаване</w:t>
            </w:r>
            <w:r>
              <w:t xml:space="preserve"> на качествени работни места и </w:t>
            </w:r>
            <w:r>
              <w:rPr>
                <w:b/>
                <w:i/>
              </w:rPr>
              <w:t>за допринасяне за социално сближаване във възходяща посока</w:t>
            </w:r>
            <w:r>
              <w:t xml:space="preserve"> в контекста на геополитическа нестабилност и международно напрежение;</w:t>
            </w:r>
          </w:p>
        </w:tc>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общо мобилизиране на </w:t>
            </w:r>
            <w:r>
              <w:rPr>
                <w:b/>
                <w:i/>
              </w:rPr>
              <w:t>правни, административни и</w:t>
            </w:r>
            <w:r>
              <w:t xml:space="preserve"> финансови ресурси </w:t>
            </w:r>
            <w:r>
              <w:rPr>
                <w:b/>
                <w:i/>
              </w:rPr>
              <w:t>за изграждане на силен съюз</w:t>
            </w:r>
            <w:r>
              <w:t xml:space="preserve"> на </w:t>
            </w:r>
            <w:r>
              <w:rPr>
                <w:b/>
                <w:i/>
              </w:rPr>
              <w:t>капиталовите пазари в Европа, който да стимулира частните инвестиции, да увеличи инвестициите</w:t>
            </w:r>
            <w:r>
              <w:t xml:space="preserve"> на </w:t>
            </w:r>
            <w:r>
              <w:rPr>
                <w:b/>
                <w:i/>
              </w:rPr>
              <w:t>дребно</w:t>
            </w:r>
            <w:r>
              <w:t xml:space="preserve">, </w:t>
            </w:r>
            <w:r>
              <w:rPr>
                <w:b/>
                <w:i/>
              </w:rPr>
              <w:t>да превърне вложителите в инвеститори, да направи спестяванията по-продуктивни, да подобри европейския жизнен стандарт</w:t>
            </w:r>
            <w:r>
              <w:t xml:space="preserve">, </w:t>
            </w:r>
            <w:r>
              <w:rPr>
                <w:b/>
                <w:i/>
              </w:rPr>
              <w:t xml:space="preserve">да увеличи икономическия растеж и да генерира повече капитал </w:t>
            </w:r>
            <w:r>
              <w:t xml:space="preserve">за </w:t>
            </w:r>
            <w:r>
              <w:rPr>
                <w:b/>
                <w:i/>
              </w:rPr>
              <w:t>инвестиции, и което</w:t>
            </w:r>
            <w:r>
              <w:t xml:space="preserve"> на </w:t>
            </w:r>
            <w:r>
              <w:rPr>
                <w:b/>
                <w:i/>
              </w:rPr>
              <w:t xml:space="preserve">свой ред да поддържа екологичния и цифровия преход, създаде </w:t>
            </w:r>
            <w:r>
              <w:t xml:space="preserve">качествени работни места и </w:t>
            </w:r>
            <w:r>
              <w:rPr>
                <w:b/>
                <w:i/>
              </w:rPr>
              <w:t>увеличи икономическите възможности и социалната мобилност</w:t>
            </w:r>
            <w:r>
              <w:t xml:space="preserve"> в контекста на геополитическа нестабилност и </w:t>
            </w:r>
            <w:r>
              <w:lastRenderedPageBreak/>
              <w:t>международно напрежение;</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118</w:t>
      </w:r>
      <w:r>
        <w:rPr>
          <w:rStyle w:val="HideTWBExt"/>
          <w:b w:val="0"/>
        </w:rPr>
        <w:t>&lt;/NumAm&gt;</w:t>
      </w:r>
    </w:p>
    <w:p w:rsidR="004855AE" w:rsidRPr="00C34506" w:rsidRDefault="004855AE" w:rsidP="004855AE">
      <w:pPr>
        <w:pStyle w:val="NormalBold"/>
      </w:pPr>
      <w:r>
        <w:rPr>
          <w:rStyle w:val="HideTWBExt"/>
          <w:b w:val="0"/>
        </w:rPr>
        <w:t>&lt;RepeatBlock-By&gt;&lt;Members&gt;</w:t>
      </w:r>
      <w:r>
        <w:t>Фернандо Наварете Рохас,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общо мобилизиране на всички финансови ресурси и налични инструменти за укрепване на </w:t>
            </w:r>
            <w:r>
              <w:rPr>
                <w:b/>
                <w:i/>
              </w:rPr>
              <w:t>сигурността</w:t>
            </w:r>
            <w:r>
              <w:t xml:space="preserve"> и </w:t>
            </w:r>
            <w:r>
              <w:rPr>
                <w:b/>
                <w:i/>
              </w:rPr>
              <w:t>промишления и технологичния суверенитет</w:t>
            </w:r>
            <w:r>
              <w:t xml:space="preserve"> на ЕС, </w:t>
            </w:r>
            <w:r>
              <w:rPr>
                <w:b/>
                <w:i/>
              </w:rPr>
              <w:t>за поддържане на зеления преход</w:t>
            </w:r>
            <w:r>
              <w:t xml:space="preserve">, за </w:t>
            </w:r>
            <w:r>
              <w:rPr>
                <w:b/>
                <w:i/>
              </w:rPr>
              <w:t>създаване на качествени работни места и за допринасяне за социално сближаване във възходяща посока</w:t>
            </w:r>
            <w:r>
              <w:t xml:space="preserve"> в контекста на геополитическа нестабилност и международно напрежение;</w:t>
            </w:r>
          </w:p>
        </w:tc>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общо мобилизиране на всички финансови ресурси и налични инструменти за укрепване на </w:t>
            </w:r>
            <w:r>
              <w:rPr>
                <w:b/>
                <w:i/>
              </w:rPr>
              <w:t>конкурентоспособността</w:t>
            </w:r>
            <w:r>
              <w:t xml:space="preserve"> и </w:t>
            </w:r>
            <w:r>
              <w:rPr>
                <w:b/>
                <w:i/>
              </w:rPr>
              <w:t>отворената стратегическа автономност</w:t>
            </w:r>
            <w:r>
              <w:t xml:space="preserve"> на ЕС</w:t>
            </w:r>
            <w:r>
              <w:rPr>
                <w:b/>
                <w:i/>
              </w:rPr>
              <w:t xml:space="preserve"> чрез подобрена и хоризонтална промишлена политика</w:t>
            </w:r>
            <w:r>
              <w:t xml:space="preserve">, </w:t>
            </w:r>
            <w:r>
              <w:rPr>
                <w:b/>
                <w:i/>
              </w:rPr>
              <w:t>съсредоточена върху иновациите, критичните технологии и отбранителните способности</w:t>
            </w:r>
            <w:r>
              <w:t xml:space="preserve">, за </w:t>
            </w:r>
            <w:r>
              <w:rPr>
                <w:b/>
                <w:i/>
              </w:rPr>
              <w:t>да се даде възможност на предприятията от ЕС да се конкурират в световен мащаб</w:t>
            </w:r>
            <w:r>
              <w:t xml:space="preserve"> в контекста на геополитическа нестабилност и международно напрежение;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119</w:t>
      </w:r>
      <w:r>
        <w:rPr>
          <w:rStyle w:val="HideTWBExt"/>
          <w:b w:val="0"/>
        </w:rPr>
        <w:t>&lt;/NumAm&gt;</w:t>
      </w:r>
    </w:p>
    <w:p w:rsidR="004855AE" w:rsidRPr="00C34506" w:rsidRDefault="004855AE" w:rsidP="004855AE">
      <w:pPr>
        <w:pStyle w:val="NormalBold"/>
      </w:pPr>
      <w:r>
        <w:rPr>
          <w:rStyle w:val="HideTWBExt"/>
          <w:b w:val="0"/>
        </w:rPr>
        <w:t>&lt;RepeatBlock-By&gt;&lt;Members&gt;</w:t>
      </w:r>
      <w:r>
        <w:t>Ауке Зейлстра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w:t>
            </w:r>
            <w:r>
              <w:rPr>
                <w:b/>
                <w:i/>
              </w:rPr>
              <w:t xml:space="preserve">общо мобилизиране на всички финансови ресурси и налични инструменти за </w:t>
            </w:r>
            <w:r>
              <w:t xml:space="preserve">укрепване на </w:t>
            </w:r>
            <w:r>
              <w:rPr>
                <w:b/>
                <w:i/>
              </w:rPr>
              <w:t>сигурността и</w:t>
            </w:r>
            <w:r>
              <w:t xml:space="preserve"> промишления и </w:t>
            </w:r>
            <w:r>
              <w:rPr>
                <w:b/>
                <w:i/>
              </w:rPr>
              <w:t>технологичния</w:t>
            </w:r>
            <w:r>
              <w:t xml:space="preserve"> суверенитет </w:t>
            </w:r>
            <w:r>
              <w:rPr>
                <w:b/>
                <w:i/>
              </w:rPr>
              <w:t>на ЕС, за поддържане</w:t>
            </w:r>
            <w:r>
              <w:t xml:space="preserve"> на </w:t>
            </w:r>
            <w:r>
              <w:rPr>
                <w:b/>
                <w:i/>
              </w:rPr>
              <w:t>зеления преход</w:t>
            </w:r>
            <w:r>
              <w:t xml:space="preserve">, </w:t>
            </w:r>
            <w:r>
              <w:rPr>
                <w:b/>
                <w:i/>
              </w:rPr>
              <w:t xml:space="preserve">за </w:t>
            </w:r>
            <w:r>
              <w:rPr>
                <w:b/>
                <w:i/>
              </w:rPr>
              <w:lastRenderedPageBreak/>
              <w:t>създаване на</w:t>
            </w:r>
            <w:r>
              <w:t xml:space="preserve"> качествени работни места и </w:t>
            </w:r>
            <w:r>
              <w:rPr>
                <w:b/>
                <w:i/>
              </w:rPr>
              <w:t>за допринасяне</w:t>
            </w:r>
            <w:r>
              <w:t xml:space="preserve"> за социално сближаване във възходяща посока в контекста на геополитическа нестабилност и международно напрежение;</w:t>
            </w:r>
          </w:p>
        </w:tc>
        <w:tc>
          <w:tcPr>
            <w:tcW w:w="4876" w:type="dxa"/>
            <w:tcBorders>
              <w:top w:val="nil"/>
              <w:left w:val="nil"/>
              <w:bottom w:val="nil"/>
              <w:right w:val="nil"/>
            </w:tcBorders>
          </w:tcPr>
          <w:p w:rsidR="004855AE" w:rsidRPr="00C34506" w:rsidRDefault="004855AE" w:rsidP="00061FA7">
            <w:pPr>
              <w:pStyle w:val="Normal6a"/>
            </w:pPr>
            <w:r>
              <w:lastRenderedPageBreak/>
              <w:t>1.</w:t>
            </w:r>
            <w:r>
              <w:tab/>
              <w:t xml:space="preserve">призовава за укрепване на </w:t>
            </w:r>
            <w:r>
              <w:rPr>
                <w:b/>
                <w:i/>
              </w:rPr>
              <w:t>сигурността,</w:t>
            </w:r>
            <w:r>
              <w:t xml:space="preserve"> промишления и </w:t>
            </w:r>
            <w:r>
              <w:rPr>
                <w:b/>
                <w:i/>
              </w:rPr>
              <w:t>технологичен</w:t>
            </w:r>
            <w:r>
              <w:t xml:space="preserve"> суверенитет </w:t>
            </w:r>
            <w:r>
              <w:rPr>
                <w:b/>
                <w:i/>
              </w:rPr>
              <w:t>и конкурентоспособността</w:t>
            </w:r>
            <w:r>
              <w:t xml:space="preserve"> на </w:t>
            </w:r>
            <w:r>
              <w:rPr>
                <w:b/>
                <w:i/>
              </w:rPr>
              <w:t>ЕС</w:t>
            </w:r>
            <w:r>
              <w:t xml:space="preserve">, </w:t>
            </w:r>
            <w:r>
              <w:rPr>
                <w:b/>
                <w:i/>
              </w:rPr>
              <w:t>което създава</w:t>
            </w:r>
            <w:r>
              <w:t xml:space="preserve"> качествени работни места и </w:t>
            </w:r>
            <w:r>
              <w:rPr>
                <w:b/>
                <w:i/>
              </w:rPr>
              <w:t>допринася</w:t>
            </w:r>
            <w:r>
              <w:t xml:space="preserve"> за социално </w:t>
            </w:r>
            <w:r>
              <w:lastRenderedPageBreak/>
              <w:t>сближаване във възходяща посока в контекста на геополитическа нестабилност и международно напрежение;</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120</w:t>
      </w:r>
      <w:r>
        <w:rPr>
          <w:rStyle w:val="HideTWBExt"/>
          <w:b w:val="0"/>
        </w:rPr>
        <w:t>&lt;/NumAm&gt;</w:t>
      </w:r>
    </w:p>
    <w:p w:rsidR="004855AE" w:rsidRPr="00C34506" w:rsidRDefault="004855AE" w:rsidP="004855AE">
      <w:pPr>
        <w:pStyle w:val="NormalBold"/>
      </w:pPr>
      <w:r>
        <w:rPr>
          <w:rStyle w:val="HideTWBExt"/>
          <w:b w:val="0"/>
        </w:rPr>
        <w:t>&lt;RepeatBlock-By&gt;&lt;Members&gt;</w:t>
      </w:r>
      <w:r>
        <w:t>Пиер Пемпи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1.</w:t>
            </w:r>
            <w:r>
              <w:tab/>
              <w:t>призовава за общо мобилизиране на всички финансови ресурси и налични инструменти за укрепване на сигурността</w:t>
            </w:r>
            <w:r>
              <w:rPr>
                <w:b/>
                <w:i/>
              </w:rPr>
              <w:t xml:space="preserve"> и</w:t>
            </w:r>
            <w:r>
              <w:t xml:space="preserve"> промишления и технологичния суверенитет на ЕС</w:t>
            </w:r>
            <w:r>
              <w:rPr>
                <w:b/>
                <w:i/>
              </w:rPr>
              <w:t>, за поддържане на зеления преход,</w:t>
            </w:r>
            <w:r>
              <w:t xml:space="preserve"> за създаване на качествени работни места</w:t>
            </w:r>
            <w:r>
              <w:rPr>
                <w:b/>
                <w:i/>
              </w:rPr>
              <w:t xml:space="preserve"> и за допринасяне за социално сближаване във възходяща посока</w:t>
            </w:r>
            <w:r>
              <w:t xml:space="preserve"> в контекста на геополитическа нестабилност и международно напрежение;</w:t>
            </w:r>
          </w:p>
        </w:tc>
        <w:tc>
          <w:tcPr>
            <w:tcW w:w="4876" w:type="dxa"/>
            <w:tcBorders>
              <w:top w:val="nil"/>
              <w:left w:val="nil"/>
              <w:bottom w:val="nil"/>
              <w:right w:val="nil"/>
            </w:tcBorders>
          </w:tcPr>
          <w:p w:rsidR="004855AE" w:rsidRPr="00C34506" w:rsidRDefault="004855AE" w:rsidP="00061FA7">
            <w:pPr>
              <w:pStyle w:val="Normal6a"/>
            </w:pPr>
            <w:r>
              <w:t>1.</w:t>
            </w:r>
            <w:r>
              <w:tab/>
              <w:t>призовава за общо мобилизиране на всички финансови ресурси и налични инструменти за укрепване на сигурността</w:t>
            </w:r>
            <w:r>
              <w:rPr>
                <w:b/>
                <w:i/>
              </w:rPr>
              <w:t>,</w:t>
            </w:r>
            <w:r>
              <w:t xml:space="preserve"> промишления и технологичния суверенитет на ЕС</w:t>
            </w:r>
            <w:r>
              <w:rPr>
                <w:b/>
                <w:i/>
              </w:rPr>
              <w:t xml:space="preserve"> и</w:t>
            </w:r>
            <w:r>
              <w:t xml:space="preserve"> за създаване на качествени работни места в контекста на геополитическа нестабилност и международно напрежение;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121</w:t>
      </w:r>
      <w:r>
        <w:rPr>
          <w:rStyle w:val="HideTWBExt"/>
          <w:b w:val="0"/>
        </w:rPr>
        <w:t>&lt;/NumAm&gt;</w:t>
      </w:r>
    </w:p>
    <w:p w:rsidR="004855AE" w:rsidRPr="00C34506" w:rsidRDefault="004855AE" w:rsidP="004855AE">
      <w:pPr>
        <w:pStyle w:val="NormalBold"/>
      </w:pPr>
      <w:r>
        <w:rPr>
          <w:rStyle w:val="HideTWBExt"/>
          <w:b w:val="0"/>
        </w:rPr>
        <w:t>&lt;RepeatBlock-By&gt;&lt;Members&gt;</w:t>
      </w:r>
      <w:r>
        <w:t>Арба Кокалари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w:t>
            </w:r>
            <w:r>
              <w:rPr>
                <w:b/>
                <w:i/>
              </w:rPr>
              <w:t>общо мобилизиране</w:t>
            </w:r>
            <w:r>
              <w:t xml:space="preserve"> на </w:t>
            </w:r>
            <w:r>
              <w:rPr>
                <w:b/>
                <w:i/>
              </w:rPr>
              <w:t>всички финансови ресурси</w:t>
            </w:r>
            <w:r>
              <w:t xml:space="preserve"> и </w:t>
            </w:r>
            <w:r>
              <w:rPr>
                <w:b/>
                <w:i/>
              </w:rPr>
              <w:t>налични инструменти</w:t>
            </w:r>
            <w:r>
              <w:t xml:space="preserve"> за укрепване на сигурността и промишления и технологичния суверенитет на ЕС, за </w:t>
            </w:r>
            <w:r>
              <w:lastRenderedPageBreak/>
              <w:t>поддържане на зеления 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c>
          <w:tcPr>
            <w:tcW w:w="4876" w:type="dxa"/>
            <w:tcBorders>
              <w:top w:val="nil"/>
              <w:left w:val="nil"/>
              <w:bottom w:val="nil"/>
              <w:right w:val="nil"/>
            </w:tcBorders>
          </w:tcPr>
          <w:p w:rsidR="004855AE" w:rsidRPr="00C34506" w:rsidRDefault="004855AE" w:rsidP="00061FA7">
            <w:pPr>
              <w:pStyle w:val="Normal6a"/>
            </w:pPr>
            <w:r>
              <w:lastRenderedPageBreak/>
              <w:t>1.</w:t>
            </w:r>
            <w:r>
              <w:tab/>
              <w:t xml:space="preserve">призовава за </w:t>
            </w:r>
            <w:r>
              <w:rPr>
                <w:b/>
                <w:i/>
              </w:rPr>
              <w:t>развитието</w:t>
            </w:r>
            <w:r>
              <w:t xml:space="preserve"> на </w:t>
            </w:r>
            <w:r>
              <w:rPr>
                <w:b/>
                <w:i/>
              </w:rPr>
              <w:t>Съюз на спестяванията</w:t>
            </w:r>
            <w:r>
              <w:t xml:space="preserve"> и </w:t>
            </w:r>
            <w:r>
              <w:rPr>
                <w:b/>
                <w:i/>
              </w:rPr>
              <w:t>инвестициите</w:t>
            </w:r>
            <w:r>
              <w:t xml:space="preserve"> за укрепване на сигурността и промишления и технологичния суверенитет на ЕС, за </w:t>
            </w:r>
            <w:r>
              <w:lastRenderedPageBreak/>
              <w:t>поддържане на зеления преход</w:t>
            </w:r>
            <w:r>
              <w:rPr>
                <w:b/>
                <w:i/>
              </w:rPr>
              <w:t>, за засилване на конкурентоспособността, за увеличение на икономическия растеж</w:t>
            </w:r>
            <w:r>
              <w:t>,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122</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1.</w:t>
            </w:r>
            <w:r>
              <w:tab/>
              <w:t>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w:t>
            </w:r>
            <w:r>
              <w:rPr>
                <w:b/>
                <w:i/>
              </w:rPr>
              <w:t>, за поддържане на зеления преход, за създаване на качествени работни места</w:t>
            </w:r>
            <w:r>
              <w:t xml:space="preserve"> и за </w:t>
            </w:r>
            <w:r>
              <w:rPr>
                <w:b/>
                <w:i/>
              </w:rPr>
              <w:t>допринасяне за социално сближаване във възходяща посока</w:t>
            </w:r>
            <w:r>
              <w:t xml:space="preserve"> в контекста на геополитическа нестабилност и международно напрежение;</w:t>
            </w:r>
          </w:p>
        </w:tc>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и за </w:t>
            </w:r>
            <w:r>
              <w:rPr>
                <w:b/>
                <w:i/>
              </w:rPr>
              <w:t>подобряване на конкурентоспособността на Съюза</w:t>
            </w:r>
            <w:r>
              <w:t xml:space="preserve"> в контекста на геополитическа нестабилност и международно напрежение;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123</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общо мобилизиране </w:t>
            </w:r>
            <w:r>
              <w:lastRenderedPageBreak/>
              <w:t xml:space="preserve">на всички финансови ресурси и налични инструменти за укрепване на сигурността и промишления и технологичния суверенитет на ЕС, за </w:t>
            </w:r>
            <w:r>
              <w:rPr>
                <w:b/>
                <w:i/>
              </w:rPr>
              <w:t>поддържане</w:t>
            </w:r>
            <w:r>
              <w:t xml:space="preserve"> на зеления 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c>
          <w:tcPr>
            <w:tcW w:w="4876" w:type="dxa"/>
            <w:tcBorders>
              <w:top w:val="nil"/>
              <w:left w:val="nil"/>
              <w:bottom w:val="nil"/>
              <w:right w:val="nil"/>
            </w:tcBorders>
          </w:tcPr>
          <w:p w:rsidR="004855AE" w:rsidRPr="00C34506" w:rsidRDefault="004855AE" w:rsidP="00061FA7">
            <w:pPr>
              <w:pStyle w:val="Normal6a"/>
            </w:pPr>
            <w:r>
              <w:lastRenderedPageBreak/>
              <w:t>1.</w:t>
            </w:r>
            <w:r>
              <w:tab/>
              <w:t xml:space="preserve">призовава за общо мобилизиране </w:t>
            </w:r>
            <w:r>
              <w:lastRenderedPageBreak/>
              <w:t xml:space="preserve">на всички финансови ресурси и налични инструменти за укрепване на сигурността и промишления и технологичния суверенитет на ЕС, за </w:t>
            </w:r>
            <w:r>
              <w:rPr>
                <w:b/>
                <w:i/>
              </w:rPr>
              <w:t>ускоряване</w:t>
            </w:r>
            <w:r>
              <w:t xml:space="preserve"> на зеления 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124</w:t>
      </w:r>
      <w:r>
        <w:rPr>
          <w:rStyle w:val="HideTWBExt"/>
          <w:b w:val="0"/>
        </w:rPr>
        <w:t>&lt;/NumAm&gt;</w:t>
      </w:r>
    </w:p>
    <w:p w:rsidR="004855AE" w:rsidRPr="00C34506" w:rsidRDefault="004855AE" w:rsidP="004855AE">
      <w:pPr>
        <w:pStyle w:val="NormalBold"/>
      </w:pPr>
      <w:r>
        <w:rPr>
          <w:rStyle w:val="HideTWBExt"/>
          <w:b w:val="0"/>
        </w:rPr>
        <w:t>&lt;RepeatBlock-By&gt;&lt;Members&gt;</w:t>
      </w:r>
      <w:r>
        <w:t>Фернан Картайзер, Геадис Геади, Кристофер Сторм, Нора Хунко Гарсия, Диего Солиер, Адриан</w:t>
      </w:r>
      <w:r>
        <w:noBreakHyphen/>
        <w:t>Джордже Аксиния, Джорджиана Теодореску</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за поддържане на </w:t>
            </w:r>
            <w:r>
              <w:rPr>
                <w:b/>
                <w:i/>
              </w:rPr>
              <w:t>зеления</w:t>
            </w:r>
            <w:r>
              <w:t xml:space="preserve"> 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за поддържане на </w:t>
            </w:r>
            <w:r>
              <w:rPr>
                <w:b/>
                <w:i/>
              </w:rPr>
              <w:t>цифровия</w:t>
            </w:r>
            <w:r>
              <w:t xml:space="preserve"> 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125</w:t>
      </w:r>
      <w:r>
        <w:rPr>
          <w:rStyle w:val="HideTWBExt"/>
          <w:b w:val="0"/>
        </w:rPr>
        <w:t>&lt;/NumAm&gt;</w:t>
      </w:r>
    </w:p>
    <w:p w:rsidR="004855AE" w:rsidRPr="00C34506" w:rsidRDefault="004855AE" w:rsidP="004855AE">
      <w:pPr>
        <w:pStyle w:val="NormalBold"/>
      </w:pPr>
      <w:r>
        <w:rPr>
          <w:rStyle w:val="HideTWBExt"/>
          <w:b w:val="0"/>
        </w:rPr>
        <w:t>&lt;RepeatBlock-By&gt;&lt;Members&gt;</w:t>
      </w:r>
      <w:r>
        <w:t>Еникьо Дьори, Пиер Пемпи, Хорхе Мартин Фриас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lastRenderedPageBreak/>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общо мобилизиране на всички финансови ресурси и налични инструменти за </w:t>
            </w:r>
            <w:r>
              <w:rPr>
                <w:b/>
                <w:i/>
              </w:rPr>
              <w:t>укрепване</w:t>
            </w:r>
            <w:r>
              <w:t xml:space="preserve"> на </w:t>
            </w:r>
            <w:r>
              <w:rPr>
                <w:b/>
                <w:i/>
              </w:rPr>
              <w:t>сигурността и промишления и технологичния суверенитет</w:t>
            </w:r>
            <w:r>
              <w:t xml:space="preserve"> на ЕС, за </w:t>
            </w:r>
            <w:r>
              <w:rPr>
                <w:b/>
                <w:i/>
              </w:rPr>
              <w:t>поддържане</w:t>
            </w:r>
            <w:r>
              <w:t xml:space="preserve"> на </w:t>
            </w:r>
            <w:r>
              <w:rPr>
                <w:b/>
                <w:i/>
              </w:rPr>
              <w:t>зеления преход</w:t>
            </w:r>
            <w:r>
              <w:t>,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общо мобилизиране на всички финансови ресурси и налични инструменти за </w:t>
            </w:r>
            <w:r>
              <w:rPr>
                <w:b/>
                <w:i/>
              </w:rPr>
              <w:t>повишаване</w:t>
            </w:r>
            <w:r>
              <w:t xml:space="preserve"> на </w:t>
            </w:r>
            <w:r>
              <w:rPr>
                <w:b/>
                <w:i/>
              </w:rPr>
              <w:t>конкурентоспособността</w:t>
            </w:r>
            <w:r>
              <w:t xml:space="preserve"> на ЕС, за </w:t>
            </w:r>
            <w:r>
              <w:rPr>
                <w:b/>
                <w:i/>
              </w:rPr>
              <w:t>укрепване</w:t>
            </w:r>
            <w:r>
              <w:t xml:space="preserve"> на </w:t>
            </w:r>
            <w:r>
              <w:rPr>
                <w:b/>
                <w:i/>
              </w:rPr>
              <w:t>неговата сигурност и неговия промишлен и технологичен суверенитет</w:t>
            </w:r>
            <w:r>
              <w:t>,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126</w:t>
      </w:r>
      <w:r>
        <w:rPr>
          <w:rStyle w:val="HideTWBExt"/>
          <w:b w:val="0"/>
        </w:rPr>
        <w:t>&lt;/NumAm&gt;</w:t>
      </w:r>
    </w:p>
    <w:p w:rsidR="004855AE" w:rsidRPr="00C34506" w:rsidRDefault="004855AE" w:rsidP="004855AE">
      <w:pPr>
        <w:pStyle w:val="NormalBold"/>
      </w:pPr>
      <w:r>
        <w:rPr>
          <w:rStyle w:val="HideTWBExt"/>
          <w:b w:val="0"/>
        </w:rPr>
        <w:t>&lt;RepeatBlock-By&gt;&lt;Members&gt;</w:t>
      </w:r>
      <w:r>
        <w:t>Дирк Готинк</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w:t>
            </w:r>
            <w:r>
              <w:rPr>
                <w:b/>
                <w:i/>
              </w:rPr>
              <w:t xml:space="preserve">общо </w:t>
            </w:r>
            <w:r>
              <w:t xml:space="preserve">мобилизиране на всички финансови ресурси </w:t>
            </w:r>
            <w:r>
              <w:rPr>
                <w:b/>
                <w:i/>
              </w:rPr>
              <w:t>и налични инструменти</w:t>
            </w:r>
            <w:r>
              <w:t xml:space="preserve"> за укрепване на сигурността и промишления и технологичния суверенитет на ЕС, за поддържане на </w:t>
            </w:r>
            <w:r>
              <w:rPr>
                <w:b/>
                <w:i/>
              </w:rPr>
              <w:t>зеления</w:t>
            </w:r>
            <w:r>
              <w:t xml:space="preserve"> 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мобилизиране на всички финансови ресурси </w:t>
            </w:r>
            <w:r>
              <w:rPr>
                <w:b/>
                <w:i/>
              </w:rPr>
              <w:t>на частния сектор</w:t>
            </w:r>
            <w:r>
              <w:t xml:space="preserve"> за укрепване на сигурността и промишления и технологичния суверенитет на ЕС, за поддържане на </w:t>
            </w:r>
            <w:r>
              <w:rPr>
                <w:b/>
                <w:i/>
              </w:rPr>
              <w:t>чистия</w:t>
            </w:r>
            <w:r>
              <w:t xml:space="preserve"> преход</w:t>
            </w:r>
            <w:r>
              <w:rPr>
                <w:b/>
                <w:i/>
              </w:rPr>
              <w:t xml:space="preserve"> и на декарбонизацията</w:t>
            </w:r>
            <w:r>
              <w:t>,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127</w:t>
      </w:r>
      <w:r>
        <w:rPr>
          <w:rStyle w:val="HideTWBExt"/>
          <w:b w:val="0"/>
        </w:rPr>
        <w:t>&lt;/NumAm&gt;</w:t>
      </w:r>
    </w:p>
    <w:p w:rsidR="004855AE" w:rsidRPr="00C34506" w:rsidRDefault="004855AE" w:rsidP="004855AE">
      <w:pPr>
        <w:pStyle w:val="NormalBold"/>
      </w:pPr>
      <w:r>
        <w:rPr>
          <w:rStyle w:val="HideTWBExt"/>
          <w:b w:val="0"/>
        </w:rPr>
        <w:t>&lt;RepeatBlock-By&gt;&lt;Members&gt;</w:t>
      </w:r>
      <w:r>
        <w:t>Джовани Крозето, Доменико Денис Неши, Франческо Вентола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за поддържане на </w:t>
            </w:r>
            <w:r>
              <w:rPr>
                <w:b/>
                <w:i/>
              </w:rPr>
              <w:t>зеления</w:t>
            </w:r>
            <w:r>
              <w:t xml:space="preserve"> 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за поддържане на </w:t>
            </w:r>
            <w:r>
              <w:rPr>
                <w:b/>
                <w:i/>
              </w:rPr>
              <w:t>енергийния</w:t>
            </w:r>
            <w:r>
              <w:t xml:space="preserve"> 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128</w:t>
      </w:r>
      <w:r>
        <w:rPr>
          <w:rStyle w:val="HideTWBExt"/>
          <w:b w:val="0"/>
        </w:rPr>
        <w:t>&lt;/NumAm&gt;</w:t>
      </w:r>
    </w:p>
    <w:p w:rsidR="004855AE" w:rsidRPr="00C34506" w:rsidRDefault="004855AE" w:rsidP="004855AE">
      <w:pPr>
        <w:pStyle w:val="NormalBold"/>
      </w:pPr>
      <w:r>
        <w:rPr>
          <w:rStyle w:val="HideTWBExt"/>
          <w:b w:val="0"/>
        </w:rPr>
        <w:t>&lt;RepeatBlock-By&gt;&lt;Members&gt;</w:t>
      </w:r>
      <w:r>
        <w:t>Анук Ван Брюг, Енгин Ероглу</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w:t>
            </w:r>
            <w:r>
              <w:rPr>
                <w:b/>
                <w:i/>
              </w:rPr>
              <w:t>общо</w:t>
            </w:r>
            <w:r>
              <w:t xml:space="preserve"> мобилизиране на всички финансови ресурси и налични инструменти за укрепване на сигурността и промишления и технологичния суверенитет на ЕС, за поддържане на зеления 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w:t>
            </w:r>
            <w:r>
              <w:rPr>
                <w:b/>
                <w:i/>
              </w:rPr>
              <w:t>съществено</w:t>
            </w:r>
            <w:r>
              <w:t xml:space="preserve"> мобилизиране на всички финансови ресурси и налични инструменти за укрепване на сигурността и промишления и технологичния суверенитет на ЕС, за поддържане на зеления 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129</w:t>
      </w:r>
      <w:r>
        <w:rPr>
          <w:rStyle w:val="HideTWBExt"/>
          <w:b w:val="0"/>
        </w:rPr>
        <w:t>&lt;/NumAm&gt;</w:t>
      </w:r>
    </w:p>
    <w:p w:rsidR="004855AE" w:rsidRPr="00C34506" w:rsidRDefault="004855AE" w:rsidP="004855AE">
      <w:pPr>
        <w:pStyle w:val="NormalBold"/>
      </w:pPr>
      <w:r>
        <w:rPr>
          <w:rStyle w:val="HideTWBExt"/>
          <w:b w:val="0"/>
        </w:rPr>
        <w:t>&lt;RepeatBlock-By&gt;&lt;Members&gt;</w:t>
      </w:r>
      <w:r>
        <w:t>Лидия Перейра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lastRenderedPageBreak/>
        <w:t>&lt;Article&gt;</w:t>
      </w:r>
      <w:r>
        <w:t>Параграф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за поддържане на зеления преход, за създаване на качествени работни места и за допринасяне за </w:t>
            </w:r>
            <w:r>
              <w:rPr>
                <w:b/>
                <w:i/>
              </w:rPr>
              <w:t>социално сближаване</w:t>
            </w:r>
            <w:r>
              <w:t xml:space="preserve"> във възходяща посока в контекста на геополитическа нестабилност и международно напрежение;</w:t>
            </w:r>
          </w:p>
        </w:tc>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за поддържане на </w:t>
            </w:r>
            <w:r>
              <w:rPr>
                <w:b/>
                <w:i/>
              </w:rPr>
              <w:t xml:space="preserve">цифровия и </w:t>
            </w:r>
            <w:r>
              <w:t xml:space="preserve">зеления преход, за </w:t>
            </w:r>
            <w:r>
              <w:rPr>
                <w:b/>
                <w:i/>
              </w:rPr>
              <w:t xml:space="preserve">повишаване на конкурентоспособността, за генериране на устойчив икономически растеж, за </w:t>
            </w:r>
            <w:r>
              <w:t xml:space="preserve">създаване на качествени работни места и за допринасяне за </w:t>
            </w:r>
            <w:r>
              <w:rPr>
                <w:b/>
                <w:i/>
              </w:rPr>
              <w:t>социална конвергенция</w:t>
            </w:r>
            <w:r>
              <w:t xml:space="preserve"> във възходяща посока</w:t>
            </w:r>
            <w:r>
              <w:rPr>
                <w:b/>
                <w:i/>
              </w:rPr>
              <w:t xml:space="preserve"> и за сближаване,</w:t>
            </w:r>
            <w:r>
              <w:t xml:space="preserve"> в контекста на геополитическа нестабилност и международно напрежение;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130</w:t>
      </w:r>
      <w:r>
        <w:rPr>
          <w:rStyle w:val="HideTWBExt"/>
          <w:b w:val="0"/>
        </w:rPr>
        <w:t>&lt;/NumAm&gt;</w:t>
      </w:r>
    </w:p>
    <w:p w:rsidR="004855AE" w:rsidRPr="00C34506" w:rsidRDefault="004855AE" w:rsidP="004855AE">
      <w:pPr>
        <w:pStyle w:val="NormalBold"/>
      </w:pPr>
      <w:r>
        <w:rPr>
          <w:rStyle w:val="HideTWBExt"/>
          <w:b w:val="0"/>
        </w:rPr>
        <w:t>&lt;RepeatBlock-By&gt;&lt;Members&gt;</w:t>
      </w:r>
      <w:r>
        <w:t>Кинга Колар,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1.</w:t>
            </w:r>
            <w:r>
              <w:tab/>
              <w:t>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за поддържане на зеления 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c>
          <w:tcPr>
            <w:tcW w:w="4876" w:type="dxa"/>
            <w:tcBorders>
              <w:top w:val="nil"/>
              <w:left w:val="nil"/>
              <w:bottom w:val="nil"/>
              <w:right w:val="nil"/>
            </w:tcBorders>
          </w:tcPr>
          <w:p w:rsidR="004855AE" w:rsidRPr="00C34506" w:rsidRDefault="004855AE" w:rsidP="00061FA7">
            <w:pPr>
              <w:pStyle w:val="Normal6a"/>
            </w:pPr>
            <w:r>
              <w:t>1.</w:t>
            </w:r>
            <w:r>
              <w:tab/>
              <w:t>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за поддържане на зеления преход, за създаване на качествени работни места</w:t>
            </w:r>
            <w:r>
              <w:rPr>
                <w:b/>
                <w:i/>
              </w:rPr>
              <w:t>, за насърчаване на сектора на МСП</w:t>
            </w:r>
            <w:r>
              <w:t xml:space="preserve"> и за допринасяне за социално сближаване във възходяща посока в контекста на геополитическа нестабилност и международно напрежение; </w:t>
            </w:r>
            <w:r>
              <w:rPr>
                <w:b/>
                <w:i/>
              </w:rPr>
              <w:t>отбелязва, че сигурността е предварително условие за устойчив растеж;</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lastRenderedPageBreak/>
        <w:t>&lt;/Amend&gt;</w:t>
      </w:r>
    </w:p>
    <w:p w:rsidR="004855AE" w:rsidRPr="00C34506" w:rsidRDefault="004855AE" w:rsidP="004855AE">
      <w:pPr>
        <w:pStyle w:val="AmNumberTabs"/>
      </w:pPr>
      <w:r>
        <w:rPr>
          <w:rStyle w:val="HideTWBExt"/>
          <w:b w:val="0"/>
          <w:lang w:eastAsia="en-GB"/>
        </w:rPr>
        <w:t>&lt;Amend&gt;</w:t>
      </w:r>
      <w:r>
        <w:t>Изменение</w:t>
      </w:r>
      <w:r>
        <w:tab/>
      </w:r>
      <w:r>
        <w:tab/>
      </w:r>
      <w:r>
        <w:rPr>
          <w:rStyle w:val="HideTWBExt"/>
          <w:b w:val="0"/>
          <w:lang w:eastAsia="en-GB"/>
        </w:rPr>
        <w:t>&lt;NumAm&gt;</w:t>
      </w:r>
      <w:r>
        <w:t>131</w:t>
      </w:r>
      <w:r>
        <w:rPr>
          <w:rStyle w:val="HideTWBExt"/>
          <w:b w:val="0"/>
          <w:lang w:eastAsia="en-GB"/>
        </w:rPr>
        <w:t>&lt;/NumAm&gt;</w:t>
      </w:r>
    </w:p>
    <w:p w:rsidR="004855AE" w:rsidRPr="00C34506" w:rsidRDefault="004855AE" w:rsidP="004855AE">
      <w:pPr>
        <w:pStyle w:val="NormalBold"/>
      </w:pPr>
      <w:r>
        <w:rPr>
          <w:rStyle w:val="HideTWBExt"/>
          <w:b w:val="0"/>
          <w:lang w:eastAsia="en-GB"/>
        </w:rPr>
        <w:t>&lt;RepeatBlock-By&gt;&lt;Members&gt;</w:t>
      </w:r>
      <w:r>
        <w:t>Гийом Пелтие</w:t>
      </w:r>
      <w:r>
        <w:rPr>
          <w:rStyle w:val="HideTWBExt"/>
          <w:b w:val="0"/>
          <w:lang w:eastAsia="en-GB"/>
        </w:rPr>
        <w:t>&lt;/Members&gt;</w:t>
      </w:r>
    </w:p>
    <w:p w:rsidR="004855AE" w:rsidRPr="00C34506" w:rsidRDefault="004855AE" w:rsidP="004855AE">
      <w:pPr>
        <w:pStyle w:val="NormalBold"/>
      </w:pPr>
      <w:r>
        <w:rPr>
          <w:rStyle w:val="HideTWBExt"/>
          <w:b w:val="0"/>
          <w:lang w:eastAsia="en-GB"/>
        </w:rPr>
        <w:t>&lt;/RepeatBlock-By&gt;</w:t>
      </w:r>
    </w:p>
    <w:p w:rsidR="004855AE" w:rsidRPr="00C34506" w:rsidRDefault="004855AE" w:rsidP="004855AE">
      <w:pPr>
        <w:pStyle w:val="NormalBold"/>
      </w:pPr>
      <w:r>
        <w:rPr>
          <w:rStyle w:val="HideTWBExt"/>
          <w:b w:val="0"/>
          <w:lang w:eastAsia="en-GB"/>
        </w:rPr>
        <w:t>&lt;DocAmend&gt;</w:t>
      </w:r>
      <w:r>
        <w:t>Предложение за резолюция</w:t>
      </w:r>
      <w:r>
        <w:rPr>
          <w:rStyle w:val="HideTWBExt"/>
          <w:b w:val="0"/>
          <w:lang w:eastAsia="en-GB"/>
        </w:rPr>
        <w:t>&lt;/DocAmend&gt;</w:t>
      </w:r>
    </w:p>
    <w:p w:rsidR="004855AE" w:rsidRPr="00C34506" w:rsidRDefault="004855AE" w:rsidP="004855AE">
      <w:pPr>
        <w:pStyle w:val="NormalBold"/>
      </w:pPr>
      <w:r>
        <w:rPr>
          <w:rStyle w:val="HideTWBExt"/>
          <w:b w:val="0"/>
          <w:lang w:eastAsia="en-GB"/>
        </w:rPr>
        <w:t>&lt;Article&gt;</w:t>
      </w:r>
      <w:r>
        <w:t>Параграф 1</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1.</w:t>
            </w:r>
            <w:r>
              <w:tab/>
              <w:t>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за поддържане на зеления 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за поддържане на зеления преход, </w:t>
            </w:r>
            <w:r>
              <w:rPr>
                <w:b/>
                <w:i/>
              </w:rPr>
              <w:t xml:space="preserve">по-специално създаването на материали, които са на биологична основа и са компостируеми, </w:t>
            </w:r>
            <w:r>
              <w:t>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{FR}</w:t>
      </w:r>
      <w:r w:rsidRPr="00C34506">
        <w:t>fr</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132</w:t>
      </w:r>
      <w:r>
        <w:rPr>
          <w:rStyle w:val="HideTWBExt"/>
          <w:b w:val="0"/>
        </w:rPr>
        <w:t>&lt;/NumAm&gt;</w:t>
      </w:r>
    </w:p>
    <w:p w:rsidR="004855AE" w:rsidRPr="00C34506" w:rsidRDefault="004855AE" w:rsidP="004855AE">
      <w:pPr>
        <w:pStyle w:val="NormalBold"/>
      </w:pPr>
      <w:r>
        <w:rPr>
          <w:rStyle w:val="HideTWBExt"/>
          <w:b w:val="0"/>
        </w:rPr>
        <w:t>&lt;RepeatBlock-By&gt;&lt;Members&gt;</w:t>
      </w:r>
      <w:r>
        <w:t>Сирпа Пиетикяйнен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за </w:t>
            </w:r>
            <w:r>
              <w:rPr>
                <w:b/>
                <w:i/>
              </w:rPr>
              <w:t>поддържане</w:t>
            </w:r>
            <w:r>
              <w:t xml:space="preserve"> на зеления 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за </w:t>
            </w:r>
            <w:r>
              <w:rPr>
                <w:b/>
                <w:i/>
              </w:rPr>
              <w:t>повишаване на равнището и ускоряване</w:t>
            </w:r>
            <w:r>
              <w:t xml:space="preserve"> на зеления преход</w:t>
            </w:r>
            <w:r>
              <w:rPr>
                <w:b/>
                <w:i/>
              </w:rPr>
              <w:t xml:space="preserve"> към нива, смятани за минимални цели от научна гледна точка</w:t>
            </w:r>
            <w:r>
              <w:t xml:space="preserve">, за създаване на качествени работни места и за допринасяне за социално сближаване във възходяща посока в контекста на </w:t>
            </w:r>
            <w:r>
              <w:lastRenderedPageBreak/>
              <w:t>геополитическа нестабилност и международно напрежение;</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133</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Евелин Регнер, Нилс Фулсанг, Клер Фита, Карла Тавареш, Томас Баяда,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1.</w:t>
            </w:r>
            <w:r>
              <w:tab/>
              <w:t>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за поддържане на зеления 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w:t>
            </w:r>
            <w:r>
              <w:rPr>
                <w:b/>
                <w:i/>
              </w:rPr>
              <w:t xml:space="preserve">спешно </w:t>
            </w:r>
            <w:r>
              <w:t>общо мобилизиране на всички финансови ресурси и налични инструменти за укрепване на сигурността и промишления и технологичния суверенитет на ЕС, за поддържане на</w:t>
            </w:r>
            <w:r>
              <w:rPr>
                <w:b/>
                <w:i/>
              </w:rPr>
              <w:t xml:space="preserve"> инвестиране в</w:t>
            </w:r>
            <w:r>
              <w:t xml:space="preserve"> зеления 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134</w:t>
      </w:r>
      <w:r>
        <w:rPr>
          <w:rStyle w:val="HideTWBExt"/>
          <w:b w:val="0"/>
        </w:rPr>
        <w:t>&lt;/NumAm&gt;</w:t>
      </w:r>
    </w:p>
    <w:p w:rsidR="004855AE" w:rsidRPr="00C34506" w:rsidRDefault="004855AE" w:rsidP="004855AE">
      <w:pPr>
        <w:pStyle w:val="NormalBold"/>
      </w:pPr>
      <w:r>
        <w:rPr>
          <w:rStyle w:val="HideTWBExt"/>
          <w:b w:val="0"/>
        </w:rPr>
        <w:t>&lt;RepeatBlock-By&gt;&lt;Members&gt;</w:t>
      </w:r>
      <w:r>
        <w:t>Михалис Хаджипандела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за </w:t>
            </w:r>
            <w:r>
              <w:lastRenderedPageBreak/>
              <w:t>поддържане на зеления 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c>
          <w:tcPr>
            <w:tcW w:w="4876" w:type="dxa"/>
            <w:tcBorders>
              <w:top w:val="nil"/>
              <w:left w:val="nil"/>
              <w:bottom w:val="nil"/>
              <w:right w:val="nil"/>
            </w:tcBorders>
          </w:tcPr>
          <w:p w:rsidR="004855AE" w:rsidRPr="00C34506" w:rsidRDefault="004855AE" w:rsidP="00061FA7">
            <w:pPr>
              <w:pStyle w:val="Normal6a"/>
            </w:pPr>
            <w:r>
              <w:lastRenderedPageBreak/>
              <w:t>1.</w:t>
            </w:r>
            <w:r>
              <w:tab/>
              <w:t xml:space="preserve">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за </w:t>
            </w:r>
            <w:r>
              <w:lastRenderedPageBreak/>
              <w:t xml:space="preserve">поддържане на зеления </w:t>
            </w:r>
            <w:r>
              <w:rPr>
                <w:b/>
                <w:i/>
              </w:rPr>
              <w:t xml:space="preserve">и цифровия </w:t>
            </w:r>
            <w:r>
              <w:t>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lang w:eastAsia="en-GB"/>
        </w:rPr>
        <w:t>&lt;Amend&gt;</w:t>
      </w:r>
      <w:r>
        <w:t>Изменение</w:t>
      </w:r>
      <w:r>
        <w:tab/>
      </w:r>
      <w:r>
        <w:tab/>
      </w:r>
      <w:r>
        <w:rPr>
          <w:rStyle w:val="HideTWBExt"/>
          <w:b w:val="0"/>
          <w:lang w:eastAsia="en-GB"/>
        </w:rPr>
        <w:t>&lt;NumAm&gt;</w:t>
      </w:r>
      <w:r>
        <w:t>135</w:t>
      </w:r>
      <w:r>
        <w:rPr>
          <w:rStyle w:val="HideTWBExt"/>
          <w:b w:val="0"/>
          <w:lang w:eastAsia="en-GB"/>
        </w:rPr>
        <w:t>&lt;/NumAm&gt;</w:t>
      </w:r>
    </w:p>
    <w:p w:rsidR="004855AE" w:rsidRPr="00C34506" w:rsidRDefault="004855AE" w:rsidP="004855AE">
      <w:pPr>
        <w:pStyle w:val="NormalBold"/>
      </w:pPr>
      <w:r>
        <w:rPr>
          <w:rStyle w:val="HideTWBExt"/>
          <w:b w:val="0"/>
          <w:lang w:eastAsia="en-GB"/>
        </w:rPr>
        <w:t>&lt;RepeatBlock-By&gt;&lt;Members&gt;</w:t>
      </w:r>
      <w:r>
        <w:t>Гийом Пелтие</w:t>
      </w:r>
      <w:r>
        <w:rPr>
          <w:rStyle w:val="HideTWBExt"/>
          <w:b w:val="0"/>
          <w:lang w:eastAsia="en-GB"/>
        </w:rPr>
        <w:t>&lt;/Members&gt;</w:t>
      </w:r>
    </w:p>
    <w:p w:rsidR="004855AE" w:rsidRPr="00C34506" w:rsidRDefault="004855AE" w:rsidP="004855AE">
      <w:pPr>
        <w:pStyle w:val="NormalBold"/>
      </w:pPr>
      <w:r>
        <w:rPr>
          <w:rStyle w:val="HideTWBExt"/>
          <w:b w:val="0"/>
          <w:lang w:eastAsia="en-GB"/>
        </w:rPr>
        <w:t>&lt;/RepeatBlock-By&gt;</w:t>
      </w:r>
    </w:p>
    <w:p w:rsidR="004855AE" w:rsidRPr="00C34506" w:rsidRDefault="004855AE" w:rsidP="004855AE">
      <w:pPr>
        <w:pStyle w:val="NormalBold"/>
      </w:pPr>
      <w:r>
        <w:rPr>
          <w:rStyle w:val="HideTWBExt"/>
          <w:b w:val="0"/>
          <w:lang w:eastAsia="en-GB"/>
        </w:rPr>
        <w:t>&lt;DocAmend&gt;</w:t>
      </w:r>
      <w:r>
        <w:t>Предложение за резолюция</w:t>
      </w:r>
      <w:r>
        <w:rPr>
          <w:rStyle w:val="HideTWBExt"/>
          <w:b w:val="0"/>
          <w:lang w:eastAsia="en-GB"/>
        </w:rPr>
        <w:t>&lt;/DocAmend&gt;</w:t>
      </w:r>
    </w:p>
    <w:p w:rsidR="004855AE" w:rsidRPr="00C34506" w:rsidRDefault="004855AE" w:rsidP="004855AE">
      <w:pPr>
        <w:pStyle w:val="NormalBold"/>
      </w:pPr>
      <w:r>
        <w:rPr>
          <w:rStyle w:val="HideTWBExt"/>
          <w:b w:val="0"/>
          <w:lang w:eastAsia="en-GB"/>
        </w:rPr>
        <w:t>&lt;Article&gt;</w:t>
      </w:r>
      <w:r>
        <w:t>Параграф 1</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1.</w:t>
            </w:r>
            <w:r>
              <w:tab/>
              <w:t>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за поддържане на зеления 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c>
          <w:tcPr>
            <w:tcW w:w="4876" w:type="dxa"/>
            <w:tcBorders>
              <w:top w:val="nil"/>
              <w:left w:val="nil"/>
              <w:bottom w:val="nil"/>
              <w:right w:val="nil"/>
            </w:tcBorders>
          </w:tcPr>
          <w:p w:rsidR="004855AE" w:rsidRPr="00C34506" w:rsidRDefault="004855AE" w:rsidP="00061FA7">
            <w:pPr>
              <w:pStyle w:val="Normal6a"/>
            </w:pPr>
            <w:r>
              <w:t>1.</w:t>
            </w:r>
            <w:r>
              <w:tab/>
              <w:t>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за поддържане на зеления 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r>
              <w:rPr>
                <w:b/>
                <w:i/>
              </w:rPr>
              <w:t xml:space="preserve"> на фона на геополитическата нестабилност и международното напрежение, както и нарастващите нива на задлъжнялост в еврозоната</w:t>
            </w:r>
            <w:r>
              <w:t>;</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{FR}</w:t>
      </w:r>
      <w:r w:rsidRPr="00C34506">
        <w:t>fr</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136</w:t>
      </w:r>
      <w:r>
        <w:rPr>
          <w:rStyle w:val="HideTWBExt"/>
          <w:b w:val="0"/>
        </w:rPr>
        <w:t>&lt;/NumAm&gt;</w:t>
      </w:r>
    </w:p>
    <w:p w:rsidR="004855AE" w:rsidRPr="00C34506" w:rsidRDefault="004855AE" w:rsidP="004855AE">
      <w:pPr>
        <w:pStyle w:val="NormalBold"/>
      </w:pPr>
      <w:r>
        <w:rPr>
          <w:rStyle w:val="HideTWBExt"/>
          <w:b w:val="0"/>
        </w:rPr>
        <w:t>&lt;RepeatBlock-By&gt;&lt;Members&gt;</w:t>
      </w:r>
      <w:r>
        <w:t>Карла Тавареш, Хонас Фернандес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lastRenderedPageBreak/>
              <w:t>1.</w:t>
            </w:r>
            <w:r>
              <w:tab/>
              <w:t>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за поддържане на зеления 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w:t>
            </w:r>
            <w:r>
              <w:rPr>
                <w:b/>
                <w:i/>
              </w:rPr>
              <w:t>включително за повишаване на устойчивостта и защитата на критичната инфраструктура, включително електроенергийните, водните и комуникационните системи, за да се защитят европейците и предприятията от ЕС и да се смекчат последиците от прекъсвания на електроснабдяването и други сериозни смущения;</w:t>
            </w:r>
            <w:r>
              <w:t xml:space="preserve"> за поддържане на зеления 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lang w:eastAsia="en-GB"/>
        </w:rPr>
        <w:t>&lt;Amend&gt;</w:t>
      </w:r>
      <w:r>
        <w:t>Изменение</w:t>
      </w:r>
      <w:r>
        <w:tab/>
      </w:r>
      <w:r>
        <w:tab/>
      </w:r>
      <w:r>
        <w:rPr>
          <w:rStyle w:val="HideTWBExt"/>
          <w:b w:val="0"/>
          <w:lang w:eastAsia="en-GB"/>
        </w:rPr>
        <w:t>&lt;NumAm&gt;</w:t>
      </w:r>
      <w:r>
        <w:t>137</w:t>
      </w:r>
      <w:r>
        <w:rPr>
          <w:rStyle w:val="HideTWBExt"/>
          <w:b w:val="0"/>
          <w:lang w:eastAsia="en-GB"/>
        </w:rPr>
        <w:t>&lt;/NumAm&gt;</w:t>
      </w:r>
    </w:p>
    <w:p w:rsidR="004855AE" w:rsidRPr="00C34506" w:rsidRDefault="004855AE" w:rsidP="004855AE">
      <w:pPr>
        <w:pStyle w:val="NormalBold"/>
      </w:pPr>
      <w:r>
        <w:rPr>
          <w:rStyle w:val="HideTWBExt"/>
          <w:b w:val="0"/>
          <w:lang w:eastAsia="en-GB"/>
        </w:rPr>
        <w:t>&lt;RepeatBlock-By&gt;&lt;Members&gt;</w:t>
      </w:r>
      <w:r>
        <w:t>Кристоф Гомар</w:t>
      </w:r>
      <w:r>
        <w:rPr>
          <w:rStyle w:val="HideTWBExt"/>
          <w:b w:val="0"/>
          <w:lang w:eastAsia="en-GB"/>
        </w:rPr>
        <w:t>&lt;/Members&gt;</w:t>
      </w:r>
    </w:p>
    <w:p w:rsidR="004855AE" w:rsidRPr="00C34506" w:rsidRDefault="004855AE" w:rsidP="004855AE">
      <w:pPr>
        <w:pStyle w:val="NormalBold"/>
      </w:pPr>
      <w:r>
        <w:rPr>
          <w:rStyle w:val="HideTWBExt"/>
          <w:b w:val="0"/>
          <w:lang w:eastAsia="en-GB"/>
        </w:rPr>
        <w:t>&lt;/RepeatBlock-By&gt;</w:t>
      </w:r>
    </w:p>
    <w:p w:rsidR="004855AE" w:rsidRPr="00C34506" w:rsidRDefault="004855AE" w:rsidP="004855AE">
      <w:pPr>
        <w:pStyle w:val="NormalBold"/>
      </w:pPr>
      <w:r>
        <w:rPr>
          <w:rStyle w:val="HideTWBExt"/>
          <w:b w:val="0"/>
          <w:lang w:eastAsia="en-GB"/>
        </w:rPr>
        <w:t>&lt;DocAmend&gt;</w:t>
      </w:r>
      <w:r>
        <w:t>Предложение за резолюция</w:t>
      </w:r>
      <w:r>
        <w:rPr>
          <w:rStyle w:val="HideTWBExt"/>
          <w:b w:val="0"/>
          <w:lang w:eastAsia="en-GB"/>
        </w:rPr>
        <w:t>&lt;/DocAmend&gt;</w:t>
      </w:r>
    </w:p>
    <w:p w:rsidR="004855AE" w:rsidRPr="00C34506" w:rsidRDefault="004855AE" w:rsidP="004855AE">
      <w:pPr>
        <w:pStyle w:val="NormalBold"/>
      </w:pPr>
      <w:r>
        <w:rPr>
          <w:rStyle w:val="HideTWBExt"/>
          <w:b w:val="0"/>
          <w:lang w:eastAsia="en-GB"/>
        </w:rPr>
        <w:t>&lt;Article&gt;</w:t>
      </w:r>
      <w:r>
        <w:t>Параграф 1</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1.</w:t>
            </w:r>
            <w:r>
              <w:tab/>
              <w:t>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за поддържане на зеления 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w:t>
            </w:r>
          </w:p>
        </w:tc>
        <w:tc>
          <w:tcPr>
            <w:tcW w:w="4876" w:type="dxa"/>
            <w:tcBorders>
              <w:top w:val="nil"/>
              <w:left w:val="nil"/>
              <w:bottom w:val="nil"/>
              <w:right w:val="nil"/>
            </w:tcBorders>
          </w:tcPr>
          <w:p w:rsidR="004855AE" w:rsidRPr="00C34506" w:rsidRDefault="004855AE" w:rsidP="00061FA7">
            <w:pPr>
              <w:pStyle w:val="Normal6a"/>
            </w:pPr>
            <w:r>
              <w:t>1.</w:t>
            </w:r>
            <w:r>
              <w:tab/>
              <w:t xml:space="preserve">призовава за общо мобилизиране на всички финансови ресурси и налични инструменти за укрепване на сигурността и промишления и технологичния суверенитет на ЕС, за поддържане на зеления преход, за създаване на качествени работни места и за допринасяне за социално сближаване във възходяща посока в контекста на геополитическа нестабилност и международно напрежение; </w:t>
            </w:r>
            <w:r>
              <w:rPr>
                <w:b/>
                <w:i/>
              </w:rPr>
              <w:t xml:space="preserve">във връзка с това отбелязва, че секюритизацията, като разпределя риска сред </w:t>
            </w:r>
            <w:r>
              <w:rPr>
                <w:b/>
                <w:i/>
              </w:rPr>
              <w:lastRenderedPageBreak/>
              <w:t xml:space="preserve">инвеститорите, които са в най-добра позиция да го поемат, представлява мощен лост за увеличаване на капацитета на частните инвеститори за финансиране на стратегическите приоритети на Съюза; </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{FR}</w:t>
      </w:r>
      <w:r w:rsidRPr="00C34506">
        <w:t>fr</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138</w:t>
      </w:r>
      <w:r>
        <w:rPr>
          <w:rStyle w:val="HideTWBExt"/>
          <w:b w:val="0"/>
        </w:rPr>
        <w:t>&lt;/NumAm&gt;</w:t>
      </w:r>
    </w:p>
    <w:p w:rsidR="004855AE" w:rsidRPr="00C34506" w:rsidRDefault="004855AE" w:rsidP="004855AE">
      <w:pPr>
        <w:pStyle w:val="NormalBold"/>
      </w:pPr>
      <w:r>
        <w:rPr>
          <w:rStyle w:val="HideTWBExt"/>
          <w:b w:val="0"/>
        </w:rPr>
        <w:t>&lt;RepeatBlock-By&gt;&lt;Members&gt;</w:t>
      </w:r>
      <w:r>
        <w:t>Реджина Дохърти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1а.</w:t>
            </w:r>
            <w:r>
              <w:tab/>
            </w:r>
            <w:r>
              <w:rPr>
                <w:b/>
                <w:i/>
              </w:rPr>
              <w:t xml:space="preserve">подчертава, че конкурентоспособността не е предизвикателство, което ще бъде преодоляно единствено с парични средства; подчертава, че ЕС не може да преодолее относителния упадък единствено чрез финансови средства; призовава Комисията и всички държави членки да предприемат действия и да прилагат правни и административни реформи, които повишават конкурентоспособността, насърчават иновациите и динамизма, рационализират бюрокрацията, намаляват разходите и регулаторната тежест за новаторите, опростяват изискванията за докладване, създават благоприятен за инвестициите климат в Европа, увеличават възможностите за търговия с трети държави, преодоляват свръхрегулирането и подобряват административното сътрудничество между държавите членки; отхвърля всяка стъпка към засилен протекционизъм на ЕС; приветства приоритета на Европейската комисия за намаляване на тежестта, </w:t>
            </w:r>
            <w:r>
              <w:rPr>
                <w:b/>
                <w:i/>
              </w:rPr>
              <w:lastRenderedPageBreak/>
              <w:t>произтичаща от законово наложени изисквания за докладване, с 25% за предприятията и с 35% за МСП; призовава този приоритет да се прилага във всички сектори;</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139</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1а.</w:t>
            </w:r>
            <w:r>
              <w:tab/>
            </w:r>
            <w:r>
              <w:rPr>
                <w:b/>
                <w:i/>
              </w:rPr>
              <w:t>подчертава значението на укрепването на доверието в банковата система, като се гарантира, че финансовата стабилност и насърчаването на ефикасен единен пазар са основни цели за ЕС; припомня, че завършването на банковия съюз е необходимо условие за постигането на тези цели, тъй като то не само ще подобри защитата на вложителите, но и ще създаде по-безопасна и по-предсказуема среда за инвестиции, което е от съществено значение за стимулиране на икономическия растеж; споделя мнението, че една съгласувана система на банков съюз ще спомогне за намаляване на разпокъсаността на пазара, ще подобри разпределението на капитала и ще засили конкурентоспособността на Съюза в световен мащаб; признава, че конкуренцията на банковия съюз трябва да бъде стратегически приоритет в задълбочаването на Икономическия и паричен съюз;</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lastRenderedPageBreak/>
        <w:t>&lt;Amend&gt;</w:t>
      </w:r>
      <w:r>
        <w:t>Изменение</w:t>
      </w:r>
      <w:r>
        <w:tab/>
      </w:r>
      <w:r>
        <w:tab/>
      </w:r>
      <w:r>
        <w:rPr>
          <w:rStyle w:val="HideTWBExt"/>
          <w:b w:val="0"/>
        </w:rPr>
        <w:t>&lt;NumAm&gt;</w:t>
      </w:r>
      <w:r>
        <w:t>140</w:t>
      </w:r>
      <w:r>
        <w:rPr>
          <w:rStyle w:val="HideTWBExt"/>
          <w:b w:val="0"/>
        </w:rPr>
        <w:t>&lt;/NumAm&gt;</w:t>
      </w:r>
    </w:p>
    <w:p w:rsidR="004855AE" w:rsidRPr="00C34506" w:rsidRDefault="004855AE" w:rsidP="004855AE">
      <w:pPr>
        <w:pStyle w:val="NormalBold"/>
      </w:pPr>
      <w:r>
        <w:rPr>
          <w:rStyle w:val="HideTWBExt"/>
          <w:b w:val="0"/>
        </w:rPr>
        <w:t>&lt;RepeatBlock-By&gt;&lt;Members&gt;</w:t>
      </w:r>
      <w:r>
        <w:t>Еникьо Дьори, Пиер Пемпи, Хорхе Мартин Фриас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1а.</w:t>
            </w:r>
            <w:r>
              <w:tab/>
            </w:r>
            <w:r>
              <w:rPr>
                <w:b/>
                <w:i/>
              </w:rPr>
              <w:t>призовава за преразглеждане на програмата за зеления преход с оглед на административната тежест, която блокира европейските предприятия, особено МСП и стартиращите предприятия; във връзка с това изразява съжаление, че Комисията, въпреки техните отрицателни икономически последици, не е отменила Директивата за отчитането на предприятията във връзка с устойчивостта (ДОПУ) и Директивата относно дължима грижа на дружествата във връзка с устойчивостта (ДДГДУ) в контекста на предложението „Омнибус“; призовава съзаконодателите значително да намалят излишната бюрокрация по време на преговорите по „предложението за съдържанието“ на пакета „Омнибус“;</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141</w:t>
      </w:r>
      <w:r>
        <w:rPr>
          <w:rStyle w:val="HideTWBExt"/>
          <w:b w:val="0"/>
        </w:rPr>
        <w:t>&lt;/NumAm&gt;</w:t>
      </w:r>
    </w:p>
    <w:p w:rsidR="004855AE" w:rsidRPr="00C34506" w:rsidRDefault="004855AE" w:rsidP="004855AE">
      <w:pPr>
        <w:pStyle w:val="NormalBold"/>
      </w:pPr>
      <w:r>
        <w:rPr>
          <w:rStyle w:val="HideTWBExt"/>
          <w:b w:val="0"/>
        </w:rPr>
        <w:t>&lt;RepeatBlock-By&gt;&lt;Members&gt;</w:t>
      </w:r>
      <w:r>
        <w:t>Еникьо Дьори, Пиер Пемпи, Хорхе Мартин Фриас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1 б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1б.</w:t>
            </w:r>
            <w:r>
              <w:tab/>
            </w:r>
            <w:r>
              <w:rPr>
                <w:b/>
                <w:i/>
              </w:rPr>
              <w:t xml:space="preserve">призовава Комисията да представи допълнителни предложения за намаляване на административната тежест, за да се увеличат наличните финансови </w:t>
            </w:r>
            <w:r>
              <w:rPr>
                <w:b/>
                <w:i/>
              </w:rPr>
              <w:lastRenderedPageBreak/>
              <w:t>ресурси на дружествата от ЕС; отново подчертава, че е важно да се създаде наистина благоприятна за бизнеса и инвестициите среда;</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142</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2.</w:t>
            </w:r>
            <w:r>
              <w:tab/>
              <w:t>приветства подновения дебат относно необходимостта от възстановяване на производителността в ЕС, подсилен от докладите на Драги и Лета;</w:t>
            </w:r>
          </w:p>
        </w:tc>
        <w:tc>
          <w:tcPr>
            <w:tcW w:w="4876" w:type="dxa"/>
            <w:tcBorders>
              <w:top w:val="nil"/>
              <w:left w:val="nil"/>
              <w:bottom w:val="nil"/>
              <w:right w:val="nil"/>
            </w:tcBorders>
          </w:tcPr>
          <w:p w:rsidR="004855AE" w:rsidRPr="00C34506" w:rsidRDefault="004855AE" w:rsidP="00061FA7">
            <w:pPr>
              <w:pStyle w:val="Normal6a"/>
            </w:pPr>
            <w:r>
              <w:t>2.</w:t>
            </w:r>
            <w:r>
              <w:tab/>
              <w:t xml:space="preserve">приветства подновения дебат относно необходимостта от възстановяване на производителността в ЕС, подсилен от докладите на Драги и Лета; </w:t>
            </w:r>
            <w:r>
              <w:rPr>
                <w:b/>
                <w:i/>
              </w:rPr>
              <w:t>припомня, че повишаването на производителността би могло да се постигне главно чрез инвестиции в иновативни дейности; признава, че изграждането на устойчива икономика представлява важно конкурентно предимство на икономиката на ЕС и крайъгълен камък на икономическия суверенитет на ЕС; изразява твърдо убеждение, че разработването на стабилна и надеждна рамка за устойчиво финансиране е от основно значение за насочването на инвестициите в съответствие с дългосрочните цели на ЕС и за привличането на международни инвеститори;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143</w:t>
      </w:r>
      <w:r>
        <w:rPr>
          <w:rStyle w:val="HideTWBExt"/>
          <w:b w:val="0"/>
        </w:rPr>
        <w:t>&lt;/NumAm&gt;</w:t>
      </w:r>
    </w:p>
    <w:p w:rsidR="004855AE" w:rsidRPr="00C34506" w:rsidRDefault="004855AE" w:rsidP="004855AE">
      <w:pPr>
        <w:pStyle w:val="NormalBold"/>
      </w:pPr>
      <w:r>
        <w:rPr>
          <w:rStyle w:val="HideTWBExt"/>
          <w:b w:val="0"/>
        </w:rPr>
        <w:t>&lt;RepeatBlock-By&gt;&lt;Members&gt;</w:t>
      </w:r>
      <w:r>
        <w:t>Реджина Дохърти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lastRenderedPageBreak/>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2.</w:t>
            </w:r>
            <w:r>
              <w:tab/>
              <w:t xml:space="preserve">приветства подновения дебат относно необходимостта от </w:t>
            </w:r>
            <w:r>
              <w:rPr>
                <w:b/>
                <w:i/>
              </w:rPr>
              <w:t>възстановяване</w:t>
            </w:r>
            <w:r>
              <w:t xml:space="preserve"> на </w:t>
            </w:r>
            <w:r>
              <w:rPr>
                <w:b/>
                <w:i/>
              </w:rPr>
              <w:t>производителността</w:t>
            </w:r>
            <w:r>
              <w:t xml:space="preserve"> в ЕС, подсилен от докладите на Драги и Лета;</w:t>
            </w:r>
          </w:p>
        </w:tc>
        <w:tc>
          <w:tcPr>
            <w:tcW w:w="4876" w:type="dxa"/>
            <w:tcBorders>
              <w:top w:val="nil"/>
              <w:left w:val="nil"/>
              <w:bottom w:val="nil"/>
              <w:right w:val="nil"/>
            </w:tcBorders>
          </w:tcPr>
          <w:p w:rsidR="004855AE" w:rsidRPr="00C34506" w:rsidRDefault="004855AE" w:rsidP="00061FA7">
            <w:pPr>
              <w:pStyle w:val="Normal6a"/>
            </w:pPr>
            <w:r>
              <w:t>2.</w:t>
            </w:r>
            <w:r>
              <w:tab/>
            </w:r>
            <w:r>
              <w:rPr>
                <w:b/>
                <w:i/>
              </w:rPr>
              <w:t>подчертава, че твърде много капитали не се използват продуктивно в ЕС; подчертава, че предприятията, особено МСП, не са в състояние да се възползват в пълна степен от съществуващите капиталови пазари в Европа за финансиране и инвестиции;</w:t>
            </w:r>
            <w:r>
              <w:t xml:space="preserve"> приветства подновения дебат относно необходимостта от </w:t>
            </w:r>
            <w:r>
              <w:rPr>
                <w:b/>
                <w:i/>
              </w:rPr>
              <w:t>подобряване</w:t>
            </w:r>
            <w:r>
              <w:t xml:space="preserve"> на </w:t>
            </w:r>
            <w:r>
              <w:rPr>
                <w:b/>
                <w:i/>
              </w:rPr>
              <w:t>конкурентоспособността</w:t>
            </w:r>
            <w:r>
              <w:t xml:space="preserve"> в ЕС, подсилен от докладите на Драги и Лета;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144</w:t>
      </w:r>
      <w:r>
        <w:rPr>
          <w:rStyle w:val="HideTWBExt"/>
          <w:b w:val="0"/>
        </w:rPr>
        <w:t>&lt;/NumAm&gt;</w:t>
      </w:r>
    </w:p>
    <w:p w:rsidR="004855AE" w:rsidRPr="00C34506" w:rsidRDefault="004855AE" w:rsidP="004855AE">
      <w:pPr>
        <w:pStyle w:val="NormalBold"/>
      </w:pPr>
      <w:r>
        <w:rPr>
          <w:rStyle w:val="HideTWBExt"/>
          <w:b w:val="0"/>
        </w:rPr>
        <w:t>&lt;RepeatBlock-By&gt;&lt;Members&gt;</w:t>
      </w:r>
      <w:r>
        <w:t>Михалис Хаджипандела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2.</w:t>
            </w:r>
            <w:r>
              <w:tab/>
              <w:t xml:space="preserve">приветства подновения дебат относно </w:t>
            </w:r>
            <w:r>
              <w:rPr>
                <w:b/>
                <w:i/>
              </w:rPr>
              <w:t>необходимостта</w:t>
            </w:r>
            <w:r>
              <w:t xml:space="preserve"> от възстановяване на </w:t>
            </w:r>
            <w:r>
              <w:rPr>
                <w:b/>
                <w:i/>
              </w:rPr>
              <w:t>производителността в</w:t>
            </w:r>
            <w:r>
              <w:t xml:space="preserve"> ЕС, </w:t>
            </w:r>
            <w:r>
              <w:rPr>
                <w:b/>
                <w:i/>
              </w:rPr>
              <w:t>подсилен</w:t>
            </w:r>
            <w:r>
              <w:t xml:space="preserve"> от докладите на Драги и Лета;</w:t>
            </w:r>
          </w:p>
        </w:tc>
        <w:tc>
          <w:tcPr>
            <w:tcW w:w="4876" w:type="dxa"/>
            <w:tcBorders>
              <w:top w:val="nil"/>
              <w:left w:val="nil"/>
              <w:bottom w:val="nil"/>
              <w:right w:val="nil"/>
            </w:tcBorders>
          </w:tcPr>
          <w:p w:rsidR="004855AE" w:rsidRPr="00C34506" w:rsidRDefault="004855AE" w:rsidP="00061FA7">
            <w:pPr>
              <w:pStyle w:val="Normal6a"/>
            </w:pPr>
            <w:r>
              <w:t>2.</w:t>
            </w:r>
            <w:r>
              <w:tab/>
              <w:t xml:space="preserve">приветства подновения дебат относно </w:t>
            </w:r>
            <w:r>
              <w:rPr>
                <w:b/>
                <w:i/>
              </w:rPr>
              <w:t>спешната необходимост</w:t>
            </w:r>
            <w:r>
              <w:t xml:space="preserve"> от възстановяване </w:t>
            </w:r>
            <w:r>
              <w:rPr>
                <w:b/>
                <w:i/>
              </w:rPr>
              <w:t xml:space="preserve">и повишаване </w:t>
            </w:r>
            <w:r>
              <w:t xml:space="preserve">на </w:t>
            </w:r>
            <w:r>
              <w:rPr>
                <w:b/>
                <w:i/>
              </w:rPr>
              <w:t>конкурентоспособността и икономическия растеж на</w:t>
            </w:r>
            <w:r>
              <w:t xml:space="preserve"> ЕС, </w:t>
            </w:r>
            <w:r>
              <w:rPr>
                <w:b/>
                <w:i/>
              </w:rPr>
              <w:t>стимулиран</w:t>
            </w:r>
            <w:r>
              <w:t xml:space="preserve"> от докладите на Драги и Лета</w:t>
            </w:r>
            <w:r>
              <w:rPr>
                <w:b/>
                <w:i/>
              </w:rPr>
              <w:t>, които предоставят решаващ тласък за стратегически инвестиции и структурни реформи в целия Европейски съюз</w:t>
            </w:r>
            <w:r>
              <w:t>;</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145</w:t>
      </w:r>
      <w:r>
        <w:rPr>
          <w:rStyle w:val="HideTWBExt"/>
          <w:b w:val="0"/>
        </w:rPr>
        <w:t>&lt;/NumAm&gt;</w:t>
      </w:r>
    </w:p>
    <w:p w:rsidR="004855AE" w:rsidRPr="00C34506" w:rsidRDefault="004855AE" w:rsidP="004855AE">
      <w:pPr>
        <w:pStyle w:val="NormalBold"/>
      </w:pPr>
      <w:r>
        <w:rPr>
          <w:rStyle w:val="HideTWBExt"/>
          <w:b w:val="0"/>
        </w:rPr>
        <w:t>&lt;RepeatBlock-By&gt;&lt;Members&gt;</w:t>
      </w:r>
      <w:r>
        <w:t>Сирпа Пиетикяйнен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lastRenderedPageBreak/>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2.</w:t>
            </w:r>
            <w:r>
              <w:tab/>
              <w:t xml:space="preserve">приветства подновения дебат относно необходимостта от възстановяване на производителността в ЕС, </w:t>
            </w:r>
            <w:r>
              <w:rPr>
                <w:b/>
                <w:i/>
              </w:rPr>
              <w:t>подсилен от докладите на Драги</w:t>
            </w:r>
            <w:r>
              <w:t xml:space="preserve"> и </w:t>
            </w:r>
            <w:r>
              <w:rPr>
                <w:b/>
                <w:i/>
              </w:rPr>
              <w:t>Лета</w:t>
            </w:r>
            <w:r>
              <w:t>;</w:t>
            </w:r>
          </w:p>
        </w:tc>
        <w:tc>
          <w:tcPr>
            <w:tcW w:w="4876" w:type="dxa"/>
            <w:tcBorders>
              <w:top w:val="nil"/>
              <w:left w:val="nil"/>
              <w:bottom w:val="nil"/>
              <w:right w:val="nil"/>
            </w:tcBorders>
          </w:tcPr>
          <w:p w:rsidR="004855AE" w:rsidRPr="00C34506" w:rsidRDefault="004855AE" w:rsidP="00061FA7">
            <w:pPr>
              <w:pStyle w:val="Normal6a"/>
            </w:pPr>
            <w:r>
              <w:t>2.</w:t>
            </w:r>
            <w:r>
              <w:tab/>
              <w:t>приветства подновения дебат</w:t>
            </w:r>
            <w:r>
              <w:rPr>
                <w:b/>
                <w:i/>
              </w:rPr>
              <w:t>, подсилен от докладите на Драги и Лета,</w:t>
            </w:r>
            <w:r>
              <w:t xml:space="preserve"> относно необходимостта от възстановяване на производителността в ЕС</w:t>
            </w:r>
            <w:r>
              <w:rPr>
                <w:b/>
                <w:i/>
              </w:rPr>
              <w:t xml:space="preserve"> по начин</w:t>
            </w:r>
            <w:r>
              <w:t xml:space="preserve">, </w:t>
            </w:r>
            <w:r>
              <w:rPr>
                <w:b/>
                <w:i/>
              </w:rPr>
              <w:t>който е устойчив от социална</w:t>
            </w:r>
            <w:r>
              <w:t xml:space="preserve"> и </w:t>
            </w:r>
            <w:r>
              <w:rPr>
                <w:b/>
                <w:i/>
              </w:rPr>
              <w:t>екологична гледна точка</w:t>
            </w:r>
            <w:r>
              <w:t>;</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146</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2.</w:t>
            </w:r>
            <w:r>
              <w:tab/>
              <w:t>приветства подновения дебат относно необходимостта от възстановяване на производителността в ЕС, подсилен от докладите на Драги и Лета;</w:t>
            </w:r>
          </w:p>
        </w:tc>
        <w:tc>
          <w:tcPr>
            <w:tcW w:w="4876" w:type="dxa"/>
            <w:tcBorders>
              <w:top w:val="nil"/>
              <w:left w:val="nil"/>
              <w:bottom w:val="nil"/>
              <w:right w:val="nil"/>
            </w:tcBorders>
          </w:tcPr>
          <w:p w:rsidR="004855AE" w:rsidRPr="00C34506" w:rsidRDefault="004855AE" w:rsidP="00061FA7">
            <w:pPr>
              <w:pStyle w:val="Normal6a"/>
            </w:pPr>
            <w:r>
              <w:t>2.</w:t>
            </w:r>
            <w:r>
              <w:tab/>
              <w:t xml:space="preserve">приветства подновения дебат относно необходимостта от възстановяване на </w:t>
            </w:r>
            <w:r>
              <w:rPr>
                <w:b/>
                <w:i/>
              </w:rPr>
              <w:t xml:space="preserve">ръста на </w:t>
            </w:r>
            <w:r>
              <w:t>производителността</w:t>
            </w:r>
            <w:r>
              <w:rPr>
                <w:b/>
                <w:i/>
              </w:rPr>
              <w:t xml:space="preserve"> и следователно на икономическия растеж</w:t>
            </w:r>
            <w:r>
              <w:t xml:space="preserve"> в ЕС, подсилен от докладите на Драги и Лета;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147</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2.</w:t>
            </w:r>
            <w:r>
              <w:tab/>
              <w:t>приветства подновения дебат относно необходимостта от възстановяване на производителността в ЕС, подсилен от докладите на Драги и Лета;</w:t>
            </w:r>
          </w:p>
        </w:tc>
        <w:tc>
          <w:tcPr>
            <w:tcW w:w="4876" w:type="dxa"/>
            <w:tcBorders>
              <w:top w:val="nil"/>
              <w:left w:val="nil"/>
              <w:bottom w:val="nil"/>
              <w:right w:val="nil"/>
            </w:tcBorders>
          </w:tcPr>
          <w:p w:rsidR="004855AE" w:rsidRPr="00C34506" w:rsidRDefault="004855AE" w:rsidP="00061FA7">
            <w:pPr>
              <w:pStyle w:val="Normal6a"/>
            </w:pPr>
            <w:r>
              <w:t>2.</w:t>
            </w:r>
            <w:r>
              <w:tab/>
              <w:t xml:space="preserve">приветства подновения дебат относно необходимостта от възстановяване на </w:t>
            </w:r>
            <w:r>
              <w:rPr>
                <w:b/>
                <w:i/>
              </w:rPr>
              <w:t xml:space="preserve">конкурентоспособността и </w:t>
            </w:r>
            <w:r>
              <w:t>производителността в ЕС, подсилен от докладите на Драги и Лета;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lastRenderedPageBreak/>
        <w:t>&lt;/Amend&gt;</w:t>
      </w:r>
    </w:p>
    <w:p w:rsidR="004855AE" w:rsidRPr="00C34506" w:rsidRDefault="004855AE" w:rsidP="004855AE">
      <w:pPr>
        <w:pStyle w:val="AmNumberTabs"/>
      </w:pPr>
      <w:r>
        <w:rPr>
          <w:rStyle w:val="HideTWBExt"/>
          <w:b w:val="0"/>
          <w:lang w:eastAsia="en-GB"/>
        </w:rPr>
        <w:t>&lt;Amend&gt;</w:t>
      </w:r>
      <w:r>
        <w:t>Изменение</w:t>
      </w:r>
      <w:r>
        <w:tab/>
      </w:r>
      <w:r>
        <w:tab/>
      </w:r>
      <w:r>
        <w:rPr>
          <w:rStyle w:val="HideTWBExt"/>
          <w:b w:val="0"/>
          <w:lang w:eastAsia="en-GB"/>
        </w:rPr>
        <w:t>&lt;NumAm&gt;</w:t>
      </w:r>
      <w:r>
        <w:t>148</w:t>
      </w:r>
      <w:r>
        <w:rPr>
          <w:rStyle w:val="HideTWBExt"/>
          <w:b w:val="0"/>
          <w:lang w:eastAsia="en-GB"/>
        </w:rPr>
        <w:t>&lt;/NumAm&gt;</w:t>
      </w:r>
    </w:p>
    <w:p w:rsidR="004855AE" w:rsidRPr="00C34506" w:rsidRDefault="004855AE" w:rsidP="004855AE">
      <w:pPr>
        <w:pStyle w:val="NormalBold"/>
      </w:pPr>
      <w:r>
        <w:rPr>
          <w:rStyle w:val="HideTWBExt"/>
          <w:b w:val="0"/>
          <w:lang w:eastAsia="en-GB"/>
        </w:rPr>
        <w:t>&lt;RepeatBlock-By&gt;&lt;Members&gt;</w:t>
      </w:r>
      <w:r>
        <w:t>Кристоф Гомар</w:t>
      </w:r>
      <w:r>
        <w:rPr>
          <w:rStyle w:val="HideTWBExt"/>
          <w:b w:val="0"/>
          <w:lang w:eastAsia="en-GB"/>
        </w:rPr>
        <w:t>&lt;/Members&gt;</w:t>
      </w:r>
    </w:p>
    <w:p w:rsidR="004855AE" w:rsidRPr="00C34506" w:rsidRDefault="004855AE" w:rsidP="004855AE">
      <w:pPr>
        <w:pStyle w:val="NormalBold"/>
      </w:pPr>
      <w:r>
        <w:rPr>
          <w:rStyle w:val="HideTWBExt"/>
          <w:b w:val="0"/>
          <w:lang w:eastAsia="en-GB"/>
        </w:rPr>
        <w:t>&lt;/RepeatBlock-By&gt;</w:t>
      </w:r>
    </w:p>
    <w:p w:rsidR="004855AE" w:rsidRPr="00C34506" w:rsidRDefault="004855AE" w:rsidP="004855AE">
      <w:pPr>
        <w:pStyle w:val="NormalBold"/>
      </w:pPr>
      <w:r>
        <w:rPr>
          <w:rStyle w:val="HideTWBExt"/>
          <w:b w:val="0"/>
          <w:lang w:eastAsia="en-GB"/>
        </w:rPr>
        <w:t>&lt;DocAmend&gt;</w:t>
      </w:r>
      <w:r>
        <w:t>Предложение за резолюция</w:t>
      </w:r>
      <w:r>
        <w:rPr>
          <w:rStyle w:val="HideTWBExt"/>
          <w:b w:val="0"/>
          <w:lang w:eastAsia="en-GB"/>
        </w:rPr>
        <w:t>&lt;/DocAmend&gt;</w:t>
      </w:r>
    </w:p>
    <w:p w:rsidR="004855AE" w:rsidRPr="00C34506" w:rsidRDefault="004855AE" w:rsidP="004855AE">
      <w:pPr>
        <w:pStyle w:val="NormalBold"/>
      </w:pPr>
      <w:r>
        <w:rPr>
          <w:rStyle w:val="HideTWBExt"/>
          <w:b w:val="0"/>
          <w:lang w:eastAsia="en-GB"/>
        </w:rPr>
        <w:t>&lt;Article&gt;</w:t>
      </w:r>
      <w:r>
        <w:t>Параграф 2</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2.</w:t>
            </w:r>
            <w:r>
              <w:tab/>
              <w:t>приветства подновения дебат относно необходимостта от възстановяване на производителността в ЕС, подсилен от докладите на Драги и Лета;</w:t>
            </w:r>
          </w:p>
        </w:tc>
        <w:tc>
          <w:tcPr>
            <w:tcW w:w="4876" w:type="dxa"/>
            <w:tcBorders>
              <w:top w:val="nil"/>
              <w:left w:val="nil"/>
              <w:bottom w:val="nil"/>
              <w:right w:val="nil"/>
            </w:tcBorders>
          </w:tcPr>
          <w:p w:rsidR="004855AE" w:rsidRPr="00C34506" w:rsidRDefault="004855AE" w:rsidP="00061FA7">
            <w:pPr>
              <w:pStyle w:val="Normal6a"/>
            </w:pPr>
            <w:r>
              <w:t>2.</w:t>
            </w:r>
            <w:r>
              <w:tab/>
              <w:t xml:space="preserve">приветства подновения дебат относно необходимостта от възстановяване на производителността </w:t>
            </w:r>
            <w:r>
              <w:rPr>
                <w:b/>
                <w:i/>
              </w:rPr>
              <w:t xml:space="preserve">и конкурентоспособността </w:t>
            </w:r>
            <w:r>
              <w:t>в ЕС, подсилен от докладите на Драги и Лета;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{FR}</w:t>
      </w:r>
      <w:r w:rsidRPr="00C34506">
        <w:t>fr</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149</w:t>
      </w:r>
      <w:r>
        <w:rPr>
          <w:rStyle w:val="HideTWBExt"/>
          <w:b w:val="0"/>
        </w:rPr>
        <w:t>&lt;/NumAm&gt;</w:t>
      </w:r>
    </w:p>
    <w:p w:rsidR="004855AE" w:rsidRPr="00C34506" w:rsidRDefault="004855AE" w:rsidP="004855AE">
      <w:pPr>
        <w:pStyle w:val="NormalBold"/>
      </w:pPr>
      <w:r>
        <w:rPr>
          <w:rStyle w:val="HideTWBExt"/>
          <w:b w:val="0"/>
        </w:rPr>
        <w:t>&lt;RepeatBlock-By&gt;&lt;Members&gt;</w:t>
      </w:r>
      <w:r>
        <w:t>Арба Кокалари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2.</w:t>
            </w:r>
            <w:r>
              <w:tab/>
              <w:t>приветства подновения дебат относно необходимостта от възстановяване на производителността в ЕС, подсилен от докладите на Драги и Лета;</w:t>
            </w:r>
          </w:p>
        </w:tc>
        <w:tc>
          <w:tcPr>
            <w:tcW w:w="4876" w:type="dxa"/>
            <w:tcBorders>
              <w:top w:val="nil"/>
              <w:left w:val="nil"/>
              <w:bottom w:val="nil"/>
              <w:right w:val="nil"/>
            </w:tcBorders>
          </w:tcPr>
          <w:p w:rsidR="004855AE" w:rsidRPr="00C34506" w:rsidRDefault="004855AE" w:rsidP="00061FA7">
            <w:pPr>
              <w:pStyle w:val="Normal6a"/>
            </w:pPr>
            <w:r>
              <w:t>2.</w:t>
            </w:r>
            <w:r>
              <w:tab/>
              <w:t xml:space="preserve">приветства подновения дебат относно необходимостта от възстановяване на производителността </w:t>
            </w:r>
            <w:r>
              <w:rPr>
                <w:b/>
                <w:i/>
              </w:rPr>
              <w:t xml:space="preserve">и конкурентоспособността </w:t>
            </w:r>
            <w:r>
              <w:t>в ЕС, подсилен от докладите на Драги и Лета;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150</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2.</w:t>
            </w:r>
            <w:r>
              <w:tab/>
              <w:t xml:space="preserve">приветства подновения дебат относно необходимостта от възстановяване на производителността в ЕС, подсилен от докладите на Драги и </w:t>
            </w:r>
            <w:r>
              <w:lastRenderedPageBreak/>
              <w:t>Лета;</w:t>
            </w:r>
          </w:p>
        </w:tc>
        <w:tc>
          <w:tcPr>
            <w:tcW w:w="4876" w:type="dxa"/>
            <w:tcBorders>
              <w:top w:val="nil"/>
              <w:left w:val="nil"/>
              <w:bottom w:val="nil"/>
              <w:right w:val="nil"/>
            </w:tcBorders>
          </w:tcPr>
          <w:p w:rsidR="004855AE" w:rsidRPr="00C34506" w:rsidRDefault="004855AE" w:rsidP="00061FA7">
            <w:pPr>
              <w:pStyle w:val="Normal6a"/>
            </w:pPr>
            <w:r>
              <w:lastRenderedPageBreak/>
              <w:t>2.</w:t>
            </w:r>
            <w:r>
              <w:tab/>
              <w:t xml:space="preserve">приветства подновения дебат относно необходимостта от възстановяване на производителността в ЕС, подсилен от докладите на Драги и </w:t>
            </w:r>
            <w:r>
              <w:lastRenderedPageBreak/>
              <w:t xml:space="preserve">Лета; </w:t>
            </w:r>
            <w:r>
              <w:rPr>
                <w:b/>
                <w:i/>
              </w:rPr>
              <w:t>споделя мнението, че Европа изостава от своите конкуренти поради регулаторното претоварване и силната държавна намеса, които изкривиха пазарите и обезкуражиха разпространението на нови дружества и растежа на съществуващите;</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151</w:t>
      </w:r>
      <w:r>
        <w:rPr>
          <w:rStyle w:val="HideTWBExt"/>
          <w:b w:val="0"/>
        </w:rPr>
        <w:t>&lt;/NumAm&gt;</w:t>
      </w:r>
    </w:p>
    <w:p w:rsidR="004855AE" w:rsidRPr="00C34506" w:rsidRDefault="004855AE" w:rsidP="004855AE">
      <w:pPr>
        <w:pStyle w:val="NormalBold"/>
      </w:pPr>
      <w:r>
        <w:rPr>
          <w:rStyle w:val="HideTWBExt"/>
          <w:b w:val="0"/>
        </w:rPr>
        <w:t>&lt;RepeatBlock-By&gt;&lt;Members&gt;</w:t>
      </w:r>
      <w:r>
        <w:t>Фернандо Наварете Рохас,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2.</w:t>
            </w:r>
            <w:r>
              <w:tab/>
              <w:t>приветства подновения дебат относно необходимостта от възстановяване на производителността в ЕС, подсилен от докладите на Драги и Лета;</w:t>
            </w:r>
          </w:p>
        </w:tc>
        <w:tc>
          <w:tcPr>
            <w:tcW w:w="4876" w:type="dxa"/>
            <w:tcBorders>
              <w:top w:val="nil"/>
              <w:left w:val="nil"/>
              <w:bottom w:val="nil"/>
              <w:right w:val="nil"/>
            </w:tcBorders>
          </w:tcPr>
          <w:p w:rsidR="004855AE" w:rsidRPr="00C34506" w:rsidRDefault="004855AE" w:rsidP="00061FA7">
            <w:pPr>
              <w:pStyle w:val="Normal6a"/>
            </w:pPr>
            <w:r>
              <w:t>2.</w:t>
            </w:r>
            <w:r>
              <w:tab/>
              <w:t xml:space="preserve">приветства подновения дебат относно необходимостта от възстановяване на производителността в ЕС, подсилен от докладите на Драги и Лета; </w:t>
            </w:r>
            <w:r>
              <w:rPr>
                <w:b/>
                <w:i/>
              </w:rPr>
              <w:t>подчертава, че Европа изостава и рискът нашият регион да изгуби своето значение би могъл да възникне, ако не бъдат предприети по-нататъшни действия;</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152</w:t>
      </w:r>
      <w:r>
        <w:rPr>
          <w:rStyle w:val="HideTWBExt"/>
          <w:b w:val="0"/>
        </w:rPr>
        <w:t>&lt;/NumAm&gt;</w:t>
      </w:r>
    </w:p>
    <w:p w:rsidR="004855AE" w:rsidRPr="00C34506" w:rsidRDefault="004855AE" w:rsidP="004855AE">
      <w:pPr>
        <w:pStyle w:val="NormalBold"/>
      </w:pPr>
      <w:r>
        <w:rPr>
          <w:rStyle w:val="HideTWBExt"/>
          <w:b w:val="0"/>
        </w:rPr>
        <w:t>&lt;RepeatBlock-By&gt;&lt;Members&gt;</w:t>
      </w:r>
      <w:r>
        <w:t>Ауке Зейлстра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2.</w:t>
            </w:r>
            <w:r>
              <w:tab/>
              <w:t>приветства подновения дебат относно необходимостта от възстановяване на производителността в ЕС, подсилен от докладите на Драги и Лета;</w:t>
            </w:r>
          </w:p>
        </w:tc>
        <w:tc>
          <w:tcPr>
            <w:tcW w:w="4876" w:type="dxa"/>
            <w:tcBorders>
              <w:top w:val="nil"/>
              <w:left w:val="nil"/>
              <w:bottom w:val="nil"/>
              <w:right w:val="nil"/>
            </w:tcBorders>
          </w:tcPr>
          <w:p w:rsidR="004855AE" w:rsidRPr="00C34506" w:rsidRDefault="004855AE" w:rsidP="00061FA7">
            <w:pPr>
              <w:pStyle w:val="Normal6a"/>
            </w:pPr>
            <w:r>
              <w:t>2.</w:t>
            </w:r>
            <w:r>
              <w:tab/>
              <w:t xml:space="preserve">приветства подновения дебат относно необходимостта от възстановяване на производителността в ЕС, подсилен от докладите на Драги и Лета; </w:t>
            </w:r>
            <w:r>
              <w:rPr>
                <w:b/>
                <w:i/>
              </w:rPr>
              <w:t xml:space="preserve">посочва, че възстановяването на производителността предполага, че </w:t>
            </w:r>
            <w:r>
              <w:rPr>
                <w:b/>
                <w:i/>
              </w:rPr>
              <w:lastRenderedPageBreak/>
              <w:t>европейската производителна икономика и преди това е била конкурентоспособна, което означава преди единния пазар и единната валута;</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153</w:t>
      </w:r>
      <w:r>
        <w:rPr>
          <w:rStyle w:val="HideTWBExt"/>
          <w:b w:val="0"/>
        </w:rPr>
        <w:t>&lt;/NumAm&gt;</w:t>
      </w:r>
    </w:p>
    <w:p w:rsidR="004855AE" w:rsidRPr="00C34506" w:rsidRDefault="004855AE" w:rsidP="004855AE">
      <w:pPr>
        <w:pStyle w:val="NormalBold"/>
      </w:pPr>
      <w:r>
        <w:rPr>
          <w:rStyle w:val="HideTWBExt"/>
          <w:b w:val="0"/>
        </w:rPr>
        <w:t>&lt;RepeatBlock-By&gt;&lt;Members&gt;</w:t>
      </w:r>
      <w:r>
        <w:t>Кинга Колар,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2.</w:t>
            </w:r>
            <w:r>
              <w:tab/>
              <w:t>приветства подновения дебат относно необходимостта от възстановяване на производителността в ЕС, подсилен от докладите на Драги и Лета;</w:t>
            </w:r>
          </w:p>
        </w:tc>
        <w:tc>
          <w:tcPr>
            <w:tcW w:w="4876" w:type="dxa"/>
            <w:tcBorders>
              <w:top w:val="nil"/>
              <w:left w:val="nil"/>
              <w:bottom w:val="nil"/>
              <w:right w:val="nil"/>
            </w:tcBorders>
          </w:tcPr>
          <w:p w:rsidR="004855AE" w:rsidRPr="00C34506" w:rsidRDefault="004855AE" w:rsidP="00061FA7">
            <w:pPr>
              <w:pStyle w:val="Normal6a"/>
            </w:pPr>
            <w:r>
              <w:t>2.</w:t>
            </w:r>
            <w:r>
              <w:tab/>
              <w:t xml:space="preserve">приветства подновения дебат относно необходимостта от възстановяване на производителността в ЕС, подсилен от докладите на Драги и Лета; </w:t>
            </w:r>
            <w:r>
              <w:rPr>
                <w:b/>
                <w:i/>
              </w:rPr>
              <w:t>посочва, че конкуренцията стимулира производителността, инвестициите и иновациите;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154</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2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2а.</w:t>
            </w:r>
            <w:r>
              <w:tab/>
            </w:r>
            <w:r>
              <w:rPr>
                <w:b/>
                <w:i/>
              </w:rPr>
              <w:t>подчертава, че опростяването и намаляването на бюрократичната тежест е ключов елемент за подобряване на конкурентоспособността на Съюза; приветства ангажимента на Европейската комисия към тази цел и към първите предложения в това отношение, като например „омнибус“ за устойчивостта;</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155</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2 б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2б.</w:t>
            </w:r>
            <w:r>
              <w:tab/>
            </w:r>
            <w:r>
              <w:rPr>
                <w:b/>
                <w:i/>
              </w:rPr>
              <w:t>посочва, че броят и сложността на мерките от ниво 2 и ниво 3 в частност се превърнаха в основен двигател на административната тежест в законодателството на Съюза в областта на финансовите услуги; приканва Комисията и ЕНО да направят оценка на начините за намаляване на броя и сложността на предстоящите делегирани актове, актове за изпълнение, въпроси и насоки; подчертава, че ЕНО следва стриктно да се придържат към мандата, предоставен от европейския законодател;</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156</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3.</w:t>
            </w:r>
            <w:r>
              <w:tab/>
              <w:t xml:space="preserve">признава тези доклади като повик за събуждане за лицата, отговорни за вземането на решения на европейско и национално равнище, както и като </w:t>
            </w:r>
            <w:r>
              <w:rPr>
                <w:b/>
                <w:i/>
              </w:rPr>
              <w:t>отправна</w:t>
            </w:r>
            <w:r>
              <w:t xml:space="preserve"> точка за действия за насърчаване както на частните, така и на публичните инвестиции;</w:t>
            </w:r>
          </w:p>
        </w:tc>
        <w:tc>
          <w:tcPr>
            <w:tcW w:w="4876" w:type="dxa"/>
            <w:tcBorders>
              <w:top w:val="nil"/>
              <w:left w:val="nil"/>
              <w:bottom w:val="nil"/>
              <w:right w:val="nil"/>
            </w:tcBorders>
          </w:tcPr>
          <w:p w:rsidR="004855AE" w:rsidRPr="00C34506" w:rsidRDefault="004855AE" w:rsidP="00061FA7">
            <w:pPr>
              <w:pStyle w:val="Normal6a"/>
            </w:pPr>
            <w:r>
              <w:t>3.</w:t>
            </w:r>
            <w:r>
              <w:tab/>
              <w:t xml:space="preserve">признава тези доклади като повик за събуждане за лицата, отговорни за вземането на решения на европейско и национално равнище, както и като </w:t>
            </w:r>
            <w:r>
              <w:rPr>
                <w:b/>
                <w:i/>
              </w:rPr>
              <w:t>повратна</w:t>
            </w:r>
            <w:r>
              <w:t xml:space="preserve"> точка за действия за насърчаване както на частните, така и на публичните инвестиции; </w:t>
            </w:r>
            <w:r>
              <w:rPr>
                <w:b/>
                <w:i/>
              </w:rPr>
              <w:t xml:space="preserve">припомня, че усилията на </w:t>
            </w:r>
            <w:r>
              <w:rPr>
                <w:b/>
                <w:i/>
              </w:rPr>
              <w:lastRenderedPageBreak/>
              <w:t>Европейския съюз за завършване на съюза на капиталовите пазари не са довели до окончателен резултат от 2015 г. насам; насърчава всички страни да полагат усилия за постигане на Съюз на спестяванията и инвестициите възможно най-скоро;</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157</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Еро Хейнелуома, Евелин Регнер, Нилс Фулсанг, Клер Фита, Карла Тавареш,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3.</w:t>
            </w:r>
            <w:r>
              <w:tab/>
              <w:t xml:space="preserve">признава тези доклади като </w:t>
            </w:r>
            <w:r>
              <w:rPr>
                <w:b/>
                <w:i/>
              </w:rPr>
              <w:t>повик</w:t>
            </w:r>
            <w:r>
              <w:t xml:space="preserve"> за събуждане за лицата, отговорни за вземането на решения на европейско и национално равнище, както и като отправна точка за действия за насърчаване както на частните, така и на публичните инвестиции;</w:t>
            </w:r>
          </w:p>
        </w:tc>
        <w:tc>
          <w:tcPr>
            <w:tcW w:w="4876" w:type="dxa"/>
            <w:tcBorders>
              <w:top w:val="nil"/>
              <w:left w:val="nil"/>
              <w:bottom w:val="nil"/>
              <w:right w:val="nil"/>
            </w:tcBorders>
          </w:tcPr>
          <w:p w:rsidR="004855AE" w:rsidRPr="00C34506" w:rsidRDefault="004855AE" w:rsidP="00061FA7">
            <w:pPr>
              <w:pStyle w:val="Normal6a"/>
            </w:pPr>
            <w:r>
              <w:t>3.</w:t>
            </w:r>
            <w:r>
              <w:tab/>
              <w:t xml:space="preserve">признава тези доклади като </w:t>
            </w:r>
            <w:r>
              <w:rPr>
                <w:b/>
                <w:i/>
              </w:rPr>
              <w:t>един от многобройните сигнали</w:t>
            </w:r>
            <w:r>
              <w:t xml:space="preserve"> за събуждане за лицата, отговорни за вземането на решения на европейско и национално равнище, както и като отправна точка за действия за насърчаване както на частните, така и на публичните инвестиции</w:t>
            </w:r>
            <w:r>
              <w:rPr>
                <w:b/>
                <w:i/>
              </w:rPr>
              <w:t>, и по-специално секторите, свързани с цифрови и „зелени“ технологии, намиращия се в преход сектор на автомобилостроенето и тежките индустрии, като например стоманодобивната и химическата промишленост</w:t>
            </w:r>
            <w:r>
              <w:t>;</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158</w:t>
      </w:r>
      <w:r>
        <w:rPr>
          <w:rStyle w:val="HideTWBExt"/>
          <w:b w:val="0"/>
        </w:rPr>
        <w:t>&lt;/NumAm&gt;</w:t>
      </w:r>
    </w:p>
    <w:p w:rsidR="004855AE" w:rsidRPr="00C34506" w:rsidRDefault="004855AE" w:rsidP="004855AE">
      <w:pPr>
        <w:pStyle w:val="NormalBold"/>
      </w:pPr>
      <w:r>
        <w:rPr>
          <w:rStyle w:val="HideTWBExt"/>
          <w:b w:val="0"/>
        </w:rPr>
        <w:t>&lt;RepeatBlock-By&gt;&lt;Members&gt;</w:t>
      </w:r>
      <w:r>
        <w:t>Сирпа Пиетикяйнен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lastRenderedPageBreak/>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3.</w:t>
            </w:r>
            <w:r>
              <w:tab/>
              <w:t>признава тези доклади като повик за събуждане за лицата, отговорни за вземането на решения на европейско и национално равнище, както и като отправна точка за действия за насърчаване както на частните, така и на публичните инвестиции;</w:t>
            </w:r>
          </w:p>
        </w:tc>
        <w:tc>
          <w:tcPr>
            <w:tcW w:w="4876" w:type="dxa"/>
            <w:tcBorders>
              <w:top w:val="nil"/>
              <w:left w:val="nil"/>
              <w:bottom w:val="nil"/>
              <w:right w:val="nil"/>
            </w:tcBorders>
          </w:tcPr>
          <w:p w:rsidR="004855AE" w:rsidRPr="00C34506" w:rsidRDefault="004855AE" w:rsidP="00061FA7">
            <w:pPr>
              <w:pStyle w:val="Normal6a"/>
            </w:pPr>
            <w:r>
              <w:t>3.</w:t>
            </w:r>
            <w:r>
              <w:tab/>
              <w:t xml:space="preserve">признава тези доклади като повик за събуждане за лицата, отговорни за вземането на решения на европейско и национално равнище, както и като отправна точка за действия за насърчаване както на частните, така и на публичните </w:t>
            </w:r>
            <w:r>
              <w:rPr>
                <w:b/>
                <w:i/>
              </w:rPr>
              <w:t xml:space="preserve">устойчиви </w:t>
            </w:r>
            <w:r>
              <w:t>инвестиции;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159</w:t>
      </w:r>
      <w:r>
        <w:rPr>
          <w:rStyle w:val="HideTWBExt"/>
          <w:b w:val="0"/>
        </w:rPr>
        <w:t>&lt;/NumAm&gt;</w:t>
      </w:r>
    </w:p>
    <w:p w:rsidR="004855AE" w:rsidRPr="00C34506" w:rsidRDefault="004855AE" w:rsidP="004855AE">
      <w:pPr>
        <w:pStyle w:val="NormalBold"/>
      </w:pPr>
      <w:r>
        <w:rPr>
          <w:rStyle w:val="HideTWBExt"/>
          <w:b w:val="0"/>
        </w:rPr>
        <w:t>&lt;RepeatBlock-By&gt;&lt;Members&gt;</w:t>
      </w:r>
      <w:r>
        <w:t>Кинга Колар,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3.</w:t>
            </w:r>
            <w:r>
              <w:tab/>
              <w:t>признава тези доклади като повик за събуждане за лицата, отговорни за вземането на решения на европейско и национално равнище, както и като отправна точка за действия за насърчаване както на частните, така и на публичните инвестиции;</w:t>
            </w:r>
          </w:p>
        </w:tc>
        <w:tc>
          <w:tcPr>
            <w:tcW w:w="4876" w:type="dxa"/>
            <w:tcBorders>
              <w:top w:val="nil"/>
              <w:left w:val="nil"/>
              <w:bottom w:val="nil"/>
              <w:right w:val="nil"/>
            </w:tcBorders>
          </w:tcPr>
          <w:p w:rsidR="004855AE" w:rsidRPr="00C34506" w:rsidRDefault="004855AE" w:rsidP="00061FA7">
            <w:pPr>
              <w:pStyle w:val="Normal6a"/>
            </w:pPr>
            <w:r>
              <w:t>3.</w:t>
            </w:r>
            <w:r>
              <w:tab/>
              <w:t xml:space="preserve">признава тези доклади като </w:t>
            </w:r>
            <w:r>
              <w:rPr>
                <w:b/>
                <w:i/>
              </w:rPr>
              <w:t xml:space="preserve">краен </w:t>
            </w:r>
            <w:r>
              <w:t>повик за събуждане за лицата, отговорни за вземането на решения на европейско и национално равнище, както и като отправна точка за действия за насърчаване както на частните, така и на публичните инвестиции;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160</w:t>
      </w:r>
      <w:r>
        <w:rPr>
          <w:rStyle w:val="HideTWBExt"/>
          <w:b w:val="0"/>
        </w:rPr>
        <w:t>&lt;/NumAm&gt;</w:t>
      </w:r>
    </w:p>
    <w:p w:rsidR="004855AE" w:rsidRPr="00C34506" w:rsidRDefault="004855AE" w:rsidP="004855AE">
      <w:pPr>
        <w:pStyle w:val="NormalBold"/>
      </w:pPr>
      <w:r>
        <w:rPr>
          <w:rStyle w:val="HideTWBExt"/>
          <w:b w:val="0"/>
        </w:rPr>
        <w:t>&lt;RepeatBlock-By&gt;&lt;Members&gt;</w:t>
      </w:r>
      <w:r>
        <w:t>Ауке Зейлстра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3.</w:t>
            </w:r>
            <w:r>
              <w:tab/>
              <w:t xml:space="preserve">признава тези доклади като повик за събуждане за лицата, отговорни за вземането на решения на европейско и национално равнище, както и като отправна точка за действия за насърчаване </w:t>
            </w:r>
            <w:r>
              <w:rPr>
                <w:b/>
                <w:i/>
              </w:rPr>
              <w:t xml:space="preserve">както </w:t>
            </w:r>
            <w:r>
              <w:t xml:space="preserve">на </w:t>
            </w:r>
            <w:r>
              <w:rPr>
                <w:b/>
                <w:i/>
              </w:rPr>
              <w:t>частните, така и на публичните инвестиции</w:t>
            </w:r>
            <w:r>
              <w:t>;</w:t>
            </w:r>
          </w:p>
        </w:tc>
        <w:tc>
          <w:tcPr>
            <w:tcW w:w="4876" w:type="dxa"/>
            <w:tcBorders>
              <w:top w:val="nil"/>
              <w:left w:val="nil"/>
              <w:bottom w:val="nil"/>
              <w:right w:val="nil"/>
            </w:tcBorders>
          </w:tcPr>
          <w:p w:rsidR="004855AE" w:rsidRPr="00C34506" w:rsidRDefault="004855AE" w:rsidP="00061FA7">
            <w:pPr>
              <w:pStyle w:val="Normal6a"/>
            </w:pPr>
            <w:r>
              <w:t>3.</w:t>
            </w:r>
            <w:r>
              <w:tab/>
              <w:t xml:space="preserve">признава тези доклади като повик за събуждане за лицата, отговорни за вземането на решения на европейско и национално равнище, както и като отправна точка за действия за насърчаване на </w:t>
            </w:r>
            <w:r>
              <w:rPr>
                <w:b/>
                <w:i/>
              </w:rPr>
              <w:t>инвестициите</w:t>
            </w:r>
            <w:r>
              <w:t>;</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161</w:t>
      </w:r>
      <w:r>
        <w:rPr>
          <w:rStyle w:val="HideTWBExt"/>
          <w:b w:val="0"/>
        </w:rPr>
        <w:t>&lt;/NumAm&gt;</w:t>
      </w:r>
    </w:p>
    <w:p w:rsidR="004855AE" w:rsidRPr="00C34506" w:rsidRDefault="004855AE" w:rsidP="004855AE">
      <w:pPr>
        <w:pStyle w:val="NormalBold"/>
      </w:pPr>
      <w:r>
        <w:rPr>
          <w:rStyle w:val="HideTWBExt"/>
          <w:b w:val="0"/>
        </w:rPr>
        <w:t>&lt;RepeatBlock-By&gt;&lt;Members&gt;</w:t>
      </w:r>
      <w:r>
        <w:t>Еро Хейнелуома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3.</w:t>
            </w:r>
            <w:r>
              <w:tab/>
              <w:t>признава тези доклади като повик за събуждане за лицата, отговорни за вземането на решения на европейско и национално равнище, както и като отправна точка за действия за насърчаване както на частните, така и на публичните инвестиции;</w:t>
            </w:r>
          </w:p>
        </w:tc>
        <w:tc>
          <w:tcPr>
            <w:tcW w:w="4876" w:type="dxa"/>
            <w:tcBorders>
              <w:top w:val="nil"/>
              <w:left w:val="nil"/>
              <w:bottom w:val="nil"/>
              <w:right w:val="nil"/>
            </w:tcBorders>
          </w:tcPr>
          <w:p w:rsidR="004855AE" w:rsidRPr="00C34506" w:rsidRDefault="004855AE" w:rsidP="00061FA7">
            <w:pPr>
              <w:pStyle w:val="Normal6a"/>
            </w:pPr>
            <w:r>
              <w:t>3.</w:t>
            </w:r>
            <w:r>
              <w:tab/>
              <w:t>признава тези доклади като повик за събуждане за лицата, отговорни за вземането на решения на европейско и национално равнище, както и като отправна точка за действия за насърчаване както на частните, така и на публичните инвестиции;</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отбелязва, че институциите за професионално пенсионно осигуряване (IORPS) в цяла Европа разпределят почти 40% от своите активи за инвестиционни фондове, от които само 33% са насочени към фондове, насочени предимно към капиталови инвестиции;</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изразява съжаление, че само около 30% от инвестициите на тези инвестиционни фондове са в ЕС, главно в Нидерландия, Германия, Люксембург и Франция, докато инвестициите в САЩ възлизат на 46% от общия размер;</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изразява загриженост, че Каймановите острови привличат третия най-голям дял от неевропейските непреки инвестиции на IORPS;</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(Доклад на ЕОЗППО относно IORPS във фокус, 2024 г., 11/2/2025)</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призовава Комисията да предложи законодателни мерки за насърчаване на по-голяма експозиция на IORPS към капиталови инвестиции в ЕС; </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lastRenderedPageBreak/>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162</w:t>
      </w:r>
      <w:r>
        <w:rPr>
          <w:rStyle w:val="HideTWBExt"/>
          <w:b w:val="0"/>
        </w:rPr>
        <w:t>&lt;/NumAm&gt;</w:t>
      </w:r>
    </w:p>
    <w:p w:rsidR="004855AE" w:rsidRPr="00C34506" w:rsidRDefault="004855AE" w:rsidP="004855AE">
      <w:pPr>
        <w:pStyle w:val="NormalBold"/>
      </w:pPr>
      <w:r>
        <w:rPr>
          <w:rStyle w:val="HideTWBExt"/>
          <w:b w:val="0"/>
        </w:rPr>
        <w:t>&lt;RepeatBlock-By&gt;&lt;Members&gt;</w:t>
      </w:r>
      <w:r>
        <w:t>Реджина Дохърти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3.</w:t>
            </w:r>
            <w:r>
              <w:tab/>
              <w:t>признава тези доклади като повик за събуждане за лицата, отговорни за вземането на решения на европейско и национално равнище, както и като отправна точка за действия за насърчаване както на частните, така и на публичните инвестиции;</w:t>
            </w:r>
          </w:p>
        </w:tc>
        <w:tc>
          <w:tcPr>
            <w:tcW w:w="4876" w:type="dxa"/>
            <w:tcBorders>
              <w:top w:val="nil"/>
              <w:left w:val="nil"/>
              <w:bottom w:val="nil"/>
              <w:right w:val="nil"/>
            </w:tcBorders>
          </w:tcPr>
          <w:p w:rsidR="004855AE" w:rsidRPr="00C34506" w:rsidRDefault="004855AE" w:rsidP="00061FA7">
            <w:pPr>
              <w:pStyle w:val="Normal6a"/>
            </w:pPr>
            <w:r>
              <w:t>3.</w:t>
            </w:r>
            <w:r>
              <w:tab/>
              <w:t xml:space="preserve">признава тези доклади като повик за събуждане за лицата, отговорни за вземането на решения на европейско и национално равнище, както и като отправна точка за действия за насърчаване както на частните, така и на публичните инвестиции; </w:t>
            </w:r>
            <w:r>
              <w:rPr>
                <w:b/>
                <w:i/>
              </w:rPr>
              <w:t>признава извършената досега работа за изграждане на съюз на капиталовите пазари; припомня, че тази работа сега трябва да бъде ускорена; </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0"/>
        <w:keepNext/>
      </w:pPr>
      <w:r>
        <w:rPr>
          <w:rStyle w:val="HideTWBExt"/>
          <w:b w:val="0"/>
          <w:lang w:eastAsia="en-US"/>
        </w:rPr>
        <w:t>&lt;Amend&gt;</w:t>
      </w:r>
      <w:r>
        <w:t>Изменение</w:t>
      </w:r>
      <w:r>
        <w:tab/>
      </w:r>
      <w:r>
        <w:tab/>
      </w:r>
      <w:r>
        <w:rPr>
          <w:rStyle w:val="HideTWBExt"/>
          <w:b w:val="0"/>
          <w:lang w:eastAsia="en-US"/>
        </w:rPr>
        <w:t>&lt;NumAm&gt;</w:t>
      </w:r>
      <w:r>
        <w:t>163</w:t>
      </w:r>
      <w:r>
        <w:rPr>
          <w:rStyle w:val="HideTWBExt"/>
          <w:b w:val="0"/>
          <w:lang w:eastAsia="en-US"/>
        </w:rPr>
        <w:t>&lt;/NumAm&gt;</w:t>
      </w:r>
    </w:p>
    <w:p w:rsidR="004855AE" w:rsidRPr="00C34506" w:rsidRDefault="004855AE" w:rsidP="004855AE">
      <w:pPr>
        <w:pStyle w:val="NormalBold"/>
      </w:pPr>
      <w:r>
        <w:rPr>
          <w:rStyle w:val="HideTWBExt"/>
          <w:b w:val="0"/>
        </w:rPr>
        <w:t>&lt;RepeatBlock-By&gt;&lt;Members&gt;</w:t>
      </w:r>
      <w:r>
        <w:t>Дануше Нерудова</w:t>
      </w:r>
      <w:r>
        <w:rPr>
          <w:rStyle w:val="HideTWBExt"/>
          <w:b w:val="0"/>
        </w:rPr>
        <w:t>&lt;/Members&gt;</w:t>
      </w:r>
    </w:p>
    <w:p w:rsidR="004855AE" w:rsidRPr="00C34506" w:rsidRDefault="004855AE" w:rsidP="004855AE">
      <w:r>
        <w:rPr>
          <w:rStyle w:val="HideTWBExt"/>
        </w:rPr>
        <w:t>&lt;/RepeatBlock-By&gt;</w:t>
      </w:r>
    </w:p>
    <w:p w:rsidR="004855AE" w:rsidRPr="00C34506" w:rsidRDefault="004855AE" w:rsidP="004855AE">
      <w:pPr>
        <w:pStyle w:val="NormalBold"/>
        <w:keepNext/>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855AE" w:rsidTr="00061FA7">
        <w:trPr>
          <w:jc w:val="center"/>
        </w:trPr>
        <w:tc>
          <w:tcPr>
            <w:tcW w:w="9752" w:type="dxa"/>
            <w:gridSpan w:val="2"/>
          </w:tcPr>
          <w:p w:rsidR="004855AE" w:rsidRPr="00C34506" w:rsidRDefault="004855AE" w:rsidP="00061FA7">
            <w:pPr>
              <w:keepNext/>
            </w:pPr>
          </w:p>
        </w:tc>
      </w:tr>
      <w:tr w:rsidR="004855AE" w:rsidTr="00061FA7">
        <w:trPr>
          <w:jc w:val="center"/>
        </w:trPr>
        <w:tc>
          <w:tcPr>
            <w:tcW w:w="4876" w:type="dxa"/>
          </w:tcPr>
          <w:p w:rsidR="004855AE" w:rsidRPr="00C34506" w:rsidRDefault="004855AE" w:rsidP="00061FA7">
            <w:pPr>
              <w:pStyle w:val="ColumnHeading"/>
              <w:keepNext/>
            </w:pPr>
            <w:r>
              <w:t>Предложение за резолюция</w:t>
            </w:r>
          </w:p>
        </w:tc>
        <w:tc>
          <w:tcPr>
            <w:tcW w:w="4876" w:type="dxa"/>
          </w:tcPr>
          <w:p w:rsidR="004855AE" w:rsidRPr="00C34506" w:rsidRDefault="004855AE" w:rsidP="00061FA7">
            <w:pPr>
              <w:pStyle w:val="ColumnHeading"/>
              <w:keepNext/>
            </w:pPr>
            <w:r>
              <w:t>Изменение</w:t>
            </w:r>
          </w:p>
        </w:tc>
      </w:tr>
      <w:tr w:rsidR="004855AE" w:rsidTr="00061FA7">
        <w:trPr>
          <w:jc w:val="center"/>
        </w:trPr>
        <w:tc>
          <w:tcPr>
            <w:tcW w:w="4876" w:type="dxa"/>
          </w:tcPr>
          <w:p w:rsidR="004855AE" w:rsidRPr="00C34506" w:rsidRDefault="004855AE" w:rsidP="00061FA7">
            <w:pPr>
              <w:pStyle w:val="Normal6"/>
            </w:pPr>
            <w:r>
              <w:t>3.</w:t>
            </w:r>
            <w:r>
              <w:tab/>
              <w:t>признава тези доклади като повик за събуждане за лицата, отговорни за вземането на решения на европейско и национално равнище, както и като отправна точка за действия за насърчаване както на частните, така и на публичните инвестиции;</w:t>
            </w:r>
          </w:p>
        </w:tc>
        <w:tc>
          <w:tcPr>
            <w:tcW w:w="4876" w:type="dxa"/>
          </w:tcPr>
          <w:p w:rsidR="004855AE" w:rsidRPr="00C34506" w:rsidRDefault="004855AE" w:rsidP="00061FA7">
            <w:pPr>
              <w:pStyle w:val="Normal6"/>
              <w:rPr>
                <w:szCs w:val="24"/>
              </w:rPr>
            </w:pPr>
            <w:r>
              <w:t>3.</w:t>
            </w:r>
            <w:r>
              <w:tab/>
              <w:t>признава тези доклади като повик за събуждане за лицата, отговорни за вземането на решения на европейско и национално равнище, както и като отправна точка за действия за насърчаване както на частните, така и на публичните инвестиции</w:t>
            </w:r>
            <w:r>
              <w:rPr>
                <w:b/>
                <w:i/>
              </w:rPr>
              <w:t>, и за увеличаване на подкрепата на ЕС за публично-частните партньорства;</w:t>
            </w:r>
            <w:r>
              <w:t xml:space="preserve"> </w:t>
            </w:r>
            <w:r>
              <w:rPr>
                <w:b/>
                <w:i/>
              </w:rPr>
              <w:t xml:space="preserve">подчертава, че публичните инвестиции играят решаваща роля като катализатор на частните инвестиции; счита, че финансовите инструменти и бюджетните гаранции представляват ефикасно </w:t>
            </w:r>
            <w:r>
              <w:rPr>
                <w:b/>
                <w:i/>
              </w:rPr>
              <w:lastRenderedPageBreak/>
              <w:t>използване на ресурсите за способстване за ключовите цели на политиката на ЕС; отново заявява, че добре разработените бюджетни гаранции и финансови инструменти, когато се основават на нуждите на пазара, са високоефективно използване на ограничените бюджетни ресурси на ЕС за намаляване на риска за инвестициите и привличане на частен капитал;</w:t>
            </w:r>
          </w:p>
        </w:tc>
      </w:tr>
    </w:tbl>
    <w:p w:rsidR="004855AE" w:rsidRPr="00C34506" w:rsidRDefault="004855AE" w:rsidP="004855AE">
      <w:pPr>
        <w:pStyle w:val="Olang"/>
        <w:rPr>
          <w:sz w:val="24"/>
          <w:szCs w:val="24"/>
        </w:rPr>
      </w:pPr>
      <w:r w:rsidRPr="00C34506">
        <w:rPr>
          <w:sz w:val="24"/>
          <w:szCs w:val="24"/>
        </w:rPr>
        <w:lastRenderedPageBreak/>
        <w:t xml:space="preserve">Or. </w:t>
      </w:r>
      <w:r w:rsidRPr="00C34506">
        <w:rPr>
          <w:rStyle w:val="HideTWBExt"/>
        </w:rPr>
        <w:t>&lt;Original&gt;</w:t>
      </w:r>
      <w:r w:rsidRPr="00C34506">
        <w:rPr>
          <w:rStyle w:val="HideTWBInt"/>
        </w:rPr>
        <w:t>{EN}</w:t>
      </w:r>
      <w:r w:rsidRPr="00C34506">
        <w:rPr>
          <w:sz w:val="24"/>
          <w:szCs w:val="24"/>
        </w:rPr>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164</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3.</w:t>
            </w:r>
            <w:r>
              <w:tab/>
              <w:t>признава тези доклади като повик за събуждане за лицата, отговорни за вземането на решения на европейско и национално равнище, както и като отправна точка за действия за насърчаване както на частните, така и на публичните инвестиции;</w:t>
            </w:r>
          </w:p>
        </w:tc>
        <w:tc>
          <w:tcPr>
            <w:tcW w:w="4876" w:type="dxa"/>
            <w:tcBorders>
              <w:top w:val="nil"/>
              <w:left w:val="nil"/>
              <w:bottom w:val="nil"/>
              <w:right w:val="nil"/>
            </w:tcBorders>
          </w:tcPr>
          <w:p w:rsidR="004855AE" w:rsidRPr="00C34506" w:rsidRDefault="004855AE" w:rsidP="00061FA7">
            <w:pPr>
              <w:pStyle w:val="Normal6a"/>
            </w:pPr>
            <w:r>
              <w:t>3.</w:t>
            </w:r>
            <w:r>
              <w:tab/>
              <w:t xml:space="preserve">признава тези доклади като повик за събуждане за лицата, отговорни за вземането на решения на европейско и национално равнище, както и като отправна точка за действия за насърчаване както на частните, така и на публичните инвестиции; </w:t>
            </w:r>
            <w:r>
              <w:rPr>
                <w:b/>
                <w:i/>
              </w:rPr>
              <w:t>приветства факта, че Комисията признава необходимостта от мобилизиране на публични финанси в подкрепа на иновациите в ЕС;</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165</w:t>
      </w:r>
      <w:r>
        <w:rPr>
          <w:rStyle w:val="HideTWBExt"/>
          <w:b w:val="0"/>
        </w:rPr>
        <w:t>&lt;/NumAm&gt;</w:t>
      </w:r>
    </w:p>
    <w:p w:rsidR="004855AE" w:rsidRPr="00C34506" w:rsidRDefault="004855AE" w:rsidP="004855AE">
      <w:pPr>
        <w:pStyle w:val="NormalBold"/>
      </w:pPr>
      <w:r>
        <w:rPr>
          <w:rStyle w:val="HideTWBExt"/>
          <w:b w:val="0"/>
        </w:rPr>
        <w:t>&lt;RepeatBlock-By&gt;&lt;Members&gt;</w:t>
      </w:r>
      <w:r>
        <w:t>Енгин Ероглу</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3.</w:t>
            </w:r>
            <w:r>
              <w:tab/>
              <w:t xml:space="preserve">признава тези доклади като повик за събуждане за лицата, отговорни за вземането на решения на </w:t>
            </w:r>
            <w:r>
              <w:lastRenderedPageBreak/>
              <w:t>европейско и национално равнище, както и като отправна точка за действия за насърчаване както на частните, така и на публичните инвестиции;</w:t>
            </w:r>
          </w:p>
        </w:tc>
        <w:tc>
          <w:tcPr>
            <w:tcW w:w="4876" w:type="dxa"/>
            <w:tcBorders>
              <w:top w:val="nil"/>
              <w:left w:val="nil"/>
              <w:bottom w:val="nil"/>
              <w:right w:val="nil"/>
            </w:tcBorders>
          </w:tcPr>
          <w:p w:rsidR="004855AE" w:rsidRPr="00C34506" w:rsidRDefault="004855AE" w:rsidP="00061FA7">
            <w:pPr>
              <w:pStyle w:val="Normal6a"/>
            </w:pPr>
            <w:r>
              <w:lastRenderedPageBreak/>
              <w:t>3.</w:t>
            </w:r>
            <w:r>
              <w:tab/>
              <w:t xml:space="preserve">признава тези доклади като повик за събуждане за лицата, отговорни за вземането на решения на </w:t>
            </w:r>
            <w:r>
              <w:lastRenderedPageBreak/>
              <w:t>европейско и национално равнище, както и като отправна точка за действия за насърчаване както на частните, така и на публичните инвестиции</w:t>
            </w:r>
            <w:r>
              <w:rPr>
                <w:b/>
                <w:i/>
              </w:rPr>
              <w:t>, както и като сигнал за събуждане за истинско орязване на излишната бюрокрация в сектора и за сериозни реформи от страна на правителствата с цел постигане на бюджети на ЕС, които са „в добро здравословно състояние“</w:t>
            </w:r>
            <w:r>
              <w:t>;</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{DE}</w:t>
      </w:r>
      <w:r w:rsidRPr="00C34506">
        <w:t>de</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166</w:t>
      </w:r>
      <w:r>
        <w:rPr>
          <w:rStyle w:val="HideTWBExt"/>
          <w:b w:val="0"/>
        </w:rPr>
        <w:t>&lt;/NumAm&gt;</w:t>
      </w:r>
    </w:p>
    <w:p w:rsidR="004855AE" w:rsidRPr="00C34506" w:rsidRDefault="004855AE" w:rsidP="004855AE">
      <w:pPr>
        <w:pStyle w:val="NormalBold"/>
      </w:pPr>
      <w:r>
        <w:rPr>
          <w:rStyle w:val="HideTWBExt"/>
          <w:b w:val="0"/>
        </w:rPr>
        <w:t>&lt;RepeatBlock-By&gt;&lt;Members&gt;</w:t>
      </w:r>
      <w:r>
        <w:t>Фернандо Наварете Рохас,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3.</w:t>
            </w:r>
            <w:r>
              <w:tab/>
              <w:t>признава тези доклади като повик за събуждане за лицата, отговорни за вземането на решения на европейско и национално равнище, както и като отправна точка за действия за насърчаване както на частните, така и на публичните инвестиции;</w:t>
            </w:r>
          </w:p>
        </w:tc>
        <w:tc>
          <w:tcPr>
            <w:tcW w:w="4876" w:type="dxa"/>
            <w:tcBorders>
              <w:top w:val="nil"/>
              <w:left w:val="nil"/>
              <w:bottom w:val="nil"/>
              <w:right w:val="nil"/>
            </w:tcBorders>
          </w:tcPr>
          <w:p w:rsidR="004855AE" w:rsidRPr="00C34506" w:rsidRDefault="004855AE" w:rsidP="00061FA7">
            <w:pPr>
              <w:pStyle w:val="Normal6a"/>
            </w:pPr>
            <w:r>
              <w:t>3.</w:t>
            </w:r>
            <w:r>
              <w:tab/>
              <w:t xml:space="preserve">признава тези доклади като повик за събуждане за лицата, отговорни за вземането на решения на европейско и национално равнище, както и като отправна точка за действия за насърчаване както на частните, така и на публичните инвестиции; </w:t>
            </w:r>
            <w:r>
              <w:rPr>
                <w:b/>
                <w:i/>
              </w:rPr>
              <w:t>призовава държавите членки да приемат сигнала за събуждане, отправен от докладите на Драги и Лета;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167</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3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3а.</w:t>
            </w:r>
            <w:r>
              <w:tab/>
            </w:r>
            <w:r>
              <w:rPr>
                <w:b/>
                <w:i/>
              </w:rPr>
              <w:t xml:space="preserve">припомня, че целта от 3% от БВП в областта на научните изследвания и иновациите все още </w:t>
            </w:r>
            <w:r>
              <w:rPr>
                <w:b/>
                <w:i/>
              </w:rPr>
              <w:lastRenderedPageBreak/>
              <w:t>далеч не е постигната; призовава Комисията и държавите членки да осигуряват достатъчно финансиране и инструменти за постигането на тази цел и да финансират всички висококачествени проекти през целия иновационен цикъл — от фундаменталните научни изследвания до демонстрациите и внедряването на пазара; настоява, че са необходими приемственост и дългосрочни инвестиции, както и специален бюджет за научни изследвания и иновации, за да се утвърди водещата роля на Европа в световен мащаб;</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168</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Рене Репази, Евелин Регнер, Нилс Фулсанг, Клер Фита, Томас Баяда,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3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3а.</w:t>
            </w:r>
            <w:r>
              <w:tab/>
            </w:r>
            <w:r>
              <w:rPr>
                <w:b/>
                <w:i/>
              </w:rPr>
              <w:t>отбелязва със загриженост рисковете от отрицателен шок за икономическия растеж</w:t>
            </w:r>
            <w:r>
              <w:rPr>
                <w:b/>
                <w:i/>
                <w:vertAlign w:val="superscript"/>
              </w:rPr>
              <w:t>1a</w:t>
            </w:r>
            <w:r>
              <w:rPr>
                <w:b/>
                <w:i/>
              </w:rPr>
              <w:t xml:space="preserve"> и продължаващите сътресения на финансовите пазари, които биха могли да застрашат просперитета на европейските граждани, работници и предприятия, като например социалните неравенства, които водят до ескалация на напрежението в търговията, изменението на климата, увеличаването на опасността за околната среда и фрагментирания единен пазар;</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1a</w:t>
            </w:r>
            <w:r>
              <w:t xml:space="preserve"> </w:t>
            </w:r>
            <w:r>
              <w:rPr>
                <w:b/>
                <w:i/>
              </w:rPr>
              <w:t xml:space="preserve">МВФ, Перспективи за световната </w:t>
            </w:r>
            <w:r>
              <w:rPr>
                <w:b/>
                <w:i/>
              </w:rPr>
              <w:lastRenderedPageBreak/>
              <w:t>икономика, април 2025 г.</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169</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3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3а.</w:t>
            </w:r>
            <w:r>
              <w:tab/>
            </w:r>
            <w:r>
              <w:rPr>
                <w:b/>
                <w:i/>
              </w:rPr>
              <w:t>посочва, че Европейската комисия прие първия си „План за действие за изграждане на съюз на капиталовите пазари“ през септември 2015 г.; изразява съжаление, че оттогава напредъкът в интегрирането на капиталовите пазари в ЕС е ограничен;</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170</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Еро Хейнелуома, Евелин Регнер, Нилс Фулсанг, Клер Фита, Карла Тавареш,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3 б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3б.</w:t>
            </w:r>
            <w:r>
              <w:tab/>
            </w:r>
            <w:r>
              <w:rPr>
                <w:b/>
                <w:i/>
              </w:rPr>
              <w:t xml:space="preserve">подчертава обаче, че ЕС демонстрира своята устойчивост благодарение на своята стабилна регулаторна рамка, като се позиционира като зона на стабилност; счита, че тази стабилност би могла да се превърне в истинско сравнително и конкурентно предимство; подчертава неразривната връзка между принципите на правовата държава и </w:t>
            </w:r>
            <w:r>
              <w:rPr>
                <w:b/>
                <w:i/>
              </w:rPr>
              <w:lastRenderedPageBreak/>
              <w:t>устойчивия икономически растеж; препоръчва на Съвета да ускори приемането на оставащото законодателство, за да гарантира рамката за финансова стабилност и да финализира банковия съюз;</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171</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3 б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3б.</w:t>
            </w:r>
            <w:r>
              <w:tab/>
            </w:r>
            <w:r>
              <w:rPr>
                <w:b/>
                <w:i/>
              </w:rPr>
              <w:t>приветства приемането на съобщението на Комисията „Съюз на спестяванията и инвестициите — стратегия за насърчаване на благосъстоянието на гражданите и икономическата конкурентоспособност в ЕС“, в което се очертават различни политически инициативи и се цели интегрирането на финансовите пазари в ЕС и ефективното насочване на спестяванията към инвестиции;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172</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3 в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3в.</w:t>
            </w:r>
            <w:r>
              <w:tab/>
            </w:r>
            <w:r>
              <w:rPr>
                <w:b/>
                <w:i/>
              </w:rPr>
              <w:t xml:space="preserve">посочва, че липсата на напредък в интегрирането на финансовите пазари на ЕС често се дължи на резервираността на държавите — членки на ЕС; </w:t>
            </w:r>
            <w:r>
              <w:rPr>
                <w:b/>
                <w:i/>
              </w:rPr>
              <w:lastRenderedPageBreak/>
              <w:t>призовава държавите членки да се възползват от съществуващия импулс и да работят заедно с Парламента за постигане на истински напредък в интеграцията на финансовите пазари на ЕС;</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173</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Евелин Регнер, Нилс Фулсанг, Клер Фита, Карла Тавареш, Томас Баяда,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3 в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3в.</w:t>
            </w:r>
            <w:r>
              <w:tab/>
            </w:r>
            <w:r>
              <w:rPr>
                <w:b/>
                <w:i/>
              </w:rPr>
              <w:t>настоятелно призовава Комисията да изготви предложения, насочени към мобилизиране на допълнителен капитал, като същевременно се разпределят финансови ресурси за постигане на целите, определени в член 3 от Договора за Европейския съюз;</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174</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Евелин Регнер, Нилс Фулсанг, Клер Фита, Карла Тавареш,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3 г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3г.</w:t>
            </w:r>
            <w:r>
              <w:tab/>
            </w:r>
            <w:r>
              <w:rPr>
                <w:b/>
                <w:i/>
              </w:rPr>
              <w:t xml:space="preserve">настоява, че съществува неотложна необходимост от предприемане на действия, ускоряване </w:t>
            </w:r>
            <w:r>
              <w:rPr>
                <w:b/>
                <w:i/>
              </w:rPr>
              <w:lastRenderedPageBreak/>
              <w:t>на вземането на решения, намаляване на забавянията при изпълнението и ускоряване на решенията относно държавната помощ и субсидиите;</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175</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Евелин Регнер, Нилс Фулсанг, Клер Фита, Карла Тавареш, Томас Баяда,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3 д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3д.</w:t>
            </w:r>
            <w:r>
              <w:tab/>
            </w:r>
            <w:r>
              <w:rPr>
                <w:b/>
                <w:i/>
              </w:rPr>
              <w:t>счита, че Съюзът трябва да постигне напредък със своя СКП, за да прилага ефекта на лоста спрямо инвестициите от частния сектор; подчертава, че това ще изисква подкрепа от публичния сектор, за да се осигурят минималните годишни допълнителни инвестиции, необходими за възстановяване на устойчив и иновативен промишлен сектор и за укрепване на просперитета на Съюза; подчертава, че увеличаването на производителността също така би генерирало по-голямо фискално пространство и че публичните инвестиции могат да доведат до антициклична политика, която стимулира иновациите, устойчивия приобщаващ растеж и създаването на работни места;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176</w:t>
      </w:r>
      <w:r>
        <w:rPr>
          <w:rStyle w:val="HideTWBExt"/>
          <w:b w:val="0"/>
        </w:rPr>
        <w:t>&lt;/NumAm&gt;</w:t>
      </w:r>
    </w:p>
    <w:p w:rsidR="004855AE" w:rsidRPr="00C34506" w:rsidRDefault="004855AE" w:rsidP="004855AE">
      <w:pPr>
        <w:pStyle w:val="NormalBold"/>
      </w:pPr>
      <w:r>
        <w:rPr>
          <w:rStyle w:val="HideTWBExt"/>
          <w:b w:val="0"/>
        </w:rPr>
        <w:t>&lt;RepeatBlock-By&gt;&lt;Members&gt;</w:t>
      </w:r>
      <w:r>
        <w:t>Марко Фалконе, Фулвио Мартушело</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lastRenderedPageBreak/>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4.</w:t>
            </w:r>
            <w:r>
              <w:tab/>
              <w:t xml:space="preserve">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 </w:t>
            </w:r>
            <w:r>
              <w:rPr>
                <w:b/>
                <w:i/>
              </w:rPr>
              <w:t>изразява съжаление</w:t>
            </w:r>
            <w:r>
              <w:t xml:space="preserve">, че </w:t>
            </w:r>
            <w:r>
              <w:rPr>
                <w:b/>
                <w:i/>
              </w:rPr>
              <w:t>те се обръщат към доставчици</w:t>
            </w:r>
            <w:r>
              <w:t xml:space="preserve"> на </w:t>
            </w:r>
            <w:r>
              <w:rPr>
                <w:b/>
                <w:i/>
              </w:rPr>
              <w:t>рисков капитал извън ЕС и</w:t>
            </w:r>
            <w:r>
              <w:t xml:space="preserve"> се </w:t>
            </w:r>
            <w:r>
              <w:rPr>
                <w:b/>
                <w:i/>
              </w:rPr>
              <w:t>разрастват на чуждестранните пазари</w:t>
            </w:r>
            <w:r>
              <w:t>;</w:t>
            </w:r>
          </w:p>
        </w:tc>
        <w:tc>
          <w:tcPr>
            <w:tcW w:w="4876" w:type="dxa"/>
            <w:tcBorders>
              <w:top w:val="nil"/>
              <w:left w:val="nil"/>
              <w:bottom w:val="nil"/>
              <w:right w:val="nil"/>
            </w:tcBorders>
          </w:tcPr>
          <w:p w:rsidR="004855AE" w:rsidRPr="00C34506" w:rsidRDefault="004855AE" w:rsidP="00061FA7">
            <w:pPr>
              <w:pStyle w:val="Normal6a"/>
            </w:pPr>
            <w:r>
              <w:t>4.</w:t>
            </w:r>
            <w:r>
              <w:tab/>
              <w:t xml:space="preserve">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 </w:t>
            </w:r>
            <w:r>
              <w:rPr>
                <w:b/>
                <w:i/>
              </w:rPr>
              <w:t>приканва Европейската комисия и държавите членки да увеличат усилията си за премахване на пречките и препятствията, които фрагментират единния пазар и обезкуражават европейските дружества да остават в рамките на Съюза, по-специално тези, свързани с непропорционалната административна тежест, непоследователните данъчни режими между държавите членки, наказателните екологични тежести, прекомерното време, необходимо за получаване на разрешения и лицензи, трудностите при достъпа до финансиране;</w:t>
            </w:r>
            <w:r>
              <w:t xml:space="preserve"> </w:t>
            </w:r>
            <w:r>
              <w:rPr>
                <w:b/>
                <w:i/>
              </w:rPr>
              <w:t>подчертава, че тези критични въпроси подкопават конкурентоспособността на европейската промишленост и принуждават много дружества да се преместят в трети държави с по-малко регулаторни ограничения и по-ниски разходи;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{IT}</w:t>
      </w:r>
      <w:r w:rsidRPr="00C34506">
        <w:t>it</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177</w:t>
      </w:r>
      <w:r>
        <w:rPr>
          <w:rStyle w:val="HideTWBExt"/>
          <w:b w:val="0"/>
        </w:rPr>
        <w:t>&lt;/NumAm&gt;</w:t>
      </w:r>
    </w:p>
    <w:p w:rsidR="004855AE" w:rsidRPr="00C34506" w:rsidRDefault="004855AE" w:rsidP="004855AE">
      <w:pPr>
        <w:pStyle w:val="NormalBold"/>
      </w:pPr>
      <w:r>
        <w:rPr>
          <w:rStyle w:val="HideTWBExt"/>
          <w:b w:val="0"/>
        </w:rPr>
        <w:t>&lt;RepeatBlock-By&gt;&lt;Members&gt;</w:t>
      </w:r>
      <w:r>
        <w:t>Пиер Пемпи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4.</w:t>
            </w:r>
            <w:r>
              <w:tab/>
              <w:t xml:space="preserve">изразява съжаление във връзка с </w:t>
            </w:r>
            <w:r>
              <w:lastRenderedPageBreak/>
              <w:t xml:space="preserve">факта, че множество предприемачи, установени в ЕС, считат, че е необходимо да се преместят, за да получат по-лесен достъп до финансиране и ресурси; </w:t>
            </w:r>
            <w:r>
              <w:rPr>
                <w:b/>
                <w:i/>
              </w:rPr>
              <w:t>изразява съжаление</w:t>
            </w:r>
            <w:r>
              <w:t xml:space="preserve">, че </w:t>
            </w:r>
            <w:r>
              <w:rPr>
                <w:b/>
                <w:i/>
              </w:rPr>
              <w:t>те се обръщат към доставчици</w:t>
            </w:r>
            <w:r>
              <w:t xml:space="preserve"> на </w:t>
            </w:r>
            <w:r>
              <w:rPr>
                <w:b/>
                <w:i/>
              </w:rPr>
              <w:t>рисков</w:t>
            </w:r>
            <w:r>
              <w:t xml:space="preserve"> капитал</w:t>
            </w:r>
            <w:r>
              <w:rPr>
                <w:b/>
                <w:i/>
              </w:rPr>
              <w:t xml:space="preserve"> извън ЕС и се разрастват</w:t>
            </w:r>
            <w:r>
              <w:t xml:space="preserve"> на </w:t>
            </w:r>
            <w:r>
              <w:rPr>
                <w:b/>
                <w:i/>
              </w:rPr>
              <w:t>чуждестранните пазари</w:t>
            </w:r>
            <w:r>
              <w:t>;</w:t>
            </w:r>
          </w:p>
        </w:tc>
        <w:tc>
          <w:tcPr>
            <w:tcW w:w="4876" w:type="dxa"/>
            <w:tcBorders>
              <w:top w:val="nil"/>
              <w:left w:val="nil"/>
              <w:bottom w:val="nil"/>
              <w:right w:val="nil"/>
            </w:tcBorders>
          </w:tcPr>
          <w:p w:rsidR="004855AE" w:rsidRPr="00C34506" w:rsidRDefault="004855AE" w:rsidP="00061FA7">
            <w:pPr>
              <w:pStyle w:val="Normal6a"/>
            </w:pPr>
            <w:r>
              <w:lastRenderedPageBreak/>
              <w:t>4.</w:t>
            </w:r>
            <w:r>
              <w:tab/>
              <w:t xml:space="preserve">изразява съжаление във връзка с </w:t>
            </w:r>
            <w:r>
              <w:lastRenderedPageBreak/>
              <w:t xml:space="preserve">факта, че множество предприемачи, установени в ЕС, считат, че е необходимо да се преместят, за да получат по-лесен достъп до финансиране и ресурси; </w:t>
            </w:r>
            <w:r>
              <w:rPr>
                <w:b/>
                <w:i/>
              </w:rPr>
              <w:t>признава</w:t>
            </w:r>
            <w:r>
              <w:t xml:space="preserve">, че </w:t>
            </w:r>
            <w:r>
              <w:rPr>
                <w:b/>
                <w:i/>
              </w:rPr>
              <w:t>европейският пазар не улеснява в достатъчна степен растежа</w:t>
            </w:r>
            <w:r>
              <w:t xml:space="preserve"> на </w:t>
            </w:r>
            <w:r>
              <w:rPr>
                <w:b/>
                <w:i/>
              </w:rPr>
              <w:t>предприятията и достъпа до</w:t>
            </w:r>
            <w:r>
              <w:t xml:space="preserve"> капитал</w:t>
            </w:r>
            <w:r>
              <w:rPr>
                <w:b/>
                <w:i/>
              </w:rPr>
              <w:t>; настоява обаче, че решаването на този въпрос не следва да бъде за сметка</w:t>
            </w:r>
            <w:r>
              <w:t xml:space="preserve"> на </w:t>
            </w:r>
            <w:r>
              <w:rPr>
                <w:b/>
                <w:i/>
              </w:rPr>
              <w:t>сигурността на активите на инвеститорите</w:t>
            </w:r>
            <w:r>
              <w:t>;</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178</w:t>
      </w:r>
      <w:r>
        <w:rPr>
          <w:rStyle w:val="HideTWBExt"/>
          <w:b w:val="0"/>
        </w:rPr>
        <w:t>&lt;/NumAm&gt;</w:t>
      </w:r>
    </w:p>
    <w:p w:rsidR="004855AE" w:rsidRPr="00C34506" w:rsidRDefault="004855AE" w:rsidP="004855AE">
      <w:pPr>
        <w:pStyle w:val="NormalBold"/>
      </w:pPr>
      <w:r>
        <w:rPr>
          <w:rStyle w:val="HideTWBExt"/>
          <w:b w:val="0"/>
        </w:rPr>
        <w:t>&lt;RepeatBlock-By&gt;&lt;Members&gt;</w:t>
      </w:r>
      <w:r>
        <w:t>Реджина Дохърти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4.</w:t>
            </w:r>
            <w:r>
              <w:tab/>
              <w:t xml:space="preserve">изразява съжаление във връзка с факта, че множество предприемачи, установени в ЕС, </w:t>
            </w:r>
            <w:r>
              <w:rPr>
                <w:b/>
                <w:i/>
              </w:rPr>
              <w:t>считат, че е необходимо</w:t>
            </w:r>
            <w:r>
              <w:t xml:space="preserve"> да се преместят, за да получат по-лесен достъп до финансиране и ресурси; </w:t>
            </w:r>
            <w:r>
              <w:rPr>
                <w:b/>
                <w:i/>
              </w:rPr>
              <w:t>изразява съжаление, че те се обръщат към доставчици на</w:t>
            </w:r>
            <w:r>
              <w:t xml:space="preserve"> рисков капитал </w:t>
            </w:r>
            <w:r>
              <w:rPr>
                <w:b/>
                <w:i/>
              </w:rPr>
              <w:t xml:space="preserve">извън ЕС </w:t>
            </w:r>
            <w:r>
              <w:t xml:space="preserve">и </w:t>
            </w:r>
            <w:r>
              <w:rPr>
                <w:b/>
                <w:i/>
              </w:rPr>
              <w:t>се разрастват на чуждестранните пазари</w:t>
            </w:r>
            <w:r>
              <w:t>;</w:t>
            </w:r>
          </w:p>
        </w:tc>
        <w:tc>
          <w:tcPr>
            <w:tcW w:w="4876" w:type="dxa"/>
            <w:tcBorders>
              <w:top w:val="nil"/>
              <w:left w:val="nil"/>
              <w:bottom w:val="nil"/>
              <w:right w:val="nil"/>
            </w:tcBorders>
          </w:tcPr>
          <w:p w:rsidR="004855AE" w:rsidRPr="00C34506" w:rsidRDefault="004855AE" w:rsidP="00061FA7">
            <w:pPr>
              <w:pStyle w:val="Normal6a"/>
            </w:pPr>
            <w:r>
              <w:t>4.</w:t>
            </w:r>
            <w:r>
              <w:tab/>
              <w:t xml:space="preserve">изразява съжаление във връзка с факта, че множество предприемачи, установени в ЕС, </w:t>
            </w:r>
            <w:r>
              <w:rPr>
                <w:b/>
                <w:i/>
              </w:rPr>
              <w:t>биват принуждавани</w:t>
            </w:r>
            <w:r>
              <w:t xml:space="preserve"> да се преместят, за да </w:t>
            </w:r>
            <w:r>
              <w:rPr>
                <w:b/>
                <w:i/>
              </w:rPr>
              <w:t xml:space="preserve">спомогнат за разрастването на своите предприятия и за да </w:t>
            </w:r>
            <w:r>
              <w:t xml:space="preserve">получат по-лесен достъп до финансиране и ресурси; </w:t>
            </w:r>
            <w:r>
              <w:rPr>
                <w:b/>
                <w:i/>
              </w:rPr>
              <w:t>следователно подчертава значението на развитието на силна екосистема за</w:t>
            </w:r>
            <w:r>
              <w:t xml:space="preserve"> рисков капитал и </w:t>
            </w:r>
            <w:r>
              <w:rPr>
                <w:b/>
                <w:i/>
              </w:rPr>
              <w:t>инвестиции в ЕС</w:t>
            </w:r>
            <w:r>
              <w:t>;</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179</w:t>
      </w:r>
      <w:r>
        <w:rPr>
          <w:rStyle w:val="HideTWBExt"/>
          <w:b w:val="0"/>
        </w:rPr>
        <w:t>&lt;/NumAm&gt;</w:t>
      </w:r>
    </w:p>
    <w:p w:rsidR="004855AE" w:rsidRPr="00C34506" w:rsidRDefault="004855AE" w:rsidP="004855AE">
      <w:pPr>
        <w:pStyle w:val="NormalBold"/>
      </w:pPr>
      <w:r>
        <w:rPr>
          <w:rStyle w:val="HideTWBExt"/>
          <w:b w:val="0"/>
        </w:rPr>
        <w:t>&lt;RepeatBlock-By&gt;&lt;Members&gt;</w:t>
      </w:r>
      <w:r>
        <w:t>Ауке Зейлстра, Еникьо Дьори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4.</w:t>
            </w:r>
            <w:r>
              <w:tab/>
            </w:r>
            <w:r>
              <w:rPr>
                <w:b/>
                <w:i/>
              </w:rPr>
              <w:t xml:space="preserve">изразява съжаление във връзка с </w:t>
            </w:r>
            <w:r>
              <w:rPr>
                <w:b/>
                <w:i/>
              </w:rPr>
              <w:lastRenderedPageBreak/>
              <w:t>факта</w:t>
            </w:r>
            <w:r>
              <w:t xml:space="preserve">, че множество предприемачи, установени в ЕС, </w:t>
            </w:r>
            <w:r>
              <w:rPr>
                <w:b/>
                <w:i/>
              </w:rPr>
              <w:t xml:space="preserve">считат, че е необходимо да </w:t>
            </w:r>
            <w:r>
              <w:t xml:space="preserve">се </w:t>
            </w:r>
            <w:r>
              <w:rPr>
                <w:b/>
                <w:i/>
              </w:rPr>
              <w:t>преместят</w:t>
            </w:r>
            <w:r>
              <w:t>, за да получат по-лесен достъп до финансиране и ресурси</w:t>
            </w:r>
            <w:r>
              <w:rPr>
                <w:b/>
                <w:i/>
              </w:rPr>
              <w:t>; изразява съжаление</w:t>
            </w:r>
            <w:r>
              <w:t>, че те се обръщат към доставчици на рисков капитал извън ЕС и се разрастват на чуждестранните пазари;</w:t>
            </w:r>
          </w:p>
        </w:tc>
        <w:tc>
          <w:tcPr>
            <w:tcW w:w="4876" w:type="dxa"/>
            <w:tcBorders>
              <w:top w:val="nil"/>
              <w:left w:val="nil"/>
              <w:bottom w:val="nil"/>
              <w:right w:val="nil"/>
            </w:tcBorders>
          </w:tcPr>
          <w:p w:rsidR="004855AE" w:rsidRPr="00C34506" w:rsidRDefault="004855AE" w:rsidP="00061FA7">
            <w:pPr>
              <w:pStyle w:val="Normal6a"/>
            </w:pPr>
            <w:r>
              <w:lastRenderedPageBreak/>
              <w:t>4.</w:t>
            </w:r>
            <w:r>
              <w:tab/>
            </w:r>
            <w:r>
              <w:rPr>
                <w:b/>
                <w:i/>
              </w:rPr>
              <w:t>отбелязва</w:t>
            </w:r>
            <w:r>
              <w:t xml:space="preserve">, че множество </w:t>
            </w:r>
            <w:r>
              <w:lastRenderedPageBreak/>
              <w:t xml:space="preserve">предприемачи, установени в ЕС, се </w:t>
            </w:r>
            <w:r>
              <w:rPr>
                <w:b/>
                <w:i/>
              </w:rPr>
              <w:t>преместват</w:t>
            </w:r>
            <w:r>
              <w:t>, за да получат по-лесен достъп до финансиране</w:t>
            </w:r>
            <w:r>
              <w:rPr>
                <w:b/>
                <w:i/>
              </w:rPr>
              <w:t>, висококвалифицирана работна ръка</w:t>
            </w:r>
            <w:r>
              <w:t xml:space="preserve"> и ресурси</w:t>
            </w:r>
            <w:r>
              <w:rPr>
                <w:b/>
                <w:i/>
              </w:rPr>
              <w:t xml:space="preserve"> и за да избегнат непрозрачните разпоредби, които възпират инвестициите и разрастването на бизнеса; отбелязва</w:t>
            </w:r>
            <w:r>
              <w:t>, че те се обръщат към доставчици на рисков капитал извън ЕС и се разрастват на чуждестранните пазари</w:t>
            </w:r>
            <w:r>
              <w:rPr>
                <w:b/>
                <w:i/>
              </w:rPr>
              <w:t>, на които инвестициите и разрастването биват приветствани и не биват приемани недоброжелателно</w:t>
            </w:r>
            <w:r>
              <w:t>;</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180</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4.</w:t>
            </w:r>
            <w:r>
              <w:tab/>
              <w:t xml:space="preserve">изразява съжаление във връзка с факта, че множество предприемачи, установени в ЕС, считат, </w:t>
            </w:r>
            <w:r>
              <w:rPr>
                <w:b/>
                <w:i/>
              </w:rPr>
              <w:t>че е необходимо</w:t>
            </w:r>
            <w:r>
              <w:t xml:space="preserve"> да се преместят, за да получат</w:t>
            </w:r>
            <w:r>
              <w:rPr>
                <w:b/>
                <w:i/>
              </w:rPr>
              <w:t xml:space="preserve"> по-лесен</w:t>
            </w:r>
            <w:r>
              <w:t xml:space="preserve"> достъп до финансиране и ресурси; изразява съжаление, че те се обръщат към доставчици на рисков капитал извън ЕС и се разрастват на чуждестранните пазари;</w:t>
            </w:r>
          </w:p>
        </w:tc>
        <w:tc>
          <w:tcPr>
            <w:tcW w:w="4876" w:type="dxa"/>
            <w:tcBorders>
              <w:top w:val="nil"/>
              <w:left w:val="nil"/>
              <w:bottom w:val="nil"/>
              <w:right w:val="nil"/>
            </w:tcBorders>
          </w:tcPr>
          <w:p w:rsidR="004855AE" w:rsidRPr="00C34506" w:rsidRDefault="004855AE" w:rsidP="00061FA7">
            <w:pPr>
              <w:pStyle w:val="Normal6a"/>
            </w:pPr>
            <w:r>
              <w:t>4.</w:t>
            </w:r>
            <w:r>
              <w:tab/>
              <w:t xml:space="preserve">изразява съжаление във връзка с факта, че множество предприемачи, установени в ЕС, считат, </w:t>
            </w:r>
            <w:r>
              <w:rPr>
                <w:b/>
                <w:i/>
              </w:rPr>
              <w:t>трябва</w:t>
            </w:r>
            <w:r>
              <w:t xml:space="preserve"> да се преместят, за да получат достъп до финансиране и ресурси; изразява съжаление, че те се обръщат към доставчици на рисков капитал извън ЕС и се разрастват на чуждестранните</w:t>
            </w:r>
            <w:r>
              <w:rPr>
                <w:b/>
                <w:i/>
              </w:rPr>
              <w:t xml:space="preserve"> пазари, тъй като нашият пазар не е в състояние да задоволява техните изисквания;</w:t>
            </w:r>
            <w:r>
              <w:t xml:space="preserve"> </w:t>
            </w:r>
            <w:r>
              <w:rPr>
                <w:b/>
                <w:i/>
              </w:rPr>
              <w:t>призовава за развитието на рисков капитал, за да могат дружествата да получават инвестиции на нашите пазари;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181</w:t>
      </w:r>
      <w:r>
        <w:rPr>
          <w:rStyle w:val="HideTWBExt"/>
          <w:b w:val="0"/>
        </w:rPr>
        <w:t>&lt;/NumAm&gt;</w:t>
      </w:r>
    </w:p>
    <w:p w:rsidR="004855AE" w:rsidRPr="00C34506" w:rsidRDefault="004855AE" w:rsidP="004855AE">
      <w:pPr>
        <w:pStyle w:val="NormalBold"/>
      </w:pPr>
      <w:r>
        <w:rPr>
          <w:rStyle w:val="HideTWBExt"/>
          <w:b w:val="0"/>
        </w:rPr>
        <w:t>&lt;RepeatBlock-By&gt;&lt;Members&gt;</w:t>
      </w:r>
      <w:r>
        <w:t>Арба Кокалари</w:t>
      </w:r>
      <w:r>
        <w:rPr>
          <w:rStyle w:val="HideTWBExt"/>
          <w:b w:val="0"/>
        </w:rPr>
        <w:t>&lt;/Members&gt;</w:t>
      </w:r>
    </w:p>
    <w:p w:rsidR="004855AE" w:rsidRPr="00C34506" w:rsidRDefault="004855AE" w:rsidP="004855AE">
      <w:pPr>
        <w:pStyle w:val="NormalBold"/>
      </w:pPr>
      <w:r>
        <w:rPr>
          <w:rStyle w:val="HideTWBExt"/>
          <w:b w:val="0"/>
        </w:rPr>
        <w:lastRenderedPageBreak/>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4.</w:t>
            </w:r>
            <w:r>
              <w:tab/>
              <w:t>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w:t>
            </w:r>
            <w:r>
              <w:rPr>
                <w:b/>
                <w:i/>
              </w:rPr>
              <w:t>; изразява съжаление</w:t>
            </w:r>
            <w:r>
              <w:t>, че те се обръщат към доставчици на рисков капитал извън ЕС и се разрастват на чуждестранните пазари;</w:t>
            </w:r>
          </w:p>
        </w:tc>
        <w:tc>
          <w:tcPr>
            <w:tcW w:w="4876" w:type="dxa"/>
            <w:tcBorders>
              <w:top w:val="nil"/>
              <w:left w:val="nil"/>
              <w:bottom w:val="nil"/>
              <w:right w:val="nil"/>
            </w:tcBorders>
          </w:tcPr>
          <w:p w:rsidR="004855AE" w:rsidRPr="00C34506" w:rsidRDefault="004855AE" w:rsidP="00061FA7">
            <w:pPr>
              <w:pStyle w:val="Normal6a"/>
            </w:pPr>
            <w:r>
              <w:t>4.</w:t>
            </w:r>
            <w:r>
              <w:tab/>
              <w:t>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w:t>
            </w:r>
            <w:r>
              <w:rPr>
                <w:b/>
                <w:i/>
              </w:rPr>
              <w:t>, както и поради факта</w:t>
            </w:r>
            <w:r>
              <w:t xml:space="preserve">, че те се обръщат към доставчици на рисков капитал извън ЕС и се разрастват на чуждестранните пазари; </w:t>
            </w:r>
            <w:r>
              <w:rPr>
                <w:b/>
                <w:i/>
              </w:rPr>
              <w:t>подчертава, че приоритетът трябва да бъде разбирането и справянето с първопричините за преместването чрез насърчаване на по-конкурентоспособен и привлекателен вътрешен пазар, осигуряване на условия за растеж и мащаб на предприемачите в ЕС в рамките на Съюза и осигуряване на регулаторна среда, която не е прекалено обременяваща или рестриктивна;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182</w:t>
      </w:r>
      <w:r>
        <w:rPr>
          <w:rStyle w:val="HideTWBExt"/>
          <w:b w:val="0"/>
        </w:rPr>
        <w:t>&lt;/NumAm&gt;</w:t>
      </w:r>
    </w:p>
    <w:p w:rsidR="004855AE" w:rsidRPr="00C34506" w:rsidRDefault="004855AE" w:rsidP="004855AE">
      <w:pPr>
        <w:pStyle w:val="NormalBold"/>
      </w:pPr>
      <w:r>
        <w:rPr>
          <w:rStyle w:val="HideTWBExt"/>
          <w:b w:val="0"/>
        </w:rPr>
        <w:t>&lt;RepeatBlock-By&gt;&lt;Members&gt;</w:t>
      </w:r>
      <w:r>
        <w:t>Джовани Крозето, Доменико Денис Неши, Франческо Вентола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4.</w:t>
            </w:r>
            <w:r>
              <w:tab/>
              <w:t xml:space="preserve">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 </w:t>
            </w:r>
            <w:r>
              <w:rPr>
                <w:b/>
                <w:i/>
              </w:rPr>
              <w:t>изразява съжаление</w:t>
            </w:r>
            <w:r>
              <w:t xml:space="preserve">, че те се обръщат към доставчици на рисков капитал извън ЕС и се разрастват на чуждестранните </w:t>
            </w:r>
            <w:r>
              <w:lastRenderedPageBreak/>
              <w:t>пазари;</w:t>
            </w:r>
          </w:p>
        </w:tc>
        <w:tc>
          <w:tcPr>
            <w:tcW w:w="4876" w:type="dxa"/>
            <w:tcBorders>
              <w:top w:val="nil"/>
              <w:left w:val="nil"/>
              <w:bottom w:val="nil"/>
              <w:right w:val="nil"/>
            </w:tcBorders>
          </w:tcPr>
          <w:p w:rsidR="004855AE" w:rsidRPr="00C34506" w:rsidRDefault="004855AE" w:rsidP="00061FA7">
            <w:pPr>
              <w:pStyle w:val="Normal6a"/>
            </w:pPr>
            <w:r>
              <w:lastRenderedPageBreak/>
              <w:t>4.</w:t>
            </w:r>
            <w:r>
              <w:tab/>
              <w:t xml:space="preserve">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 </w:t>
            </w:r>
            <w:r>
              <w:rPr>
                <w:b/>
                <w:i/>
              </w:rPr>
              <w:t>отбелязва със загриженост</w:t>
            </w:r>
            <w:r>
              <w:t xml:space="preserve">, че те се обръщат към доставчици на рисков капитал извън ЕС и се разрастват на чуждестранните </w:t>
            </w:r>
            <w:r>
              <w:lastRenderedPageBreak/>
              <w:t>пазари</w:t>
            </w:r>
            <w:r>
              <w:rPr>
                <w:b/>
                <w:i/>
              </w:rPr>
              <w:t>, което подчертава необходимостта институциите на ЕС да насърчават по-привлекателна и подкрепяща среда за иновации и растеж</w:t>
            </w:r>
            <w:r>
              <w:t>;</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183</w:t>
      </w:r>
      <w:r>
        <w:rPr>
          <w:rStyle w:val="HideTWBExt"/>
          <w:b w:val="0"/>
        </w:rPr>
        <w:t>&lt;/NumAm&gt;</w:t>
      </w:r>
    </w:p>
    <w:p w:rsidR="004855AE" w:rsidRPr="00C34506" w:rsidRDefault="004855AE" w:rsidP="004855AE">
      <w:pPr>
        <w:pStyle w:val="NormalBold"/>
      </w:pPr>
      <w:r>
        <w:rPr>
          <w:rStyle w:val="HideTWBExt"/>
          <w:b w:val="0"/>
        </w:rPr>
        <w:t>&lt;RepeatBlock-By&gt;&lt;Members&gt;</w:t>
      </w:r>
      <w:r>
        <w:t>Лидия Перейра,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4.</w:t>
            </w:r>
            <w:r>
              <w:tab/>
            </w:r>
            <w:r>
              <w:rPr>
                <w:b/>
                <w:i/>
              </w:rPr>
              <w:t>изразява съжаление във връзка с факта</w:t>
            </w:r>
            <w:r>
              <w:t xml:space="preserve">, че множество предприемачи, установени в ЕС, считат, че е необходимо да се преместят, за да получат по-лесен достъп до финансиране и ресурси; </w:t>
            </w:r>
            <w:r>
              <w:rPr>
                <w:b/>
                <w:i/>
              </w:rPr>
              <w:t>изразява съжаление</w:t>
            </w:r>
            <w:r>
              <w:t>, че те се обръщат към доставчици на рисков капитал извън ЕС и се разрастват на чуждестранните пазари;</w:t>
            </w:r>
          </w:p>
        </w:tc>
        <w:tc>
          <w:tcPr>
            <w:tcW w:w="4876" w:type="dxa"/>
            <w:tcBorders>
              <w:top w:val="nil"/>
              <w:left w:val="nil"/>
              <w:bottom w:val="nil"/>
              <w:right w:val="nil"/>
            </w:tcBorders>
          </w:tcPr>
          <w:p w:rsidR="004855AE" w:rsidRPr="00C34506" w:rsidRDefault="004855AE" w:rsidP="00061FA7">
            <w:pPr>
              <w:pStyle w:val="Normal6a"/>
            </w:pPr>
            <w:r>
              <w:t>4.</w:t>
            </w:r>
            <w:r>
              <w:tab/>
            </w:r>
            <w:r>
              <w:rPr>
                <w:b/>
                <w:i/>
              </w:rPr>
              <w:t>признава</w:t>
            </w:r>
            <w:r>
              <w:t xml:space="preserve">, че множество предприемачи, установени в ЕС, считат, че е необходимо да се преместят, за да получат по-лесен достъп до финансиране и ресурси; </w:t>
            </w:r>
            <w:r>
              <w:rPr>
                <w:b/>
                <w:i/>
              </w:rPr>
              <w:t>отбелязва със загриженост</w:t>
            </w:r>
            <w:r>
              <w:t>, че те</w:t>
            </w:r>
            <w:r>
              <w:rPr>
                <w:b/>
                <w:i/>
              </w:rPr>
              <w:t xml:space="preserve"> обикновено</w:t>
            </w:r>
            <w:r>
              <w:t xml:space="preserve"> се обръщат към доставчици на рисков капитал извън ЕС и се разрастват на чуждестранните</w:t>
            </w:r>
            <w:r>
              <w:rPr>
                <w:b/>
                <w:i/>
              </w:rPr>
              <w:t xml:space="preserve"> пазари, главно поради недостатъци и липса на ефикасност на европейските капиталови</w:t>
            </w:r>
            <w:r>
              <w:t xml:space="preserve"> пазари;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184</w:t>
      </w:r>
      <w:r>
        <w:rPr>
          <w:rStyle w:val="HideTWBExt"/>
          <w:b w:val="0"/>
        </w:rPr>
        <w:t>&lt;/NumAm&gt;</w:t>
      </w:r>
    </w:p>
    <w:p w:rsidR="004855AE" w:rsidRPr="00C34506" w:rsidRDefault="004855AE" w:rsidP="004855AE">
      <w:pPr>
        <w:pStyle w:val="NormalBold"/>
      </w:pPr>
      <w:r>
        <w:rPr>
          <w:rStyle w:val="HideTWBExt"/>
          <w:b w:val="0"/>
        </w:rPr>
        <w:t>&lt;RepeatBlock-By&gt;&lt;Members&gt;</w:t>
      </w:r>
      <w:r>
        <w:t>Паскал Канфен, Стефани Йон</w:t>
      </w:r>
      <w:r>
        <w:noBreakHyphen/>
        <w:t>Куртен, Жил Боайе, Били Келъхър, Анук Ван Брюг</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4.</w:t>
            </w:r>
            <w:r>
              <w:tab/>
              <w:t xml:space="preserve">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 изразява съжаление, че </w:t>
            </w:r>
            <w:r>
              <w:rPr>
                <w:b/>
                <w:i/>
              </w:rPr>
              <w:t xml:space="preserve">те се обръщат към </w:t>
            </w:r>
            <w:r>
              <w:rPr>
                <w:b/>
                <w:i/>
              </w:rPr>
              <w:lastRenderedPageBreak/>
              <w:t>доставчици на</w:t>
            </w:r>
            <w:r>
              <w:t xml:space="preserve"> рисков капитал </w:t>
            </w:r>
            <w:r>
              <w:rPr>
                <w:b/>
                <w:i/>
              </w:rPr>
              <w:t>извън</w:t>
            </w:r>
            <w:r>
              <w:t xml:space="preserve"> ЕС </w:t>
            </w:r>
            <w:r>
              <w:rPr>
                <w:b/>
                <w:i/>
              </w:rPr>
              <w:t>и</w:t>
            </w:r>
            <w:r>
              <w:t xml:space="preserve"> се разрастват на </w:t>
            </w:r>
            <w:r>
              <w:rPr>
                <w:b/>
                <w:i/>
              </w:rPr>
              <w:t>чуждестранните</w:t>
            </w:r>
            <w:r>
              <w:t xml:space="preserve"> пазари;</w:t>
            </w:r>
          </w:p>
        </w:tc>
        <w:tc>
          <w:tcPr>
            <w:tcW w:w="4876" w:type="dxa"/>
            <w:tcBorders>
              <w:top w:val="nil"/>
              <w:left w:val="nil"/>
              <w:bottom w:val="nil"/>
              <w:right w:val="nil"/>
            </w:tcBorders>
          </w:tcPr>
          <w:p w:rsidR="004855AE" w:rsidRPr="00C34506" w:rsidRDefault="004855AE" w:rsidP="00061FA7">
            <w:pPr>
              <w:pStyle w:val="Normal6a"/>
            </w:pPr>
            <w:r>
              <w:lastRenderedPageBreak/>
              <w:t>4.</w:t>
            </w:r>
            <w:r>
              <w:tab/>
              <w:t xml:space="preserve">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 изразява съжаление, че </w:t>
            </w:r>
            <w:r>
              <w:rPr>
                <w:b/>
                <w:i/>
              </w:rPr>
              <w:t xml:space="preserve">липсата на </w:t>
            </w:r>
            <w:r>
              <w:rPr>
                <w:b/>
                <w:i/>
              </w:rPr>
              <w:lastRenderedPageBreak/>
              <w:t>широкомащабни фондове за</w:t>
            </w:r>
            <w:r>
              <w:t xml:space="preserve"> рисков капитал </w:t>
            </w:r>
            <w:r>
              <w:rPr>
                <w:b/>
                <w:i/>
              </w:rPr>
              <w:t>и финансово жизнеспособни възможности за излизане в</w:t>
            </w:r>
            <w:r>
              <w:t xml:space="preserve"> ЕС </w:t>
            </w:r>
            <w:r>
              <w:rPr>
                <w:b/>
                <w:i/>
              </w:rPr>
              <w:t>ги принуждава да</w:t>
            </w:r>
            <w:r>
              <w:t xml:space="preserve"> се разрастват </w:t>
            </w:r>
            <w:r>
              <w:rPr>
                <w:b/>
                <w:i/>
              </w:rPr>
              <w:t xml:space="preserve">с чуждестранни инвестиции и </w:t>
            </w:r>
            <w:r>
              <w:t xml:space="preserve">на </w:t>
            </w:r>
            <w:r>
              <w:rPr>
                <w:b/>
                <w:i/>
              </w:rPr>
              <w:t>чуждестранни</w:t>
            </w:r>
            <w:r>
              <w:t xml:space="preserve"> пазари;</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185</w:t>
      </w:r>
      <w:r>
        <w:rPr>
          <w:rStyle w:val="HideTWBExt"/>
          <w:b w:val="0"/>
        </w:rPr>
        <w:t>&lt;/NumAm&gt;</w:t>
      </w:r>
    </w:p>
    <w:p w:rsidR="004855AE" w:rsidRPr="00C34506" w:rsidRDefault="004855AE" w:rsidP="004855AE">
      <w:pPr>
        <w:pStyle w:val="NormalBold"/>
      </w:pPr>
      <w:r>
        <w:rPr>
          <w:rStyle w:val="HideTWBExt"/>
          <w:b w:val="0"/>
        </w:rPr>
        <w:t>&lt;RepeatBlock-By&gt;&lt;Members&gt;</w:t>
      </w:r>
      <w:r>
        <w:t>Йохан Ван Овертвелд</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4.</w:t>
            </w:r>
            <w:r>
              <w:tab/>
              <w:t xml:space="preserve">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 </w:t>
            </w:r>
            <w:r>
              <w:rPr>
                <w:b/>
                <w:i/>
              </w:rPr>
              <w:t>изразява съжаление</w:t>
            </w:r>
            <w:r>
              <w:t>, че те се обръщат към доставчици на рисков капитал извън ЕС и се разрастват на чуждестранните пазари;</w:t>
            </w:r>
          </w:p>
        </w:tc>
        <w:tc>
          <w:tcPr>
            <w:tcW w:w="4876" w:type="dxa"/>
            <w:tcBorders>
              <w:top w:val="nil"/>
              <w:left w:val="nil"/>
              <w:bottom w:val="nil"/>
              <w:right w:val="nil"/>
            </w:tcBorders>
          </w:tcPr>
          <w:p w:rsidR="004855AE" w:rsidRPr="00C34506" w:rsidRDefault="004855AE" w:rsidP="00061FA7">
            <w:pPr>
              <w:pStyle w:val="Normal6a"/>
            </w:pPr>
            <w:r>
              <w:t>4.</w:t>
            </w:r>
            <w:r>
              <w:tab/>
              <w:t xml:space="preserve">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 </w:t>
            </w:r>
            <w:r>
              <w:rPr>
                <w:b/>
                <w:i/>
              </w:rPr>
              <w:t>подчертава</w:t>
            </w:r>
            <w:r>
              <w:t>, че те се обръщат към доставчици на рисков капитал извън ЕС и се разрастват на чуждестранните пазари</w:t>
            </w:r>
            <w:r>
              <w:rPr>
                <w:b/>
                <w:i/>
              </w:rPr>
              <w:t xml:space="preserve"> поради липсата на интегрират СКП в ЕС</w:t>
            </w:r>
            <w:r>
              <w:t>;</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186</w:t>
      </w:r>
      <w:r>
        <w:rPr>
          <w:rStyle w:val="HideTWBExt"/>
          <w:b w:val="0"/>
        </w:rPr>
        <w:t>&lt;/NumAm&gt;</w:t>
      </w:r>
    </w:p>
    <w:p w:rsidR="004855AE" w:rsidRPr="00C34506" w:rsidRDefault="004855AE" w:rsidP="004855AE">
      <w:pPr>
        <w:pStyle w:val="NormalBold"/>
      </w:pPr>
      <w:r>
        <w:rPr>
          <w:rStyle w:val="HideTWBExt"/>
          <w:b w:val="0"/>
        </w:rPr>
        <w:t>&lt;RepeatBlock-By&gt;&lt;Members&gt;</w:t>
      </w:r>
      <w:r>
        <w:t>Фернандо Наварете Рохас,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4.</w:t>
            </w:r>
            <w:r>
              <w:tab/>
              <w:t xml:space="preserve">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 изразява съжаление, че </w:t>
            </w:r>
            <w:r>
              <w:rPr>
                <w:b/>
                <w:i/>
              </w:rPr>
              <w:t>те</w:t>
            </w:r>
            <w:r>
              <w:t xml:space="preserve"> се </w:t>
            </w:r>
            <w:r>
              <w:rPr>
                <w:b/>
                <w:i/>
              </w:rPr>
              <w:t xml:space="preserve">обръщат към </w:t>
            </w:r>
            <w:r>
              <w:rPr>
                <w:b/>
                <w:i/>
              </w:rPr>
              <w:lastRenderedPageBreak/>
              <w:t>доставчици на рисков капитал извън</w:t>
            </w:r>
            <w:r>
              <w:t xml:space="preserve"> ЕС и </w:t>
            </w:r>
            <w:r>
              <w:rPr>
                <w:b/>
                <w:i/>
              </w:rPr>
              <w:t>се разрастват на чуждестранните пазари</w:t>
            </w:r>
            <w:r>
              <w:t>;</w:t>
            </w:r>
          </w:p>
        </w:tc>
        <w:tc>
          <w:tcPr>
            <w:tcW w:w="4876" w:type="dxa"/>
            <w:tcBorders>
              <w:top w:val="nil"/>
              <w:left w:val="nil"/>
              <w:bottom w:val="nil"/>
              <w:right w:val="nil"/>
            </w:tcBorders>
          </w:tcPr>
          <w:p w:rsidR="004855AE" w:rsidRPr="00C34506" w:rsidRDefault="004855AE" w:rsidP="00061FA7">
            <w:pPr>
              <w:pStyle w:val="Normal6a"/>
            </w:pPr>
            <w:r>
              <w:lastRenderedPageBreak/>
              <w:t>4.</w:t>
            </w:r>
            <w:r>
              <w:tab/>
              <w:t xml:space="preserve">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 </w:t>
            </w:r>
            <w:r>
              <w:rPr>
                <w:b/>
                <w:i/>
              </w:rPr>
              <w:t xml:space="preserve">изразява съжаление, че настоящата </w:t>
            </w:r>
            <w:r>
              <w:rPr>
                <w:b/>
                <w:i/>
              </w:rPr>
              <w:lastRenderedPageBreak/>
              <w:t>регулаторна и финансова екосистема на ЕС все още не осигурява достатъчно задълбочена, достъпна и диверсифицирана рамка в подкрепа на нуждите от финансиране на разрастващите се дружества;</w:t>
            </w:r>
            <w:r>
              <w:t xml:space="preserve"> </w:t>
            </w:r>
            <w:r>
              <w:rPr>
                <w:b/>
                <w:i/>
              </w:rPr>
              <w:t>изразява съжаление, че този структурен недостатък принуждава много предприемачи, установени в</w:t>
            </w:r>
            <w:r>
              <w:t xml:space="preserve"> ЕС</w:t>
            </w:r>
            <w:r>
              <w:rPr>
                <w:b/>
                <w:i/>
              </w:rPr>
              <w:t>, да търсят рисков капитал</w:t>
            </w:r>
            <w:r>
              <w:t xml:space="preserve"> и </w:t>
            </w:r>
            <w:r>
              <w:rPr>
                <w:b/>
                <w:i/>
              </w:rPr>
              <w:t>възможности за разрастване в трети държави</w:t>
            </w:r>
            <w:r>
              <w:t>;</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187</w:t>
      </w:r>
      <w:r>
        <w:rPr>
          <w:rStyle w:val="HideTWBExt"/>
          <w:b w:val="0"/>
        </w:rPr>
        <w:t>&lt;/NumAm&gt;</w:t>
      </w:r>
    </w:p>
    <w:p w:rsidR="004855AE" w:rsidRPr="00C34506" w:rsidRDefault="004855AE" w:rsidP="004855AE">
      <w:pPr>
        <w:pStyle w:val="NormalBold"/>
      </w:pPr>
      <w:r>
        <w:rPr>
          <w:rStyle w:val="HideTWBExt"/>
          <w:b w:val="0"/>
        </w:rPr>
        <w:t>&lt;RepeatBlock-By&gt;&lt;Members&gt;</w:t>
      </w:r>
      <w:r>
        <w:t>Михалис Хаджипандела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4.</w:t>
            </w:r>
            <w:r>
              <w:tab/>
              <w:t>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 изразява съжаление</w:t>
            </w:r>
            <w:r>
              <w:rPr>
                <w:b/>
                <w:i/>
              </w:rPr>
              <w:t>, че те се обръщат към</w:t>
            </w:r>
            <w:r>
              <w:t xml:space="preserve"> доставчици на рисков капитал </w:t>
            </w:r>
            <w:r>
              <w:rPr>
                <w:b/>
                <w:i/>
              </w:rPr>
              <w:t>извън ЕС</w:t>
            </w:r>
            <w:r>
              <w:t xml:space="preserve"> и </w:t>
            </w:r>
            <w:r>
              <w:rPr>
                <w:b/>
                <w:i/>
              </w:rPr>
              <w:t>се разрастват</w:t>
            </w:r>
            <w:r>
              <w:t xml:space="preserve"> на </w:t>
            </w:r>
            <w:r>
              <w:rPr>
                <w:b/>
                <w:i/>
              </w:rPr>
              <w:t>чуждестранните пазари</w:t>
            </w:r>
            <w:r>
              <w:t>;</w:t>
            </w:r>
          </w:p>
        </w:tc>
        <w:tc>
          <w:tcPr>
            <w:tcW w:w="4876" w:type="dxa"/>
            <w:tcBorders>
              <w:top w:val="nil"/>
              <w:left w:val="nil"/>
              <w:bottom w:val="nil"/>
              <w:right w:val="nil"/>
            </w:tcBorders>
          </w:tcPr>
          <w:p w:rsidR="004855AE" w:rsidRPr="00C34506" w:rsidRDefault="004855AE" w:rsidP="00061FA7">
            <w:pPr>
              <w:pStyle w:val="Normal6a"/>
            </w:pPr>
            <w:r>
              <w:t>4.</w:t>
            </w:r>
            <w:r>
              <w:tab/>
              <w:t>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 изразява съжаление</w:t>
            </w:r>
            <w:r>
              <w:rPr>
                <w:b/>
                <w:i/>
              </w:rPr>
              <w:t xml:space="preserve"> относно недостатъчната наличност на</w:t>
            </w:r>
            <w:r>
              <w:t xml:space="preserve"> доставчици на рисков капитал </w:t>
            </w:r>
            <w:r>
              <w:rPr>
                <w:b/>
                <w:i/>
              </w:rPr>
              <w:t>в рамките на Съюза</w:t>
            </w:r>
            <w:r>
              <w:t xml:space="preserve"> и </w:t>
            </w:r>
            <w:r>
              <w:rPr>
                <w:b/>
                <w:i/>
              </w:rPr>
              <w:t>призовава за незабавни и конкретни усилия за създаване</w:t>
            </w:r>
            <w:r>
              <w:t xml:space="preserve"> на </w:t>
            </w:r>
            <w:r>
              <w:rPr>
                <w:b/>
                <w:i/>
              </w:rPr>
              <w:t>стабилна и достъпна екосистема за рисков капитал, като подчертава способността на Съюза за устойчиви иновации и икономически растеж</w:t>
            </w:r>
            <w:r>
              <w:t>;</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188</w:t>
      </w:r>
      <w:r>
        <w:rPr>
          <w:rStyle w:val="HideTWBExt"/>
          <w:b w:val="0"/>
        </w:rPr>
        <w:t>&lt;/NumAm&gt;</w:t>
      </w:r>
    </w:p>
    <w:p w:rsidR="004855AE" w:rsidRPr="00C34506" w:rsidRDefault="004855AE" w:rsidP="004855AE">
      <w:pPr>
        <w:pStyle w:val="NormalBold"/>
      </w:pPr>
      <w:r>
        <w:rPr>
          <w:rStyle w:val="HideTWBExt"/>
          <w:b w:val="0"/>
        </w:rPr>
        <w:t>&lt;RepeatBlock-By&gt;&lt;Members&gt;</w:t>
      </w:r>
      <w:r>
        <w:t>Еро Хейнелуома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lastRenderedPageBreak/>
        <w:t>&lt;Article&gt;</w:t>
      </w:r>
      <w:r>
        <w:t>Параграф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4.</w:t>
            </w:r>
            <w:r>
              <w:tab/>
              <w:t>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 изразява съжаление, че те се обръщат към доставчици на рисков капитал извън ЕС и се разрастват на чуждестранните пазари;</w:t>
            </w:r>
          </w:p>
        </w:tc>
        <w:tc>
          <w:tcPr>
            <w:tcW w:w="4876" w:type="dxa"/>
            <w:tcBorders>
              <w:top w:val="nil"/>
              <w:left w:val="nil"/>
              <w:bottom w:val="nil"/>
              <w:right w:val="nil"/>
            </w:tcBorders>
          </w:tcPr>
          <w:p w:rsidR="004855AE" w:rsidRPr="00C34506" w:rsidRDefault="004855AE" w:rsidP="00061FA7">
            <w:pPr>
              <w:pStyle w:val="Normal6a"/>
            </w:pPr>
            <w:r>
              <w:t>4.</w:t>
            </w:r>
            <w:r>
              <w:tab/>
              <w:t>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 изразява съжаление, че те се обръщат към доставчици на рисков капитал извън ЕС и се разрастват на чуждестранните пазари</w:t>
            </w:r>
            <w:r>
              <w:rPr>
                <w:b/>
                <w:i/>
              </w:rPr>
              <w:t>, докато ЕС генерира годишно повече стартиращи предприятия, отколкото САЩ, а възвръщаемостта на инвестициите в рисков капитал в ЕС е с около 6% по-висока: https://www.ceps.eu/its-finally-time-to-leverage-pension-funds-to-foster-eu-productivity-and-benefit-pensioners/</w:t>
            </w:r>
            <w:r>
              <w:t>;</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189</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4.</w:t>
            </w:r>
            <w:r>
              <w:tab/>
              <w:t>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 изразява съжаление, че те се обръщат към доставчици на рисков капитал извън ЕС и се разрастват на чуждестранните пазари;</w:t>
            </w:r>
          </w:p>
        </w:tc>
        <w:tc>
          <w:tcPr>
            <w:tcW w:w="4876" w:type="dxa"/>
            <w:tcBorders>
              <w:top w:val="nil"/>
              <w:left w:val="nil"/>
              <w:bottom w:val="nil"/>
              <w:right w:val="nil"/>
            </w:tcBorders>
          </w:tcPr>
          <w:p w:rsidR="004855AE" w:rsidRPr="00C34506" w:rsidRDefault="004855AE" w:rsidP="00061FA7">
            <w:pPr>
              <w:pStyle w:val="Normal6a"/>
            </w:pPr>
            <w:r>
              <w:t>4.</w:t>
            </w:r>
            <w:r>
              <w:tab/>
              <w:t xml:space="preserve">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 изразява съжаление, че те се обръщат към доставчици на рисков капитал извън ЕС и се разрастват на чуждестранните пазари; </w:t>
            </w:r>
            <w:r>
              <w:rPr>
                <w:b/>
                <w:i/>
              </w:rPr>
              <w:t xml:space="preserve">изразява съгласие с докладите на Драги и Лета, че ЕС следва да продължи да развива своите пазари на рисков капитал; подчертава обаче, че публичната подкрепа за пазарите на рисков капитал следва да бъде </w:t>
            </w:r>
            <w:r>
              <w:rPr>
                <w:b/>
                <w:i/>
              </w:rPr>
              <w:lastRenderedPageBreak/>
              <w:t>насочена изключително към проекти, които са в съответствие с целите на Зеления пакт и имат положително социално въздействие;</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190</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4.</w:t>
            </w:r>
            <w:r>
              <w:tab/>
              <w:t>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 изразява съжаление, че те се обръщат към доставчици на рисков капитал извън ЕС и се разрастват на чуждестранните пазари;</w:t>
            </w:r>
          </w:p>
        </w:tc>
        <w:tc>
          <w:tcPr>
            <w:tcW w:w="4876" w:type="dxa"/>
            <w:tcBorders>
              <w:top w:val="nil"/>
              <w:left w:val="nil"/>
              <w:bottom w:val="nil"/>
              <w:right w:val="nil"/>
            </w:tcBorders>
          </w:tcPr>
          <w:p w:rsidR="004855AE" w:rsidRPr="00C34506" w:rsidRDefault="004855AE" w:rsidP="00061FA7">
            <w:pPr>
              <w:pStyle w:val="Normal6a"/>
            </w:pPr>
            <w:r>
              <w:t>4.</w:t>
            </w:r>
            <w:r>
              <w:tab/>
              <w:t>изразява съжаление във връзка с факта, че множество предприемачи, установени в ЕС, считат, че е необходимо да се преместят</w:t>
            </w:r>
            <w:r>
              <w:rPr>
                <w:b/>
                <w:i/>
              </w:rPr>
              <w:t xml:space="preserve"> в юрисдикции извън ЕС</w:t>
            </w:r>
            <w:r>
              <w:t xml:space="preserve">, за да получат по-лесен достъп до финансиране и ресурси; изразява съжаление, че те се обръщат към доставчици на рисков капитал извън ЕС и се разрастват на чуждестранните пазари; </w:t>
            </w:r>
            <w:r>
              <w:rPr>
                <w:b/>
                <w:i/>
              </w:rPr>
              <w:t>признава, че тези решения сочат обща липса на конкурентоспособност на европейската екосистема за финансиране, особено във фазата на разрастване, която трябва да бъде преодоляна; </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191</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Евелин Регнер, Нилс Фулсанг, Клер Фита, Карла Тавареш, Томас Баяда,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lastRenderedPageBreak/>
              <w:t>4.</w:t>
            </w:r>
            <w:r>
              <w:tab/>
              <w:t>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 изразява съжаление, че те се обръщат към доставчици на рисков капитал извън ЕС и се разрастват на чуждестранните пазари;</w:t>
            </w:r>
          </w:p>
        </w:tc>
        <w:tc>
          <w:tcPr>
            <w:tcW w:w="4876" w:type="dxa"/>
            <w:tcBorders>
              <w:top w:val="nil"/>
              <w:left w:val="nil"/>
              <w:bottom w:val="nil"/>
              <w:right w:val="nil"/>
            </w:tcBorders>
          </w:tcPr>
          <w:p w:rsidR="004855AE" w:rsidRPr="00C34506" w:rsidRDefault="004855AE" w:rsidP="00061FA7">
            <w:pPr>
              <w:pStyle w:val="Normal6a"/>
            </w:pPr>
            <w:r>
              <w:t>4.</w:t>
            </w:r>
            <w:r>
              <w:tab/>
              <w:t xml:space="preserve">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 изразява съжаление, че те се обръщат към доставчици на рисков капитал извън ЕС и се разрастват на чуждестранните пазари; </w:t>
            </w:r>
            <w:r>
              <w:rPr>
                <w:b/>
                <w:i/>
              </w:rPr>
              <w:t>приветства неотдавнашното приемане на Акта за допускането до търговия, който ще улесни регистрацията на дружества от всякакъв мащаб, включително МСП, на европейските фондови борси;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192</w:t>
      </w:r>
      <w:r>
        <w:rPr>
          <w:rStyle w:val="HideTWBExt"/>
          <w:b w:val="0"/>
        </w:rPr>
        <w:t>&lt;/NumAm&gt;</w:t>
      </w:r>
    </w:p>
    <w:p w:rsidR="004855AE" w:rsidRPr="00C34506" w:rsidRDefault="004855AE" w:rsidP="004855AE">
      <w:pPr>
        <w:pStyle w:val="NormalBold"/>
      </w:pPr>
      <w:r>
        <w:rPr>
          <w:rStyle w:val="HideTWBExt"/>
          <w:b w:val="0"/>
        </w:rPr>
        <w:t>&lt;RepeatBlock-By&gt;&lt;Members&gt;</w:t>
      </w:r>
      <w:r>
        <w:t>Сирпа Пиетикяйнен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4.</w:t>
            </w:r>
            <w:r>
              <w:tab/>
              <w:t>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 изразява съжаление, че те се обръщат към доставчици на рисков капитал извън ЕС и се разрастват на чуждестранните пазари;</w:t>
            </w:r>
          </w:p>
        </w:tc>
        <w:tc>
          <w:tcPr>
            <w:tcW w:w="4876" w:type="dxa"/>
            <w:tcBorders>
              <w:top w:val="nil"/>
              <w:left w:val="nil"/>
              <w:bottom w:val="nil"/>
              <w:right w:val="nil"/>
            </w:tcBorders>
          </w:tcPr>
          <w:p w:rsidR="004855AE" w:rsidRPr="00C34506" w:rsidRDefault="004855AE" w:rsidP="00061FA7">
            <w:pPr>
              <w:pStyle w:val="Normal6a"/>
            </w:pPr>
            <w:r>
              <w:t>4.</w:t>
            </w:r>
            <w:r>
              <w:tab/>
              <w:t>изразява съжаление във връзка с факта, че множество предприемачи, установени в ЕС, считат, че е необходимо да се преместят, за да получат по-лесен достъп до финансиране и ресурси; изразява съжаление, че те се обръщат към доставчици на рисков капитал извън ЕС и се разрастват на чуждестранните пазари;</w:t>
            </w:r>
            <w:r>
              <w:rPr>
                <w:b/>
                <w:i/>
              </w:rPr>
              <w:t> поради това призовава да се обръща по-голямо внимание на създаването и функционирането на достатъчно големи европейски фондове за растеж и изкупуване;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193</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lastRenderedPageBreak/>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4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4а.</w:t>
            </w:r>
            <w:r>
              <w:tab/>
            </w:r>
            <w:r>
              <w:rPr>
                <w:b/>
                <w:i/>
              </w:rPr>
              <w:t>изразява съжаление, че ниското равнище на финансово образование в много държави — членки на Европейския съюз, представлява значително предизвикателство за икономическата автономност на гражданите и за развитието на силна и конкурентоспособна икономика; припомня, че незадоволителното финансово образование възпрепятства способността на населението да взема информирани решения относно спестяването, инвестирането и пенсионното планиране и също така възпрепятства гражданите да бъдат по-добре подготвени да търсят отговорност от правителствата; потвърждава, че тази разлика във финансовото образование не само застрашава икономическото благосъстояние на хората, но също така ограничава активното участие на капиталовите пазари и възпрепятства развитието на инвестиционна култура, която е от решаващо значение за икономическия растеж; приветства предложението на Комисията за нова стратегия и призовава тя да бъде достатъчно амбициозна, за да се подобри значително равнището на образование в цяла Европа, като се гарантира трайна промяна; застъпва се за спешната необходимост от приемане на мерки за насърчаване на по-достъпно и справедливо финансово образование в целия ЕС, като се зачитат националните правомощия;</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lastRenderedPageBreak/>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194</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4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4а.</w:t>
            </w:r>
            <w:r>
              <w:tab/>
            </w:r>
            <w:r>
              <w:rPr>
                <w:b/>
                <w:i/>
              </w:rPr>
              <w:t>подчертава, че европейските финансови пазари трябва да бъдат привлекателни и лесни за достъп както за емитентите, така и за инвеститорите; подчертава, че това се прилага както за първичните, така и за вторичните пазари; подчертава, че решението за допускане до търговия на регулиран пазар често е свързано със значителни допълнителни изисквания за дружествата, наред с другото с цел защита на инвеститорите; отбелязва, че тези изисквания могат да се възприемат като недостатък за публично предлагане; призовава Комисията непрекъснато да наблюдава административните разходи и разходите за привеждане в съответствие на дружествата, допуснати до борсова търговия, с оглед на тяхното намаляване, по-специално за малките и средните предприятия; приветства наскоро приетия Акт за допускането до търговия като първа стъпка в това отношение; призовава за прагматично прилагане на Акта за допускането до търговия и призовава Комисията да доразвие тази инициатива;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195</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lastRenderedPageBreak/>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4 б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4б.</w:t>
            </w:r>
            <w:r>
              <w:tab/>
            </w:r>
            <w:r>
              <w:rPr>
                <w:b/>
                <w:i/>
              </w:rPr>
              <w:t>подчертава, че по-специално за МСП, допуснати до търговия, които получават достатъчно дялово участие, научните изследвания представляват предизвикателство; посочва, че отделянето на разходите за проучвания от таксите за изпълнение на сделките съгласно ДПФИ II може да е утежнило този проблем; приветства факта, че впоследствие това изискване е смекчено от Акта за допускането до търговия; призовава Комисията и ЕОЦКП да продължат да наблюдават развитието на тенденциите в научните изследвания в областта на собствения капитал, по-специално за МСП;</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196</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4 в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4в.</w:t>
            </w:r>
            <w:r>
              <w:tab/>
            </w:r>
            <w:r>
              <w:rPr>
                <w:b/>
                <w:i/>
              </w:rPr>
              <w:t>посочва значението на пазарите за растеж на МСП, които помагат на по-малките дружества да достигнат до публично предлагане; призовава Комисията да укрепи пазарите за растеж на МСП, включително чрез въвеждане на по-рационализирани изисквания за котиране на тези пазари;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lastRenderedPageBreak/>
        <w:t>&lt;Amend&gt;</w:t>
      </w:r>
      <w:r>
        <w:t>Изменение</w:t>
      </w:r>
      <w:r>
        <w:tab/>
      </w:r>
      <w:r>
        <w:tab/>
      </w:r>
      <w:r>
        <w:rPr>
          <w:rStyle w:val="HideTWBExt"/>
          <w:b w:val="0"/>
        </w:rPr>
        <w:t>&lt;NumAm&gt;</w:t>
      </w:r>
      <w:r>
        <w:t>197</w:t>
      </w:r>
      <w:r>
        <w:rPr>
          <w:rStyle w:val="HideTWBExt"/>
          <w:b w:val="0"/>
        </w:rPr>
        <w:t>&lt;/NumAm&gt;</w:t>
      </w:r>
    </w:p>
    <w:p w:rsidR="004855AE" w:rsidRPr="00C34506" w:rsidRDefault="004855AE" w:rsidP="004855AE">
      <w:pPr>
        <w:pStyle w:val="NormalBold"/>
      </w:pPr>
      <w:r>
        <w:rPr>
          <w:rStyle w:val="HideTWBExt"/>
          <w:b w:val="0"/>
        </w:rPr>
        <w:t>&lt;RepeatBlock-By&gt;&lt;Members&gt;</w:t>
      </w:r>
      <w:r>
        <w:t>Джовани Крозето, Доменико Денис Неши, Франческо Вентола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5.</w:t>
            </w:r>
            <w:r>
              <w:tab/>
            </w:r>
            <w:r>
              <w:rPr>
                <w:b/>
                <w:i/>
              </w:rPr>
              <w:t>подчертава, че публичните ресурси следва да бъдат съсредоточени върху гарантирането на устойчивостта и достъпността на обществените услуги и инфраструктура</w:t>
            </w:r>
            <w:r>
              <w:t xml:space="preserve">, като същевременно </w:t>
            </w:r>
            <w:r>
              <w:rPr>
                <w:b/>
                <w:i/>
              </w:rPr>
              <w:t>се стимулират частните инвестиции в иновативни</w:t>
            </w:r>
            <w:r>
              <w:t xml:space="preserve"> и </w:t>
            </w:r>
            <w:r>
              <w:rPr>
                <w:b/>
                <w:i/>
              </w:rPr>
              <w:t>чисти отрасли при ясно определени условия</w:t>
            </w:r>
            <w:r>
              <w:t>;</w:t>
            </w:r>
          </w:p>
        </w:tc>
        <w:tc>
          <w:tcPr>
            <w:tcW w:w="4876" w:type="dxa"/>
            <w:tcBorders>
              <w:top w:val="nil"/>
              <w:left w:val="nil"/>
              <w:bottom w:val="nil"/>
              <w:right w:val="nil"/>
            </w:tcBorders>
          </w:tcPr>
          <w:p w:rsidR="004855AE" w:rsidRPr="00C34506" w:rsidRDefault="004855AE" w:rsidP="00061FA7">
            <w:pPr>
              <w:pStyle w:val="Normal6a"/>
            </w:pPr>
            <w:r>
              <w:t>5.</w:t>
            </w:r>
            <w:r>
              <w:tab/>
            </w:r>
            <w:r>
              <w:rPr>
                <w:b/>
                <w:i/>
              </w:rPr>
              <w:t>подкрепя пазарно ориентиран подход към растежа чрез насърчаване на регулаторна среда, която дава възможност за иновации в частния сектор</w:t>
            </w:r>
            <w:r>
              <w:t xml:space="preserve">, като същевременно </w:t>
            </w:r>
            <w:r>
              <w:rPr>
                <w:b/>
                <w:i/>
              </w:rPr>
              <w:t>гарантира ефективното поддържане на основните обществени услуги</w:t>
            </w:r>
            <w:r>
              <w:t xml:space="preserve"> и </w:t>
            </w:r>
            <w:r>
              <w:rPr>
                <w:b/>
                <w:i/>
              </w:rPr>
              <w:t>инфраструктура</w:t>
            </w:r>
            <w:r>
              <w:t>;</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198</w:t>
      </w:r>
      <w:r>
        <w:rPr>
          <w:rStyle w:val="HideTWBExt"/>
          <w:b w:val="0"/>
        </w:rPr>
        <w:t>&lt;/NumAm&gt;</w:t>
      </w:r>
    </w:p>
    <w:p w:rsidR="004855AE" w:rsidRPr="00C34506" w:rsidRDefault="004855AE" w:rsidP="004855AE">
      <w:pPr>
        <w:pStyle w:val="NormalBold"/>
      </w:pPr>
      <w:r>
        <w:rPr>
          <w:rStyle w:val="HideTWBExt"/>
          <w:b w:val="0"/>
        </w:rPr>
        <w:t>&lt;RepeatBlock-By&gt;&lt;Members&gt;</w:t>
      </w:r>
      <w:r>
        <w:t>Фернандо Наварете Рохас,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5.</w:t>
            </w:r>
            <w:r>
              <w:tab/>
              <w:t xml:space="preserve">подчертава, че публичните ресурси следва да </w:t>
            </w:r>
            <w:r>
              <w:rPr>
                <w:b/>
                <w:i/>
              </w:rPr>
              <w:t>бъдат съсредоточени върху гарантирането</w:t>
            </w:r>
            <w:r>
              <w:t xml:space="preserve"> на </w:t>
            </w:r>
            <w:r>
              <w:rPr>
                <w:b/>
                <w:i/>
              </w:rPr>
              <w:t>устойчивостта и достъпността</w:t>
            </w:r>
            <w:r>
              <w:t xml:space="preserve"> на </w:t>
            </w:r>
            <w:r>
              <w:rPr>
                <w:b/>
                <w:i/>
              </w:rPr>
              <w:t>обществените услуги</w:t>
            </w:r>
            <w:r>
              <w:t xml:space="preserve"> и </w:t>
            </w:r>
            <w:r>
              <w:rPr>
                <w:b/>
                <w:i/>
              </w:rPr>
              <w:t>инфраструктура</w:t>
            </w:r>
            <w:r>
              <w:t xml:space="preserve">, като същевременно </w:t>
            </w:r>
            <w:r>
              <w:rPr>
                <w:b/>
                <w:i/>
              </w:rPr>
              <w:t>се стимулират частните</w:t>
            </w:r>
            <w:r>
              <w:t xml:space="preserve"> инвестиции </w:t>
            </w:r>
            <w:r>
              <w:rPr>
                <w:b/>
                <w:i/>
              </w:rPr>
              <w:t>в иновативни</w:t>
            </w:r>
            <w:r>
              <w:t xml:space="preserve"> и </w:t>
            </w:r>
            <w:r>
              <w:rPr>
                <w:b/>
                <w:i/>
              </w:rPr>
              <w:t>чисти отрасли при ясно определени условия</w:t>
            </w:r>
            <w:r>
              <w:t>;</w:t>
            </w:r>
          </w:p>
        </w:tc>
        <w:tc>
          <w:tcPr>
            <w:tcW w:w="4876" w:type="dxa"/>
            <w:tcBorders>
              <w:top w:val="nil"/>
              <w:left w:val="nil"/>
              <w:bottom w:val="nil"/>
              <w:right w:val="nil"/>
            </w:tcBorders>
          </w:tcPr>
          <w:p w:rsidR="004855AE" w:rsidRPr="00C34506" w:rsidRDefault="004855AE" w:rsidP="00061FA7">
            <w:pPr>
              <w:pStyle w:val="Normal6a"/>
            </w:pPr>
            <w:r>
              <w:t>5.</w:t>
            </w:r>
            <w:r>
              <w:tab/>
              <w:t xml:space="preserve">подчертава, че публичните ресурси следва да </w:t>
            </w:r>
            <w:r>
              <w:rPr>
                <w:b/>
                <w:i/>
              </w:rPr>
              <w:t>се използват по начин, който генерира икономии за европейските данъкоплатци, по-специално чрез отдаване</w:t>
            </w:r>
            <w:r>
              <w:t xml:space="preserve"> на </w:t>
            </w:r>
            <w:r>
              <w:rPr>
                <w:b/>
                <w:i/>
              </w:rPr>
              <w:t>приоритет на предоставянето на европейски обществени блага в области, в които действията</w:t>
            </w:r>
            <w:r>
              <w:t xml:space="preserve"> на </w:t>
            </w:r>
            <w:r>
              <w:rPr>
                <w:b/>
                <w:i/>
              </w:rPr>
              <w:t>равнище ЕС дават възможност за по-голяма ефикасност</w:t>
            </w:r>
            <w:r>
              <w:t xml:space="preserve"> и </w:t>
            </w:r>
            <w:r>
              <w:rPr>
                <w:b/>
                <w:i/>
              </w:rPr>
              <w:t>икономии от мащаба</w:t>
            </w:r>
            <w:r>
              <w:t xml:space="preserve">, като същевременно </w:t>
            </w:r>
            <w:r>
              <w:rPr>
                <w:b/>
                <w:i/>
              </w:rPr>
              <w:t>служат като катализатор за частни</w:t>
            </w:r>
            <w:r>
              <w:t xml:space="preserve"> инвестиции </w:t>
            </w:r>
            <w:r>
              <w:rPr>
                <w:b/>
                <w:i/>
              </w:rPr>
              <w:t>за повишаване на конкурентоспособността</w:t>
            </w:r>
            <w:r>
              <w:t xml:space="preserve"> и </w:t>
            </w:r>
            <w:r>
              <w:rPr>
                <w:b/>
                <w:i/>
              </w:rPr>
              <w:t>производителността на ЕС и за преодоляване на различията в областта на иновациите</w:t>
            </w:r>
            <w:r>
              <w:t>;</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lastRenderedPageBreak/>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199</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5.</w:t>
            </w:r>
            <w:r>
              <w:tab/>
              <w:t xml:space="preserve">подчертава, че публичните ресурси следва да бъдат съсредоточени върху </w:t>
            </w:r>
            <w:r>
              <w:rPr>
                <w:b/>
                <w:i/>
              </w:rPr>
              <w:t>гарантирането на устойчивостта и достъпността на обществените услуги и инфраструктура</w:t>
            </w:r>
            <w:r>
              <w:t>, като същевременно се стимулират частните инвестиции</w:t>
            </w:r>
            <w:r>
              <w:rPr>
                <w:b/>
                <w:i/>
              </w:rPr>
              <w:t xml:space="preserve"> в иновативни и чисти отрасли при ясно определени условия</w:t>
            </w:r>
            <w:r>
              <w:t>;</w:t>
            </w:r>
          </w:p>
        </w:tc>
        <w:tc>
          <w:tcPr>
            <w:tcW w:w="4876" w:type="dxa"/>
            <w:tcBorders>
              <w:top w:val="nil"/>
              <w:left w:val="nil"/>
              <w:bottom w:val="nil"/>
              <w:right w:val="nil"/>
            </w:tcBorders>
          </w:tcPr>
          <w:p w:rsidR="004855AE" w:rsidRPr="00C34506" w:rsidRDefault="004855AE" w:rsidP="00061FA7">
            <w:pPr>
              <w:pStyle w:val="Normal6a"/>
            </w:pPr>
            <w:r>
              <w:t>5.</w:t>
            </w:r>
            <w:r>
              <w:tab/>
              <w:t xml:space="preserve">подчертава, че публичните ресурси следва да бъдат съсредоточени върху </w:t>
            </w:r>
            <w:r>
              <w:rPr>
                <w:b/>
                <w:i/>
              </w:rPr>
              <w:t>ролята, която могат да играят</w:t>
            </w:r>
            <w:r>
              <w:t>, като същевременно се стимулират частните инвестиции;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0"/>
        <w:keepNext/>
      </w:pPr>
      <w:r>
        <w:rPr>
          <w:rStyle w:val="HideTWBExt"/>
          <w:b w:val="0"/>
          <w:lang w:eastAsia="en-US"/>
        </w:rPr>
        <w:t>&lt;Amend&gt;</w:t>
      </w:r>
      <w:r>
        <w:t>Изменение</w:t>
      </w:r>
      <w:r>
        <w:tab/>
      </w:r>
      <w:r>
        <w:tab/>
      </w:r>
      <w:r>
        <w:rPr>
          <w:rStyle w:val="HideTWBExt"/>
          <w:b w:val="0"/>
          <w:lang w:eastAsia="en-US"/>
        </w:rPr>
        <w:t>&lt;NumAm&gt;</w:t>
      </w:r>
      <w:r>
        <w:t>200</w:t>
      </w:r>
      <w:r>
        <w:rPr>
          <w:rStyle w:val="HideTWBExt"/>
          <w:b w:val="0"/>
          <w:lang w:eastAsia="en-US"/>
        </w:rPr>
        <w:t>&lt;/NumAm&gt;</w:t>
      </w:r>
    </w:p>
    <w:p w:rsidR="004855AE" w:rsidRPr="00C34506" w:rsidRDefault="004855AE" w:rsidP="004855AE">
      <w:pPr>
        <w:pStyle w:val="NormalBold"/>
      </w:pPr>
      <w:r>
        <w:rPr>
          <w:rStyle w:val="HideTWBExt"/>
          <w:b w:val="0"/>
        </w:rPr>
        <w:t>&lt;RepeatBlock-By&gt;&lt;Members&gt;</w:t>
      </w:r>
      <w:r>
        <w:t>Дануше Нерудова</w:t>
      </w:r>
      <w:r>
        <w:rPr>
          <w:rStyle w:val="HideTWBExt"/>
          <w:b w:val="0"/>
        </w:rPr>
        <w:t>&lt;/Members&gt;</w:t>
      </w:r>
    </w:p>
    <w:p w:rsidR="004855AE" w:rsidRPr="00C34506" w:rsidRDefault="004855AE" w:rsidP="004855AE">
      <w:r>
        <w:rPr>
          <w:rStyle w:val="HideTWBExt"/>
        </w:rPr>
        <w:t>&lt;/RepeatBlock-By&gt;</w:t>
      </w:r>
    </w:p>
    <w:p w:rsidR="004855AE" w:rsidRPr="00C34506" w:rsidRDefault="004855AE" w:rsidP="004855AE">
      <w:pPr>
        <w:pStyle w:val="NormalBold"/>
        <w:keepNext/>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855AE" w:rsidTr="00061FA7">
        <w:trPr>
          <w:jc w:val="center"/>
        </w:trPr>
        <w:tc>
          <w:tcPr>
            <w:tcW w:w="9752" w:type="dxa"/>
            <w:gridSpan w:val="2"/>
          </w:tcPr>
          <w:p w:rsidR="004855AE" w:rsidRPr="00C34506" w:rsidRDefault="004855AE" w:rsidP="00061FA7">
            <w:pPr>
              <w:keepNext/>
            </w:pPr>
          </w:p>
        </w:tc>
      </w:tr>
      <w:tr w:rsidR="004855AE" w:rsidTr="00061FA7">
        <w:trPr>
          <w:jc w:val="center"/>
        </w:trPr>
        <w:tc>
          <w:tcPr>
            <w:tcW w:w="4876" w:type="dxa"/>
          </w:tcPr>
          <w:p w:rsidR="004855AE" w:rsidRPr="00C34506" w:rsidRDefault="004855AE" w:rsidP="00061FA7">
            <w:pPr>
              <w:pStyle w:val="ColumnHeading"/>
              <w:keepNext/>
            </w:pPr>
            <w:r>
              <w:t>Предложение за резолюция</w:t>
            </w:r>
          </w:p>
        </w:tc>
        <w:tc>
          <w:tcPr>
            <w:tcW w:w="4876" w:type="dxa"/>
          </w:tcPr>
          <w:p w:rsidR="004855AE" w:rsidRPr="00C34506" w:rsidRDefault="004855AE" w:rsidP="00061FA7">
            <w:pPr>
              <w:pStyle w:val="ColumnHeading"/>
              <w:keepNext/>
            </w:pPr>
            <w:r>
              <w:t>Изменение</w:t>
            </w:r>
          </w:p>
        </w:tc>
      </w:tr>
      <w:tr w:rsidR="004855AE" w:rsidTr="00061FA7">
        <w:trPr>
          <w:jc w:val="center"/>
        </w:trPr>
        <w:tc>
          <w:tcPr>
            <w:tcW w:w="4876" w:type="dxa"/>
          </w:tcPr>
          <w:p w:rsidR="004855AE" w:rsidRPr="00C34506" w:rsidRDefault="004855AE" w:rsidP="00061FA7">
            <w:pPr>
              <w:pStyle w:val="Normal6"/>
            </w:pPr>
            <w:r>
              <w:t>5.</w:t>
            </w:r>
            <w:r>
              <w:tab/>
              <w:t>подчертава, че публичните ресурси следва да бъдат съсредоточени върху гарантирането на устойчивостта и достъпността на обществените услуги и инфраструктура, като същевременно се стимулират частните инвестиции в иновативни и чисти отрасли при ясно определени условия;</w:t>
            </w:r>
          </w:p>
        </w:tc>
        <w:tc>
          <w:tcPr>
            <w:tcW w:w="4876" w:type="dxa"/>
          </w:tcPr>
          <w:p w:rsidR="004855AE" w:rsidRPr="00C34506" w:rsidRDefault="004855AE" w:rsidP="00061FA7">
            <w:pPr>
              <w:pStyle w:val="Normal6"/>
              <w:rPr>
                <w:szCs w:val="24"/>
              </w:rPr>
            </w:pPr>
            <w:r>
              <w:t>5.</w:t>
            </w:r>
            <w:r>
              <w:tab/>
              <w:t xml:space="preserve">подчертава, че публичните ресурси следва да бъдат съсредоточени върху </w:t>
            </w:r>
            <w:r>
              <w:rPr>
                <w:b/>
                <w:i/>
              </w:rPr>
              <w:t xml:space="preserve">европейските обществени блага и добавена стойност и върху </w:t>
            </w:r>
            <w:r>
              <w:t>гарантирането на устойчивостта и достъпността на обществените услуги и инфраструктура, като същевременно се стимулират частните инвестиции в иновативни и чисти отрасли при ясно определени условия;</w:t>
            </w:r>
          </w:p>
        </w:tc>
      </w:tr>
    </w:tbl>
    <w:p w:rsidR="004855AE" w:rsidRPr="00C34506" w:rsidRDefault="004855AE" w:rsidP="004855AE">
      <w:pPr>
        <w:pStyle w:val="Olang"/>
        <w:rPr>
          <w:sz w:val="24"/>
          <w:szCs w:val="24"/>
        </w:rPr>
      </w:pPr>
      <w:r w:rsidRPr="00C34506">
        <w:rPr>
          <w:sz w:val="24"/>
          <w:szCs w:val="24"/>
        </w:rPr>
        <w:t xml:space="preserve">Or. </w:t>
      </w:r>
      <w:r w:rsidRPr="00C34506">
        <w:rPr>
          <w:rStyle w:val="HideTWBExt"/>
        </w:rPr>
        <w:t>&lt;Original&gt;</w:t>
      </w:r>
      <w:r w:rsidRPr="00C34506">
        <w:rPr>
          <w:rStyle w:val="HideTWBInt"/>
        </w:rPr>
        <w:t>{EN}</w:t>
      </w:r>
      <w:r w:rsidRPr="00C34506">
        <w:rPr>
          <w:sz w:val="24"/>
          <w:szCs w:val="24"/>
        </w:rPr>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201</w:t>
      </w:r>
      <w:r>
        <w:rPr>
          <w:rStyle w:val="HideTWBExt"/>
          <w:b w:val="0"/>
        </w:rPr>
        <w:t>&lt;/NumAm&gt;</w:t>
      </w:r>
    </w:p>
    <w:p w:rsidR="004855AE" w:rsidRPr="00C34506" w:rsidRDefault="004855AE" w:rsidP="004855AE">
      <w:pPr>
        <w:pStyle w:val="NormalBold"/>
      </w:pPr>
      <w:r>
        <w:rPr>
          <w:rStyle w:val="HideTWBExt"/>
          <w:b w:val="0"/>
        </w:rPr>
        <w:t>&lt;RepeatBlock-By&gt;&lt;Members&gt;</w:t>
      </w:r>
      <w:r>
        <w:t>Пиер Пемпи, Еникьо Дьори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lastRenderedPageBreak/>
        <w:t>&lt;Article&gt;</w:t>
      </w:r>
      <w:r>
        <w:t>Параграф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5.</w:t>
            </w:r>
            <w:r>
              <w:tab/>
              <w:t xml:space="preserve">подчертава, че публичните ресурси следва да </w:t>
            </w:r>
            <w:r>
              <w:rPr>
                <w:b/>
                <w:i/>
              </w:rPr>
              <w:t>бъдат съсредоточени върху гарантирането на</w:t>
            </w:r>
            <w:r>
              <w:t xml:space="preserve"> устойчивостта и достъпността на обществените услуги и инфраструктура, като същевременно се </w:t>
            </w:r>
            <w:r>
              <w:rPr>
                <w:b/>
                <w:i/>
              </w:rPr>
              <w:t>стимулират</w:t>
            </w:r>
            <w:r>
              <w:t xml:space="preserve"> частните инвестиции в иновативни и </w:t>
            </w:r>
            <w:r>
              <w:rPr>
                <w:b/>
                <w:i/>
              </w:rPr>
              <w:t>чисти отрасли при ясно определени условия;</w:t>
            </w:r>
          </w:p>
        </w:tc>
        <w:tc>
          <w:tcPr>
            <w:tcW w:w="4876" w:type="dxa"/>
            <w:tcBorders>
              <w:top w:val="nil"/>
              <w:left w:val="nil"/>
              <w:bottom w:val="nil"/>
              <w:right w:val="nil"/>
            </w:tcBorders>
          </w:tcPr>
          <w:p w:rsidR="004855AE" w:rsidRPr="00C34506" w:rsidRDefault="004855AE" w:rsidP="00061FA7">
            <w:pPr>
              <w:pStyle w:val="Normal6a"/>
            </w:pPr>
            <w:r>
              <w:t>5.</w:t>
            </w:r>
            <w:r>
              <w:tab/>
              <w:t xml:space="preserve">подчертава, че публичните ресурси следва да </w:t>
            </w:r>
            <w:r>
              <w:rPr>
                <w:b/>
                <w:i/>
              </w:rPr>
              <w:t>се разпределят по балансиран начин, като се гарантира както</w:t>
            </w:r>
            <w:r>
              <w:t xml:space="preserve"> устойчивостта</w:t>
            </w:r>
            <w:r>
              <w:rPr>
                <w:b/>
                <w:i/>
              </w:rPr>
              <w:t>, така</w:t>
            </w:r>
            <w:r>
              <w:t xml:space="preserve"> и достъпността на обществените услуги и инфраструктура, като същевременно се </w:t>
            </w:r>
            <w:r>
              <w:rPr>
                <w:b/>
                <w:i/>
              </w:rPr>
              <w:t>насърчават</w:t>
            </w:r>
            <w:r>
              <w:t xml:space="preserve"> частните инвестиции в </w:t>
            </w:r>
            <w:r>
              <w:rPr>
                <w:b/>
                <w:i/>
              </w:rPr>
              <w:t xml:space="preserve">ключови отрасли, включително </w:t>
            </w:r>
            <w:r>
              <w:t xml:space="preserve">иновативни и </w:t>
            </w:r>
            <w:r>
              <w:rPr>
                <w:b/>
                <w:i/>
              </w:rPr>
              <w:t>стратегически сектори, по начин, който напълно отразява икономическите особености и секторните приоритети на всяка държава членка.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202</w:t>
      </w:r>
      <w:r>
        <w:rPr>
          <w:rStyle w:val="HideTWBExt"/>
          <w:b w:val="0"/>
        </w:rPr>
        <w:t>&lt;/NumAm&gt;</w:t>
      </w:r>
    </w:p>
    <w:p w:rsidR="004855AE" w:rsidRPr="00C34506" w:rsidRDefault="004855AE" w:rsidP="004855AE">
      <w:pPr>
        <w:pStyle w:val="NormalBold"/>
      </w:pPr>
      <w:r>
        <w:rPr>
          <w:rStyle w:val="HideTWBExt"/>
          <w:b w:val="0"/>
        </w:rPr>
        <w:t>&lt;RepeatBlock-By&gt;&lt;Members&gt;</w:t>
      </w:r>
      <w:r>
        <w:t>Реджина Дохърти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5.</w:t>
            </w:r>
            <w:r>
              <w:tab/>
              <w:t xml:space="preserve">подчертава, че публичните ресурси следва да бъдат съсредоточени върху </w:t>
            </w:r>
            <w:r>
              <w:rPr>
                <w:b/>
                <w:i/>
              </w:rPr>
              <w:t>гарантирането на</w:t>
            </w:r>
            <w:r>
              <w:t xml:space="preserve"> устойчивостта и достъпността на обществените услуги и инфраструктура, като същевременно се стимулират частните инвестиции в иновативни и чисти отрасли</w:t>
            </w:r>
            <w:r>
              <w:rPr>
                <w:b/>
                <w:i/>
              </w:rPr>
              <w:t xml:space="preserve"> при ясно определени условия</w:t>
            </w:r>
            <w:r>
              <w:t>;</w:t>
            </w:r>
          </w:p>
        </w:tc>
        <w:tc>
          <w:tcPr>
            <w:tcW w:w="4876" w:type="dxa"/>
            <w:tcBorders>
              <w:top w:val="nil"/>
              <w:left w:val="nil"/>
              <w:bottom w:val="nil"/>
              <w:right w:val="nil"/>
            </w:tcBorders>
          </w:tcPr>
          <w:p w:rsidR="004855AE" w:rsidRPr="00C34506" w:rsidRDefault="004855AE" w:rsidP="00061FA7">
            <w:pPr>
              <w:pStyle w:val="Normal6a"/>
            </w:pPr>
            <w:r>
              <w:t>5.</w:t>
            </w:r>
            <w:r>
              <w:tab/>
              <w:t xml:space="preserve">подчертава, че публичните ресурси следва да бъдат съсредоточени върху </w:t>
            </w:r>
            <w:r>
              <w:rPr>
                <w:b/>
                <w:i/>
              </w:rPr>
              <w:t>инвестициите, икономическия растеж, постигането икономически най-изгодната оферта, като се гарантира</w:t>
            </w:r>
            <w:r>
              <w:t xml:space="preserve"> устойчивостта и достъпността на обществените услуги и инфраструктура, като същевременно се стимулират частните инвестиции в иновативни и чисти отрасли;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203</w:t>
      </w:r>
      <w:r>
        <w:rPr>
          <w:rStyle w:val="HideTWBExt"/>
          <w:b w:val="0"/>
        </w:rPr>
        <w:t>&lt;/NumAm&gt;</w:t>
      </w:r>
    </w:p>
    <w:p w:rsidR="004855AE" w:rsidRPr="00C34506" w:rsidRDefault="004855AE" w:rsidP="004855AE">
      <w:pPr>
        <w:pStyle w:val="NormalBold"/>
      </w:pPr>
      <w:r>
        <w:rPr>
          <w:rStyle w:val="HideTWBExt"/>
          <w:b w:val="0"/>
        </w:rPr>
        <w:t>&lt;RepeatBlock-By&gt;&lt;Members&gt;</w:t>
      </w:r>
      <w:r>
        <w:t>Фернан Картайзер, Геадис Геади, Кристофер Сторм, Нора Хунко Гарсия, Диего Солиер, Адриан</w:t>
      </w:r>
      <w:r>
        <w:noBreakHyphen/>
        <w:t>Джордже Аксиния, Джорджиана Теодореску</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lastRenderedPageBreak/>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5.</w:t>
            </w:r>
            <w:r>
              <w:tab/>
              <w:t xml:space="preserve">подчертава, че публичните ресурси следва да бъдат съсредоточени върху гарантирането на устойчивостта и достъпността на обществените услуги и инфраструктура, като същевременно се стимулират </w:t>
            </w:r>
            <w:r>
              <w:rPr>
                <w:b/>
                <w:i/>
              </w:rPr>
              <w:t>частните инвестиции</w:t>
            </w:r>
            <w:r>
              <w:t xml:space="preserve"> в иновативни</w:t>
            </w:r>
            <w:r>
              <w:rPr>
                <w:b/>
                <w:i/>
              </w:rPr>
              <w:t xml:space="preserve"> и чисти</w:t>
            </w:r>
            <w:r>
              <w:t xml:space="preserve"> отрасли при ясно определени условия;</w:t>
            </w:r>
          </w:p>
        </w:tc>
        <w:tc>
          <w:tcPr>
            <w:tcW w:w="4876" w:type="dxa"/>
            <w:tcBorders>
              <w:top w:val="nil"/>
              <w:left w:val="nil"/>
              <w:bottom w:val="nil"/>
              <w:right w:val="nil"/>
            </w:tcBorders>
          </w:tcPr>
          <w:p w:rsidR="004855AE" w:rsidRPr="00C34506" w:rsidRDefault="004855AE" w:rsidP="00061FA7">
            <w:pPr>
              <w:pStyle w:val="Normal6a"/>
            </w:pPr>
            <w:r>
              <w:t>5.</w:t>
            </w:r>
            <w:r>
              <w:tab/>
              <w:t xml:space="preserve">подчертава, че публичните ресурси следва да бъдат съсредоточени върху гарантирането на устойчивостта и достъпността на обществените услуги и инфраструктура, като същевременно се стимулират </w:t>
            </w:r>
            <w:r>
              <w:rPr>
                <w:b/>
                <w:i/>
              </w:rPr>
              <w:t>инвестициите</w:t>
            </w:r>
            <w:r>
              <w:t xml:space="preserve"> в иновативни отрасли при ясно определени условия;</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204</w:t>
      </w:r>
      <w:r>
        <w:rPr>
          <w:rStyle w:val="HideTWBExt"/>
          <w:b w:val="0"/>
        </w:rPr>
        <w:t>&lt;/NumAm&gt;</w:t>
      </w:r>
    </w:p>
    <w:p w:rsidR="004855AE" w:rsidRPr="00C34506" w:rsidRDefault="004855AE" w:rsidP="004855AE">
      <w:pPr>
        <w:pStyle w:val="NormalBold"/>
      </w:pPr>
      <w:r>
        <w:rPr>
          <w:rStyle w:val="HideTWBExt"/>
          <w:b w:val="0"/>
        </w:rPr>
        <w:t>&lt;RepeatBlock-By&gt;&lt;Members&gt;</w:t>
      </w:r>
      <w:r>
        <w:t>Томас Баяда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5.</w:t>
            </w:r>
            <w:r>
              <w:tab/>
              <w:t xml:space="preserve">подчертава, че публичните ресурси следва да бъдат съсредоточени върху </w:t>
            </w:r>
            <w:r>
              <w:rPr>
                <w:b/>
                <w:i/>
              </w:rPr>
              <w:t>гарантирането</w:t>
            </w:r>
            <w:r>
              <w:t xml:space="preserve"> на устойчивостта и достъпността на обществените услуги и инфраструктура, като същевременно се стимулират частните инвестиции в иновативни и чисти отрасли при ясно определени условия;</w:t>
            </w:r>
          </w:p>
        </w:tc>
        <w:tc>
          <w:tcPr>
            <w:tcW w:w="4876" w:type="dxa"/>
            <w:tcBorders>
              <w:top w:val="nil"/>
              <w:left w:val="nil"/>
              <w:bottom w:val="nil"/>
              <w:right w:val="nil"/>
            </w:tcBorders>
          </w:tcPr>
          <w:p w:rsidR="004855AE" w:rsidRPr="00C34506" w:rsidRDefault="004855AE" w:rsidP="00061FA7">
            <w:pPr>
              <w:pStyle w:val="Normal6a"/>
            </w:pPr>
            <w:r>
              <w:t>5.</w:t>
            </w:r>
            <w:r>
              <w:tab/>
              <w:t xml:space="preserve">подчертава, че публичните ресурси следва да бъдат съсредоточени върху </w:t>
            </w:r>
            <w:r>
              <w:rPr>
                <w:b/>
                <w:i/>
              </w:rPr>
              <w:t>повишаването на благосъстоянието на гражданите</w:t>
            </w:r>
            <w:r>
              <w:t xml:space="preserve"> на </w:t>
            </w:r>
            <w:r>
              <w:rPr>
                <w:b/>
                <w:i/>
              </w:rPr>
              <w:t xml:space="preserve">ЕС, като по този начин се гарантира </w:t>
            </w:r>
            <w:r>
              <w:t>устойчивостта и достъпността на обществените услуги и инфраструктура</w:t>
            </w:r>
            <w:r>
              <w:rPr>
                <w:b/>
                <w:i/>
              </w:rPr>
              <w:t>, особено тези, свързани с услугите от общ интерес</w:t>
            </w:r>
            <w:r>
              <w:t>, като същевременно се стимулират частните инвестиции в иновативни и чисти отрасли при ясно определени условия;</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205</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Евелин Регнер, Нилс Фулсанг, Клер Фита, Карла Тавареш, Томас Баяда,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lastRenderedPageBreak/>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5.</w:t>
            </w:r>
            <w:r>
              <w:tab/>
              <w:t>подчертава, че публичните ресурси следва да бъдат съсредоточени върху гарантирането на устойчивостта и достъпността на обществените услуги и инфраструктура, като същевременно се стимулират частните инвестиции в иновативни и чисти отрасли при ясно определени условия;</w:t>
            </w:r>
          </w:p>
        </w:tc>
        <w:tc>
          <w:tcPr>
            <w:tcW w:w="4876" w:type="dxa"/>
            <w:tcBorders>
              <w:top w:val="nil"/>
              <w:left w:val="nil"/>
              <w:bottom w:val="nil"/>
              <w:right w:val="nil"/>
            </w:tcBorders>
          </w:tcPr>
          <w:p w:rsidR="004855AE" w:rsidRPr="00C34506" w:rsidRDefault="004855AE" w:rsidP="00061FA7">
            <w:pPr>
              <w:pStyle w:val="Normal6a"/>
            </w:pPr>
            <w:r>
              <w:t>5.</w:t>
            </w:r>
            <w:r>
              <w:tab/>
              <w:t xml:space="preserve">подчертава, че публичните ресурси следва да бъдат съсредоточени върху гарантирането на устойчивостта и достъпността на обществените услуги и инфраструктура, като същевременно се стимулират частните инвестиции в иновативни и чисти отрасли при ясно определени </w:t>
            </w:r>
            <w:r>
              <w:rPr>
                <w:b/>
                <w:i/>
              </w:rPr>
              <w:t xml:space="preserve">социални и екологични </w:t>
            </w:r>
            <w:r>
              <w:t>условия;</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206</w:t>
      </w:r>
      <w:r>
        <w:rPr>
          <w:rStyle w:val="HideTWBExt"/>
          <w:b w:val="0"/>
        </w:rPr>
        <w:t>&lt;/NumAm&gt;</w:t>
      </w:r>
    </w:p>
    <w:p w:rsidR="004855AE" w:rsidRPr="00C34506" w:rsidRDefault="004855AE" w:rsidP="004855AE">
      <w:pPr>
        <w:pStyle w:val="NormalBold"/>
      </w:pPr>
      <w:r>
        <w:rPr>
          <w:rStyle w:val="HideTWBExt"/>
          <w:b w:val="0"/>
        </w:rPr>
        <w:t>&lt;RepeatBlock-By&gt;&lt;Members&gt;</w:t>
      </w:r>
      <w:r>
        <w:t>Лидия Перейра,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5.</w:t>
            </w:r>
            <w:r>
              <w:tab/>
              <w:t>подчертава, че публичните ресурси следва да бъдат съсредоточени върху гарантирането на устойчивостта и достъпността на обществените услуги и инфраструктура, като същевременно се стимулират частните инвестиции в иновативни и чисти отрасли при ясно определени условия;</w:t>
            </w:r>
          </w:p>
        </w:tc>
        <w:tc>
          <w:tcPr>
            <w:tcW w:w="4876" w:type="dxa"/>
            <w:tcBorders>
              <w:top w:val="nil"/>
              <w:left w:val="nil"/>
              <w:bottom w:val="nil"/>
              <w:right w:val="nil"/>
            </w:tcBorders>
          </w:tcPr>
          <w:p w:rsidR="004855AE" w:rsidRPr="00C34506" w:rsidRDefault="004855AE" w:rsidP="00061FA7">
            <w:pPr>
              <w:pStyle w:val="Normal6a"/>
            </w:pPr>
            <w:r>
              <w:t>5.</w:t>
            </w:r>
            <w:r>
              <w:tab/>
              <w:t xml:space="preserve">подчертава, че публичните ресурси следва да бъдат съсредоточени върху гарантирането на </w:t>
            </w:r>
            <w:r>
              <w:rPr>
                <w:b/>
                <w:i/>
              </w:rPr>
              <w:t xml:space="preserve">качеството, ефикасността, </w:t>
            </w:r>
            <w:r>
              <w:t>устойчивостта и достъпността на обществените услуги и инфраструктура, като същевременно се стимулират частните инвестиции в иновативни и чисти отрасли при ясно определени условия;</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207</w:t>
      </w:r>
      <w:r>
        <w:rPr>
          <w:rStyle w:val="HideTWBExt"/>
          <w:b w:val="0"/>
        </w:rPr>
        <w:t>&lt;/NumAm&gt;</w:t>
      </w:r>
    </w:p>
    <w:p w:rsidR="004855AE" w:rsidRPr="00C34506" w:rsidRDefault="004855AE" w:rsidP="004855AE">
      <w:pPr>
        <w:pStyle w:val="NormalBold"/>
      </w:pPr>
      <w:r>
        <w:rPr>
          <w:rStyle w:val="HideTWBExt"/>
          <w:b w:val="0"/>
        </w:rPr>
        <w:t>&lt;RepeatBlock-By&gt;&lt;Members&gt;</w:t>
      </w:r>
      <w:r>
        <w:t>Сирпа Пиетикяйнен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lastRenderedPageBreak/>
              <w:t>5.</w:t>
            </w:r>
            <w:r>
              <w:tab/>
              <w:t>подчертава, че публичните ресурси следва да бъдат съсредоточени върху гарантирането на устойчивостта и достъпността на обществените услуги и инфраструктура, като същевременно се стимулират частните инвестиции в иновативни и чисти отрасли при ясно определени условия;</w:t>
            </w:r>
          </w:p>
        </w:tc>
        <w:tc>
          <w:tcPr>
            <w:tcW w:w="4876" w:type="dxa"/>
            <w:tcBorders>
              <w:top w:val="nil"/>
              <w:left w:val="nil"/>
              <w:bottom w:val="nil"/>
              <w:right w:val="nil"/>
            </w:tcBorders>
          </w:tcPr>
          <w:p w:rsidR="004855AE" w:rsidRPr="00C34506" w:rsidRDefault="004855AE" w:rsidP="00061FA7">
            <w:pPr>
              <w:pStyle w:val="Normal6a"/>
            </w:pPr>
            <w:r>
              <w:t>5.</w:t>
            </w:r>
            <w:r>
              <w:tab/>
              <w:t xml:space="preserve">подчертава, че публичните ресурси следва да бъдат съсредоточени върху гарантирането на устойчивостта и достъпността на обществените услуги и инфраструктура, като същевременно се стимулират частните инвестиции в иновативни и чисти </w:t>
            </w:r>
            <w:r>
              <w:rPr>
                <w:b/>
                <w:i/>
              </w:rPr>
              <w:t xml:space="preserve">технологии и </w:t>
            </w:r>
            <w:r>
              <w:t>отрасли при ясно определени условия;</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208</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5а.</w:t>
            </w:r>
            <w:r>
              <w:tab/>
            </w:r>
            <w:r>
              <w:rPr>
                <w:b/>
                <w:i/>
              </w:rPr>
              <w:t xml:space="preserve">счита, че семействата са основният стълб, който поддържа социалната структура и благосъстоянието в Европа; припомня, че лицата с деца и зависими лица, за които полагат грижи, са понесли непропорционален дял от тежестта от последователните икономически кризи през последните петнадесет години; споделя факта, че за да могат семействата да процъфтяват, да изграждат бъдещето си и да поемат отговорностите си уверено, те трябва да имат реални възможности за генериране на спестявания и натрупване на богатство; подчертава в този смисъл развитието на задълбочени, достъпни и ефективни капиталови пазари, които улесняват инвестициите на дребно, ги защитават и насърчават финансовото образование; подкрепя достъпа на домакинствата до финансовите пазари като приоритет при разработването на стратегията за Съюза на спестяванията и </w:t>
            </w:r>
            <w:r>
              <w:rPr>
                <w:b/>
                <w:i/>
              </w:rPr>
              <w:lastRenderedPageBreak/>
              <w:t>инвестициите;</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209</w:t>
      </w:r>
      <w:r>
        <w:rPr>
          <w:rStyle w:val="HideTWBExt"/>
          <w:b w:val="0"/>
        </w:rPr>
        <w:t>&lt;/NumAm&gt;</w:t>
      </w:r>
    </w:p>
    <w:p w:rsidR="004855AE" w:rsidRPr="00C34506" w:rsidRDefault="004855AE" w:rsidP="004855AE">
      <w:pPr>
        <w:pStyle w:val="NormalBold"/>
      </w:pPr>
      <w:r>
        <w:rPr>
          <w:rStyle w:val="HideTWBExt"/>
          <w:b w:val="0"/>
        </w:rPr>
        <w:t>&lt;RepeatBlock-By&gt;&lt;Members&gt;</w:t>
      </w:r>
      <w:r>
        <w:t>Реджина Дохърти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5а.</w:t>
            </w:r>
            <w:r>
              <w:tab/>
            </w:r>
            <w:r>
              <w:rPr>
                <w:b/>
                <w:i/>
              </w:rPr>
              <w:t>подчертава значението на опростяването на нормативната уредба с цел повишаване на конкурентоспособността; подчертава, че прекалено сложните и обременяващи правила възпират инвестициите, намаляват просперитета, увеличават разходите за живот и подкопават стандарта на живот; призовава за постоянен акцент върху подобряването на регулаторната среда в ЕС, за да се стимулират инвестициите и динамиката и да се осигури по-голяма сигурност; призовава държавите членки да преглеждат, да намаляват и да се справят със свръхрегулирането в интерес на насърчаването на конкурентоспособността, опростяването и инвестициите, включително чрез премахване на регулаторната сложност, която нарушава конкуренцията на единния пазар, увеличава разходите в различни сектори и действа като пречка пред трансграничните инвестиции и инвестициите на дребно;</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210</w:t>
      </w:r>
      <w:r>
        <w:rPr>
          <w:rStyle w:val="HideTWBExt"/>
          <w:b w:val="0"/>
        </w:rPr>
        <w:t>&lt;/NumAm&gt;</w:t>
      </w:r>
    </w:p>
    <w:p w:rsidR="004855AE" w:rsidRPr="00C34506" w:rsidRDefault="004855AE" w:rsidP="004855AE">
      <w:pPr>
        <w:pStyle w:val="NormalBold"/>
      </w:pPr>
      <w:r>
        <w:rPr>
          <w:rStyle w:val="HideTWBExt"/>
          <w:b w:val="0"/>
        </w:rPr>
        <w:t>&lt;RepeatBlock-By&gt;&lt;Members&gt;</w:t>
      </w:r>
      <w:r>
        <w:t>Юси Сарамо, Паскуале Тридико, Гаетано Педула, Манон Обри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lastRenderedPageBreak/>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5а.</w:t>
            </w:r>
            <w:r>
              <w:tab/>
            </w:r>
            <w:r>
              <w:rPr>
                <w:b/>
                <w:i/>
              </w:rPr>
              <w:t>признава, че капиталовите пазари не могат да задоволят всички нужди на Европа от инвестиции; подчертава, че публичните инвестиции трябва да бъдат в средоточието на зеления и цифровия преход и че ролята на публичните инвестиции не следва да се свежда до намаляване на риска за частните инвестиции; поради това признава необходимостта от преустройство на структурата на ЕС за публично финансиране и призовава за създаването на инвестиционен фонд на ЕС като част от следващата МФР;</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211</w:t>
      </w:r>
      <w:r>
        <w:rPr>
          <w:rStyle w:val="HideTWBExt"/>
          <w:b w:val="0"/>
        </w:rPr>
        <w:t>&lt;/NumAm&gt;</w:t>
      </w:r>
    </w:p>
    <w:p w:rsidR="004855AE" w:rsidRPr="00C34506" w:rsidRDefault="004855AE" w:rsidP="004855AE">
      <w:pPr>
        <w:pStyle w:val="NormalBold"/>
      </w:pPr>
      <w:r>
        <w:rPr>
          <w:rStyle w:val="HideTWBExt"/>
          <w:b w:val="0"/>
        </w:rPr>
        <w:t>&lt;RepeatBlock-By&gt;&lt;Members&gt;</w:t>
      </w:r>
      <w:r>
        <w:t>Йохан Ван Овертвелд</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5а.</w:t>
            </w:r>
            <w:r>
              <w:tab/>
            </w:r>
            <w:r>
              <w:rPr>
                <w:b/>
                <w:i/>
              </w:rPr>
              <w:t>подчертава, че преодоляването на недостига на инвестиции не е само въпрос на мобилизиране на големи финансови обеми, а на това да се гарантира, че ЕС разполага с необходимите средства за насочване на средства към производителни инвестиции; подчертава, че институционалният капацитет, регулаторната яснота и качеството на проектите са от решаващо значение за ефективното използване на публичния и частния капитал;</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lastRenderedPageBreak/>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212</w:t>
      </w:r>
      <w:r>
        <w:rPr>
          <w:rStyle w:val="HideTWBExt"/>
          <w:b w:val="0"/>
        </w:rPr>
        <w:t>&lt;/NumAm&gt;</w:t>
      </w:r>
    </w:p>
    <w:p w:rsidR="004855AE" w:rsidRPr="00C34506" w:rsidRDefault="004855AE" w:rsidP="004855AE">
      <w:pPr>
        <w:pStyle w:val="NormalBold"/>
      </w:pPr>
      <w:r>
        <w:rPr>
          <w:rStyle w:val="HideTWBExt"/>
          <w:b w:val="0"/>
        </w:rPr>
        <w:t>&lt;RepeatBlock-By&gt;&lt;Members&gt;</w:t>
      </w:r>
      <w:r>
        <w:t>Сирпа Пиетикяйнен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5а.</w:t>
            </w:r>
            <w:r>
              <w:tab/>
            </w:r>
            <w:r>
              <w:rPr>
                <w:b/>
                <w:i/>
              </w:rPr>
              <w:t>призовава за мобилизиране на набраната инерция за създаването на нов европейски модел на устойчива конкурентоспособност, основан на постигането на истинска кръговост и независимост на ресурсите; за включване на по-солидно измерване на конкурентоспособността и растежа отвъд брутния вътрешен продукт и включването им в европейския семестър и в бюджета;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213</w:t>
      </w:r>
      <w:r>
        <w:rPr>
          <w:rStyle w:val="HideTWBExt"/>
          <w:b w:val="0"/>
        </w:rPr>
        <w:t>&lt;/NumAm&gt;</w:t>
      </w:r>
    </w:p>
    <w:p w:rsidR="004855AE" w:rsidRPr="00C34506" w:rsidRDefault="004855AE" w:rsidP="004855AE">
      <w:pPr>
        <w:pStyle w:val="NormalBold"/>
      </w:pPr>
      <w:r>
        <w:rPr>
          <w:rStyle w:val="HideTWBExt"/>
          <w:b w:val="0"/>
        </w:rPr>
        <w:t>&lt;RepeatBlock-By&gt;&lt;Members&gt;</w:t>
      </w:r>
      <w:r>
        <w:t>Еро Хейнелуома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 a (нов)</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5а. счита, че насоките на ЕС за държавната помощ за банковото дело се нуждаят от нова оценка, за да се преодолеят по-добре конкурентните различия и да се засили пазарната дисциплина;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214</w:t>
      </w:r>
      <w:r>
        <w:rPr>
          <w:rStyle w:val="HideTWBExt"/>
          <w:b w:val="0"/>
        </w:rPr>
        <w:t>&lt;/NumAm&gt;</w:t>
      </w:r>
    </w:p>
    <w:p w:rsidR="004855AE" w:rsidRPr="00C34506" w:rsidRDefault="004855AE" w:rsidP="004855AE">
      <w:pPr>
        <w:pStyle w:val="NormalBold"/>
      </w:pPr>
      <w:r>
        <w:rPr>
          <w:rStyle w:val="HideTWBExt"/>
          <w:b w:val="0"/>
        </w:rPr>
        <w:t>&lt;RepeatBlock-By&gt;&lt;Members&gt;</w:t>
      </w:r>
      <w:r>
        <w:t>Джовани Крозето, Доменико Денис Неши, Франческо Вентола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lastRenderedPageBreak/>
        <w:t>&lt;Article&gt;</w:t>
      </w:r>
      <w:r>
        <w:t>Параграф 5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5а.</w:t>
            </w:r>
            <w:r>
              <w:tab/>
            </w:r>
            <w:r>
              <w:rPr>
                <w:b/>
                <w:i/>
              </w:rPr>
              <w:t>подчертава, че всяка регулаторна или законодателна инициатива следва да се основава на задълбочена оценка на разходите и ползите от нея; подчертава, че строгият анализ е от съществено значение, за да се гарантира, че новите мерки ефективно подкрепят растежа, иновациите и конкурентоспособността, без да налагат ненужна административна тежест или тежест, свързана със спазването на изискванията;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215</w:t>
      </w:r>
      <w:r>
        <w:rPr>
          <w:rStyle w:val="HideTWBExt"/>
          <w:b w:val="0"/>
        </w:rPr>
        <w:t>&lt;/NumAm&gt;</w:t>
      </w:r>
    </w:p>
    <w:p w:rsidR="004855AE" w:rsidRPr="00C34506" w:rsidRDefault="004855AE" w:rsidP="004855AE">
      <w:pPr>
        <w:pStyle w:val="NormalBold"/>
      </w:pPr>
      <w:r>
        <w:rPr>
          <w:rStyle w:val="HideTWBExt"/>
          <w:b w:val="0"/>
        </w:rPr>
        <w:t>&lt;RepeatBlock-By&gt;&lt;Members&gt;</w:t>
      </w:r>
      <w:r>
        <w:t>Анук Ван Брюг, Били Келъхър, Енгин Ероглу, Стефани Йон</w:t>
      </w:r>
      <w:r>
        <w:noBreakHyphen/>
        <w:t>Куртен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5а.</w:t>
            </w:r>
            <w:r>
              <w:tab/>
            </w:r>
            <w:r>
              <w:rPr>
                <w:b/>
                <w:i/>
              </w:rPr>
              <w:t>подчертава, че бизнес климатът в ЕС следва да бъде много привлекателен за дружествата и инвеститорите, като им се дава възможност да разработват иновативни бизнес сценарии в способстваща регулаторна среда; отново отправя дългогодишния си призив за намаляване на кумулативната административна тежест в това отношение, особено за МСП;</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216</w:t>
      </w:r>
      <w:r>
        <w:rPr>
          <w:rStyle w:val="HideTWBExt"/>
          <w:b w:val="0"/>
        </w:rPr>
        <w:t>&lt;/NumAm&gt;</w:t>
      </w:r>
    </w:p>
    <w:p w:rsidR="004855AE" w:rsidRPr="00C34506" w:rsidRDefault="004855AE" w:rsidP="004855AE">
      <w:pPr>
        <w:pStyle w:val="NormalBold"/>
      </w:pPr>
      <w:r>
        <w:rPr>
          <w:rStyle w:val="HideTWBExt"/>
          <w:b w:val="0"/>
        </w:rPr>
        <w:t>&lt;RepeatBlock-By&gt;&lt;Members&gt;</w:t>
      </w:r>
      <w:r>
        <w:t>Фабио Де Мази</w:t>
      </w:r>
      <w:r>
        <w:rPr>
          <w:rStyle w:val="HideTWBExt"/>
          <w:b w:val="0"/>
        </w:rPr>
        <w:t>&lt;/Members&gt;</w:t>
      </w:r>
    </w:p>
    <w:p w:rsidR="004855AE" w:rsidRPr="00C34506" w:rsidRDefault="004855AE" w:rsidP="004855AE">
      <w:pPr>
        <w:pStyle w:val="NormalBold"/>
      </w:pPr>
      <w:r>
        <w:rPr>
          <w:rStyle w:val="HideTWBExt"/>
          <w:b w:val="0"/>
        </w:rPr>
        <w:lastRenderedPageBreak/>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5а.</w:t>
            </w:r>
            <w:r>
              <w:tab/>
            </w:r>
            <w:r>
              <w:rPr>
                <w:b/>
                <w:i/>
              </w:rPr>
              <w:t>подчертава, че въпреки задълбочаването на вътрешния пазар икономиките на държавите — членки на ЕС, се характеризират с по-голямо разнообразие и следователно по-малък мащаб в сравнение с икономиката на САЩ поради различните езикови режими и правни системи (като например законодателството в областта на несъстоятелността);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217</w:t>
      </w:r>
      <w:r>
        <w:rPr>
          <w:rStyle w:val="HideTWBExt"/>
          <w:b w:val="0"/>
        </w:rPr>
        <w:t>&lt;/NumAm&gt;</w:t>
      </w:r>
    </w:p>
    <w:p w:rsidR="004855AE" w:rsidRPr="00C34506" w:rsidRDefault="004855AE" w:rsidP="004855AE">
      <w:pPr>
        <w:pStyle w:val="NormalBold"/>
      </w:pPr>
      <w:r>
        <w:rPr>
          <w:rStyle w:val="HideTWBExt"/>
          <w:b w:val="0"/>
        </w:rPr>
        <w:t>&lt;RepeatBlock-By&gt;&lt;Members&gt;</w:t>
      </w:r>
      <w:r>
        <w:t>Жил Боайе, Стефани Йон</w:t>
      </w:r>
      <w:r>
        <w:noBreakHyphen/>
        <w:t>Куртен, Паскал Канфен, Били Келъхър, Анук Ван Брюг</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5а.</w:t>
            </w:r>
            <w:r>
              <w:tab/>
            </w:r>
            <w:r>
              <w:rPr>
                <w:b/>
                <w:i/>
              </w:rPr>
              <w:t>подчертава значението на участниците от ЕС, гражданите, дружествата и финансовия сектор за успеха на Съюза на спестяванията и инвестициите; те ще бъдат от основно значение за съчетаването на участието на инвеститорите на дребно в ЕС и финансирането на икономиката на ЕС, които са две страни с една и съща амбиция;</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218</w:t>
      </w:r>
      <w:r>
        <w:rPr>
          <w:rStyle w:val="HideTWBExt"/>
          <w:b w:val="0"/>
        </w:rPr>
        <w:t>&lt;/NumAm&gt;</w:t>
      </w:r>
    </w:p>
    <w:p w:rsidR="004855AE" w:rsidRPr="00C34506" w:rsidRDefault="004855AE" w:rsidP="004855AE">
      <w:pPr>
        <w:pStyle w:val="NormalBold"/>
      </w:pPr>
      <w:r>
        <w:rPr>
          <w:rStyle w:val="HideTWBExt"/>
          <w:b w:val="0"/>
        </w:rPr>
        <w:t>&lt;RepeatBlock-By&gt;&lt;Members&gt;</w:t>
      </w:r>
      <w:r>
        <w:t>Лидия Перейра,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lastRenderedPageBreak/>
        <w:t>&lt;Article&gt;</w:t>
      </w:r>
      <w:r>
        <w:t>Параграф 5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5а.</w:t>
            </w:r>
            <w:r>
              <w:tab/>
            </w:r>
            <w:r>
              <w:rPr>
                <w:b/>
                <w:i/>
              </w:rPr>
              <w:t>подчертава значението на една амбициозна, измерима и решителна стратегия на ЕС за насърчаване на финансовата грамотност в Европа, която да даде възможност на нашите граждани да защитават по-добре и да мобилизират своите спестявания и да надграждат върху един по-привлекателен капиталов пазар;</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219</w:t>
      </w:r>
      <w:r>
        <w:rPr>
          <w:rStyle w:val="HideTWBExt"/>
          <w:b w:val="0"/>
        </w:rPr>
        <w:t>&lt;/NumAm&gt;</w:t>
      </w:r>
    </w:p>
    <w:p w:rsidR="004855AE" w:rsidRPr="00C34506" w:rsidRDefault="004855AE" w:rsidP="004855AE">
      <w:pPr>
        <w:pStyle w:val="NormalBold"/>
      </w:pPr>
      <w:r>
        <w:rPr>
          <w:rStyle w:val="HideTWBExt"/>
          <w:b w:val="0"/>
        </w:rPr>
        <w:t>&lt;RepeatBlock-By&gt;&lt;Members&gt;</w:t>
      </w:r>
      <w:r>
        <w:t>Ирене Тинали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5а.</w:t>
            </w:r>
            <w:r>
              <w:tab/>
            </w:r>
            <w:r>
              <w:rPr>
                <w:b/>
                <w:i/>
              </w:rPr>
              <w:t>подчертава, че липсата на финансово достъпни, подходящи и социални жилища, особено в зоните с голямо търсене, се е превърнала в структурна пречка за трудовата мобилност и производителността, която подкопава конкурентоспособността в Съюза;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220</w:t>
      </w:r>
      <w:r>
        <w:rPr>
          <w:rStyle w:val="HideTWBExt"/>
          <w:b w:val="0"/>
        </w:rPr>
        <w:t>&lt;/NumAm&gt;</w:t>
      </w:r>
    </w:p>
    <w:p w:rsidR="004855AE" w:rsidRPr="00C34506" w:rsidRDefault="004855AE" w:rsidP="004855AE">
      <w:pPr>
        <w:pStyle w:val="NormalBold"/>
      </w:pPr>
      <w:r>
        <w:rPr>
          <w:rStyle w:val="HideTWBExt"/>
          <w:b w:val="0"/>
        </w:rPr>
        <w:t>&lt;RepeatBlock-By&gt;&lt;Members&gt;</w:t>
      </w:r>
      <w:r>
        <w:t>Ралф Зеекац</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5а.</w:t>
            </w:r>
            <w:r>
              <w:tab/>
            </w:r>
            <w:r>
              <w:rPr>
                <w:b/>
                <w:i/>
              </w:rPr>
              <w:t xml:space="preserve">подчертава, че допълнителни инвестиции в критична </w:t>
            </w:r>
            <w:r>
              <w:rPr>
                <w:b/>
                <w:i/>
              </w:rPr>
              <w:lastRenderedPageBreak/>
              <w:t>инфраструктура биха могли да бъдат предизвикани от засилено използване на публично-частни партньорства; призовава Комисията да отправи препоръка към държавите членки относно такива партньорства;</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221</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5а.</w:t>
            </w:r>
            <w:r>
              <w:tab/>
            </w:r>
            <w:r>
              <w:rPr>
                <w:b/>
                <w:i/>
              </w:rPr>
              <w:t xml:space="preserve">припомня, че предишната финансова криза беше пряка последица от твърде нестрогите разпоредби; припомня, че предишната финансова криза оказа дълготрайно икономическо въздействие върху растежа, производителността и социалното приобщаване; подчертава, че ефективната и всеобхватна регулаторна рамка, подкрепена от стабилни механизми за защита на потребителите, е основен двигател на конкурентоспособността на банковия сектор в ЕС и е от съществено значение за насърчаване на по-голямо участие на дребно на капиталовите пазари на ЕС; припомня, че поредица от проучвания на Базелския комитет за банков надзор (БКБН) показва, че дори по време на трудните години след кризата реформите Базел III са помогнали на европейските банки да подкрепят своите национални икономики; счита, че осигуряването на адекватна защита на инвеститорите на дребно и справянето със съществуващия конфликт на интереси на финансовите консултанти са от </w:t>
            </w:r>
            <w:r>
              <w:rPr>
                <w:b/>
                <w:i/>
              </w:rPr>
              <w:lastRenderedPageBreak/>
              <w:t>съществено значение за възстановяване на доверието на гражданите на ЕС във финансовите пазари, като по този начин се насърчава по-прозрачна, справедлива и конкурентна пазарна среда, която е от полза за всички заинтересовани страни; приветства инициативи за насърчаване на финансовото приобщаване и осигуряване на достъп на инвеститорите на дребно до основни финансови продукти;</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222</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Евелин Регнер, Нилс Фулсанг, Клер Фита, Карла Тавареш, Томас Баяда,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5а.</w:t>
            </w:r>
            <w:r>
              <w:tab/>
            </w:r>
            <w:r>
              <w:rPr>
                <w:b/>
                <w:i/>
              </w:rPr>
              <w:t>приветства самоналожената от Комисията цел да бъде „инвестиционна Комисия“ и да отключи финансирането, необходимо за зеления, цифровия и социалния преход, както и да увеличи максимално публичните инвестиции, ефекта на лоста и намаляването на риска за частния капитал;</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223</w:t>
      </w:r>
      <w:r>
        <w:rPr>
          <w:rStyle w:val="HideTWBExt"/>
          <w:b w:val="0"/>
        </w:rPr>
        <w:t>&lt;/NumAm&gt;</w:t>
      </w:r>
    </w:p>
    <w:p w:rsidR="004855AE" w:rsidRPr="00C34506" w:rsidRDefault="004855AE" w:rsidP="004855AE">
      <w:pPr>
        <w:pStyle w:val="NormalBold"/>
      </w:pPr>
      <w:r>
        <w:rPr>
          <w:rStyle w:val="HideTWBExt"/>
          <w:b w:val="0"/>
        </w:rPr>
        <w:t>&lt;RepeatBlock-By&gt;&lt;Members&gt;</w:t>
      </w:r>
      <w:r>
        <w:t>Кинга Колар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lastRenderedPageBreak/>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5а.</w:t>
            </w:r>
            <w:r>
              <w:tab/>
            </w:r>
            <w:r>
              <w:rPr>
                <w:b/>
                <w:i/>
              </w:rPr>
              <w:t>подчертава необходимостта от ускоряване на иновациите и намиране на нови двигатели на растежа, намаляване на високите цени на енергията, като същевременно се продължава декарбонизацията и преминаването към кръгова икономика;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224</w:t>
      </w:r>
      <w:r>
        <w:rPr>
          <w:rStyle w:val="HideTWBExt"/>
          <w:b w:val="0"/>
        </w:rPr>
        <w:t>&lt;/NumAm&gt;</w:t>
      </w:r>
    </w:p>
    <w:p w:rsidR="004855AE" w:rsidRPr="00C34506" w:rsidRDefault="004855AE" w:rsidP="004855AE">
      <w:pPr>
        <w:pStyle w:val="NormalBold"/>
      </w:pPr>
      <w:r>
        <w:rPr>
          <w:rStyle w:val="HideTWBExt"/>
          <w:b w:val="0"/>
        </w:rPr>
        <w:t>&lt;RepeatBlock-By&gt;&lt;Members&gt;</w:t>
      </w:r>
      <w:r>
        <w:t>Ирене Тинали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 б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5б.</w:t>
            </w:r>
            <w:r>
              <w:tab/>
            </w:r>
            <w:r>
              <w:rPr>
                <w:b/>
                <w:i/>
              </w:rPr>
              <w:t>призовава Комисията и държавите членки да засилят измерението на жилищната политика в европейския семестър и други инструменти за макроикономическа координация и да мобилизират инвестиции и реформи за подобряване на положението с финансово достъпните социални жилища, особено в зони с голямо търсене, като предварително условие за повишаване на конкурентоспособността на Съюза;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225</w:t>
      </w:r>
      <w:r>
        <w:rPr>
          <w:rStyle w:val="HideTWBExt"/>
          <w:b w:val="0"/>
        </w:rPr>
        <w:t>&lt;/NumAm&gt;</w:t>
      </w:r>
    </w:p>
    <w:p w:rsidR="004855AE" w:rsidRPr="00C34506" w:rsidRDefault="004855AE" w:rsidP="004855AE">
      <w:pPr>
        <w:pStyle w:val="NormalBold"/>
      </w:pPr>
      <w:r>
        <w:rPr>
          <w:rStyle w:val="HideTWBExt"/>
          <w:b w:val="0"/>
        </w:rPr>
        <w:t>&lt;RepeatBlock-By&gt;&lt;Members&gt;</w:t>
      </w:r>
      <w:r>
        <w:t>Йохан Ван Овертвелд</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 б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5б.</w:t>
            </w:r>
            <w:r>
              <w:tab/>
            </w:r>
            <w:r>
              <w:rPr>
                <w:b/>
                <w:i/>
              </w:rPr>
              <w:t>подчертава, че множество реформи, необходими за преодоляване на недостига на инвестиции, не изискват никакви финансови ресурси, а политическа решимост за изпълнението на тези реформи;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226</w:t>
      </w:r>
      <w:r>
        <w:rPr>
          <w:rStyle w:val="HideTWBExt"/>
          <w:b w:val="0"/>
        </w:rPr>
        <w:t>&lt;/NumAm&gt;</w:t>
      </w:r>
    </w:p>
    <w:p w:rsidR="004855AE" w:rsidRPr="00C34506" w:rsidRDefault="004855AE" w:rsidP="004855AE">
      <w:pPr>
        <w:pStyle w:val="NormalBold"/>
      </w:pPr>
      <w:r>
        <w:rPr>
          <w:rStyle w:val="HideTWBExt"/>
          <w:b w:val="0"/>
        </w:rPr>
        <w:t>&lt;RepeatBlock-By&gt;&lt;Members&gt;</w:t>
      </w:r>
      <w:r>
        <w:t>Реджина Дохърти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 б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5б.</w:t>
            </w:r>
            <w:r>
              <w:tab/>
            </w:r>
            <w:r>
              <w:rPr>
                <w:b/>
                <w:i/>
              </w:rPr>
              <w:t>призовава за реформи, за да се улесни регистрацията на малките предприятия за целите на ДДС в целия ЕС, включително по електронен път;</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227</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 б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5б.</w:t>
            </w:r>
            <w:r>
              <w:tab/>
            </w:r>
            <w:r>
              <w:rPr>
                <w:b/>
                <w:i/>
              </w:rPr>
              <w:t xml:space="preserve">приема за сведение констатацията на EIOPA, че през периода 2020—2023 г. възвръщаемостта на основаващите се на застраховане инвестиционни продукти не е надвишавала равнищата на инфлация, което означава, че спестителите в ЕС са загубили богатство в реално изражение; изразява съжаление, че спестителите от ЕС не получават възвръщаемост, съизмерима с </w:t>
            </w:r>
            <w:r>
              <w:rPr>
                <w:b/>
                <w:i/>
              </w:rPr>
              <w:lastRenderedPageBreak/>
              <w:t>рисковете, които поемат, поради по-високите такси, пред които са изправени, в сравнение със своите аналози; изразява загриженост, че настоящият модел на разпределение действа като стимул за инвеститорите на дребно да инвестират в непроизводствени активи, като например криптоактиви; призовава Комисията да предприеме решителни действия за реформиране на модела на ЕС за разпределяне на финансови продукти; все още счита, че забраната за подтикване е най-добрият начин за справяне с проблема;</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228</w:t>
      </w:r>
      <w:r>
        <w:rPr>
          <w:rStyle w:val="HideTWBExt"/>
          <w:b w:val="0"/>
        </w:rPr>
        <w:t>&lt;/NumAm&gt;</w:t>
      </w:r>
    </w:p>
    <w:p w:rsidR="004855AE" w:rsidRPr="00C34506" w:rsidRDefault="004855AE" w:rsidP="004855AE">
      <w:pPr>
        <w:pStyle w:val="NormalBold"/>
      </w:pPr>
      <w:r>
        <w:rPr>
          <w:rStyle w:val="HideTWBExt"/>
          <w:b w:val="0"/>
        </w:rPr>
        <w:t>&lt;RepeatBlock-By&gt;&lt;Members&gt;</w:t>
      </w:r>
      <w:r>
        <w:t>Реджина Дохърти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 в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5в.</w:t>
            </w:r>
            <w:r>
              <w:tab/>
            </w:r>
            <w:r>
              <w:rPr>
                <w:b/>
                <w:i/>
              </w:rPr>
              <w:t xml:space="preserve">настоятелно призовава Комисията да преразгледа пруденциалната рамка за инвестиционните посредници съгласно РИП/ДИП, за да се гарантира, че тя е пропорционална и пригодна за целта; подчертава, че инвестиционните посредници, действащи като маркет-мейкъри, осигуряват значителна пазарна ликвидност; отново заявява, че ограниченията, които могат неоправдано да намалят предоставянето на ликвидност от страна на инвестиционните посредници или да възпрат навлизането на пазара на по-малките дружества, следва да бъдат преодолени чрез законодателни </w:t>
            </w:r>
            <w:r>
              <w:rPr>
                <w:b/>
                <w:i/>
              </w:rPr>
              <w:lastRenderedPageBreak/>
              <w:t>промени; </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229</w:t>
      </w:r>
      <w:r>
        <w:rPr>
          <w:rStyle w:val="HideTWBExt"/>
          <w:b w:val="0"/>
        </w:rPr>
        <w:t>&lt;/NumAm&gt;</w:t>
      </w:r>
    </w:p>
    <w:p w:rsidR="004855AE" w:rsidRPr="00C34506" w:rsidRDefault="004855AE" w:rsidP="004855AE">
      <w:pPr>
        <w:pStyle w:val="NormalBold"/>
      </w:pPr>
      <w:r>
        <w:rPr>
          <w:rStyle w:val="HideTWBExt"/>
          <w:b w:val="0"/>
        </w:rPr>
        <w:t>&lt;RepeatBlock-By&gt;&lt;Members&gt;</w:t>
      </w:r>
      <w:r>
        <w:t>Ирене Тинали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 в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5в.</w:t>
            </w:r>
            <w:r>
              <w:tab/>
            </w:r>
            <w:r>
              <w:rPr>
                <w:b/>
                <w:i/>
              </w:rPr>
              <w:t>призовава за укрепване на европейската социална държава, включително всеобщия достъп до качествени обществени услуги, жилищно настаняване, мобилност и грижи за деца, като условие за гарантиране на социалното сближаване по време на прехода към по-цифрова и по-зелена икономика;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230</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 в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5в.</w:t>
            </w:r>
            <w:r>
              <w:tab/>
            </w:r>
            <w:r>
              <w:rPr>
                <w:b/>
                <w:i/>
              </w:rPr>
              <w:t xml:space="preserve">отбелязва, че финансовият сектор на ЕС устоя на неотдавнашните икономически и финансови сътресения, предизвикани от руската агресия срещу Украйна или решенията на администрацията на Тръмп за налагане на едностранни мита; подчертава, че стабилността на финансовия сектор е ключов елемент от неговата конкурентоспособност; подчертава в тази връзка, че реформите след финансовата криза следва да бъдат </w:t>
            </w:r>
            <w:r>
              <w:rPr>
                <w:b/>
                <w:i/>
              </w:rPr>
              <w:lastRenderedPageBreak/>
              <w:t>запазени и завършени; подчертава, че само пълното прилагане на стандартите от Базел би гарантирало финансовата стабилност на банките в ЕС; отбелязва, че през 2024 г. по-голям дял от портфейла от активи на застрахователите се състои от корпоративни облигации и капиталови инструменти, отколкото през 2017 г.; подчертава, че това показва, че „Платежоспособност 2“, стабилна пруденциална рамка, не възпрепятства, а по-скоро насърчава инвестициите на застрахователите в реалната икономика; счита, че приключването на прегледа на „Платежоспособност 2“ трябва да запази пруденциалната стабилност на рамката;</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231</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5 г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5г.</w:t>
            </w:r>
            <w:r>
              <w:tab/>
            </w:r>
            <w:r>
              <w:rPr>
                <w:b/>
                <w:i/>
              </w:rPr>
              <w:t xml:space="preserve">припомня, че завършването на Банковия съюз е важна характеристика на Съюза на спестяванията и инвестициите; счита, че преразглеждането на уредбата за управление на банкови кризи и за застраховане на депозитите (CMDI) е само една необходима стъпка в тази посока; припомня, че през април 2024 г. комисията по икономически и парични въпроси на Европейския парламент прие своята позиция относно предложението на Комисията за създаване на европейска </w:t>
            </w:r>
            <w:r>
              <w:rPr>
                <w:b/>
                <w:i/>
              </w:rPr>
              <w:lastRenderedPageBreak/>
              <w:t>схема за застраховане на депозитите (ЕСЗД); припомня, че ЕСЗД би осигурила еднакво равнище на безопасност за всеки вложител, независимо къде се намира в банковия съюз, би прекъснала връзката между банките и държавите и би допринесла значително за интеграцията на банковия сектор; остава изцяло ангажиран със завършването на банковия съюз, включително една пълноценна ЕСЗД;</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232</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Подзаглавие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 xml:space="preserve">Мобилизиране на частни инвестиции и </w:t>
            </w:r>
            <w:r>
              <w:rPr>
                <w:b/>
                <w:i/>
              </w:rPr>
              <w:t>улесняване</w:t>
            </w:r>
            <w:r>
              <w:t xml:space="preserve"> на достъпа до финансиране</w:t>
            </w:r>
          </w:p>
        </w:tc>
        <w:tc>
          <w:tcPr>
            <w:tcW w:w="4876" w:type="dxa"/>
            <w:tcBorders>
              <w:top w:val="nil"/>
              <w:left w:val="nil"/>
              <w:bottom w:val="nil"/>
              <w:right w:val="nil"/>
            </w:tcBorders>
          </w:tcPr>
          <w:p w:rsidR="004855AE" w:rsidRPr="00C34506" w:rsidRDefault="004855AE" w:rsidP="00061FA7">
            <w:pPr>
              <w:pStyle w:val="Normal6a"/>
            </w:pPr>
            <w:r>
              <w:t xml:space="preserve">Мобилизиране на частни инвестиции и </w:t>
            </w:r>
            <w:r>
              <w:rPr>
                <w:b/>
                <w:i/>
              </w:rPr>
              <w:t>стимулиране</w:t>
            </w:r>
            <w:r>
              <w:t xml:space="preserve"> на достъпа до финансиране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233</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Подзаглавие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Мобилизиране на частни инвестиции и улесняване на достъпа до финансиране</w:t>
            </w:r>
          </w:p>
        </w:tc>
        <w:tc>
          <w:tcPr>
            <w:tcW w:w="4876" w:type="dxa"/>
            <w:tcBorders>
              <w:top w:val="nil"/>
              <w:left w:val="nil"/>
              <w:bottom w:val="nil"/>
              <w:right w:val="nil"/>
            </w:tcBorders>
          </w:tcPr>
          <w:p w:rsidR="004855AE" w:rsidRPr="00C34506" w:rsidRDefault="004855AE" w:rsidP="00061FA7">
            <w:pPr>
              <w:pStyle w:val="Normal6a"/>
            </w:pPr>
            <w:r>
              <w:t>Мобилизиране на частни инвестиции и улесняване на достъпа до финансиране</w:t>
            </w:r>
            <w:r>
              <w:rPr>
                <w:b/>
                <w:i/>
              </w:rPr>
              <w:t xml:space="preserve"> чрез разработване на съюз на спестяванията и инвестициите: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lastRenderedPageBreak/>
        <w:t>&lt;Amend&gt;</w:t>
      </w:r>
      <w:r>
        <w:t>Изменение</w:t>
      </w:r>
      <w:r>
        <w:tab/>
      </w:r>
      <w:r>
        <w:tab/>
      </w:r>
      <w:r>
        <w:rPr>
          <w:rStyle w:val="HideTWBExt"/>
          <w:b w:val="0"/>
        </w:rPr>
        <w:t>&lt;NumAm&gt;</w:t>
      </w:r>
      <w:r>
        <w:t>234</w:t>
      </w:r>
      <w:r>
        <w:rPr>
          <w:rStyle w:val="HideTWBExt"/>
          <w:b w:val="0"/>
        </w:rPr>
        <w:t>&lt;/NumAm&gt;</w:t>
      </w:r>
    </w:p>
    <w:p w:rsidR="004855AE" w:rsidRPr="00C34506" w:rsidRDefault="004855AE" w:rsidP="004855AE">
      <w:pPr>
        <w:pStyle w:val="NormalBold"/>
      </w:pPr>
      <w:r>
        <w:rPr>
          <w:rStyle w:val="HideTWBExt"/>
          <w:b w:val="0"/>
        </w:rPr>
        <w:t>&lt;RepeatBlock-By&gt;&lt;Members&gt;</w:t>
      </w:r>
      <w:r>
        <w:t>Стефани Йон</w:t>
      </w:r>
      <w:r>
        <w:noBreakHyphen/>
        <w:t>Куртен, Жил Боайе, Паскал Канфен, Били Келъхър, Анук Ван Брюг</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6.</w:t>
            </w:r>
            <w:r>
              <w:tab/>
            </w:r>
            <w:r>
              <w:rPr>
                <w:b/>
                <w:i/>
              </w:rPr>
              <w:t>счита</w:t>
            </w:r>
            <w:r>
              <w:t xml:space="preserve">, че </w:t>
            </w:r>
            <w:r>
              <w:rPr>
                <w:b/>
                <w:i/>
              </w:rPr>
              <w:t>привлекателността</w:t>
            </w:r>
            <w:r>
              <w:t xml:space="preserve"> на </w:t>
            </w:r>
            <w:r>
              <w:rPr>
                <w:b/>
                <w:i/>
              </w:rPr>
              <w:t>капиталовите</w:t>
            </w:r>
            <w:r>
              <w:t xml:space="preserve"> пазари на ЕС ще </w:t>
            </w:r>
            <w:r>
              <w:rPr>
                <w:b/>
                <w:i/>
              </w:rPr>
              <w:t>бъде повишена чрез</w:t>
            </w:r>
            <w:r>
              <w:t xml:space="preserve"> по-нататъшна интеграция на </w:t>
            </w:r>
            <w:r>
              <w:rPr>
                <w:b/>
                <w:i/>
              </w:rPr>
              <w:t>вътрешния пазар на съюза и чрез създаване</w:t>
            </w:r>
            <w:r>
              <w:t xml:space="preserve"> на </w:t>
            </w:r>
            <w:r>
              <w:rPr>
                <w:b/>
                <w:i/>
              </w:rPr>
              <w:t>икономически възможности за частни инвестиции</w:t>
            </w:r>
            <w:r>
              <w:t xml:space="preserve">, </w:t>
            </w:r>
            <w:r>
              <w:rPr>
                <w:b/>
                <w:i/>
              </w:rPr>
              <w:t>което би дало възможност</w:t>
            </w:r>
            <w:r>
              <w:t xml:space="preserve"> за </w:t>
            </w:r>
            <w:r>
              <w:rPr>
                <w:b/>
                <w:i/>
              </w:rPr>
              <w:t>по-висока</w:t>
            </w:r>
            <w:r>
              <w:t xml:space="preserve"> възвръщаемост; призовава Комисията и държавите членки да разработят решения, независимо дали законодателни или не, за насърчаване на създаването на капиталов пазар в целия ЕС, който има достатъчен размер, ликвидност, дълбочина и прозрачност, за да привлича както базирани в ЕС, така и международни инвеститори;</w:t>
            </w:r>
          </w:p>
        </w:tc>
        <w:tc>
          <w:tcPr>
            <w:tcW w:w="4876" w:type="dxa"/>
            <w:tcBorders>
              <w:top w:val="nil"/>
              <w:left w:val="nil"/>
              <w:bottom w:val="nil"/>
              <w:right w:val="nil"/>
            </w:tcBorders>
          </w:tcPr>
          <w:p w:rsidR="004855AE" w:rsidRPr="00C34506" w:rsidRDefault="004855AE" w:rsidP="00061FA7">
            <w:pPr>
              <w:pStyle w:val="Normal6a"/>
            </w:pPr>
            <w:r>
              <w:t>6.</w:t>
            </w:r>
            <w:r>
              <w:tab/>
            </w:r>
            <w:r>
              <w:rPr>
                <w:b/>
                <w:i/>
              </w:rPr>
              <w:t>признава, че една от основните пречки пред изграждането на съюза на спестяванията и инвестициите продължава да бъде разпокъсаността на финансовите пазари на ЕС;</w:t>
            </w:r>
            <w:r>
              <w:t xml:space="preserve"> </w:t>
            </w:r>
            <w:r>
              <w:rPr>
                <w:b/>
                <w:i/>
              </w:rPr>
              <w:t>счита, че създаването на привлекателен и конкурентоспособен капиталов пазар на ЕС</w:t>
            </w:r>
            <w:r>
              <w:t xml:space="preserve"> ще </w:t>
            </w:r>
            <w:r>
              <w:rPr>
                <w:b/>
                <w:i/>
              </w:rPr>
              <w:t>изисква, наред с другото,</w:t>
            </w:r>
            <w:r>
              <w:t xml:space="preserve"> по-нататъшна интеграция на </w:t>
            </w:r>
            <w:r>
              <w:rPr>
                <w:b/>
                <w:i/>
              </w:rPr>
              <w:t>националните капиталови пазари, по-нататъшна хармонизация в някои области</w:t>
            </w:r>
            <w:r>
              <w:t xml:space="preserve"> на </w:t>
            </w:r>
            <w:r>
              <w:rPr>
                <w:b/>
                <w:i/>
              </w:rPr>
              <w:t>политиката, по-съгласуван подход към надзорните практики</w:t>
            </w:r>
            <w:r>
              <w:t xml:space="preserve">, </w:t>
            </w:r>
            <w:r>
              <w:rPr>
                <w:b/>
                <w:i/>
              </w:rPr>
              <w:t>но също така и по-добри икономически възможности</w:t>
            </w:r>
            <w:r>
              <w:t xml:space="preserve"> за </w:t>
            </w:r>
            <w:r>
              <w:rPr>
                <w:b/>
                <w:i/>
              </w:rPr>
              <w:t>частните инвеститори, които предлагат добра</w:t>
            </w:r>
            <w:r>
              <w:t xml:space="preserve"> възвръщаемост; призовава Комисията и държавите членки да разработят решения, независимо дали законодателни или не, за насърчаване на създаването на капиталов пазар в целия ЕС, който има достатъчен размер, ликвидност, дълбочина и прозрачност, за да привлича както базирани в ЕС, така и международни инвеститори</w:t>
            </w:r>
            <w:r>
              <w:rPr>
                <w:b/>
                <w:i/>
              </w:rPr>
              <w:t>, както и дружествата</w:t>
            </w:r>
            <w:r>
              <w:t>;</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235</w:t>
      </w:r>
      <w:r>
        <w:rPr>
          <w:rStyle w:val="HideTWBExt"/>
          <w:b w:val="0"/>
        </w:rPr>
        <w:t>&lt;/NumAm&gt;</w:t>
      </w:r>
    </w:p>
    <w:p w:rsidR="004855AE" w:rsidRPr="00C34506" w:rsidRDefault="004855AE" w:rsidP="004855AE">
      <w:pPr>
        <w:pStyle w:val="NormalBold"/>
      </w:pPr>
      <w:r>
        <w:rPr>
          <w:rStyle w:val="HideTWBExt"/>
          <w:b w:val="0"/>
        </w:rPr>
        <w:t>&lt;RepeatBlock-By&gt;&lt;Members&gt;</w:t>
      </w:r>
      <w:r>
        <w:t>Ауке Зейлстра, Еникьо Дьори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6.</w:t>
            </w:r>
            <w:r>
              <w:tab/>
              <w:t xml:space="preserve">счита, че привлекателността на </w:t>
            </w:r>
            <w:r>
              <w:lastRenderedPageBreak/>
              <w:t xml:space="preserve">капиталовите пазари на ЕС ще бъде повишена чрез </w:t>
            </w:r>
            <w:r>
              <w:rPr>
                <w:b/>
                <w:i/>
              </w:rPr>
              <w:t>по-нататъшна интеграция</w:t>
            </w:r>
            <w:r>
              <w:t xml:space="preserve"> на вътрешния пазар на съюза и чрез създаване на икономически възможности за частни инвестиции, което би дало възможност за по-висока възвръщаемост; призовава Комисията и държавите членки да разработят решения, независимо дали законодателни или не, за насърчаване на създаването на капиталов пазар в целия ЕС, който има достатъчен размер, ликвидност, дълбочина и прозрачност, за да привлича както базирани в ЕС, така и международни инвеститори;</w:t>
            </w:r>
          </w:p>
        </w:tc>
        <w:tc>
          <w:tcPr>
            <w:tcW w:w="4876" w:type="dxa"/>
            <w:tcBorders>
              <w:top w:val="nil"/>
              <w:left w:val="nil"/>
              <w:bottom w:val="nil"/>
              <w:right w:val="nil"/>
            </w:tcBorders>
          </w:tcPr>
          <w:p w:rsidR="004855AE" w:rsidRPr="00C34506" w:rsidRDefault="004855AE" w:rsidP="00061FA7">
            <w:pPr>
              <w:pStyle w:val="Normal6a"/>
            </w:pPr>
            <w:r>
              <w:lastRenderedPageBreak/>
              <w:t>6.</w:t>
            </w:r>
            <w:r>
              <w:tab/>
              <w:t xml:space="preserve">счита, че привлекателността на </w:t>
            </w:r>
            <w:r>
              <w:lastRenderedPageBreak/>
              <w:t xml:space="preserve">капиталовите пазари на ЕС ще бъде повишена чрез </w:t>
            </w:r>
            <w:r>
              <w:rPr>
                <w:b/>
                <w:i/>
              </w:rPr>
              <w:t>по- нататъшно задълбочаване</w:t>
            </w:r>
            <w:r>
              <w:t xml:space="preserve"> на вътрешния пазар на съюза и чрез създаване на икономически възможности за частни инвестиции</w:t>
            </w:r>
            <w:r>
              <w:rPr>
                <w:b/>
                <w:i/>
              </w:rPr>
              <w:t>, както и чрез целенасочено, но амбициозно дерегулиране, като например чрез отмяна на ДОПУ и ДДГДУ</w:t>
            </w:r>
            <w:r>
              <w:t xml:space="preserve">, което би дало възможност за </w:t>
            </w:r>
            <w:r>
              <w:rPr>
                <w:b/>
                <w:i/>
              </w:rPr>
              <w:t xml:space="preserve">съкращаване на разходите за привеждане в съответствие и би довело до </w:t>
            </w:r>
            <w:r>
              <w:t>по-висока възвръщаемост;</w:t>
            </w:r>
            <w:r>
              <w:rPr>
                <w:b/>
                <w:i/>
              </w:rPr>
              <w:t xml:space="preserve"> подчертава, че икономическите възможности не могат да бъдат създадени от законодател, а от предприемачество; подчертава, че законодателят може само да създаде регулаторна среда, която благоприятства предприемачеството;</w:t>
            </w:r>
            <w:r>
              <w:t xml:space="preserve"> призовава Комисията и държавите членки да разработят решения, независимо дали законодателни или не</w:t>
            </w:r>
            <w:r>
              <w:rPr>
                <w:b/>
                <w:i/>
              </w:rPr>
              <w:t>, включително решения, свързани с дерегулиране</w:t>
            </w:r>
            <w:r>
              <w:t>, за насърчаване на създаването на капиталов пазар в целия ЕС, който има достатъчен размер, ликвидност, дълбочина и прозрачност, за да привлича както базирани в ЕС, така и международни инвеститори</w:t>
            </w:r>
            <w:r>
              <w:rPr>
                <w:b/>
                <w:i/>
              </w:rPr>
              <w:t>, без това да засяга необходимостта от адекватен скрининг на чуждестранните инвестиции</w:t>
            </w:r>
            <w:r>
              <w:t>;</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236</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Еро Хейнелуома, Евелин Регнер, Нилс Фулсанг, Клер Фита, Карла Тавареш,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6а.</w:t>
            </w:r>
            <w:r>
              <w:tab/>
            </w:r>
            <w:r>
              <w:rPr>
                <w:b/>
                <w:i/>
              </w:rPr>
              <w:t>отбелязва, че европейските капиталови пазари понастоящем остават силно фрагментирани, като европейските инвестиционни фондове остават близо седем пъти по-малки в сравнение с американските фондове</w:t>
            </w:r>
            <w:r>
              <w:rPr>
                <w:b/>
                <w:i/>
                <w:vertAlign w:val="superscript"/>
              </w:rPr>
              <w:t>1a</w:t>
            </w:r>
            <w:r>
              <w:rPr>
                <w:b/>
                <w:i/>
              </w:rPr>
              <w:t>; счита, че това вреди на конкурентоспособността на сектора на инвестиционните фондове в ЕС спрямо световните конкуренти, тъй като размерът на фонда е ключов фактор, влияещ върху разходите, начислявани на крайните инвеститори; смята, че един по-интегриран пазар на трансгранични фондове в ЕС би могъл да доведе до увеличаване на размера на фондовете с течение на времето и до повишаване на ефективността, което, ако бъде прехвърлено на инвеститорите на дребно, би могло да спомогне за намаляване на разходите и постигане на по-добро съотношение между качество и цена за крайните инвеститори;</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1a</w:t>
            </w:r>
            <w:r>
              <w:t xml:space="preserve"> </w:t>
            </w:r>
            <w:r>
              <w:rPr>
                <w:b/>
                <w:i/>
              </w:rPr>
              <w:t>Доклад Ноайе, стр. 62 https://www.tresor.economie.gouv.fr/Articles/e3283a8f-69de-46c2-9b8a-4b8836394798/files/6b8593b5-ca31-45a3-b61c-11c95cf0fc4b</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237</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6.</w:t>
            </w:r>
            <w:r>
              <w:tab/>
              <w:t xml:space="preserve">счита, че привлекателността на капиталовите пазари на ЕС ще бъде повишена чрез по- нататъшна интеграция на вътрешния пазар на </w:t>
            </w:r>
            <w:r>
              <w:lastRenderedPageBreak/>
              <w:t xml:space="preserve">съюза и чрез създаване на икономически възможности за частни инвестиции, което би дало възможност за по-висока възвръщаемост; призовава Комисията и държавите членки да разработят решения, </w:t>
            </w:r>
            <w:r>
              <w:rPr>
                <w:b/>
                <w:i/>
              </w:rPr>
              <w:t>независимо дали законодателни или не</w:t>
            </w:r>
            <w:r>
              <w:t>, за насърчаване на създаването на капиталов пазар в целия ЕС, който има достатъчен размер, ликвидност, дълбочина и прозрачност, за да привлича както базирани в ЕС, така и международни инвеститори;</w:t>
            </w:r>
          </w:p>
        </w:tc>
        <w:tc>
          <w:tcPr>
            <w:tcW w:w="4876" w:type="dxa"/>
            <w:tcBorders>
              <w:top w:val="nil"/>
              <w:left w:val="nil"/>
              <w:bottom w:val="nil"/>
              <w:right w:val="nil"/>
            </w:tcBorders>
          </w:tcPr>
          <w:p w:rsidR="004855AE" w:rsidRPr="00C34506" w:rsidRDefault="004855AE" w:rsidP="00061FA7">
            <w:pPr>
              <w:pStyle w:val="Normal6a"/>
            </w:pPr>
            <w:r>
              <w:lastRenderedPageBreak/>
              <w:t>6.</w:t>
            </w:r>
            <w:r>
              <w:tab/>
              <w:t xml:space="preserve">счита, че привлекателността на капиталовите пазари на ЕС ще бъде повишена чрез по-нататъшна интеграция на вътрешния пазар на </w:t>
            </w:r>
            <w:r>
              <w:lastRenderedPageBreak/>
              <w:t xml:space="preserve">съюза и чрез създаване на икономически възможности за частни инвестиции, което би дало възможност за по-висока възвръщаемост </w:t>
            </w:r>
            <w:r>
              <w:rPr>
                <w:b/>
                <w:i/>
              </w:rPr>
              <w:t>за гражданите и дружествата;</w:t>
            </w:r>
            <w:r>
              <w:t xml:space="preserve"> призовава Комисията и държавите членки да разработят законодателни решения, за насърчаване на създаването на капиталов пазар в целия ЕС, който има достатъчен размер, ликвидност, дълбочина и прозрачност, за да привлича както базирани в ЕС, така и международни инвеститори;</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238</w:t>
      </w:r>
      <w:r>
        <w:rPr>
          <w:rStyle w:val="HideTWBExt"/>
          <w:b w:val="0"/>
        </w:rPr>
        <w:t>&lt;/NumAm&gt;</w:t>
      </w:r>
    </w:p>
    <w:p w:rsidR="004855AE" w:rsidRPr="00C34506" w:rsidRDefault="004855AE" w:rsidP="004855AE">
      <w:pPr>
        <w:pStyle w:val="NormalBold"/>
      </w:pPr>
      <w:r>
        <w:rPr>
          <w:rStyle w:val="HideTWBExt"/>
          <w:b w:val="0"/>
        </w:rPr>
        <w:t>&lt;RepeatBlock-By&gt;&lt;Members&gt;</w:t>
      </w:r>
      <w:r>
        <w:t>Кинга Колар,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6.</w:t>
            </w:r>
            <w:r>
              <w:tab/>
              <w:t>счита, че привлекателността на капиталовите пазари на ЕС ще бъде повишена чрез по-нататъшна интеграция на вътрешния пазар на съюза и чрез създаване на икономически възможности за частни инвестиции, което би дало възможност за по-висока възвръщаемост; призовава Комисията и държавите членки да разработят решения, независимо дали законодателни или не, за насърчаване на създаването на капиталов пазар в целия ЕС, който има достатъчен размер, ликвидност, дълбочина и прозрачност, за да привлича както базирани в ЕС, така и международни инвеститори;</w:t>
            </w:r>
          </w:p>
        </w:tc>
        <w:tc>
          <w:tcPr>
            <w:tcW w:w="4876" w:type="dxa"/>
            <w:tcBorders>
              <w:top w:val="nil"/>
              <w:left w:val="nil"/>
              <w:bottom w:val="nil"/>
              <w:right w:val="nil"/>
            </w:tcBorders>
          </w:tcPr>
          <w:p w:rsidR="004855AE" w:rsidRPr="00C34506" w:rsidRDefault="004855AE" w:rsidP="00061FA7">
            <w:pPr>
              <w:pStyle w:val="Normal6a"/>
            </w:pPr>
            <w:r>
              <w:t>6.</w:t>
            </w:r>
            <w:r>
              <w:tab/>
              <w:t xml:space="preserve">счита, че привлекателността на капиталовите пазари на ЕС ще бъде повишена чрез по-нататъшна интеграция на вътрешния пазар на съюза и чрез създаване на </w:t>
            </w:r>
            <w:r>
              <w:rPr>
                <w:b/>
                <w:i/>
              </w:rPr>
              <w:t>регулаторна среда, която насърчава конкурентоспособността на дружествата от ЕС</w:t>
            </w:r>
            <w:r>
              <w:t xml:space="preserve"> и икономическите възможности за частни инвестиции, което би позволило по-висока възвръщаемост; призовава Комисията и държавите членки да разработят решения, независимо дали законодателни или не, за насърчаване на създаването на капиталов пазар в целия ЕС, който има достатъчен размер, ликвидност, дълбочина и прозрачност, за да привлича както базирани в ЕС, така и международни инвеститори; </w:t>
            </w:r>
            <w:r>
              <w:rPr>
                <w:b/>
                <w:i/>
              </w:rPr>
              <w:t xml:space="preserve">припомня в тази връзка значението на ефективната координация между държавите членки, между инструментите за финансиране и </w:t>
            </w:r>
            <w:r>
              <w:rPr>
                <w:b/>
                <w:i/>
              </w:rPr>
              <w:lastRenderedPageBreak/>
              <w:t>между различните политики;</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lang w:eastAsia="en-GB"/>
        </w:rPr>
        <w:t>&lt;Amend&gt;</w:t>
      </w:r>
      <w:r>
        <w:t>Изменение</w:t>
      </w:r>
      <w:r>
        <w:tab/>
      </w:r>
      <w:r>
        <w:tab/>
      </w:r>
      <w:r>
        <w:rPr>
          <w:rStyle w:val="HideTWBExt"/>
          <w:b w:val="0"/>
          <w:lang w:eastAsia="en-GB"/>
        </w:rPr>
        <w:t>&lt;NumAm&gt;</w:t>
      </w:r>
      <w:r>
        <w:t>239</w:t>
      </w:r>
      <w:r>
        <w:rPr>
          <w:rStyle w:val="HideTWBExt"/>
          <w:b w:val="0"/>
          <w:lang w:eastAsia="en-GB"/>
        </w:rPr>
        <w:t>&lt;/NumAm&gt;</w:t>
      </w:r>
    </w:p>
    <w:p w:rsidR="004855AE" w:rsidRPr="00C34506" w:rsidRDefault="004855AE" w:rsidP="004855AE">
      <w:pPr>
        <w:pStyle w:val="NormalBold"/>
      </w:pPr>
      <w:r>
        <w:rPr>
          <w:rStyle w:val="HideTWBExt"/>
          <w:b w:val="0"/>
          <w:lang w:eastAsia="en-GB"/>
        </w:rPr>
        <w:t>&lt;RepeatBlock-By&gt;&lt;Members&gt;</w:t>
      </w:r>
      <w:r>
        <w:t>Кристоф Гомар</w:t>
      </w:r>
      <w:r>
        <w:rPr>
          <w:rStyle w:val="HideTWBExt"/>
          <w:b w:val="0"/>
          <w:lang w:eastAsia="en-GB"/>
        </w:rPr>
        <w:t>&lt;/Members&gt;</w:t>
      </w:r>
    </w:p>
    <w:p w:rsidR="004855AE" w:rsidRPr="00C34506" w:rsidRDefault="004855AE" w:rsidP="004855AE">
      <w:pPr>
        <w:pStyle w:val="NormalBold"/>
      </w:pPr>
      <w:r>
        <w:rPr>
          <w:rStyle w:val="HideTWBExt"/>
          <w:b w:val="0"/>
          <w:lang w:eastAsia="en-GB"/>
        </w:rPr>
        <w:t>&lt;/RepeatBlock-By&gt;</w:t>
      </w:r>
    </w:p>
    <w:p w:rsidR="004855AE" w:rsidRPr="00C34506" w:rsidRDefault="004855AE" w:rsidP="004855AE">
      <w:pPr>
        <w:pStyle w:val="NormalBold"/>
      </w:pPr>
      <w:r>
        <w:rPr>
          <w:rStyle w:val="HideTWBExt"/>
          <w:b w:val="0"/>
          <w:lang w:eastAsia="en-GB"/>
        </w:rPr>
        <w:t>&lt;DocAmend&gt;</w:t>
      </w:r>
      <w:r>
        <w:t>Предложение за резолюция</w:t>
      </w:r>
      <w:r>
        <w:rPr>
          <w:rStyle w:val="HideTWBExt"/>
          <w:b w:val="0"/>
          <w:lang w:eastAsia="en-GB"/>
        </w:rPr>
        <w:t>&lt;/DocAmend&gt;</w:t>
      </w:r>
    </w:p>
    <w:p w:rsidR="004855AE" w:rsidRPr="00C34506" w:rsidRDefault="004855AE" w:rsidP="004855AE">
      <w:pPr>
        <w:pStyle w:val="NormalBold"/>
      </w:pPr>
      <w:r>
        <w:rPr>
          <w:rStyle w:val="HideTWBExt"/>
          <w:b w:val="0"/>
          <w:lang w:eastAsia="en-GB"/>
        </w:rPr>
        <w:t>&lt;Article&gt;</w:t>
      </w:r>
      <w:r>
        <w:t>Параграф 6</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6.</w:t>
            </w:r>
            <w:r>
              <w:tab/>
              <w:t>счита, че привлекателността на капиталовите пазари на ЕС ще бъде повишена чрез по-нататъшна интеграция на вътрешния пазар на съюза и чрез създаване на икономически възможности за частни инвестиции, което би дало възможност за по-висока възвръщаемост; призовава Комисията и държавите членки да разработят решения, независимо дали законодателни или не, за насърчаване на създаването на капиталов пазар в целия ЕС, който има достатъчен размер, ликвидност, дълбочина и прозрачност, за да привлича както базирани в ЕС, така и международни инвеститори;</w:t>
            </w:r>
          </w:p>
        </w:tc>
        <w:tc>
          <w:tcPr>
            <w:tcW w:w="4876" w:type="dxa"/>
            <w:tcBorders>
              <w:top w:val="nil"/>
              <w:left w:val="nil"/>
              <w:bottom w:val="nil"/>
              <w:right w:val="nil"/>
            </w:tcBorders>
          </w:tcPr>
          <w:p w:rsidR="004855AE" w:rsidRPr="00C34506" w:rsidRDefault="004855AE" w:rsidP="00061FA7">
            <w:pPr>
              <w:pStyle w:val="Normal6a"/>
            </w:pPr>
            <w:r>
              <w:t>6.</w:t>
            </w:r>
            <w:r>
              <w:tab/>
              <w:t xml:space="preserve">счита, че привлекателността на капиталовите пазари на ЕС ще се увеличи чрез по-нататъшна интеграция на вътрешния пазар, </w:t>
            </w:r>
            <w:r>
              <w:rPr>
                <w:b/>
                <w:i/>
              </w:rPr>
              <w:t>опростяване на регулаторната рамка</w:t>
            </w:r>
            <w:r>
              <w:t xml:space="preserve"> и създаване на икономически възможности за частни инвестиции, което би позволило по-висока възвръщаемост; призовава Комисията и държавите членки да разработят решения, независимо дали законодателни или не, за насърчаване на създаването на капиталов пазар в целия ЕС, който има достатъчен размер, ликвидност, дълбочина и прозрачност, за да привлича както базирани в ЕС, така и международни инвеститори;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{FR}</w:t>
      </w:r>
      <w:r w:rsidRPr="00C34506">
        <w:t>fr</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240</w:t>
      </w:r>
      <w:r>
        <w:rPr>
          <w:rStyle w:val="HideTWBExt"/>
          <w:b w:val="0"/>
        </w:rPr>
        <w:t>&lt;/NumAm&gt;</w:t>
      </w:r>
    </w:p>
    <w:p w:rsidR="004855AE" w:rsidRPr="00C34506" w:rsidRDefault="004855AE" w:rsidP="004855AE">
      <w:pPr>
        <w:pStyle w:val="NormalBold"/>
      </w:pPr>
      <w:r>
        <w:rPr>
          <w:rStyle w:val="HideTWBExt"/>
          <w:b w:val="0"/>
        </w:rPr>
        <w:t>&lt;RepeatBlock-By&gt;&lt;Members&gt;</w:t>
      </w:r>
      <w:r>
        <w:t>Джовани Крозето, Доменико Денис Неши, Франческо Вентола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6.</w:t>
            </w:r>
            <w:r>
              <w:tab/>
              <w:t xml:space="preserve">счита, че привлекателността на капиталовите пазари на ЕС ще бъде повишена чрез по-нататъшна интеграция на вътрешния пазар на съюза и чрез създаване на икономически възможности за частни </w:t>
            </w:r>
            <w:r>
              <w:lastRenderedPageBreak/>
              <w:t>инвестиции, което би дало възможност за по-висока възвръщаемост; призовава Комисията и държавите членки да разработят решения, независимо дали законодателни или не, за насърчаване на създаването на капиталов пазар в целия ЕС, който има достатъчен размер, ликвидност, дълбочина и прозрачност, за да привлича както базирани в ЕС, така и международни инвеститори;</w:t>
            </w:r>
          </w:p>
        </w:tc>
        <w:tc>
          <w:tcPr>
            <w:tcW w:w="4876" w:type="dxa"/>
            <w:tcBorders>
              <w:top w:val="nil"/>
              <w:left w:val="nil"/>
              <w:bottom w:val="nil"/>
              <w:right w:val="nil"/>
            </w:tcBorders>
          </w:tcPr>
          <w:p w:rsidR="004855AE" w:rsidRPr="00C34506" w:rsidRDefault="004855AE" w:rsidP="00061FA7">
            <w:pPr>
              <w:pStyle w:val="Normal6a"/>
            </w:pPr>
            <w:r>
              <w:lastRenderedPageBreak/>
              <w:t>6.</w:t>
            </w:r>
            <w:r>
              <w:tab/>
              <w:t xml:space="preserve">счита, че привлекателността на капиталовите пазари на ЕС ще бъде повишена чрез по-нататъшна интеграция на вътрешния пазар на съюза и чрез създаване на икономически възможности за частни </w:t>
            </w:r>
            <w:r>
              <w:lastRenderedPageBreak/>
              <w:t>инвестиции, което би дало възможност за по-висока възвръщаемост</w:t>
            </w:r>
            <w:r>
              <w:rPr>
                <w:b/>
                <w:i/>
              </w:rPr>
              <w:t>; подчертава, че интеграцията на капиталовите пазари е необходим стълб на инвестиционната стратегия на Съюза, която следва да бъде допълнена от добре разработени фискални стимули за максимално въздействие;</w:t>
            </w:r>
            <w:r>
              <w:t xml:space="preserve"> призовава Комисията и държавите членки да разработят решения, независимо дали законодателни или не, за насърчаване на създаването на капиталов пазар в целия ЕС, който има достатъчен размер, ликвидност, дълбочина и прозрачност, за да привлича както базирани в ЕС, така и международни инвеститори;</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241</w:t>
      </w:r>
      <w:r>
        <w:rPr>
          <w:rStyle w:val="HideTWBExt"/>
          <w:b w:val="0"/>
        </w:rPr>
        <w:t>&lt;/NumAm&gt;</w:t>
      </w:r>
    </w:p>
    <w:p w:rsidR="004855AE" w:rsidRPr="00C34506" w:rsidRDefault="004855AE" w:rsidP="004855AE">
      <w:pPr>
        <w:pStyle w:val="NormalBold"/>
      </w:pPr>
      <w:r>
        <w:rPr>
          <w:rStyle w:val="HideTWBExt"/>
          <w:b w:val="0"/>
        </w:rPr>
        <w:t>&lt;RepeatBlock-By&gt;&lt;Members&gt;</w:t>
      </w:r>
      <w:r>
        <w:t>Арба Кокалари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6.</w:t>
            </w:r>
            <w:r>
              <w:tab/>
              <w:t xml:space="preserve">счита, че привлекателността на капиталовите пазари на ЕС ще бъде повишена чрез по-нататъшна интеграция на вътрешния пазар на съюза и чрез създаване на икономически възможности за частни инвестиции, което би дало възможност за по-висока възвръщаемост; призовава Комисията и държавите членки да разработят решения, независимо дали законодателни или </w:t>
            </w:r>
            <w:r>
              <w:rPr>
                <w:b/>
                <w:i/>
              </w:rPr>
              <w:t>не</w:t>
            </w:r>
            <w:r>
              <w:t>, за насърчаване на създаването на капиталов пазар в целия ЕС, който има достатъчен размер, ликвидност, дълбочина и прозрачност, за да привлича както базирани в ЕС, така и международни инвеститори;</w:t>
            </w:r>
          </w:p>
        </w:tc>
        <w:tc>
          <w:tcPr>
            <w:tcW w:w="4876" w:type="dxa"/>
            <w:tcBorders>
              <w:top w:val="nil"/>
              <w:left w:val="nil"/>
              <w:bottom w:val="nil"/>
              <w:right w:val="nil"/>
            </w:tcBorders>
          </w:tcPr>
          <w:p w:rsidR="004855AE" w:rsidRPr="00C34506" w:rsidRDefault="004855AE" w:rsidP="00061FA7">
            <w:pPr>
              <w:pStyle w:val="Normal6a"/>
            </w:pPr>
            <w:r>
              <w:t>6.</w:t>
            </w:r>
            <w:r>
              <w:tab/>
              <w:t xml:space="preserve">счита, че привлекателността на капиталовите пазари на ЕС ще се увеличи чрез по-нататъшна интеграция на вътрешния пазар, </w:t>
            </w:r>
            <w:r>
              <w:rPr>
                <w:b/>
                <w:i/>
              </w:rPr>
              <w:t>опростяване на регулаторната рамка</w:t>
            </w:r>
            <w:r>
              <w:t xml:space="preserve"> и създаване на икономически възможности за частни инвестиции, което би позволило по-висока възвръщаемост; призовава Комисията и държавите членки да разработят решения, независимо дали законодателни или </w:t>
            </w:r>
            <w:r>
              <w:rPr>
                <w:b/>
                <w:i/>
              </w:rPr>
              <w:t>не</w:t>
            </w:r>
            <w:r>
              <w:t xml:space="preserve">, </w:t>
            </w:r>
            <w:r>
              <w:rPr>
                <w:b/>
                <w:i/>
              </w:rPr>
              <w:t>надграждане върху вече добре развитите и функциониращи капиталови пазари в някои държави членки</w:t>
            </w:r>
            <w:r>
              <w:t xml:space="preserve">, за да се насърчи създаването на капиталов пазар в целия ЕС, който е с достатъчен размер, ликвидност, дълбочина и прозрачност, за да привлече както инвеститори от ЕС, така и </w:t>
            </w:r>
            <w:r>
              <w:lastRenderedPageBreak/>
              <w:t>международни инвеститори;</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242</w:t>
      </w:r>
      <w:r>
        <w:rPr>
          <w:rStyle w:val="HideTWBExt"/>
          <w:b w:val="0"/>
        </w:rPr>
        <w:t>&lt;/NumAm&gt;</w:t>
      </w:r>
    </w:p>
    <w:p w:rsidR="004855AE" w:rsidRPr="00C34506" w:rsidRDefault="004855AE" w:rsidP="004855AE">
      <w:pPr>
        <w:pStyle w:val="NormalBold"/>
      </w:pPr>
      <w:r>
        <w:rPr>
          <w:rStyle w:val="HideTWBExt"/>
          <w:b w:val="0"/>
        </w:rPr>
        <w:t>&lt;RepeatBlock-By&gt;&lt;Members&gt;</w:t>
      </w:r>
      <w:r>
        <w:t>Фернандо Наварете Рохас,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6.</w:t>
            </w:r>
            <w:r>
              <w:tab/>
              <w:t>счита, че привлекателността на капиталовите пазари на ЕС ще бъде повишена чрез по-нататъшна интеграция на вътрешния пазар на съюза и чрез създаване на икономически възможности за частни инвестиции, което би дало възможност за по-висока възвръщаемост; призовава Комисията и държавите членки да разработят решения, независимо дали законодателни или не, за насърчаване на създаването на капиталов пазар в целия ЕС, който има достатъчен размер, ликвидност, дълбочина и прозрачност, за да привлича както базирани в ЕС, така и международни инвеститори;</w:t>
            </w:r>
          </w:p>
        </w:tc>
        <w:tc>
          <w:tcPr>
            <w:tcW w:w="4876" w:type="dxa"/>
            <w:tcBorders>
              <w:top w:val="nil"/>
              <w:left w:val="nil"/>
              <w:bottom w:val="nil"/>
              <w:right w:val="nil"/>
            </w:tcBorders>
          </w:tcPr>
          <w:p w:rsidR="004855AE" w:rsidRPr="00C34506" w:rsidRDefault="004855AE" w:rsidP="00061FA7">
            <w:pPr>
              <w:pStyle w:val="Normal6a"/>
            </w:pPr>
            <w:r>
              <w:t>6.</w:t>
            </w:r>
            <w:r>
              <w:tab/>
              <w:t xml:space="preserve">счита, че привлекателността на капиталовите пазари на ЕС ще бъде повишена чрез по- нататъшна интеграция на вътрешния пазар на съюза и чрез създаване на икономически възможности за частни инвестиции, което би дало възможност за по-висока възвръщаемост; призовава Комисията и държавите членки да разработят решения, независимо дали законодателни или не, за насърчаване на създаването на </w:t>
            </w:r>
            <w:r>
              <w:rPr>
                <w:b/>
                <w:i/>
              </w:rPr>
              <w:t>всеобхващащ</w:t>
            </w:r>
            <w:r>
              <w:t xml:space="preserve"> капиталов пазар в целия ЕС, който има достатъчен размер, ликвидност, дълбочина и прозрачност, за да привлича както базирани в ЕС, така и международни инвеститори; </w:t>
            </w:r>
            <w:r>
              <w:rPr>
                <w:b/>
                <w:i/>
              </w:rPr>
              <w:t>припомня, че перспективата за по-висока възвръщаемост на инвестициите е ключов стимул за участието на непрофесионалните инвеститори на капиталовите пазари;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243</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Еро Хейнелуома, Евелин Регнер, Нилс Фулсанг, Клер Фита, Карла Тавареш, Томас Баяда,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6.</w:t>
            </w:r>
            <w:r>
              <w:tab/>
              <w:t>счита, че привлекателността на капиталовите пазари на ЕС ще бъде повишена чрез по- нататъшна интеграция на вътрешния пазар на съюза и чрез създаване на икономически възможности за частни инвестиции, което би дало възможност за по-висока възвръщаемост; призовава Комисията и държавите членки да разработят решения, независимо дали законодателни или не, за насърчаване на създаването на капиталов пазар в целия ЕС, който има достатъчен размер, ликвидност, дълбочина и прозрачност, за да привлича както базирани в ЕС, така и международни инвеститори;</w:t>
            </w:r>
          </w:p>
        </w:tc>
        <w:tc>
          <w:tcPr>
            <w:tcW w:w="4876" w:type="dxa"/>
            <w:tcBorders>
              <w:top w:val="nil"/>
              <w:left w:val="nil"/>
              <w:bottom w:val="nil"/>
              <w:right w:val="nil"/>
            </w:tcBorders>
          </w:tcPr>
          <w:p w:rsidR="004855AE" w:rsidRPr="00C34506" w:rsidRDefault="004855AE" w:rsidP="00061FA7">
            <w:pPr>
              <w:pStyle w:val="Normal6a"/>
            </w:pPr>
            <w:r>
              <w:t>6.</w:t>
            </w:r>
            <w:r>
              <w:tab/>
              <w:t>счита, че привлекателността на капиталовите пазари на ЕС ще бъде повишена чрез по-нататъшна интеграция на вътрешния пазар на съюза и чрез създаване на икономически възможности за частни инвестиции, което би дало възможност за по-висока възвръщаемост</w:t>
            </w:r>
            <w:r>
              <w:rPr>
                <w:b/>
                <w:i/>
              </w:rPr>
              <w:t>; подчертава обаче, че възвръщаемостта се подкопава от високите разходи, свързани с инвестициите на европейските финансови пазари;</w:t>
            </w:r>
            <w:r>
              <w:t xml:space="preserve"> призовава Комисията и държавите членки да разработят решения, независимо дали законодателни или не, за насърчаване на създаването на капиталов пазар в целия ЕС, който има достатъчен размер, ликвидност, дълбочина и прозрачност, за да привлича както базирани в ЕС, така и международни инвеститори;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244</w:t>
      </w:r>
      <w:r>
        <w:rPr>
          <w:rStyle w:val="HideTWBExt"/>
          <w:b w:val="0"/>
        </w:rPr>
        <w:t>&lt;/NumAm&gt;</w:t>
      </w:r>
    </w:p>
    <w:p w:rsidR="004855AE" w:rsidRPr="00C34506" w:rsidRDefault="004855AE" w:rsidP="004855AE">
      <w:pPr>
        <w:pStyle w:val="NormalBold"/>
      </w:pPr>
      <w:r>
        <w:rPr>
          <w:rStyle w:val="HideTWBExt"/>
          <w:b w:val="0"/>
        </w:rPr>
        <w:t>&lt;RepeatBlock-By&gt;&lt;Members&gt;</w:t>
      </w:r>
      <w:r>
        <w:t>Сирпа Пиетикяйнен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6.</w:t>
            </w:r>
            <w:r>
              <w:tab/>
              <w:t xml:space="preserve">счита, че привлекателността на капиталовите пазари на ЕС ще бъде повишена чрез по- нататъшна интеграция на вътрешния пазар на съюза и чрез създаване на икономически възможности за частни инвестиции, което би дало възможност за по-висока възвръщаемост; призовава Комисията и държавите членки да разработят решения, независимо дали законодателни или не, за насърчаване на създаването на капиталов пазар в целия </w:t>
            </w:r>
            <w:r>
              <w:lastRenderedPageBreak/>
              <w:t>ЕС, който има достатъчен размер, ликвидност, дълбочина и прозрачност, за да привлича както базирани в ЕС, така и международни инвеститори;</w:t>
            </w:r>
          </w:p>
        </w:tc>
        <w:tc>
          <w:tcPr>
            <w:tcW w:w="4876" w:type="dxa"/>
            <w:tcBorders>
              <w:top w:val="nil"/>
              <w:left w:val="nil"/>
              <w:bottom w:val="nil"/>
              <w:right w:val="nil"/>
            </w:tcBorders>
          </w:tcPr>
          <w:p w:rsidR="004855AE" w:rsidRPr="00C34506" w:rsidRDefault="004855AE" w:rsidP="00061FA7">
            <w:pPr>
              <w:pStyle w:val="Normal6a"/>
            </w:pPr>
            <w:r>
              <w:lastRenderedPageBreak/>
              <w:t>6.</w:t>
            </w:r>
            <w:r>
              <w:tab/>
              <w:t xml:space="preserve">счита, че привлекателността на капиталовите пазари на ЕС ще бъде повишена чрез по- нататъшна интеграция на вътрешния пазар на съюза и чрез създаване на икономически възможности за частни инвестиции, което би дало възможност за по-висока възвръщаемост; призовава Комисията и държавите членки да разработят решения, независимо дали законодателни или не, за насърчаване на създаването на капиталов пазар в целия </w:t>
            </w:r>
            <w:r>
              <w:lastRenderedPageBreak/>
              <w:t xml:space="preserve">ЕС, който има достатъчен размер, ликвидност, дълбочина и прозрачност, за да привлича както базирани в ЕС, така и международни инвеститори; </w:t>
            </w:r>
            <w:r>
              <w:rPr>
                <w:b/>
                <w:i/>
              </w:rPr>
              <w:t>настоятелно призовава Комисията да опрости настоящата търговска среда и да насърчава лоялната конкуренция между многостранните и двустранните места за търговия с цел насърчаване на по-голяма активност на пазарите с публична видимост (lit markets); насърчава също така преразглеждането на рамката на ДПФИ II/R, за да се подобри прозрачността в двустранната търговия и да се обърне внимание на нарастващото пренасочване към такива места за търговия, което може да подкопае ценообразуването, устойчивостта на пазара и справедливостта за емитентите и инвеститорите;</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245</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6.</w:t>
            </w:r>
            <w:r>
              <w:tab/>
              <w:t xml:space="preserve">счита, че привлекателността на капиталовите пазари на ЕС ще бъде повишена чрез по- нататъшна интеграция на вътрешния пазар на съюза и чрез създаване на икономически възможности за частни инвестиции, което би дало възможност за по-висока възвръщаемост; призовава Комисията и държавите членки да разработят решения, независимо дали законодателни или не, за насърчаване на създаването на капиталов пазар в целия ЕС, който има достатъчен размер, ликвидност, дълбочина и прозрачност, </w:t>
            </w:r>
            <w:r>
              <w:lastRenderedPageBreak/>
              <w:t>за да привлича както базирани в ЕС, така и международни инвеститори;</w:t>
            </w:r>
          </w:p>
        </w:tc>
        <w:tc>
          <w:tcPr>
            <w:tcW w:w="4876" w:type="dxa"/>
            <w:tcBorders>
              <w:top w:val="nil"/>
              <w:left w:val="nil"/>
              <w:bottom w:val="nil"/>
              <w:right w:val="nil"/>
            </w:tcBorders>
          </w:tcPr>
          <w:p w:rsidR="004855AE" w:rsidRPr="00C34506" w:rsidRDefault="004855AE" w:rsidP="00061FA7">
            <w:pPr>
              <w:pStyle w:val="Normal6a"/>
            </w:pPr>
            <w:r>
              <w:lastRenderedPageBreak/>
              <w:t>6.</w:t>
            </w:r>
            <w:r>
              <w:tab/>
              <w:t xml:space="preserve">счита, че привлекателността на капиталовите пазари на ЕС ще бъде повишена чрез по- нататъшна интеграция на вътрешния пазар на съюза и чрез създаване на икономически възможности за частни инвестиции, което би дало възможност за по-висока възвръщаемост; призовава Комисията и държавите членки да разработят решения, независимо дали законодателни или не, за насърчаване на създаването на капиталов пазар в целия ЕС, който има достатъчен размер, ликвидност, дълбочина и прозрачност, </w:t>
            </w:r>
            <w:r>
              <w:lastRenderedPageBreak/>
              <w:t xml:space="preserve">за да привлича както базирани в ЕС, така и международни инвеститори, </w:t>
            </w:r>
            <w:r>
              <w:rPr>
                <w:b/>
                <w:i/>
              </w:rPr>
              <w:t>като същевременно гарантира защитата на потребителите и запазва финансовата стабилност</w:t>
            </w:r>
            <w:r>
              <w:t>;</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246</w:t>
      </w:r>
      <w:r>
        <w:rPr>
          <w:rStyle w:val="HideTWBExt"/>
          <w:b w:val="0"/>
        </w:rPr>
        <w:t>&lt;/NumAm&gt;</w:t>
      </w:r>
    </w:p>
    <w:p w:rsidR="004855AE" w:rsidRPr="00C34506" w:rsidRDefault="004855AE" w:rsidP="004855AE">
      <w:pPr>
        <w:pStyle w:val="NormalBold"/>
      </w:pPr>
      <w:r>
        <w:rPr>
          <w:rStyle w:val="HideTWBExt"/>
          <w:b w:val="0"/>
        </w:rPr>
        <w:t>&lt;RepeatBlock-By&gt;&lt;Members&gt;</w:t>
      </w:r>
      <w:r>
        <w:t>Людовит Одор, Анук Ван Брюг, Били Келъхър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6.</w:t>
            </w:r>
            <w:r>
              <w:tab/>
              <w:t>счита, че привлекателността на капиталовите пазари на ЕС ще бъде повишена чрез по- нататъшна интеграция на вътрешния пазар на съюза и чрез създаване на икономически възможности за частни инвестиции, което би дало възможност за по-висока възвръщаемост; призовава Комисията и държавите членки да разработят решения, независимо дали законодателни или не, за насърчаване на създаването на капиталов пазар в целия ЕС, който има достатъчен размер, ликвидност, дълбочина и прозрачност, за да привлича както базирани в ЕС, така и международни инвеститори;</w:t>
            </w:r>
          </w:p>
        </w:tc>
        <w:tc>
          <w:tcPr>
            <w:tcW w:w="4876" w:type="dxa"/>
            <w:tcBorders>
              <w:top w:val="nil"/>
              <w:left w:val="nil"/>
              <w:bottom w:val="nil"/>
              <w:right w:val="nil"/>
            </w:tcBorders>
          </w:tcPr>
          <w:p w:rsidR="004855AE" w:rsidRPr="00C34506" w:rsidRDefault="004855AE" w:rsidP="00061FA7">
            <w:pPr>
              <w:pStyle w:val="Normal6a"/>
            </w:pPr>
            <w:r>
              <w:t>6.</w:t>
            </w:r>
            <w:r>
              <w:tab/>
              <w:t xml:space="preserve">счита, че привлекателността на капиталовите пазари на ЕС ще бъде повишена чрез по- нататъшна интеграция на вътрешния пазар на съюза и чрез създаване на икономически възможности за частни инвестиции, което би дало възможност за по-висока възвръщаемост; призовава Комисията и държавите членки да разработят решения, независимо дали законодателни или не, за насърчаване на създаването на капиталов пазар в целия ЕС, който има достатъчен размер, ликвидност, дълбочина и прозрачност, за да привлича както базирани в ЕС, така и международни инвеститори; </w:t>
            </w:r>
            <w:r>
              <w:rPr>
                <w:b/>
                <w:i/>
              </w:rPr>
              <w:t>във връзка с това подчертава, че СКП не би бил възможен без завършването на банковия съюз;</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247</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lastRenderedPageBreak/>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6.</w:t>
            </w:r>
            <w:r>
              <w:tab/>
              <w:t xml:space="preserve">счита, че привлекателността на капиталовите пазари на ЕС ще бъде повишена чрез </w:t>
            </w:r>
            <w:r>
              <w:rPr>
                <w:b/>
                <w:i/>
              </w:rPr>
              <w:t>по-нататъшна</w:t>
            </w:r>
            <w:r>
              <w:t xml:space="preserve"> интеграция на вътрешния пазар на съюза и чрез създаване на икономически възможности за частни инвестиции, което би дало възможност за </w:t>
            </w:r>
            <w:r>
              <w:rPr>
                <w:b/>
                <w:i/>
              </w:rPr>
              <w:t>по-висока</w:t>
            </w:r>
            <w:r>
              <w:t xml:space="preserve"> възвръщаемост; призовава Комисията и държавите членки да разработят решения, независимо дали законодателни или не, за насърчаване на създаването на капиталов пазар в целия ЕС, който има достатъчен размер, ликвидност, дълбочина и прозрачност, за да привлича както базирани в ЕС, така и международни инвеститори;</w:t>
            </w:r>
          </w:p>
        </w:tc>
        <w:tc>
          <w:tcPr>
            <w:tcW w:w="4876" w:type="dxa"/>
            <w:tcBorders>
              <w:top w:val="nil"/>
              <w:left w:val="nil"/>
              <w:bottom w:val="nil"/>
              <w:right w:val="nil"/>
            </w:tcBorders>
          </w:tcPr>
          <w:p w:rsidR="004855AE" w:rsidRPr="00C34506" w:rsidRDefault="004855AE" w:rsidP="00061FA7">
            <w:pPr>
              <w:pStyle w:val="Normal6a"/>
            </w:pPr>
            <w:r>
              <w:t>6.</w:t>
            </w:r>
            <w:r>
              <w:tab/>
              <w:t xml:space="preserve">счита, че привлекателността на капиталовите пазари на ЕС ще бъде повишена чрез </w:t>
            </w:r>
            <w:r>
              <w:rPr>
                <w:b/>
                <w:i/>
              </w:rPr>
              <w:t>по- нататъшна</w:t>
            </w:r>
            <w:r>
              <w:t xml:space="preserve"> интеграция на вътрешния пазар на съюза и чрез създаване на икономически възможности за частни инвестиции, което би дало възможност за </w:t>
            </w:r>
            <w:r>
              <w:rPr>
                <w:b/>
                <w:i/>
              </w:rPr>
              <w:t>по-ниски разходи за финансиране, намаляване на пречките и в крайна сметка по-атрактивна</w:t>
            </w:r>
            <w:r>
              <w:t xml:space="preserve"> възвръщаемост; призовава Комисията</w:t>
            </w:r>
            <w:r>
              <w:rPr>
                <w:b/>
                <w:i/>
              </w:rPr>
              <w:t>,</w:t>
            </w:r>
            <w:r>
              <w:t xml:space="preserve"> и</w:t>
            </w:r>
            <w:r>
              <w:rPr>
                <w:b/>
                <w:i/>
              </w:rPr>
              <w:t xml:space="preserve"> по-специално</w:t>
            </w:r>
            <w:r>
              <w:t xml:space="preserve"> държавите членки да разработят решения, независимо дали законодателни или не, за насърчаване на създаването на капиталов пазар в целия ЕС, който има достатъчен размер, ликвидност, дълбочина и прозрачност, за да привлича както базирани в ЕС, така и международни инвеститори;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248</w:t>
      </w:r>
      <w:r>
        <w:rPr>
          <w:rStyle w:val="HideTWBExt"/>
          <w:b w:val="0"/>
        </w:rPr>
        <w:t>&lt;/NumAm&gt;</w:t>
      </w:r>
    </w:p>
    <w:p w:rsidR="004855AE" w:rsidRPr="00C34506" w:rsidRDefault="004855AE" w:rsidP="004855AE">
      <w:pPr>
        <w:pStyle w:val="NormalBold"/>
      </w:pPr>
      <w:r>
        <w:rPr>
          <w:rStyle w:val="HideTWBExt"/>
          <w:b w:val="0"/>
        </w:rPr>
        <w:t>&lt;RepeatBlock-By&gt;&lt;Members&gt;</w:t>
      </w:r>
      <w:r>
        <w:t>Фабио Де Мази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6а.</w:t>
            </w:r>
            <w:r>
              <w:tab/>
            </w:r>
            <w:r>
              <w:rPr>
                <w:b/>
                <w:i/>
              </w:rPr>
              <w:t xml:space="preserve">отбелязва, че банковото кредитиране обикновено е по-малко нестабилно от краткосрочните капиталови потоци и продължава да бъде важен източник на корпоративно финансиране, тъй като банките разбират по-добре регионалните пазари и бизнес модели, а капиталовите пазари страдат от прекомерно стадно поведение и информационни асиметрии; въпреки че съюзът на капиталовите пазари може да увеличи производителността на европейските финансови пазари чрез </w:t>
            </w:r>
            <w:r>
              <w:rPr>
                <w:b/>
                <w:i/>
              </w:rPr>
              <w:lastRenderedPageBreak/>
              <w:t>засилено разпределение и финансиране на по-големи инвестиции, които изискват мащаб и обхват, като например в областта на ИИ, не може да се очаква той да повиши значително обема на търсенето на частни инвестиции и често е твърде скъп за МСП; за да се случи това, правителствата ще трябва да увеличат публичните инвестиции и по този начин да привлекат частни инвестиции;</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249</w:t>
      </w:r>
      <w:r>
        <w:rPr>
          <w:rStyle w:val="HideTWBExt"/>
          <w:b w:val="0"/>
        </w:rPr>
        <w:t>&lt;/NumAm&gt;</w:t>
      </w:r>
    </w:p>
    <w:p w:rsidR="004855AE" w:rsidRPr="00C34506" w:rsidRDefault="004855AE" w:rsidP="004855AE">
      <w:pPr>
        <w:pStyle w:val="NormalBold"/>
      </w:pPr>
      <w:r>
        <w:rPr>
          <w:rStyle w:val="HideTWBExt"/>
          <w:b w:val="0"/>
        </w:rPr>
        <w:t>&lt;RepeatBlock-By&gt;&lt;Members&gt;</w:t>
      </w:r>
      <w:r>
        <w:t>Арба Кокалари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6а.</w:t>
            </w:r>
            <w:r>
              <w:tab/>
            </w:r>
            <w:r>
              <w:rPr>
                <w:b/>
                <w:i/>
              </w:rPr>
              <w:t xml:space="preserve">отбелязва, че докладът на Драги определя недостатъчното развитие на предварително финансирани публични, професионални и частни пенсионни системи в държавите – членки на ЕС, като значителен ограничаващ фактор за развитието на капиталовите пазари; подчертава, че предварително финансираните пенсионни системи, при които определени вноски се инвестират на капиталовите пазари, а не се разпределят чрез разходопокривни системи, са от решаващо значение за насочването на дългосрочни инвестиции към реалната икономика; подкрепя социалните партньори в държавите –членки на ЕС, в разработването на професионални пенсионни схеми; потвърждава ползите от по-голямото разпределение на средства в капиталови и инвестиционни фондове </w:t>
            </w:r>
            <w:r>
              <w:rPr>
                <w:b/>
                <w:i/>
              </w:rPr>
              <w:lastRenderedPageBreak/>
              <w:t>от страна на застрахователите и професионалните пенсионни фондове, когато те са финансово стабилни;</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250</w:t>
      </w:r>
      <w:r>
        <w:rPr>
          <w:rStyle w:val="HideTWBExt"/>
          <w:b w:val="0"/>
        </w:rPr>
        <w:t>&lt;/NumAm&gt;</w:t>
      </w:r>
    </w:p>
    <w:p w:rsidR="004855AE" w:rsidRPr="00C34506" w:rsidRDefault="004855AE" w:rsidP="004855AE">
      <w:pPr>
        <w:pStyle w:val="NormalBold"/>
      </w:pPr>
      <w:r>
        <w:rPr>
          <w:rStyle w:val="HideTWBExt"/>
          <w:b w:val="0"/>
        </w:rPr>
        <w:t>&lt;RepeatBlock-By&gt;&lt;Members&gt;</w:t>
      </w:r>
      <w:r>
        <w:t>Паскал Канфен, Стефани Йон</w:t>
      </w:r>
      <w:r>
        <w:noBreakHyphen/>
        <w:t>Куртен, Жил Боайе</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6а.</w:t>
            </w:r>
            <w:r>
              <w:tab/>
            </w:r>
            <w:r>
              <w:rPr>
                <w:b/>
                <w:i/>
              </w:rPr>
              <w:t>призовава Комисията, като част от решенията за увеличаване на инвестициите в Европа, да създаде нов инструмент за частни инвестиции, за който рискът е намален от гаранция от бюджета на ЕС, за да се отключи финансиране за мащабна декарбонизация и конкурентоспособност в Европа; подчертава, че този инструмент ще набира частни средства от пенсии, застраховки и спестявания чрез облигации с инвестиционен клас, за които рискът е намален с публична гаранция от ЕС, и ще функционира чрез подфондове, покриващи капиталови инструменти на ранен етап, капиталови инструменти за растеж и гаранционни инструменти за финансиране на проекти.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251</w:t>
      </w:r>
      <w:r>
        <w:rPr>
          <w:rStyle w:val="HideTWBExt"/>
          <w:b w:val="0"/>
        </w:rPr>
        <w:t>&lt;/NumAm&gt;</w:t>
      </w:r>
    </w:p>
    <w:p w:rsidR="004855AE" w:rsidRPr="00C34506" w:rsidRDefault="004855AE" w:rsidP="004855AE">
      <w:pPr>
        <w:pStyle w:val="NormalBold"/>
      </w:pPr>
      <w:r>
        <w:rPr>
          <w:rStyle w:val="HideTWBExt"/>
          <w:b w:val="0"/>
        </w:rPr>
        <w:t>&lt;RepeatBlock-By&gt;&lt;Members&gt;</w:t>
      </w:r>
      <w:r>
        <w:t>Кинга Колар,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6а.</w:t>
            </w:r>
            <w:r>
              <w:tab/>
            </w:r>
            <w:r>
              <w:rPr>
                <w:b/>
                <w:i/>
              </w:rPr>
              <w:t>счита, че СКП ще подпомогне потребителите и МСП, като им предостави възможности за инвестиции с висока възвръщаемост в реалната икономика, и в крайна сметка ще стимулира пазара на рисков капитал чрез улесняване на достъпа до диверсифицирани източници на финансиране; смята, че финансирането на европейските разрастващи се предприятия с европейски капитал следва да бъде приоритет, както е видно от инициативата „Европейски технологични шампиони“ (ETCI), стартирана през февруари 2023 г. с цел финансиране на обещаващи европейски технологични дружества;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252</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6а.</w:t>
            </w:r>
            <w:r>
              <w:tab/>
            </w:r>
            <w:r>
              <w:rPr>
                <w:b/>
                <w:i/>
              </w:rPr>
              <w:t>посочва, че размерът, дълбочината и ликвидността на капиталовите пазари се различават значително в отделните държави членки, като някои държави членки са постигнали значително по-голям успех в осигуряването на привлекателни първични и вторични пазари за предприятията и в стимулирането на гражданите да инвестират в тези пазари; призовава Комисията да определи най-добрите практики и да ги интегрира в работния процес на съюза на европейските спестявания и инвестиции;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lastRenderedPageBreak/>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253</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6а.</w:t>
            </w:r>
            <w:r>
              <w:tab/>
            </w:r>
            <w:r>
              <w:rPr>
                <w:b/>
                <w:i/>
              </w:rPr>
              <w:t>настоятелно призовава Комисията да направи преоценка на настоящата регулаторна рамка на ДПФИ II/R, за да се намали сложността на търговската среда, да се повиши прозрачността на двустранната търговия и да се гарантират еднакви условия на конкуренция между многостранните и двустранните места на търговия, като в крайна сметка се насърчи по-голяма търговия на пазарите с публична видимост в полза на емитентите, инвеститорите, ефективното формиране на цените и устойчивостта на капиталовите пазари в ЕС;</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254</w:t>
      </w:r>
      <w:r>
        <w:rPr>
          <w:rStyle w:val="HideTWBExt"/>
          <w:b w:val="0"/>
        </w:rPr>
        <w:t>&lt;/NumAm&gt;</w:t>
      </w:r>
    </w:p>
    <w:p w:rsidR="004855AE" w:rsidRPr="00C34506" w:rsidRDefault="004855AE" w:rsidP="004855AE">
      <w:pPr>
        <w:pStyle w:val="NormalBold"/>
      </w:pPr>
      <w:r>
        <w:rPr>
          <w:rStyle w:val="HideTWBExt"/>
          <w:b w:val="0"/>
        </w:rPr>
        <w:t>&lt;RepeatBlock-By&gt;&lt;Members&gt;</w:t>
      </w:r>
      <w:r>
        <w:t>Ирене Тинали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6а.</w:t>
            </w:r>
            <w:r>
              <w:tab/>
            </w:r>
            <w:r>
              <w:rPr>
                <w:b/>
                <w:i/>
              </w:rPr>
              <w:t xml:space="preserve">подчертава, че недостигът на финансиране за иновации в Европейския съюз не може да бъде преодолян единствено чрез регулаторна хармонизация или подобрения във финансовия надзор; посочва, че капиталът продължава да се насочва към пазари извън Съюза, които често имат още по-високи </w:t>
            </w:r>
            <w:r>
              <w:rPr>
                <w:b/>
                <w:i/>
              </w:rPr>
              <w:lastRenderedPageBreak/>
              <w:t>разходи, което предполага по-задълбочени структурни проблеми в рамките на инвестиционната екосистема на ЕС, на които трябва да се обърне внимание;</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255</w:t>
      </w:r>
      <w:r>
        <w:rPr>
          <w:rStyle w:val="HideTWBExt"/>
          <w:b w:val="0"/>
        </w:rPr>
        <w:t>&lt;/NumAm&gt;</w:t>
      </w:r>
    </w:p>
    <w:p w:rsidR="004855AE" w:rsidRPr="00C34506" w:rsidRDefault="004855AE" w:rsidP="004855AE">
      <w:pPr>
        <w:pStyle w:val="NormalBold"/>
      </w:pPr>
      <w:r>
        <w:rPr>
          <w:rStyle w:val="HideTWBExt"/>
          <w:b w:val="0"/>
        </w:rPr>
        <w:t>&lt;RepeatBlock-By&gt;&lt;Members&gt;</w:t>
      </w:r>
      <w:r>
        <w:t>Анук Ван Брюг, Били Келъхър, Енгин Ероглу, Стефани Йон</w:t>
      </w:r>
      <w:r>
        <w:noBreakHyphen/>
        <w:t>Куртен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6а.</w:t>
            </w:r>
            <w:r>
              <w:tab/>
            </w:r>
            <w:r>
              <w:rPr>
                <w:b/>
                <w:i/>
              </w:rPr>
              <w:t>счита, че частният капитал ще бъде от основно значение за преодоляване на недостига на инвестиции, установен от Драги, по най-ефективния начин; призовава Комисията да представи амбициозни и съдържателни предложения за пълно интегриране на европейските капиталови пазари и за премахване на вътрешните пречки пред свободното движение на капитали в целия ЕС;</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256</w:t>
      </w:r>
      <w:r>
        <w:rPr>
          <w:rStyle w:val="HideTWBExt"/>
          <w:b w:val="0"/>
        </w:rPr>
        <w:t>&lt;/NumAm&gt;</w:t>
      </w:r>
    </w:p>
    <w:p w:rsidR="004855AE" w:rsidRPr="00C34506" w:rsidRDefault="004855AE" w:rsidP="004855AE">
      <w:pPr>
        <w:pStyle w:val="NormalBold"/>
      </w:pPr>
      <w:r>
        <w:rPr>
          <w:rStyle w:val="HideTWBExt"/>
          <w:b w:val="0"/>
        </w:rPr>
        <w:t>&lt;RepeatBlock-By&gt;&lt;Members&gt;</w:t>
      </w:r>
      <w:r>
        <w:t>Реджина Дохърти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6а.</w:t>
            </w:r>
            <w:r>
              <w:tab/>
            </w:r>
            <w:r>
              <w:rPr>
                <w:b/>
                <w:i/>
              </w:rPr>
              <w:t xml:space="preserve">подчертава значението на подобряването на достъпа до актуална информация за ценообразуването и за продуктите за инвеститорите на дребно, както и на възможностите за индивидуално изготвени предложения; призовава за </w:t>
            </w:r>
            <w:r>
              <w:rPr>
                <w:b/>
                <w:i/>
              </w:rPr>
              <w:lastRenderedPageBreak/>
              <w:t>мерки, които да направят тази информация по-лесно достъпна; подчертава значението на финансовата грамотност и призовава за конкретни действия за нейното подобряване;</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257</w:t>
      </w:r>
      <w:r>
        <w:rPr>
          <w:rStyle w:val="HideTWBExt"/>
          <w:b w:val="0"/>
        </w:rPr>
        <w:t>&lt;/NumAm&gt;</w:t>
      </w:r>
    </w:p>
    <w:p w:rsidR="004855AE" w:rsidRPr="00C34506" w:rsidRDefault="004855AE" w:rsidP="004855AE">
      <w:pPr>
        <w:pStyle w:val="NormalBold"/>
      </w:pPr>
      <w:r>
        <w:rPr>
          <w:rStyle w:val="HideTWBExt"/>
          <w:b w:val="0"/>
        </w:rPr>
        <w:t>&lt;RepeatBlock-By&gt;&lt;Members&gt;</w:t>
      </w:r>
      <w:r>
        <w:t>Ралф Зеекац</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6а.</w:t>
            </w:r>
            <w:r>
              <w:tab/>
            </w:r>
            <w:r>
              <w:rPr>
                <w:b/>
                <w:i/>
              </w:rPr>
              <w:t>приветства намерението в съобщението на Комисията относно съюза на спестяванията и инвестициите да се стимулират пазарите на секюритизации чрез законодателно предложение за адаптиране на пруденциалните правила за банките и застрахователите, като се има предвид, че капитализацията на банките в ЕС вече е достатъчна и ще стане по-висока с долната граница на изчисленото капиталово изискване съгласно РКИ.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258</w:t>
      </w:r>
      <w:r>
        <w:rPr>
          <w:rStyle w:val="HideTWBExt"/>
          <w:b w:val="0"/>
        </w:rPr>
        <w:t>&lt;/NumAm&gt;</w:t>
      </w:r>
    </w:p>
    <w:p w:rsidR="004855AE" w:rsidRPr="00C34506" w:rsidRDefault="004855AE" w:rsidP="004855AE">
      <w:pPr>
        <w:pStyle w:val="NormalBold"/>
      </w:pPr>
      <w:r>
        <w:rPr>
          <w:rStyle w:val="HideTWBExt"/>
          <w:b w:val="0"/>
        </w:rPr>
        <w:t>&lt;RepeatBlock-By&gt;&lt;Members&gt;</w:t>
      </w:r>
      <w:r>
        <w:t>Еникьо Дьори, Пиер Пемпи, Хорхе Мартин Фриас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6а.</w:t>
            </w:r>
            <w:r>
              <w:tab/>
            </w:r>
            <w:r>
              <w:rPr>
                <w:b/>
                <w:i/>
              </w:rPr>
              <w:t xml:space="preserve">във връзка с това подчертава, че такъв интегриран капиталов пазар трябва да предоставя равни </w:t>
            </w:r>
            <w:r>
              <w:rPr>
                <w:b/>
                <w:i/>
              </w:rPr>
              <w:lastRenderedPageBreak/>
              <w:t>възможности на всички държави членки, независимо от техния размер и от развитието на техните капиталови пазари;</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259</w:t>
      </w:r>
      <w:r>
        <w:rPr>
          <w:rStyle w:val="HideTWBExt"/>
          <w:b w:val="0"/>
        </w:rPr>
        <w:t>&lt;/NumAm&gt;</w:t>
      </w:r>
    </w:p>
    <w:p w:rsidR="004855AE" w:rsidRPr="00C34506" w:rsidRDefault="004855AE" w:rsidP="004855AE">
      <w:pPr>
        <w:pStyle w:val="NormalBold"/>
      </w:pPr>
      <w:r>
        <w:rPr>
          <w:rStyle w:val="HideTWBExt"/>
          <w:b w:val="0"/>
        </w:rPr>
        <w:t>&lt;RepeatBlock-By&gt;&lt;Members&gt;</w:t>
      </w:r>
      <w:r>
        <w:t>Ралф Зеекац</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 б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6б.</w:t>
            </w:r>
            <w:r>
              <w:tab/>
            </w:r>
            <w:r>
              <w:rPr>
                <w:b/>
                <w:i/>
              </w:rPr>
              <w:t>призовава за въвеждането на общоевропейска група от индекси, за да се повиши видимостта, съпоставимостта и прозрачността на дружествата, регистрирани на фондовата борса в рамките на ЕС, като същевременно се укрепи целостта на пазара; тази група индекси следва да се основава на консолидираната система за борсова информация (CT), да обхваща всички публично регистрирани акции в ЕС и да позволява подиндекси за отделните държави, региони и сектори, за да се отговори на различните нужди на инвеститорите, емитентите и техните борси; разработването и управлението на индексите, както и тяхното използване от участниците на пазара, трябва да бъдат икономически ефективни, за да се сведе до минимум тежестта на участниците на пазара и да се увеличат максимално положителните вторични ефекти, като например увеличаване на регистрираните акции и нови финансови продукти;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lastRenderedPageBreak/>
        <w:t>&lt;Amend&gt;</w:t>
      </w:r>
      <w:r>
        <w:t>Изменение</w:t>
      </w:r>
      <w:r>
        <w:tab/>
      </w:r>
      <w:r>
        <w:tab/>
      </w:r>
      <w:r>
        <w:rPr>
          <w:rStyle w:val="HideTWBExt"/>
          <w:b w:val="0"/>
        </w:rPr>
        <w:t>&lt;NumAm&gt;</w:t>
      </w:r>
      <w:r>
        <w:t>260</w:t>
      </w:r>
      <w:r>
        <w:rPr>
          <w:rStyle w:val="HideTWBExt"/>
          <w:b w:val="0"/>
        </w:rPr>
        <w:t>&lt;/NumAm&gt;</w:t>
      </w:r>
    </w:p>
    <w:p w:rsidR="004855AE" w:rsidRPr="00C34506" w:rsidRDefault="004855AE" w:rsidP="004855AE">
      <w:pPr>
        <w:pStyle w:val="NormalBold"/>
      </w:pPr>
      <w:r>
        <w:rPr>
          <w:rStyle w:val="HideTWBExt"/>
          <w:b w:val="0"/>
        </w:rPr>
        <w:t>&lt;RepeatBlock-By&gt;&lt;Members&gt;</w:t>
      </w:r>
      <w:r>
        <w:t>Ирене Тинали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 б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6б.</w:t>
            </w:r>
            <w:r>
              <w:tab/>
            </w:r>
            <w:r>
              <w:rPr>
                <w:b/>
                <w:i/>
              </w:rPr>
              <w:t>подчертава, че основното предизвикателство се крие не само в предлагането на инвестиционен капитал, но и в ограничения капацитет на европейската икономика да използва такъв капитал за високорискови иновации с висока възвръщаемост; това отразява комбинация от макроикономически политики, които не са ориентирана към дългосрочен растеж, както и към единен пазар, особено в сферата на услугите, която остава фрагментирана и няма стратегическа насока;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261</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 б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6б.</w:t>
            </w:r>
            <w:r>
              <w:tab/>
            </w:r>
            <w:r>
              <w:rPr>
                <w:b/>
                <w:i/>
              </w:rPr>
              <w:t xml:space="preserve">посочва, че ликвидността, дълбочината, прозрачността и ефективното ценообразуване са ключови характеристики на конкурентните финансови пазари; отбелязва, че търговската среда на ЕС продължава да бъде разпокъсана, включително по отношение на различните видове места за търговия; призовава Европейската комисия да укрепи многостранните места за търговия и да гарантира еднакви условия на конкуренция с </w:t>
            </w:r>
            <w:r>
              <w:rPr>
                <w:b/>
                <w:i/>
              </w:rPr>
              <w:lastRenderedPageBreak/>
              <w:t>двустранните места за търговия;</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262</w:t>
      </w:r>
      <w:r>
        <w:rPr>
          <w:rStyle w:val="HideTWBExt"/>
          <w:b w:val="0"/>
        </w:rPr>
        <w:t>&lt;/NumAm&gt;</w:t>
      </w:r>
    </w:p>
    <w:p w:rsidR="004855AE" w:rsidRPr="00C34506" w:rsidRDefault="004855AE" w:rsidP="004855AE">
      <w:pPr>
        <w:pStyle w:val="NormalBold"/>
      </w:pPr>
      <w:r>
        <w:rPr>
          <w:rStyle w:val="HideTWBExt"/>
          <w:b w:val="0"/>
        </w:rPr>
        <w:t>&lt;RepeatBlock-By&gt;&lt;Members&gt;</w:t>
      </w:r>
      <w:r>
        <w:t>Кинга Колар,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 б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6б.</w:t>
            </w:r>
            <w:r>
              <w:tab/>
            </w:r>
            <w:r>
              <w:rPr>
                <w:b/>
                <w:i/>
              </w:rPr>
              <w:t>настоятелно призовава за по-ясен акцент върху финансовата грамотност, тъй като равнището на разбиране от страна на гражданите на ЕС за съответните инвестиционни продукти следва да бъде подобрено; счита, че повишаването на финансовата осведоменост и доверие е от съществено значение за създаването на успешен СКП и за мобилизирането на частни инвестиции;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263</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Евелин Регнер, Нилс Фулсанг, Клер Фита, Карла Тавареш,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 б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6б.</w:t>
            </w:r>
            <w:r>
              <w:tab/>
            </w:r>
            <w:r>
              <w:rPr>
                <w:b/>
                <w:i/>
              </w:rPr>
              <w:t xml:space="preserve">припомня, че СКП е средство за постигане на целите на Съюза, а не самоцел; призовава Комисията да вземе предвид значението на икономическите възможности в своите предложения, насочени към съживяване на европейския </w:t>
            </w:r>
            <w:r>
              <w:rPr>
                <w:b/>
                <w:i/>
              </w:rPr>
              <w:lastRenderedPageBreak/>
              <w:t>производствен апарат;</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264</w:t>
      </w:r>
      <w:r>
        <w:rPr>
          <w:rStyle w:val="HideTWBExt"/>
          <w:b w:val="0"/>
        </w:rPr>
        <w:t>&lt;/NumAm&gt;</w:t>
      </w:r>
    </w:p>
    <w:p w:rsidR="004855AE" w:rsidRPr="00C34506" w:rsidRDefault="004855AE" w:rsidP="004855AE">
      <w:pPr>
        <w:pStyle w:val="NormalBold"/>
      </w:pPr>
      <w:r>
        <w:rPr>
          <w:rStyle w:val="HideTWBExt"/>
          <w:b w:val="0"/>
        </w:rPr>
        <w:t>&lt;RepeatBlock-By&gt;&lt;Members&gt;</w:t>
      </w:r>
      <w:r>
        <w:t>Ирене Тинали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6 в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6в.</w:t>
            </w:r>
            <w:r>
              <w:tab/>
            </w:r>
            <w:r>
              <w:rPr>
                <w:b/>
                <w:i/>
              </w:rPr>
              <w:t>призовава за обновена европейска промишлена стратегия, която съчетава регулаторна хармонизация с активни политики по отношение на търсенето, като дава възможност на предприятията да се разрастват, да въвеждат иновации и да се конкурират в световен мащаб в областта на нововъзникващите технологии, като същевременно се запазва ангажиментът на Съюза за лоялна конкуренция и социална и екологична устойчивост;</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265</w:t>
      </w:r>
      <w:r>
        <w:rPr>
          <w:rStyle w:val="HideTWBExt"/>
          <w:b w:val="0"/>
        </w:rPr>
        <w:t>&lt;/NumAm&gt;</w:t>
      </w:r>
    </w:p>
    <w:p w:rsidR="004855AE" w:rsidRPr="00C34506" w:rsidRDefault="004855AE" w:rsidP="004855AE">
      <w:pPr>
        <w:pStyle w:val="NormalBold"/>
      </w:pPr>
      <w:r>
        <w:rPr>
          <w:rStyle w:val="HideTWBExt"/>
          <w:b w:val="0"/>
        </w:rPr>
        <w:t>&lt;RepeatBlock-By&gt;&lt;Members&gt;</w:t>
      </w:r>
      <w:r>
        <w:t>Еникьо Дьори, Пиер Пемпи, Хорхе Мартин Фриас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rPr>
                <w:b/>
                <w:i/>
              </w:rPr>
              <w:t>7.</w:t>
            </w:r>
            <w:r>
              <w:tab/>
            </w:r>
            <w:r>
              <w:rPr>
                <w:b/>
                <w:i/>
              </w:rPr>
              <w:t>подкрепя интегрирането на институционалните рамки и пазарните структури; отново отправя своето искане да се предоставят на ЕОЦКП преки надзорни правомощия по отношение на паневропейските пазарни инфраструктури;</w:t>
            </w:r>
          </w:p>
        </w:tc>
        <w:tc>
          <w:tcPr>
            <w:tcW w:w="4876" w:type="dxa"/>
            <w:tcBorders>
              <w:top w:val="nil"/>
              <w:left w:val="nil"/>
              <w:bottom w:val="nil"/>
              <w:right w:val="nil"/>
            </w:tcBorders>
          </w:tcPr>
          <w:p w:rsidR="004855AE" w:rsidRPr="00C34506" w:rsidRDefault="004855AE" w:rsidP="00061FA7">
            <w:pPr>
              <w:pStyle w:val="Normal6a"/>
            </w:pPr>
            <w:r>
              <w:rPr>
                <w:b/>
                <w:i/>
              </w:rPr>
              <w:t>заличава се</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266</w:t>
      </w:r>
      <w:r>
        <w:rPr>
          <w:rStyle w:val="HideTWBExt"/>
          <w:b w:val="0"/>
        </w:rPr>
        <w:t>&lt;/NumAm&gt;</w:t>
      </w:r>
    </w:p>
    <w:p w:rsidR="004855AE" w:rsidRPr="00C34506" w:rsidRDefault="004855AE" w:rsidP="004855AE">
      <w:pPr>
        <w:pStyle w:val="NormalBold"/>
      </w:pPr>
      <w:r>
        <w:rPr>
          <w:rStyle w:val="HideTWBExt"/>
          <w:b w:val="0"/>
        </w:rPr>
        <w:t>&lt;RepeatBlock-By&gt;&lt;Members&gt;</w:t>
      </w:r>
      <w:r>
        <w:t>Ауке Зейлстра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rPr>
                <w:b/>
                <w:i/>
              </w:rPr>
              <w:t>7.</w:t>
            </w:r>
            <w:r>
              <w:tab/>
            </w:r>
            <w:r>
              <w:rPr>
                <w:b/>
                <w:i/>
              </w:rPr>
              <w:t>подкрепя интегрирането на институционалните рамки и пазарните структури; отново отправя своето искане да се предоставят на ЕОЦКП преки надзорни правомощия по отношение на паневропейските пазарни инфраструктури;</w:t>
            </w:r>
          </w:p>
        </w:tc>
        <w:tc>
          <w:tcPr>
            <w:tcW w:w="4876" w:type="dxa"/>
            <w:tcBorders>
              <w:top w:val="nil"/>
              <w:left w:val="nil"/>
              <w:bottom w:val="nil"/>
              <w:right w:val="nil"/>
            </w:tcBorders>
          </w:tcPr>
          <w:p w:rsidR="004855AE" w:rsidRPr="00C34506" w:rsidRDefault="004855AE" w:rsidP="00061FA7">
            <w:pPr>
              <w:pStyle w:val="Normal6a"/>
            </w:pPr>
            <w:r>
              <w:rPr>
                <w:b/>
                <w:i/>
              </w:rPr>
              <w:t>заличава се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267</w:t>
      </w:r>
      <w:r>
        <w:rPr>
          <w:rStyle w:val="HideTWBExt"/>
          <w:b w:val="0"/>
        </w:rPr>
        <w:t>&lt;/NumAm&gt;</w:t>
      </w:r>
    </w:p>
    <w:p w:rsidR="004855AE" w:rsidRPr="00C34506" w:rsidRDefault="004855AE" w:rsidP="004855AE">
      <w:pPr>
        <w:pStyle w:val="NormalBold"/>
      </w:pPr>
      <w:r>
        <w:rPr>
          <w:rStyle w:val="HideTWBExt"/>
          <w:b w:val="0"/>
        </w:rPr>
        <w:t>&lt;RepeatBlock-By&gt;&lt;Members&gt;</w:t>
      </w:r>
      <w:r>
        <w:t>Фернан Картайзер, Кристофер Сторм, Нора Хунко Гарсия, Диего Солиер, Геадис Геади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rPr>
                <w:b/>
                <w:i/>
              </w:rPr>
              <w:t>7.</w:t>
            </w:r>
            <w:r>
              <w:tab/>
            </w:r>
            <w:r>
              <w:rPr>
                <w:b/>
                <w:i/>
              </w:rPr>
              <w:t>подкрепя интегрирането на институционалните рамки и пазарните структури; отново отправя своето искане да се предоставят на ЕОЦКП преки надзорни правомощия по отношение на паневропейските пазарни инфраструктури;</w:t>
            </w:r>
          </w:p>
        </w:tc>
        <w:tc>
          <w:tcPr>
            <w:tcW w:w="4876" w:type="dxa"/>
            <w:tcBorders>
              <w:top w:val="nil"/>
              <w:left w:val="nil"/>
              <w:bottom w:val="nil"/>
              <w:right w:val="nil"/>
            </w:tcBorders>
          </w:tcPr>
          <w:p w:rsidR="004855AE" w:rsidRPr="00C34506" w:rsidRDefault="004855AE" w:rsidP="00061FA7">
            <w:pPr>
              <w:pStyle w:val="Normal6a"/>
            </w:pPr>
            <w:r>
              <w:rPr>
                <w:b/>
                <w:i/>
              </w:rPr>
              <w:t>заличава се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268</w:t>
      </w:r>
      <w:r>
        <w:rPr>
          <w:rStyle w:val="HideTWBExt"/>
          <w:b w:val="0"/>
        </w:rPr>
        <w:t>&lt;/NumAm&gt;</w:t>
      </w:r>
    </w:p>
    <w:p w:rsidR="004855AE" w:rsidRPr="00C34506" w:rsidRDefault="004855AE" w:rsidP="004855AE">
      <w:pPr>
        <w:pStyle w:val="NormalBold"/>
      </w:pPr>
      <w:r>
        <w:rPr>
          <w:rStyle w:val="HideTWBExt"/>
          <w:b w:val="0"/>
        </w:rPr>
        <w:t>&lt;RepeatBlock-By&gt;&lt;Members&gt;</w:t>
      </w:r>
      <w:r>
        <w:t>Пиер Пемпи</w:t>
      </w:r>
      <w:r>
        <w:rPr>
          <w:rStyle w:val="HideTWBExt"/>
          <w:b w:val="0"/>
        </w:rPr>
        <w:t>&lt;/Members&gt;</w:t>
      </w:r>
    </w:p>
    <w:p w:rsidR="004855AE" w:rsidRPr="00C34506" w:rsidRDefault="004855AE" w:rsidP="004855AE">
      <w:pPr>
        <w:pStyle w:val="NormalBold"/>
      </w:pPr>
      <w:r>
        <w:rPr>
          <w:rStyle w:val="HideTWBExt"/>
          <w:b w:val="0"/>
        </w:rPr>
        <w:lastRenderedPageBreak/>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7.</w:t>
            </w:r>
            <w:r>
              <w:tab/>
              <w:t xml:space="preserve">подкрепя </w:t>
            </w:r>
            <w:r>
              <w:rPr>
                <w:b/>
                <w:i/>
              </w:rPr>
              <w:t>интегрирането на институционалните рамки и пазарните структури; отново отправя своето искане да се предоставят на ЕОЦКП преки</w:t>
            </w:r>
            <w:r>
              <w:t xml:space="preserve"> надзорни </w:t>
            </w:r>
            <w:r>
              <w:rPr>
                <w:b/>
                <w:i/>
              </w:rPr>
              <w:t>правомощия</w:t>
            </w:r>
            <w:r>
              <w:t xml:space="preserve"> по отношение на паневропейските пазарни инфраструктури</w:t>
            </w:r>
            <w:r>
              <w:rPr>
                <w:b/>
                <w:i/>
              </w:rPr>
              <w:t>;</w:t>
            </w:r>
          </w:p>
        </w:tc>
        <w:tc>
          <w:tcPr>
            <w:tcW w:w="4876" w:type="dxa"/>
            <w:tcBorders>
              <w:top w:val="nil"/>
              <w:left w:val="nil"/>
              <w:bottom w:val="nil"/>
              <w:right w:val="nil"/>
            </w:tcBorders>
          </w:tcPr>
          <w:p w:rsidR="004855AE" w:rsidRPr="00C34506" w:rsidRDefault="004855AE" w:rsidP="00061FA7">
            <w:pPr>
              <w:pStyle w:val="Normal6a"/>
            </w:pPr>
            <w:r>
              <w:t>7.</w:t>
            </w:r>
            <w:r>
              <w:tab/>
              <w:t xml:space="preserve">подкрепя </w:t>
            </w:r>
            <w:r>
              <w:rPr>
                <w:b/>
                <w:i/>
              </w:rPr>
              <w:t>усилията за подобряване на ефективността на финансовите пазари чрез засилено сътрудничество между държавите членки и подчертава, че всяко развитие на</w:t>
            </w:r>
            <w:r>
              <w:t xml:space="preserve"> надзорните </w:t>
            </w:r>
            <w:r>
              <w:rPr>
                <w:b/>
                <w:i/>
              </w:rPr>
              <w:t>отговорности</w:t>
            </w:r>
            <w:r>
              <w:t xml:space="preserve"> по отношение на паневропейските пазарни инфраструктури </w:t>
            </w:r>
            <w:r>
              <w:rPr>
                <w:b/>
                <w:i/>
              </w:rPr>
              <w:t>следва изцяло да зачита</w:t>
            </w:r>
            <w:r>
              <w:t xml:space="preserve"> </w:t>
            </w:r>
            <w:r>
              <w:rPr>
                <w:b/>
                <w:i/>
              </w:rPr>
              <w:t>принципа на субсидиарност.</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269</w:t>
      </w:r>
      <w:r>
        <w:rPr>
          <w:rStyle w:val="HideTWBExt"/>
          <w:b w:val="0"/>
        </w:rPr>
        <w:t>&lt;/NumAm&gt;</w:t>
      </w:r>
    </w:p>
    <w:p w:rsidR="004855AE" w:rsidRPr="00C34506" w:rsidRDefault="004855AE" w:rsidP="004855AE">
      <w:pPr>
        <w:pStyle w:val="NormalBold"/>
      </w:pPr>
      <w:r>
        <w:rPr>
          <w:rStyle w:val="HideTWBExt"/>
          <w:b w:val="0"/>
        </w:rPr>
        <w:t>&lt;RepeatBlock-By&gt;&lt;Members&gt;</w:t>
      </w:r>
      <w:r>
        <w:t>Йохан Ван Овертвелд</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7.</w:t>
            </w:r>
            <w:r>
              <w:tab/>
              <w:t xml:space="preserve">подкрепя интегрирането на институционалните рамки и пазарните структури; </w:t>
            </w:r>
            <w:r>
              <w:rPr>
                <w:b/>
                <w:i/>
              </w:rPr>
              <w:t>отново отправя своето искане да се предоставят на ЕОЦКП преки надзорни правомощия по отношение на паневропейските пазарни инфраструктури;</w:t>
            </w:r>
          </w:p>
        </w:tc>
        <w:tc>
          <w:tcPr>
            <w:tcW w:w="4876" w:type="dxa"/>
            <w:tcBorders>
              <w:top w:val="nil"/>
              <w:left w:val="nil"/>
              <w:bottom w:val="nil"/>
              <w:right w:val="nil"/>
            </w:tcBorders>
          </w:tcPr>
          <w:p w:rsidR="004855AE" w:rsidRPr="00C34506" w:rsidRDefault="004855AE" w:rsidP="00061FA7">
            <w:pPr>
              <w:pStyle w:val="Normal6a"/>
            </w:pPr>
            <w:r>
              <w:t>7.</w:t>
            </w:r>
            <w:r>
              <w:tab/>
              <w:t>подкрепя интегрирането на институционалните рамки и пазарните структури; </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270</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lastRenderedPageBreak/>
              <w:t>7.</w:t>
            </w:r>
            <w:r>
              <w:tab/>
              <w:t>подкрепя интегрирането на институционалните рамки и пазарните структури</w:t>
            </w:r>
            <w:r>
              <w:rPr>
                <w:b/>
                <w:i/>
              </w:rPr>
              <w:t>; отново отправя своето искане да се предоставят на</w:t>
            </w:r>
            <w:r>
              <w:t xml:space="preserve"> ЕОЦКП преки надзорни правомощия </w:t>
            </w:r>
            <w:r>
              <w:rPr>
                <w:b/>
                <w:i/>
              </w:rPr>
              <w:t>по отношение на паневропейските пазарни инфраструктури</w:t>
            </w:r>
            <w:r>
              <w:t>;</w:t>
            </w:r>
          </w:p>
        </w:tc>
        <w:tc>
          <w:tcPr>
            <w:tcW w:w="4876" w:type="dxa"/>
            <w:tcBorders>
              <w:top w:val="nil"/>
              <w:left w:val="nil"/>
              <w:bottom w:val="nil"/>
              <w:right w:val="nil"/>
            </w:tcBorders>
          </w:tcPr>
          <w:p w:rsidR="004855AE" w:rsidRPr="00C34506" w:rsidRDefault="004855AE" w:rsidP="00061FA7">
            <w:pPr>
              <w:pStyle w:val="Normal6a"/>
            </w:pPr>
            <w:r>
              <w:t>7.</w:t>
            </w:r>
            <w:r>
              <w:tab/>
              <w:t>подкрепя интегрирането на институционалните рамки и пазарните структури</w:t>
            </w:r>
            <w:r>
              <w:rPr>
                <w:b/>
                <w:i/>
              </w:rPr>
              <w:t>, където има сериозни основания за европейска добавена стойност; приканва Европейската комисия да проучи къде</w:t>
            </w:r>
            <w:r>
              <w:t xml:space="preserve"> преките надзорни правомощия на ЕОЦКП </w:t>
            </w:r>
            <w:r>
              <w:rPr>
                <w:b/>
                <w:i/>
              </w:rPr>
              <w:t>биха могли да осигурят такава добавена стойност на европейско равнище;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271</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7.</w:t>
            </w:r>
            <w:r>
              <w:tab/>
            </w:r>
            <w:r>
              <w:rPr>
                <w:b/>
                <w:i/>
              </w:rPr>
              <w:t>подкрепя</w:t>
            </w:r>
            <w:r>
              <w:t xml:space="preserve"> интегрирането на </w:t>
            </w:r>
            <w:r>
              <w:rPr>
                <w:b/>
                <w:i/>
              </w:rPr>
              <w:t>институционалните рамки и пазарните структури;</w:t>
            </w:r>
            <w:r>
              <w:t xml:space="preserve"> отново отправя своето искане да се предоставят на ЕОЦКП преки надзорни правомощия по отношение на паневропейските пазарни инфраструктури;</w:t>
            </w:r>
          </w:p>
        </w:tc>
        <w:tc>
          <w:tcPr>
            <w:tcW w:w="4876" w:type="dxa"/>
            <w:tcBorders>
              <w:top w:val="nil"/>
              <w:left w:val="nil"/>
              <w:bottom w:val="nil"/>
              <w:right w:val="nil"/>
            </w:tcBorders>
          </w:tcPr>
          <w:p w:rsidR="004855AE" w:rsidRPr="00C34506" w:rsidRDefault="004855AE" w:rsidP="00061FA7">
            <w:pPr>
              <w:pStyle w:val="Normal6a"/>
            </w:pPr>
            <w:r>
              <w:t>7.</w:t>
            </w:r>
            <w:r>
              <w:tab/>
            </w:r>
            <w:r>
              <w:rPr>
                <w:b/>
                <w:i/>
              </w:rPr>
              <w:t>припомня, че ЕОЦКП вече има преки надзорни правомощия по отношение на няколко финансови субекта, като например агенции за кредитен рейтинг, регистри на трансакции или централни контрагенти от ниво 2, намиращи се извън ЕС; счита, че една по–европеизирана надзорна рамка би допринесла значително за</w:t>
            </w:r>
            <w:r>
              <w:t xml:space="preserve"> интеграцията </w:t>
            </w:r>
            <w:r>
              <w:rPr>
                <w:b/>
                <w:i/>
              </w:rPr>
              <w:t>и задълбочаването на капиталовите пазари в ЕС; счита, че за постигането на тази цел може да се следва поетапен подход</w:t>
            </w:r>
            <w:r>
              <w:t xml:space="preserve">; отново отправя своето искане </w:t>
            </w:r>
            <w:r>
              <w:rPr>
                <w:b/>
                <w:i/>
              </w:rPr>
              <w:t>първо</w:t>
            </w:r>
            <w:r>
              <w:t xml:space="preserve"> да се предоставят на ЕОЦКП преки надзорни правомощия по отношение на паневропейските пазарни инфраструктури; </w:t>
            </w:r>
            <w:r>
              <w:rPr>
                <w:b/>
                <w:i/>
              </w:rPr>
              <w:t xml:space="preserve">предлага ЕОЦКП да се превърне и в централен център за данни, централизиращ докладването на субектите, които подлежат на изискванията за докладване съгласно РПФИ и Регламента за европейската пазарна инфраструктура; приканва Комисията да проучи условията, при които на втори етап ЕОЦКП би </w:t>
            </w:r>
            <w:r>
              <w:rPr>
                <w:b/>
                <w:i/>
              </w:rPr>
              <w:lastRenderedPageBreak/>
              <w:t>могъл да получи допълнителни надзорни отговорности по отношение на допълнителни субекти, като например места за търговия, инвестиционни фондове или големи управители на активи;</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272</w:t>
      </w:r>
      <w:r>
        <w:rPr>
          <w:rStyle w:val="HideTWBExt"/>
          <w:b w:val="0"/>
        </w:rPr>
        <w:t>&lt;/NumAm&gt;</w:t>
      </w:r>
    </w:p>
    <w:p w:rsidR="004855AE" w:rsidRPr="00C34506" w:rsidRDefault="004855AE" w:rsidP="004855AE">
      <w:pPr>
        <w:pStyle w:val="NormalBold"/>
      </w:pPr>
      <w:r>
        <w:rPr>
          <w:rStyle w:val="HideTWBExt"/>
          <w:b w:val="0"/>
        </w:rPr>
        <w:t>&lt;RepeatBlock-By&gt;&lt;Members&gt;</w:t>
      </w:r>
      <w:r>
        <w:t>Реджина Дохърти, Мартин Кемп, Михалис Хаджипандела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7.</w:t>
            </w:r>
            <w:r>
              <w:tab/>
              <w:t xml:space="preserve">Подкрепя </w:t>
            </w:r>
            <w:r>
              <w:rPr>
                <w:b/>
                <w:i/>
              </w:rPr>
              <w:t>интегрирането на институционалните рамки и пазарните структури; отново отправя своето искане да се предоставят на ЕОЦКП преки</w:t>
            </w:r>
            <w:r>
              <w:t xml:space="preserve"> надзорни правомощия </w:t>
            </w:r>
            <w:r>
              <w:rPr>
                <w:b/>
                <w:i/>
              </w:rPr>
              <w:t>по отношение на паневропейските пазарни инфраструктури;</w:t>
            </w:r>
          </w:p>
        </w:tc>
        <w:tc>
          <w:tcPr>
            <w:tcW w:w="4876" w:type="dxa"/>
            <w:tcBorders>
              <w:top w:val="nil"/>
              <w:left w:val="nil"/>
              <w:bottom w:val="nil"/>
              <w:right w:val="nil"/>
            </w:tcBorders>
          </w:tcPr>
          <w:p w:rsidR="004855AE" w:rsidRPr="00C34506" w:rsidRDefault="004855AE" w:rsidP="00061FA7">
            <w:pPr>
              <w:pStyle w:val="Normal6a"/>
            </w:pPr>
            <w:r>
              <w:t>7.</w:t>
            </w:r>
            <w:r>
              <w:tab/>
              <w:t xml:space="preserve">подкрепя </w:t>
            </w:r>
            <w:r>
              <w:rPr>
                <w:b/>
                <w:i/>
              </w:rPr>
              <w:t>засиленото сътрудничество между ЕОЦКП и националните надзорни органи въз основа на равнопоставеност, като подчертава значението на справедливото и балансирано разпределение на</w:t>
            </w:r>
            <w:r>
              <w:t xml:space="preserve"> надзорните правомощия, </w:t>
            </w:r>
            <w:r>
              <w:rPr>
                <w:b/>
                <w:i/>
              </w:rPr>
              <w:t>което зачита националните особености и принципа на субсидиарност</w:t>
            </w:r>
            <w:r>
              <w:t xml:space="preserve">; </w:t>
            </w:r>
            <w:r>
              <w:rPr>
                <w:b/>
                <w:i/>
              </w:rPr>
              <w:t xml:space="preserve">подчертава решаващата роля на националните надзорни органи, включително стойността на техните съществуващи институционални познания, както и съществуващия им капацитет и експертен опит в областта на надзора, което ги прави най-добре подготвени да разбират местния контекст; подчертава, че засиленото сближаване на надзорните практики може да бъде постигнато най-добре чрез засилено сътрудничество въз основа на равенство и общи цели, което би улеснило обмена на най-добри практики, би намалило свръхрегулирането и би използвало оптимално съществуващите ресурси; призовава за предложение за напредък в това засилено сътрудничество </w:t>
            </w:r>
            <w:r>
              <w:rPr>
                <w:b/>
                <w:i/>
              </w:rPr>
              <w:lastRenderedPageBreak/>
              <w:t>между националните надзорни органи и ЕОЦКП;</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273</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7.</w:t>
            </w:r>
            <w:r>
              <w:tab/>
              <w:t xml:space="preserve">подкрепя интегрирането на институционалните рамки и пазарните структури; </w:t>
            </w:r>
            <w:r>
              <w:rPr>
                <w:b/>
                <w:i/>
              </w:rPr>
              <w:t>отново отправя своето искане да се предоставят на ЕОЦКП преки</w:t>
            </w:r>
            <w:r>
              <w:t xml:space="preserve"> надзорни </w:t>
            </w:r>
            <w:r>
              <w:rPr>
                <w:b/>
                <w:i/>
              </w:rPr>
              <w:t>правомощия по отношение на паневропейските</w:t>
            </w:r>
            <w:r>
              <w:t xml:space="preserve"> пазарни </w:t>
            </w:r>
            <w:r>
              <w:rPr>
                <w:b/>
                <w:i/>
              </w:rPr>
              <w:t>инфраструктури</w:t>
            </w:r>
            <w:r>
              <w:t>;</w:t>
            </w:r>
          </w:p>
        </w:tc>
        <w:tc>
          <w:tcPr>
            <w:tcW w:w="4876" w:type="dxa"/>
            <w:tcBorders>
              <w:top w:val="nil"/>
              <w:left w:val="nil"/>
              <w:bottom w:val="nil"/>
              <w:right w:val="nil"/>
            </w:tcBorders>
          </w:tcPr>
          <w:p w:rsidR="004855AE" w:rsidRPr="00C34506" w:rsidRDefault="004855AE" w:rsidP="00061FA7">
            <w:pPr>
              <w:pStyle w:val="Normal6a"/>
            </w:pPr>
            <w:r>
              <w:t>7.</w:t>
            </w:r>
            <w:r>
              <w:tab/>
              <w:t xml:space="preserve">подкрепя </w:t>
            </w:r>
            <w:r>
              <w:rPr>
                <w:b/>
                <w:i/>
              </w:rPr>
              <w:t>по-нататъшното</w:t>
            </w:r>
            <w:r>
              <w:t xml:space="preserve"> интегриране на институционалните рамки и пазарните структури; </w:t>
            </w:r>
            <w:r>
              <w:rPr>
                <w:b/>
                <w:i/>
              </w:rPr>
              <w:t>приканва европейските</w:t>
            </w:r>
            <w:r>
              <w:t xml:space="preserve"> надзорни </w:t>
            </w:r>
            <w:r>
              <w:rPr>
                <w:b/>
                <w:i/>
              </w:rPr>
              <w:t>органи да засилят сближаването на своите практики с цел постигане на напредък в интеграцията на капиталовите пазари; предлага европейските надзорни органи да увеличат използването на своите инструменти за сближаване, за да идентифицират и преодолеят различните практики, които възпрепятстват развитието</w:t>
            </w:r>
            <w:r>
              <w:t xml:space="preserve"> на пазара; </w:t>
            </w:r>
            <w:r>
              <w:rPr>
                <w:b/>
                <w:i/>
              </w:rPr>
              <w:t>призовава за улесняване на достъпа на националните органи до технически експертен опит и оперативна подкрепа чрез европейските органи, като по този начин се насърчава по-последователен, ефективен и пропорционален надзор в целия Съюз, без да е необходимо да се централизират правомощията;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274</w:t>
      </w:r>
      <w:r>
        <w:rPr>
          <w:rStyle w:val="HideTWBExt"/>
          <w:b w:val="0"/>
        </w:rPr>
        <w:t>&lt;/NumAm&gt;</w:t>
      </w:r>
    </w:p>
    <w:p w:rsidR="004855AE" w:rsidRPr="00C34506" w:rsidRDefault="004855AE" w:rsidP="004855AE">
      <w:pPr>
        <w:pStyle w:val="NormalBold"/>
      </w:pPr>
      <w:r>
        <w:rPr>
          <w:rStyle w:val="HideTWBExt"/>
          <w:b w:val="0"/>
        </w:rPr>
        <w:t>&lt;RepeatBlock-By&gt;&lt;Members&gt;</w:t>
      </w:r>
      <w:r>
        <w:t>Фернандо Наварете Рохас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7.</w:t>
            </w:r>
            <w:r>
              <w:tab/>
              <w:t xml:space="preserve">подкрепя интегрирането на институционалните рамки и пазарните структури; отново отправя своето искане да се </w:t>
            </w:r>
            <w:r>
              <w:rPr>
                <w:b/>
                <w:i/>
              </w:rPr>
              <w:t>предоставят на ЕОЦКП преки</w:t>
            </w:r>
            <w:r>
              <w:t xml:space="preserve"> надзорни </w:t>
            </w:r>
            <w:r>
              <w:rPr>
                <w:b/>
                <w:i/>
              </w:rPr>
              <w:t>правомощия</w:t>
            </w:r>
            <w:r>
              <w:t xml:space="preserve"> по отношение на паневропейските пазарни инфраструктури;</w:t>
            </w:r>
          </w:p>
        </w:tc>
        <w:tc>
          <w:tcPr>
            <w:tcW w:w="4876" w:type="dxa"/>
            <w:tcBorders>
              <w:top w:val="nil"/>
              <w:left w:val="nil"/>
              <w:bottom w:val="nil"/>
              <w:right w:val="nil"/>
            </w:tcBorders>
          </w:tcPr>
          <w:p w:rsidR="004855AE" w:rsidRPr="00C34506" w:rsidRDefault="004855AE" w:rsidP="00061FA7">
            <w:pPr>
              <w:pStyle w:val="Normal6a"/>
            </w:pPr>
            <w:r>
              <w:t>7.</w:t>
            </w:r>
            <w:r>
              <w:tab/>
              <w:t xml:space="preserve">подкрепя интегрирането на институционалните рамки и пазарните структури; отново отправя искането си за </w:t>
            </w:r>
            <w:r>
              <w:rPr>
                <w:b/>
                <w:i/>
              </w:rPr>
              <w:t>насърчаване на процеса</w:t>
            </w:r>
            <w:r>
              <w:t xml:space="preserve"> на сближаване на надзорните практики, </w:t>
            </w:r>
            <w:r>
              <w:rPr>
                <w:b/>
                <w:i/>
              </w:rPr>
              <w:t>ръководен от ЕОЦКП</w:t>
            </w:r>
            <w:r>
              <w:t xml:space="preserve">, по отношение на паневропейските пазарни инфраструктури, </w:t>
            </w:r>
            <w:r>
              <w:rPr>
                <w:b/>
                <w:i/>
              </w:rPr>
              <w:t>за да се подобри ефективността на надзорната среда и сътрудничеството с националните компетентни органи (НКО);</w:t>
            </w:r>
            <w:r>
              <w:t xml:space="preserve"> </w:t>
            </w:r>
            <w:r>
              <w:rPr>
                <w:b/>
                <w:i/>
              </w:rPr>
              <w:t>призовава държавите членки да предприемат допълнителни действия, за да се ангажират с предоставянето на по-големи преки надзорни правомощия на ЕОЦКП по отношение на доставчиците на услуги за криптоактиви, пазарната инфраструктура и трансграничните финансови субекти;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275</w:t>
      </w:r>
      <w:r>
        <w:rPr>
          <w:rStyle w:val="HideTWBExt"/>
          <w:b w:val="0"/>
        </w:rPr>
        <w:t>&lt;/NumAm&gt;</w:t>
      </w:r>
    </w:p>
    <w:p w:rsidR="004855AE" w:rsidRPr="00C34506" w:rsidRDefault="004855AE" w:rsidP="004855AE">
      <w:pPr>
        <w:pStyle w:val="NormalBold"/>
      </w:pPr>
      <w:r>
        <w:rPr>
          <w:rStyle w:val="HideTWBExt"/>
          <w:b w:val="0"/>
        </w:rPr>
        <w:t>&lt;RepeatBlock-By&gt;&lt;Members&gt;</w:t>
      </w:r>
      <w:r>
        <w:t>Дирк Готинк</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7.</w:t>
            </w:r>
            <w:r>
              <w:tab/>
              <w:t>подкрепя интегрирането на институционалните рамки и пазарните структури; отново отправя своето искане да се предоставят на ЕОЦКП преки надзорни правомощия по отношение на паневропейските пазарни инфраструктури;</w:t>
            </w:r>
          </w:p>
        </w:tc>
        <w:tc>
          <w:tcPr>
            <w:tcW w:w="4876" w:type="dxa"/>
            <w:tcBorders>
              <w:top w:val="nil"/>
              <w:left w:val="nil"/>
              <w:bottom w:val="nil"/>
              <w:right w:val="nil"/>
            </w:tcBorders>
          </w:tcPr>
          <w:p w:rsidR="004855AE" w:rsidRPr="00C34506" w:rsidRDefault="004855AE" w:rsidP="00061FA7">
            <w:pPr>
              <w:pStyle w:val="Normal6a"/>
            </w:pPr>
            <w:r>
              <w:t>7.</w:t>
            </w:r>
            <w:r>
              <w:tab/>
              <w:t xml:space="preserve">подкрепя интегрирането на институционалните рамки и пазарните структури; отново отправя своето искане да се предоставят на ЕОЦКП преки надзорни правомощия по отношение на </w:t>
            </w:r>
            <w:r>
              <w:rPr>
                <w:b/>
                <w:i/>
              </w:rPr>
              <w:t>значими</w:t>
            </w:r>
            <w:r>
              <w:t xml:space="preserve"> общоевропейски пазарни инфраструктури и </w:t>
            </w:r>
            <w:r>
              <w:rPr>
                <w:b/>
                <w:i/>
              </w:rPr>
              <w:t>субекти, като същевременно по-малките и национално ориентирани субекти се оставят под национален надзор, като се гарантира хармонизация между националните рамки, когато това е възможно;</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276</w:t>
      </w:r>
      <w:r>
        <w:rPr>
          <w:rStyle w:val="HideTWBExt"/>
          <w:b w:val="0"/>
        </w:rPr>
        <w:t>&lt;/NumAm&gt;</w:t>
      </w:r>
    </w:p>
    <w:p w:rsidR="004855AE" w:rsidRPr="00C34506" w:rsidRDefault="004855AE" w:rsidP="004855AE">
      <w:pPr>
        <w:pStyle w:val="NormalBold"/>
      </w:pPr>
      <w:r>
        <w:rPr>
          <w:rStyle w:val="HideTWBExt"/>
          <w:b w:val="0"/>
        </w:rPr>
        <w:t>&lt;RepeatBlock-By&gt;&lt;Members&gt;</w:t>
      </w:r>
      <w:r>
        <w:t>Паскал Канфен, Стефани Йон</w:t>
      </w:r>
      <w:r>
        <w:noBreakHyphen/>
        <w:t>Куртен, Жил Боайе, Анук Ван Брюг</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7.</w:t>
            </w:r>
            <w:r>
              <w:tab/>
              <w:t>подкрепя интегрирането на институционалните рамки и пазарните структури; отново отправя своето искане да се предоставят на ЕОЦКП преки надзорни правомощия по отношение на паневропейските пазарни инфраструктури;</w:t>
            </w:r>
          </w:p>
        </w:tc>
        <w:tc>
          <w:tcPr>
            <w:tcW w:w="4876" w:type="dxa"/>
            <w:tcBorders>
              <w:top w:val="nil"/>
              <w:left w:val="nil"/>
              <w:bottom w:val="nil"/>
              <w:right w:val="nil"/>
            </w:tcBorders>
          </w:tcPr>
          <w:p w:rsidR="004855AE" w:rsidRPr="00C34506" w:rsidRDefault="004855AE" w:rsidP="00061FA7">
            <w:pPr>
              <w:pStyle w:val="Normal6a"/>
            </w:pPr>
            <w:r>
              <w:t>7.</w:t>
            </w:r>
            <w:r>
              <w:tab/>
              <w:t xml:space="preserve">подкрепя интегрирането на институционалните рамки и пазарните структури; отново отправя своето искане да се предоставят на ЕОЦКП преки надзорни правомощия по отношение на паневропейските пазарни инфраструктури, </w:t>
            </w:r>
            <w:r>
              <w:rPr>
                <w:b/>
                <w:i/>
              </w:rPr>
              <w:t>за да се повиши конкурентоспособността на европейските фондови борси;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277</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Еро Хейнелуома, Евелин Регнер, Нилс Фулсанг, Клер Фита, Карла Тавареш,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7.</w:t>
            </w:r>
            <w:r>
              <w:tab/>
              <w:t>подкрепя интегрирането на институционалните рамки и пазарните структури; отново отправя своето искане да се предоставят на ЕОЦКП преки надзорни правомощия по отношение на паневропейските пазарни инфраструктури;</w:t>
            </w:r>
          </w:p>
        </w:tc>
        <w:tc>
          <w:tcPr>
            <w:tcW w:w="4876" w:type="dxa"/>
            <w:tcBorders>
              <w:top w:val="nil"/>
              <w:left w:val="nil"/>
              <w:bottom w:val="nil"/>
              <w:right w:val="nil"/>
            </w:tcBorders>
          </w:tcPr>
          <w:p w:rsidR="004855AE" w:rsidRPr="00C34506" w:rsidRDefault="004855AE" w:rsidP="00061FA7">
            <w:pPr>
              <w:pStyle w:val="Normal6a"/>
            </w:pPr>
            <w:r>
              <w:t>7.</w:t>
            </w:r>
            <w:r>
              <w:tab/>
              <w:t xml:space="preserve">подкрепя интегрирането на институционалните рамки и пазарните структури; отново отправя своето искане да се предоставят на ЕОЦКП преки надзорни правомощия по отношение на общоевропейски пазарни инфраструктури, </w:t>
            </w:r>
            <w:r>
              <w:rPr>
                <w:b/>
                <w:i/>
              </w:rPr>
              <w:t xml:space="preserve">включително големи фондови борси, централни контрагенти и депозитари на ценни книжа, трансгранични групи за управление на активи, доставчици на услуги за криптоактиви и за всички </w:t>
            </w:r>
            <w:r>
              <w:rPr>
                <w:b/>
                <w:i/>
              </w:rPr>
              <w:lastRenderedPageBreak/>
              <w:t>нови продукти и услуги;</w:t>
            </w:r>
            <w:r>
              <w:t xml:space="preserve"> </w:t>
            </w:r>
            <w:r>
              <w:rPr>
                <w:b/>
                <w:i/>
              </w:rPr>
              <w:t>счита, че управлението на ЕОЦКП следва да бъде преразгледано, за да се гарантира ефективността и независимостта на решенията на ЕОЦКП; подкрепя предложението в доклада на Драги да се предостави на ЕОЦКП една по–европейска структура за управление, вдъхновена от модела на Европейската централна банка (ЕЦБ), и да се установи тясно сътрудничество с националните надзорни органи въз основа на модела на единния надзорен механизъм;</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lang w:eastAsia="en-GB"/>
        </w:rPr>
        <w:t>&lt;Amend&gt;</w:t>
      </w:r>
      <w:r>
        <w:t>Изменение</w:t>
      </w:r>
      <w:r>
        <w:tab/>
      </w:r>
      <w:r>
        <w:tab/>
      </w:r>
      <w:r>
        <w:rPr>
          <w:rStyle w:val="HideTWBExt"/>
          <w:b w:val="0"/>
          <w:lang w:eastAsia="en-GB"/>
        </w:rPr>
        <w:t>&lt;NumAm&gt;</w:t>
      </w:r>
      <w:r>
        <w:t>278</w:t>
      </w:r>
      <w:r>
        <w:rPr>
          <w:rStyle w:val="HideTWBExt"/>
          <w:b w:val="0"/>
          <w:lang w:eastAsia="en-GB"/>
        </w:rPr>
        <w:t>&lt;/NumAm&gt;</w:t>
      </w:r>
    </w:p>
    <w:p w:rsidR="004855AE" w:rsidRPr="00C34506" w:rsidRDefault="004855AE" w:rsidP="004855AE">
      <w:pPr>
        <w:pStyle w:val="NormalBold"/>
      </w:pPr>
      <w:r>
        <w:rPr>
          <w:rStyle w:val="HideTWBExt"/>
          <w:b w:val="0"/>
          <w:lang w:eastAsia="en-GB"/>
        </w:rPr>
        <w:t>&lt;RepeatBlock-By&gt;&lt;Members&gt;</w:t>
      </w:r>
      <w:r>
        <w:t>Кристоф Гомар</w:t>
      </w:r>
      <w:r>
        <w:rPr>
          <w:rStyle w:val="HideTWBExt"/>
          <w:b w:val="0"/>
          <w:lang w:eastAsia="en-GB"/>
        </w:rPr>
        <w:t>&lt;/Members&gt;</w:t>
      </w:r>
    </w:p>
    <w:p w:rsidR="004855AE" w:rsidRPr="00C34506" w:rsidRDefault="004855AE" w:rsidP="004855AE">
      <w:pPr>
        <w:pStyle w:val="NormalBold"/>
      </w:pPr>
      <w:r>
        <w:rPr>
          <w:rStyle w:val="HideTWBExt"/>
          <w:b w:val="0"/>
          <w:lang w:eastAsia="en-GB"/>
        </w:rPr>
        <w:t>&lt;/RepeatBlock-By&gt;</w:t>
      </w:r>
    </w:p>
    <w:p w:rsidR="004855AE" w:rsidRPr="00C34506" w:rsidRDefault="004855AE" w:rsidP="004855AE">
      <w:pPr>
        <w:pStyle w:val="NormalBold"/>
      </w:pPr>
      <w:r>
        <w:rPr>
          <w:rStyle w:val="HideTWBExt"/>
          <w:b w:val="0"/>
          <w:lang w:eastAsia="en-GB"/>
        </w:rPr>
        <w:t>&lt;DocAmend&gt;</w:t>
      </w:r>
      <w:r>
        <w:t>Предложение за резолюция</w:t>
      </w:r>
      <w:r>
        <w:rPr>
          <w:rStyle w:val="HideTWBExt"/>
          <w:b w:val="0"/>
          <w:lang w:eastAsia="en-GB"/>
        </w:rPr>
        <w:t>&lt;/DocAmend&gt;</w:t>
      </w:r>
    </w:p>
    <w:p w:rsidR="004855AE" w:rsidRPr="00C34506" w:rsidRDefault="004855AE" w:rsidP="004855AE">
      <w:pPr>
        <w:pStyle w:val="NormalBold"/>
      </w:pPr>
      <w:r>
        <w:rPr>
          <w:rStyle w:val="HideTWBExt"/>
          <w:b w:val="0"/>
          <w:lang w:eastAsia="en-GB"/>
        </w:rPr>
        <w:t>&lt;Article&gt;</w:t>
      </w:r>
      <w:r>
        <w:t>Параграф 7</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7.</w:t>
            </w:r>
            <w:r>
              <w:tab/>
              <w:t>подкрепя интегрирането на институционалните рамки и пазарните структури; отново отправя своето искане да се предоставят на ЕОЦКП преки надзорни правомощия по отношение на паневропейските пазарни инфраструктури;</w:t>
            </w:r>
          </w:p>
        </w:tc>
        <w:tc>
          <w:tcPr>
            <w:tcW w:w="4876" w:type="dxa"/>
            <w:tcBorders>
              <w:top w:val="nil"/>
              <w:left w:val="nil"/>
              <w:bottom w:val="nil"/>
              <w:right w:val="nil"/>
            </w:tcBorders>
          </w:tcPr>
          <w:p w:rsidR="004855AE" w:rsidRPr="00C34506" w:rsidRDefault="004855AE" w:rsidP="00061FA7">
            <w:pPr>
              <w:pStyle w:val="Normal6a"/>
            </w:pPr>
            <w:r>
              <w:t>7.</w:t>
            </w:r>
            <w:r>
              <w:tab/>
              <w:t xml:space="preserve">подкрепя интегрирането на институционалните рамки и пазарните структури; отново отправя своето искане да се предоставят на ЕОЦКП преки надзорни правомощия по отношение на паневропейските пазарни инфраструктури; </w:t>
            </w:r>
            <w:r>
              <w:rPr>
                <w:b/>
                <w:i/>
              </w:rPr>
              <w:t>призовава конкурентоспособността да стане неразделна част от законодателния процес на ЕС (включително на равнището на ЕОЦКП);</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{FR}</w:t>
      </w:r>
      <w:r w:rsidRPr="00C34506">
        <w:t>fr</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279</w:t>
      </w:r>
      <w:r>
        <w:rPr>
          <w:rStyle w:val="HideTWBExt"/>
          <w:b w:val="0"/>
        </w:rPr>
        <w:t>&lt;/NumAm&gt;</w:t>
      </w:r>
    </w:p>
    <w:p w:rsidR="004855AE" w:rsidRPr="00C34506" w:rsidRDefault="004855AE" w:rsidP="004855AE">
      <w:pPr>
        <w:pStyle w:val="NormalBold"/>
      </w:pPr>
      <w:r>
        <w:rPr>
          <w:rStyle w:val="HideTWBExt"/>
          <w:b w:val="0"/>
        </w:rPr>
        <w:t>&lt;RepeatBlock-By&gt;&lt;Members&gt;</w:t>
      </w:r>
      <w:r>
        <w:t>Анук Ван Брюг, Енгин Ероглу, Стефани Йон</w:t>
      </w:r>
      <w:r>
        <w:noBreakHyphen/>
        <w:t>Куртен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lastRenderedPageBreak/>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7.</w:t>
            </w:r>
            <w:r>
              <w:tab/>
              <w:t>подкрепя интегрирането на институционалните рамки и пазарните структури; отново отправя своето искане да се предоставят на ЕОЦКП преки надзорни правомощия по отношение на паневропейските пазарни инфраструктури;</w:t>
            </w:r>
          </w:p>
        </w:tc>
        <w:tc>
          <w:tcPr>
            <w:tcW w:w="4876" w:type="dxa"/>
            <w:tcBorders>
              <w:top w:val="nil"/>
              <w:left w:val="nil"/>
              <w:bottom w:val="nil"/>
              <w:right w:val="nil"/>
            </w:tcBorders>
          </w:tcPr>
          <w:p w:rsidR="004855AE" w:rsidRPr="00C34506" w:rsidRDefault="004855AE" w:rsidP="00061FA7">
            <w:pPr>
              <w:pStyle w:val="Normal6a"/>
            </w:pPr>
            <w:r>
              <w:t>7.</w:t>
            </w:r>
            <w:r>
              <w:tab/>
              <w:t xml:space="preserve">подкрепя интегрирането на институционалните рамки и пазарните структури; отново отправя своето искане да се предоставят на ЕОЦКП преки надзорни правомощия по отношение на паневропейските пазарни инфраструктури; </w:t>
            </w:r>
            <w:r>
              <w:rPr>
                <w:b/>
                <w:i/>
              </w:rPr>
              <w:t>счита, че хармонизираният и централизиран надзор на европейските капиталови пазари ще подложи участниците на пазара на единен правилник, насърчаващ истински единен пазар за европейски капитал;</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280</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7а.</w:t>
            </w:r>
            <w:r>
              <w:tab/>
            </w:r>
            <w:r>
              <w:rPr>
                <w:b/>
                <w:i/>
              </w:rPr>
              <w:t xml:space="preserve">изразява убеждението си, че е оправдана задълбочена реформа на управлението на ЕОЦКП, преди да се разширят неговите надзорни отговорности; счита, че преразгледаното управление на ЕОЦКП би могло да се основава на правилата за управление на единния надзорен механизъм (ЕНМ) или на наскоро създадения Орган за борба с изпирането на пари (ОБИП); подчертава, че всяко надзорно решение следва да се взема от изпълнителен орган, съставен от напълно независими членове, за да се избегне всякаква национална пристрастност; счита, че местната опора е от съществено значение за ефективността на надзора и запазването на експертния опит на националните органи; счита за добър </w:t>
            </w:r>
            <w:r>
              <w:rPr>
                <w:b/>
                <w:i/>
              </w:rPr>
              <w:lastRenderedPageBreak/>
              <w:t>модел създаването на съвместни надзорни екипи (СНЕ) по модела на съществуващите ЕНМ или на бъдещите ОБИП, съставени от органи на ЕС и служители на националните компетентни органи;</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281</w:t>
      </w:r>
      <w:r>
        <w:rPr>
          <w:rStyle w:val="HideTWBExt"/>
          <w:b w:val="0"/>
        </w:rPr>
        <w:t>&lt;/NumAm&gt;</w:t>
      </w:r>
    </w:p>
    <w:p w:rsidR="004855AE" w:rsidRPr="00C34506" w:rsidRDefault="004855AE" w:rsidP="004855AE">
      <w:pPr>
        <w:pStyle w:val="NormalBold"/>
      </w:pPr>
      <w:r>
        <w:rPr>
          <w:rStyle w:val="HideTWBExt"/>
          <w:b w:val="0"/>
        </w:rPr>
        <w:t>&lt;RepeatBlock-By&gt;&lt;Members&gt;</w:t>
      </w:r>
      <w:r>
        <w:t>Еро Хейнелуома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 a (нов)</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7а. като се имат предвид нарасналите рискове в сектора на криптоактивите, призовава ЕК бързо да преразгледа Регламента относно пазарите на криптоактиви и да предостави на ЕОЦКП преки надзорни правомощия по отношение на доставчиците на услуги за криптоактиви над определен размер;</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282</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7а.</w:t>
            </w:r>
            <w:r>
              <w:tab/>
            </w:r>
            <w:r>
              <w:rPr>
                <w:b/>
                <w:i/>
              </w:rPr>
              <w:t xml:space="preserve">посочва, че една от причините за разпокъсаността на резултатите от надзора е практиката на националните надзорни органи да въвеждат допълнителни национални задължения към европейските правила, често наричани „свръхрегулиране“; призовава </w:t>
            </w:r>
            <w:r>
              <w:rPr>
                <w:b/>
                <w:i/>
              </w:rPr>
              <w:lastRenderedPageBreak/>
              <w:t>Комисията и европейските надзорни органи да разгледат подобни случаи на превишение от страна на националните органи, за да се постигнат по-последователни резултати от надзора в целия Съюз;</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283</w:t>
      </w:r>
      <w:r>
        <w:rPr>
          <w:rStyle w:val="HideTWBExt"/>
          <w:b w:val="0"/>
        </w:rPr>
        <w:t>&lt;/NumAm&gt;</w:t>
      </w:r>
    </w:p>
    <w:p w:rsidR="004855AE" w:rsidRPr="00C34506" w:rsidRDefault="004855AE" w:rsidP="004855AE">
      <w:pPr>
        <w:pStyle w:val="NormalBold"/>
      </w:pPr>
      <w:r>
        <w:rPr>
          <w:rStyle w:val="HideTWBExt"/>
          <w:b w:val="0"/>
        </w:rPr>
        <w:t>&lt;RepeatBlock-By&gt;&lt;Members&gt;</w:t>
      </w:r>
      <w:r>
        <w:t>Жил Боайе, Стефани Йон</w:t>
      </w:r>
      <w:r>
        <w:noBreakHyphen/>
        <w:t>Куртен, Паскал Канфен, Били Келъхър, Анук Ван Брюг</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7а.</w:t>
            </w:r>
            <w:r>
              <w:tab/>
            </w:r>
            <w:r>
              <w:rPr>
                <w:b/>
                <w:i/>
              </w:rPr>
              <w:t>подчертава важната роля, която секюритизацията може да играе за улесняване на финансирането на инвестициите, изграждане на алтернативни източници на финансиране за европейските дружества с цел улесняване на техния растеж, повишаване на европейската конкурентоспособност и създаване на дълбоки и динамични европейски капиталови пазари;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284</w:t>
      </w:r>
      <w:r>
        <w:rPr>
          <w:rStyle w:val="HideTWBExt"/>
          <w:b w:val="0"/>
        </w:rPr>
        <w:t>&lt;/NumAm&gt;</w:t>
      </w:r>
    </w:p>
    <w:p w:rsidR="004855AE" w:rsidRPr="00C34506" w:rsidRDefault="004855AE" w:rsidP="004855AE">
      <w:pPr>
        <w:pStyle w:val="NormalBold"/>
      </w:pPr>
      <w:r>
        <w:rPr>
          <w:rStyle w:val="HideTWBExt"/>
          <w:b w:val="0"/>
        </w:rPr>
        <w:t>&lt;RepeatBlock-By&gt;&lt;Members&gt;</w:t>
      </w:r>
      <w:r>
        <w:t>Еникьо Дьори, Пиер Пемпи, Хорхе Мартин Фриас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7а.</w:t>
            </w:r>
            <w:r>
              <w:tab/>
            </w:r>
            <w:r>
              <w:rPr>
                <w:b/>
                <w:i/>
              </w:rPr>
              <w:t xml:space="preserve">убедени, че вместо да централизира институционалните, особено надзорните рамки и правомощия, капиталовият пазар на ЕС трябва да изгради полезни взаимодействия между националните </w:t>
            </w:r>
            <w:r>
              <w:rPr>
                <w:b/>
                <w:i/>
              </w:rPr>
              <w:lastRenderedPageBreak/>
              <w:t>институционални рамки и да премахне пречките, които понастоящем възпрепятстват трансграничния поток от инвестиции;</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285</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Еро Хейнелуома, Евелин Регнер, Нилс Фулсанг, Клер Фита, Карла Тавареш,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7а.</w:t>
            </w:r>
            <w:r>
              <w:tab/>
            </w:r>
            <w:r>
              <w:rPr>
                <w:b/>
                <w:i/>
              </w:rPr>
              <w:t>счита, че европейските надзорни органи (ЕНО) следва да бъдат адекватно финансирани, за да могат да изпълняват задълженията си, включително като могат да събират такси от финансовите институции и участниците на финансовите пазари от поднадзорните дружества;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286</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Еро Хейнелуома, Евелин Регнер, Нилс Фулсанг, Клер Фита, Карла Тавареш,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 б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7б.</w:t>
            </w:r>
            <w:r>
              <w:tab/>
            </w:r>
            <w:r>
              <w:rPr>
                <w:b/>
                <w:i/>
              </w:rPr>
              <w:t xml:space="preserve">подчертава значението на силната роля на ЕЦБ в надзора на системно важните пазарни </w:t>
            </w:r>
            <w:r>
              <w:rPr>
                <w:b/>
                <w:i/>
              </w:rPr>
              <w:lastRenderedPageBreak/>
              <w:t>инфраструктури в съответствие с нейните отговорности съгласно ДФЕС и Регламента за СВПС; счита, че ЕЦБ следва активно да допринася за повишаване на оперативната съвместимост, устойчивостта и интеграцията на системите за търговия и последващи сделки в целия ЕС, по-специално чрез надзора си върху платформи като TARGET2-Securities.</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287</w:t>
      </w:r>
      <w:r>
        <w:rPr>
          <w:rStyle w:val="HideTWBExt"/>
          <w:b w:val="0"/>
        </w:rPr>
        <w:t>&lt;/NumAm&gt;</w:t>
      </w:r>
    </w:p>
    <w:p w:rsidR="004855AE" w:rsidRPr="00C34506" w:rsidRDefault="004855AE" w:rsidP="004855AE">
      <w:pPr>
        <w:pStyle w:val="NormalBold"/>
      </w:pPr>
      <w:r>
        <w:rPr>
          <w:rStyle w:val="HideTWBExt"/>
          <w:b w:val="0"/>
        </w:rPr>
        <w:t>&lt;RepeatBlock-By&gt;&lt;Members&gt;</w:t>
      </w:r>
      <w:r>
        <w:t>Еникьо Дьори, Пиер Пемпи, Хорхе Мартин Фриас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 б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7б.</w:t>
            </w:r>
            <w:r>
              <w:tab/>
            </w:r>
            <w:r>
              <w:rPr>
                <w:b/>
                <w:i/>
              </w:rPr>
              <w:t>счита, че един силен, по-привлекателен и по-добре функциониращ европейски капиталов пазар трябва да използва в пълна степен многообразието на националните капиталови пазари. подчертава в тази връзка, че универсалните решения вече са се оказали неефективни;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288</w:t>
      </w:r>
      <w:r>
        <w:rPr>
          <w:rStyle w:val="HideTWBExt"/>
          <w:b w:val="0"/>
        </w:rPr>
        <w:t>&lt;/NumAm&gt;</w:t>
      </w:r>
    </w:p>
    <w:p w:rsidR="004855AE" w:rsidRPr="00C34506" w:rsidRDefault="004855AE" w:rsidP="004855AE">
      <w:pPr>
        <w:pStyle w:val="NormalBold"/>
      </w:pPr>
      <w:r>
        <w:rPr>
          <w:rStyle w:val="HideTWBExt"/>
          <w:b w:val="0"/>
        </w:rPr>
        <w:t>&lt;RepeatBlock-By&gt;&lt;Members&gt;</w:t>
      </w:r>
      <w:r>
        <w:t>Жил Боайе, Стефани Йон</w:t>
      </w:r>
      <w:r>
        <w:noBreakHyphen/>
        <w:t>Куртен, Паскал Канфен, Били Келъхър, Анук Ван Брюг</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 б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7б.</w:t>
            </w:r>
            <w:r>
              <w:tab/>
            </w:r>
            <w:r>
              <w:rPr>
                <w:b/>
                <w:i/>
              </w:rPr>
              <w:t xml:space="preserve">припомня, че през последните 40 години европейските секюритизирани продукти са </w:t>
            </w:r>
            <w:r>
              <w:rPr>
                <w:b/>
                <w:i/>
              </w:rPr>
              <w:lastRenderedPageBreak/>
              <w:t xml:space="preserve">функционирали поне до еквивалентно равнище като други класове активи с фиксиран доход </w:t>
            </w:r>
            <w:r>
              <w:rPr>
                <w:b/>
                <w:i/>
                <w:vertAlign w:val="superscript"/>
              </w:rPr>
              <w:t>1а</w:t>
            </w:r>
            <w:r>
              <w:rPr>
                <w:b/>
                <w:i/>
              </w:rPr>
              <w:t xml:space="preserve"> и предоставят набор от възможности за риск;</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rPr>
              <w:t>_________________</w:t>
            </w:r>
          </w:p>
        </w:tc>
      </w:tr>
      <w:tr w:rsidR="004855AE" w:rsidTr="00061FA7">
        <w:trPr>
          <w:jc w:val="center"/>
        </w:trPr>
        <w:tc>
          <w:tcPr>
            <w:tcW w:w="4876" w:type="dxa"/>
            <w:tcBorders>
              <w:top w:val="nil"/>
              <w:left w:val="nil"/>
              <w:bottom w:val="nil"/>
              <w:right w:val="nil"/>
            </w:tcBorders>
          </w:tcPr>
          <w:p w:rsidR="004855AE" w:rsidRPr="00C34506" w:rsidRDefault="004855AE" w:rsidP="00061FA7"/>
        </w:tc>
        <w:tc>
          <w:tcPr>
            <w:tcW w:w="4876" w:type="dxa"/>
            <w:tcBorders>
              <w:top w:val="nil"/>
              <w:left w:val="nil"/>
              <w:bottom w:val="nil"/>
              <w:right w:val="nil"/>
            </w:tcBorders>
          </w:tcPr>
          <w:p w:rsidR="004855AE" w:rsidRPr="00C34506" w:rsidRDefault="004855AE" w:rsidP="00061FA7">
            <w:pPr>
              <w:pStyle w:val="Normal6a"/>
            </w:pPr>
            <w:r>
              <w:rPr>
                <w:b/>
                <w:i/>
                <w:vertAlign w:val="superscript"/>
              </w:rPr>
              <w:t>1A</w:t>
            </w:r>
            <w:r>
              <w:t xml:space="preserve"> </w:t>
            </w:r>
            <w:r>
              <w:rPr>
                <w:b/>
                <w:i/>
              </w:rPr>
              <w:t xml:space="preserve">https://www.afme.eu/Portals/0/DispatchFeaturedImages/EU%20Securitisation%20back%20on%20track%205%20point%20plan.pdf </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289</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 б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7б.</w:t>
            </w:r>
            <w:r>
              <w:tab/>
            </w:r>
            <w:r>
              <w:rPr>
                <w:b/>
                <w:i/>
              </w:rPr>
              <w:t>приканва Комисията да проучи дали и при какви условия следва да се постигне по-интегрирана структура за надзор и в други сектори, като например застрахователните и пенсионните фондове;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290</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 б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7б.</w:t>
            </w:r>
            <w:r>
              <w:tab/>
            </w:r>
            <w:r>
              <w:rPr>
                <w:b/>
                <w:i/>
              </w:rPr>
              <w:t>посочва, че всяко увеличаване на правомощията на европейските надзорни органи следва да върви ръка за ръка с пропорционално повишаване на равнището на отчетност на ЕНО;</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291</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 в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7в.</w:t>
            </w:r>
            <w:r>
              <w:tab/>
            </w:r>
            <w:r>
              <w:rPr>
                <w:b/>
                <w:i/>
              </w:rPr>
              <w:t>отбелязва заключението от докладите на Драги, Лета и Ноайе, че пазарната инфраструктура на ЕС продължава да бъде разпокъсана, по-специално в сравнение със САЩ; припомня, че консолидирането на пазара е процес, който се ръководи от самия пазар; предупреждава за риска от създаване на субекти, които са „твърде големи, за да фалират” подчертава, че преминаването към единен надзорен орган за пазарните инфраструктури на ЕС вероятно ще улесни консолидирането на пазара; подчертава, че липсата на хармонизация на националните законодателства е основната пречка пред консолидирането на сектора на пазарните инфраструктури;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292</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 в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7в.</w:t>
            </w:r>
            <w:r>
              <w:tab/>
            </w:r>
            <w:r>
              <w:rPr>
                <w:b/>
                <w:i/>
              </w:rPr>
              <w:t xml:space="preserve">подчертава, че административната тежест и разходите за привеждане в съответствие, които възникват в трансграничен контекст, вече биха </w:t>
            </w:r>
            <w:r>
              <w:rPr>
                <w:b/>
                <w:i/>
              </w:rPr>
              <w:lastRenderedPageBreak/>
              <w:t>могли да бъдат преодолени чрез по-добра координация и сътрудничество между националните надзорни органи, например в областта на споделянето на данни; призовава Европейската комисия и европейските надзорни органи да преминат към режим на еднократно отчитане; счита, че европейската единна точка за достъп е важна инициатива в това отношение и призовава за своевременното ѝ прилагане;</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293</w:t>
      </w:r>
      <w:r>
        <w:rPr>
          <w:rStyle w:val="HideTWBExt"/>
          <w:b w:val="0"/>
        </w:rPr>
        <w:t>&lt;/NumAm&gt;</w:t>
      </w:r>
    </w:p>
    <w:p w:rsidR="004855AE" w:rsidRPr="00C34506" w:rsidRDefault="004855AE" w:rsidP="004855AE">
      <w:pPr>
        <w:pStyle w:val="NormalBold"/>
      </w:pPr>
      <w:r>
        <w:rPr>
          <w:rStyle w:val="HideTWBExt"/>
          <w:b w:val="0"/>
        </w:rPr>
        <w:t>&lt;RepeatBlock-By&gt;&lt;Members&gt;</w:t>
      </w:r>
      <w:r>
        <w:t>Жил Боайе, Стефани Йон</w:t>
      </w:r>
      <w:r>
        <w:noBreakHyphen/>
        <w:t>Куртен, Паскал Канфен, Били Келъхър, Анук Ван Брюг</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 в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7в.</w:t>
            </w:r>
            <w:r>
              <w:tab/>
            </w:r>
            <w:r>
              <w:rPr>
                <w:b/>
                <w:i/>
              </w:rPr>
              <w:t>подчертава, че развитието на европейския пазар на секюритизации би могло да допринесе за спешната необходимост икономиката на Съюза да се развие от разчитаща предимно на счетоводните баланси на банките за финансиране, към икономика, която използва напълно потенциала на капиталовите пазари;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294</w:t>
      </w:r>
      <w:r>
        <w:rPr>
          <w:rStyle w:val="HideTWBExt"/>
          <w:b w:val="0"/>
        </w:rPr>
        <w:t>&lt;/NumAm&gt;</w:t>
      </w:r>
    </w:p>
    <w:p w:rsidR="004855AE" w:rsidRPr="00C34506" w:rsidRDefault="004855AE" w:rsidP="004855AE">
      <w:pPr>
        <w:pStyle w:val="NormalBold"/>
      </w:pPr>
      <w:r>
        <w:rPr>
          <w:rStyle w:val="HideTWBExt"/>
          <w:b w:val="0"/>
        </w:rPr>
        <w:t>&lt;RepeatBlock-By&gt;&lt;Members&gt;</w:t>
      </w:r>
      <w:r>
        <w:t>Еникьо Дьори, Пиер Пемпи, Хорхе Мартин Фриас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 в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7в.</w:t>
            </w:r>
            <w:r>
              <w:tab/>
            </w:r>
            <w:r>
              <w:rPr>
                <w:b/>
                <w:i/>
              </w:rPr>
              <w:t xml:space="preserve">счита, че бъдещите реформи </w:t>
            </w:r>
            <w:r>
              <w:rPr>
                <w:b/>
                <w:i/>
              </w:rPr>
              <w:lastRenderedPageBreak/>
              <w:t>на капиталовите пазари трябва да се основават на възходящ подход и да вземат предвид най-добрите практики и особености на държавите членки.</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295</w:t>
      </w:r>
      <w:r>
        <w:rPr>
          <w:rStyle w:val="HideTWBExt"/>
          <w:b w:val="0"/>
        </w:rPr>
        <w:t>&lt;/NumAm&gt;</w:t>
      </w:r>
    </w:p>
    <w:p w:rsidR="004855AE" w:rsidRPr="00C34506" w:rsidRDefault="004855AE" w:rsidP="004855AE">
      <w:pPr>
        <w:pStyle w:val="NormalBold"/>
      </w:pPr>
      <w:r>
        <w:rPr>
          <w:rStyle w:val="HideTWBExt"/>
          <w:b w:val="0"/>
        </w:rPr>
        <w:t>&lt;RepeatBlock-By&gt;&lt;Members&gt;</w:t>
      </w:r>
      <w:r>
        <w:t>Жил Боайе, Стефани Йон</w:t>
      </w:r>
      <w:r>
        <w:noBreakHyphen/>
        <w:t>Куртен, Паскал Канфен, Били Келъхър, Анук Ван Брюг</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 г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7г.</w:t>
            </w:r>
            <w:r>
              <w:tab/>
            </w:r>
            <w:r>
              <w:rPr>
                <w:b/>
                <w:i/>
              </w:rPr>
              <w:t>припомня връзката, която секюритизацията играе между пазарите за кредитиране и капиталовите пазари, като предоставя на инвеститорите достъп до разнообразен набор от видове експозиции, възвръщаемост и сектори; счита, че секюритизацията предлага многофункционален инструмент, който позволява диверсификация на източниците на финансиране и следователно риск от експозиция, и активно укрепва устойчивостта в рамките на ЕС чрез диверсификация на частното поделяне на риска между банките, застрахователите и други инвеститори;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296</w:t>
      </w:r>
      <w:r>
        <w:rPr>
          <w:rStyle w:val="HideTWBExt"/>
          <w:b w:val="0"/>
        </w:rPr>
        <w:t>&lt;/NumAm&gt;</w:t>
      </w:r>
    </w:p>
    <w:p w:rsidR="004855AE" w:rsidRPr="00C34506" w:rsidRDefault="004855AE" w:rsidP="004855AE">
      <w:pPr>
        <w:pStyle w:val="NormalBold"/>
      </w:pPr>
      <w:r>
        <w:rPr>
          <w:rStyle w:val="HideTWBExt"/>
          <w:b w:val="0"/>
        </w:rPr>
        <w:t>&lt;RepeatBlock-By&gt;&lt;Members&gt;</w:t>
      </w:r>
      <w:r>
        <w:t>Жил Боайе, Стефани Йон</w:t>
      </w:r>
      <w:r>
        <w:noBreakHyphen/>
        <w:t>Куртен, Паскал Канфен, Били Келъхър, Анук Ван Брюг</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 д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7д.</w:t>
            </w:r>
            <w:r>
              <w:tab/>
            </w:r>
            <w:r>
              <w:rPr>
                <w:b/>
                <w:i/>
              </w:rPr>
              <w:t>призовава Комисията да публикува амбициозно и цялостно преразглеждане на рамката за секюритизациите през второто тримесечие на 2025 г., вдъхновено от неотдавнашните заключения на Европейския съвет, Еврогрупа, ЕЦБ, ЕОЗППО, както и неотдавнашния доклад на Съвместния комитет на ЕНО, по-специално с акцент върху прегледа на конкретни пруденциални изисквания, правилата за надлежна проверка, изискванията за докладване относно определени видове активи, съгласуваността на опростените прозрачни и стандартизирани критерии, както и надзорния процес, за да се гарантира, че секюритизацията може да играе решаваща роля за финансирането на бъдещия европейски растеж;</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297</w:t>
      </w:r>
      <w:r>
        <w:rPr>
          <w:rStyle w:val="HideTWBExt"/>
          <w:b w:val="0"/>
        </w:rPr>
        <w:t>&lt;/NumAm&gt;</w:t>
      </w:r>
    </w:p>
    <w:p w:rsidR="004855AE" w:rsidRPr="00C34506" w:rsidRDefault="004855AE" w:rsidP="004855AE">
      <w:pPr>
        <w:pStyle w:val="NormalBold"/>
      </w:pPr>
      <w:r>
        <w:rPr>
          <w:rStyle w:val="HideTWBExt"/>
          <w:b w:val="0"/>
        </w:rPr>
        <w:t>&lt;RepeatBlock-By&gt;&lt;Members&gt;</w:t>
      </w:r>
      <w:r>
        <w:t>Жил Боайе, Стефани Йон</w:t>
      </w:r>
      <w:r>
        <w:noBreakHyphen/>
        <w:t>Куртен, Паскал Канфен, Били Келъхър, Анук Ван Брюг</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 e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7е.</w:t>
            </w:r>
            <w:r>
              <w:tab/>
            </w:r>
            <w:r>
              <w:rPr>
                <w:b/>
                <w:i/>
              </w:rPr>
              <w:t>припомня, че секюритизацията може да бъде възобновена, без да се излага на риск финансовата стабилност, като се запазят непроменени основните предпазни мерки, въведени след 2008 г.: забрана за пресекюритизация, забрана за секюритизация без запазване на риска, строг надзор на агенциите за кредитен рейтинг;</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lastRenderedPageBreak/>
        <w:t>&lt;Amend&gt;</w:t>
      </w:r>
      <w:r>
        <w:t>Изменение</w:t>
      </w:r>
      <w:r>
        <w:tab/>
      </w:r>
      <w:r>
        <w:tab/>
      </w:r>
      <w:r>
        <w:rPr>
          <w:rStyle w:val="HideTWBExt"/>
          <w:b w:val="0"/>
        </w:rPr>
        <w:t>&lt;NumAm&gt;</w:t>
      </w:r>
      <w:r>
        <w:t>298</w:t>
      </w:r>
      <w:r>
        <w:rPr>
          <w:rStyle w:val="HideTWBExt"/>
          <w:b w:val="0"/>
        </w:rPr>
        <w:t>&lt;/NumAm&gt;</w:t>
      </w:r>
    </w:p>
    <w:p w:rsidR="004855AE" w:rsidRPr="00C34506" w:rsidRDefault="004855AE" w:rsidP="004855AE">
      <w:pPr>
        <w:pStyle w:val="NormalBold"/>
      </w:pPr>
      <w:r>
        <w:rPr>
          <w:rStyle w:val="HideTWBExt"/>
          <w:b w:val="0"/>
        </w:rPr>
        <w:t>&lt;RepeatBlock-By&gt;&lt;Members&gt;</w:t>
      </w:r>
      <w:r>
        <w:t>Жил Боайе, Стефани Йон</w:t>
      </w:r>
      <w:r>
        <w:noBreakHyphen/>
        <w:t>Куртен, Паскал Канфен, Били Келъхър, Анук Ван Брюг</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7 ж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7ж.</w:t>
            </w:r>
            <w:r>
              <w:tab/>
            </w:r>
            <w:r>
              <w:rPr>
                <w:b/>
                <w:i/>
              </w:rPr>
              <w:t>призовава Комисията да направи оценка на възможността за създаване на обща европейска платформа за секюритизация, да стандартизира продуктите и да привлече повече инвеститори на пазара, включително по-малки банки, които понастоящем нямат достъп до този метод на финансиране;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299</w:t>
      </w:r>
      <w:r>
        <w:rPr>
          <w:rStyle w:val="HideTWBExt"/>
          <w:b w:val="0"/>
        </w:rPr>
        <w:t>&lt;/NumAm&gt;</w:t>
      </w:r>
    </w:p>
    <w:p w:rsidR="004855AE" w:rsidRPr="00C34506" w:rsidRDefault="004855AE" w:rsidP="004855AE">
      <w:pPr>
        <w:pStyle w:val="NormalBold"/>
      </w:pPr>
      <w:r>
        <w:rPr>
          <w:rStyle w:val="HideTWBExt"/>
          <w:b w:val="0"/>
        </w:rPr>
        <w:t>&lt;RepeatBlock-By&gt;&lt;Members&gt;</w:t>
      </w:r>
      <w:r>
        <w:t>Ралф Зеекац</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rPr>
                <w:b/>
                <w:i/>
              </w:rPr>
              <w:t>8.</w:t>
            </w:r>
            <w:r>
              <w:tab/>
            </w:r>
            <w:r>
              <w:rPr>
                <w:b/>
                <w:i/>
              </w:rPr>
              <w:t>настоятелно призовава Комисията да разработи предложения за правилно репатриране на клиринговите дейности в ЕС;</w:t>
            </w:r>
          </w:p>
        </w:tc>
        <w:tc>
          <w:tcPr>
            <w:tcW w:w="4876" w:type="dxa"/>
            <w:tcBorders>
              <w:top w:val="nil"/>
              <w:left w:val="nil"/>
              <w:bottom w:val="nil"/>
              <w:right w:val="nil"/>
            </w:tcBorders>
          </w:tcPr>
          <w:p w:rsidR="004855AE" w:rsidRPr="00C34506" w:rsidRDefault="004855AE" w:rsidP="00061FA7">
            <w:pPr>
              <w:pStyle w:val="Normal6a"/>
            </w:pPr>
            <w:r>
              <w:rPr>
                <w:b/>
                <w:i/>
              </w:rPr>
              <w:t>заличава се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300</w:t>
      </w:r>
      <w:r>
        <w:rPr>
          <w:rStyle w:val="HideTWBExt"/>
          <w:b w:val="0"/>
        </w:rPr>
        <w:t>&lt;/NumAm&gt;</w:t>
      </w:r>
    </w:p>
    <w:p w:rsidR="004855AE" w:rsidRPr="00C34506" w:rsidRDefault="004855AE" w:rsidP="004855AE">
      <w:pPr>
        <w:pStyle w:val="NormalBold"/>
      </w:pPr>
      <w:r>
        <w:rPr>
          <w:rStyle w:val="HideTWBExt"/>
          <w:b w:val="0"/>
        </w:rPr>
        <w:t>&lt;RepeatBlock-By&gt;&lt;Members&gt;</w:t>
      </w:r>
      <w:r>
        <w:t>Арба Кокалари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rPr>
                <w:b/>
                <w:i/>
              </w:rPr>
              <w:t>8.</w:t>
            </w:r>
            <w:r>
              <w:tab/>
            </w:r>
            <w:r>
              <w:rPr>
                <w:b/>
                <w:i/>
              </w:rPr>
              <w:t xml:space="preserve">настоятелно призовава </w:t>
            </w:r>
            <w:r>
              <w:rPr>
                <w:b/>
                <w:i/>
              </w:rPr>
              <w:lastRenderedPageBreak/>
              <w:t>Комисията да разработи предложения за правилно репатриране на клиринговите дейности в ЕС;</w:t>
            </w:r>
          </w:p>
        </w:tc>
        <w:tc>
          <w:tcPr>
            <w:tcW w:w="4876" w:type="dxa"/>
            <w:tcBorders>
              <w:top w:val="nil"/>
              <w:left w:val="nil"/>
              <w:bottom w:val="nil"/>
              <w:right w:val="nil"/>
            </w:tcBorders>
          </w:tcPr>
          <w:p w:rsidR="004855AE" w:rsidRPr="00C34506" w:rsidRDefault="004855AE" w:rsidP="00061FA7">
            <w:pPr>
              <w:pStyle w:val="Normal6a"/>
            </w:pPr>
            <w:r>
              <w:rPr>
                <w:b/>
                <w:i/>
              </w:rPr>
              <w:lastRenderedPageBreak/>
              <w:t>заличава се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301</w:t>
      </w:r>
      <w:r>
        <w:rPr>
          <w:rStyle w:val="HideTWBExt"/>
          <w:b w:val="0"/>
        </w:rPr>
        <w:t>&lt;/NumAm&gt;</w:t>
      </w:r>
    </w:p>
    <w:p w:rsidR="004855AE" w:rsidRPr="00C34506" w:rsidRDefault="004855AE" w:rsidP="004855AE">
      <w:pPr>
        <w:pStyle w:val="NormalBold"/>
      </w:pPr>
      <w:r>
        <w:rPr>
          <w:rStyle w:val="HideTWBExt"/>
          <w:b w:val="0"/>
        </w:rPr>
        <w:t>&lt;RepeatBlock-By&gt;&lt;Members&gt;</w:t>
      </w:r>
      <w:r>
        <w:t>Йохан Ван Овертвелд</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rPr>
                <w:b/>
                <w:i/>
              </w:rPr>
              <w:t>8.</w:t>
            </w:r>
            <w:r>
              <w:tab/>
            </w:r>
            <w:r>
              <w:rPr>
                <w:b/>
                <w:i/>
              </w:rPr>
              <w:t>настоятелно призовава Комисията да разработи предложения за правилно репатриране на клиринговите дейности в ЕС;</w:t>
            </w:r>
          </w:p>
        </w:tc>
        <w:tc>
          <w:tcPr>
            <w:tcW w:w="4876" w:type="dxa"/>
            <w:tcBorders>
              <w:top w:val="nil"/>
              <w:left w:val="nil"/>
              <w:bottom w:val="nil"/>
              <w:right w:val="nil"/>
            </w:tcBorders>
          </w:tcPr>
          <w:p w:rsidR="004855AE" w:rsidRPr="00C34506" w:rsidRDefault="004855AE" w:rsidP="00061FA7">
            <w:pPr>
              <w:pStyle w:val="Normal6a"/>
            </w:pPr>
            <w:r>
              <w:rPr>
                <w:b/>
                <w:i/>
              </w:rPr>
              <w:t>заличава се</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302</w:t>
      </w:r>
      <w:r>
        <w:rPr>
          <w:rStyle w:val="HideTWBExt"/>
          <w:b w:val="0"/>
        </w:rPr>
        <w:t>&lt;/NumAm&gt;</w:t>
      </w:r>
    </w:p>
    <w:p w:rsidR="004855AE" w:rsidRPr="00C34506" w:rsidRDefault="004855AE" w:rsidP="004855AE">
      <w:pPr>
        <w:pStyle w:val="NormalBold"/>
      </w:pPr>
      <w:r>
        <w:rPr>
          <w:rStyle w:val="HideTWBExt"/>
          <w:b w:val="0"/>
        </w:rPr>
        <w:t>&lt;RepeatBlock-By&gt;&lt;Members&gt;</w:t>
      </w:r>
      <w:r>
        <w:t>Фернандо Наварете Рохас,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8.</w:t>
            </w:r>
            <w:r>
              <w:tab/>
              <w:t xml:space="preserve">настоятелно призовава Комисията да </w:t>
            </w:r>
            <w:r>
              <w:rPr>
                <w:b/>
                <w:i/>
              </w:rPr>
              <w:t>разработи предложения за правилно репатриране</w:t>
            </w:r>
            <w:r>
              <w:t xml:space="preserve"> на клиринговите дейности в </w:t>
            </w:r>
            <w:r>
              <w:rPr>
                <w:b/>
                <w:i/>
              </w:rPr>
              <w:t>ЕС</w:t>
            </w:r>
            <w:r>
              <w:t>;</w:t>
            </w:r>
          </w:p>
        </w:tc>
        <w:tc>
          <w:tcPr>
            <w:tcW w:w="4876" w:type="dxa"/>
            <w:tcBorders>
              <w:top w:val="nil"/>
              <w:left w:val="nil"/>
              <w:bottom w:val="nil"/>
              <w:right w:val="nil"/>
            </w:tcBorders>
          </w:tcPr>
          <w:p w:rsidR="004855AE" w:rsidRPr="00C34506" w:rsidRDefault="004855AE" w:rsidP="00061FA7">
            <w:pPr>
              <w:pStyle w:val="Normal6a"/>
            </w:pPr>
            <w:r>
              <w:t>8.</w:t>
            </w:r>
            <w:r>
              <w:tab/>
              <w:t>Настоятелно призовава Комисията да п</w:t>
            </w:r>
            <w:r>
              <w:rPr>
                <w:b/>
                <w:i/>
              </w:rPr>
              <w:t xml:space="preserve">рилага Регламента за европейската пазарна инфраструктура 3.0 по безпроблемен и пропорционален начин, като използва съществуващите инструменти и подходящи стимули за ефективно насърчаване на конкурентоспособността и привлекателността на клиринговите дейности, установени в ЕС; подчертава, че местата за клиринг в ЕС следва да бъдат привлекателни както за деривати, деноминирани в </w:t>
            </w:r>
            <w:r>
              <w:rPr>
                <w:b/>
                <w:i/>
              </w:rPr>
              <w:lastRenderedPageBreak/>
              <w:t>евро, така и за деривати, които не са деноминирани в евро, като се гарантира глобалното значение на Съюза в централния клиринг; подчертава, че в съответствие с целта за опростяване на нормативната уредба акцентът следва да остане върху ефективното прилагане на съществуващата рамка, а не върху въвеждането на нови законодателни инициативи; подчертава освен това, че насърчаването на предлагане на услуги, продуктовата гама, приемането на обезпечения и разходната конкурентоспособност на ЦК от ЕС е от решаващо значение за постигането на съдържателно преместване</w:t>
            </w:r>
            <w:r>
              <w:t xml:space="preserve"> на клиринговите дейности в </w:t>
            </w:r>
            <w:r>
              <w:rPr>
                <w:b/>
                <w:i/>
              </w:rPr>
              <w:t>Съюза</w:t>
            </w:r>
            <w:r>
              <w:t>;</w:t>
            </w:r>
            <w:r>
              <w:rPr>
                <w:b/>
                <w:i/>
              </w:rPr>
              <w:t xml:space="preserve"> настоява, че такова преместване не следва да се извършва чрез задължаване или чрез принуждаване на участниците на пазара да извършват клиринг в ЕС, а по-скоро чрез превръщане на клиринговата екосистема на ЕС в по-привлекателна, ефективна и богата на възможности юрисдикция от конкуриращите се юрисдикции, така че дружествата да я избират за предпочитано от тях място;</w:t>
            </w:r>
            <w:r>
              <w:t xml:space="preserve"> </w:t>
            </w:r>
            <w:r>
              <w:rPr>
                <w:b/>
                <w:i/>
              </w:rPr>
              <w:t>призовава ЕОЦКП и Комисията при прилагането на Регламента за европейската пазарна инфраструктура 3.0 да засилят пазарно ориентиран процес, основан на търсенето и конкурентоспособността, като гарантират, че клирингът в ЕС се превръща в естествено място за избор за участниците на световния пазар;</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303</w:t>
      </w:r>
      <w:r>
        <w:rPr>
          <w:rStyle w:val="HideTWBExt"/>
          <w:b w:val="0"/>
        </w:rPr>
        <w:t>&lt;/NumAm&gt;</w:t>
      </w:r>
    </w:p>
    <w:p w:rsidR="004855AE" w:rsidRPr="00C34506" w:rsidRDefault="004855AE" w:rsidP="004855AE">
      <w:pPr>
        <w:pStyle w:val="NormalBold"/>
      </w:pPr>
      <w:r>
        <w:rPr>
          <w:rStyle w:val="HideTWBExt"/>
          <w:b w:val="0"/>
        </w:rPr>
        <w:t>&lt;RepeatBlock-By&gt;&lt;Members&gt;</w:t>
      </w:r>
      <w:r>
        <w:t>Ауке Зейлстра</w:t>
      </w:r>
      <w:r>
        <w:rPr>
          <w:rStyle w:val="HideTWBExt"/>
          <w:b w:val="0"/>
        </w:rPr>
        <w:t>&lt;/Members&gt;</w:t>
      </w:r>
    </w:p>
    <w:p w:rsidR="004855AE" w:rsidRPr="00C34506" w:rsidRDefault="004855AE" w:rsidP="004855AE">
      <w:pPr>
        <w:pStyle w:val="NormalBold"/>
      </w:pPr>
      <w:r>
        <w:rPr>
          <w:rStyle w:val="HideTWBExt"/>
          <w:b w:val="0"/>
        </w:rPr>
        <w:lastRenderedPageBreak/>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8.</w:t>
            </w:r>
            <w:r>
              <w:tab/>
            </w:r>
            <w:r>
              <w:rPr>
                <w:b/>
                <w:i/>
              </w:rPr>
              <w:t>настоятелно</w:t>
            </w:r>
            <w:r>
              <w:t xml:space="preserve"> призовава Комисията да </w:t>
            </w:r>
            <w:r>
              <w:rPr>
                <w:b/>
                <w:i/>
              </w:rPr>
              <w:t>разработи предложения за правилно репатриране</w:t>
            </w:r>
            <w:r>
              <w:t xml:space="preserve"> на клиринговите дейности </w:t>
            </w:r>
            <w:r>
              <w:rPr>
                <w:b/>
                <w:i/>
              </w:rPr>
              <w:t>в</w:t>
            </w:r>
            <w:r>
              <w:t xml:space="preserve"> ЕС;</w:t>
            </w:r>
          </w:p>
        </w:tc>
        <w:tc>
          <w:tcPr>
            <w:tcW w:w="4876" w:type="dxa"/>
            <w:tcBorders>
              <w:top w:val="nil"/>
              <w:left w:val="nil"/>
              <w:bottom w:val="nil"/>
              <w:right w:val="nil"/>
            </w:tcBorders>
          </w:tcPr>
          <w:p w:rsidR="004855AE" w:rsidRPr="00C34506" w:rsidRDefault="004855AE" w:rsidP="00061FA7">
            <w:pPr>
              <w:pStyle w:val="Normal6a"/>
            </w:pPr>
            <w:r>
              <w:t>8.</w:t>
            </w:r>
            <w:r>
              <w:tab/>
            </w:r>
            <w:r>
              <w:rPr>
                <w:b/>
                <w:i/>
              </w:rPr>
              <w:t>отбелязва третите последователни решения на</w:t>
            </w:r>
            <w:r>
              <w:t xml:space="preserve"> Комисията за </w:t>
            </w:r>
            <w:r>
              <w:rPr>
                <w:b/>
                <w:i/>
              </w:rPr>
              <w:t>разширяване на еквивалентността по отношение на централните контрагенти в Обединеното кралство; отбелязва, че 9 години след британското решение за задействане на член 50 и 5 години след излизането на Обединеното кралство от ЕС клиринговите услуги по договори, деноминирани в евро, все още не са преместени в ЕС; подчертава, че това означава, че доставчиците на</w:t>
            </w:r>
            <w:r>
              <w:t xml:space="preserve"> клирингови дейности не се чувстват добре дошли в ЕС; </w:t>
            </w:r>
            <w:r>
              <w:rPr>
                <w:b/>
                <w:i/>
              </w:rPr>
              <w:t>подчертава, че в Регламента за европейската пазарна инфраструктура не се уточнява, че клиринговите услуги по деноминирани в евро договори трябва да бъдат прехвърлени в еврозоната;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304</w:t>
      </w:r>
      <w:r>
        <w:rPr>
          <w:rStyle w:val="HideTWBExt"/>
          <w:b w:val="0"/>
        </w:rPr>
        <w:t>&lt;/NumAm&gt;</w:t>
      </w:r>
    </w:p>
    <w:p w:rsidR="004855AE" w:rsidRPr="00C34506" w:rsidRDefault="004855AE" w:rsidP="004855AE">
      <w:pPr>
        <w:pStyle w:val="NormalBold"/>
      </w:pPr>
      <w:r>
        <w:rPr>
          <w:rStyle w:val="HideTWBExt"/>
          <w:b w:val="0"/>
        </w:rPr>
        <w:t>&lt;RepeatBlock-By&gt;&lt;Members&gt;</w:t>
      </w:r>
      <w:r>
        <w:t>Джовани Крозето, Доменико Денис Неши, Франческо Вентола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8.</w:t>
            </w:r>
            <w:r>
              <w:tab/>
              <w:t xml:space="preserve">настоятелно призовава Комисията да </w:t>
            </w:r>
            <w:r>
              <w:rPr>
                <w:b/>
                <w:i/>
              </w:rPr>
              <w:t>разработи предложения за правилно репатриране</w:t>
            </w:r>
            <w:r>
              <w:t xml:space="preserve"> на клиринговите дейности в ЕС;</w:t>
            </w:r>
          </w:p>
        </w:tc>
        <w:tc>
          <w:tcPr>
            <w:tcW w:w="4876" w:type="dxa"/>
            <w:tcBorders>
              <w:top w:val="nil"/>
              <w:left w:val="nil"/>
              <w:bottom w:val="nil"/>
              <w:right w:val="nil"/>
            </w:tcBorders>
          </w:tcPr>
          <w:p w:rsidR="004855AE" w:rsidRPr="00C34506" w:rsidRDefault="004855AE" w:rsidP="00061FA7">
            <w:pPr>
              <w:pStyle w:val="Normal6a"/>
            </w:pPr>
            <w:r>
              <w:t>8.</w:t>
            </w:r>
            <w:r>
              <w:tab/>
              <w:t xml:space="preserve">настоятелно призовава Комисията да </w:t>
            </w:r>
            <w:r>
              <w:rPr>
                <w:b/>
                <w:i/>
              </w:rPr>
              <w:t>наблюдава репатрирането на</w:t>
            </w:r>
            <w:r>
              <w:t xml:space="preserve"> клиринговите дейности в ЕС </w:t>
            </w:r>
            <w:r>
              <w:rPr>
                <w:b/>
                <w:i/>
              </w:rPr>
              <w:t>и, когато е необходимо, да въведе мерки за улесняване на този процес</w:t>
            </w:r>
            <w:r>
              <w:t xml:space="preserve">; </w:t>
            </w:r>
            <w:r>
              <w:rPr>
                <w:b/>
                <w:i/>
              </w:rPr>
              <w:t xml:space="preserve">отбелязва, че следтърговската среда в ЕС продължава да бъде разпокъсана; призовава за пазарно ориентирана </w:t>
            </w:r>
            <w:r>
              <w:rPr>
                <w:b/>
                <w:i/>
              </w:rPr>
              <w:lastRenderedPageBreak/>
              <w:t>консолидация и премахване на правните и регулаторните пречки пред една по-интегрирана и ефективна среда след сключването на сделките;</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305</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8.</w:t>
            </w:r>
            <w:r>
              <w:tab/>
            </w:r>
            <w:r>
              <w:rPr>
                <w:b/>
                <w:i/>
              </w:rPr>
              <w:t>настоятелно призовава</w:t>
            </w:r>
            <w:r>
              <w:t xml:space="preserve"> Комисията да разработи предложения за </w:t>
            </w:r>
            <w:r>
              <w:rPr>
                <w:b/>
                <w:i/>
              </w:rPr>
              <w:t>правилно репатриране</w:t>
            </w:r>
            <w:r>
              <w:t xml:space="preserve"> на клиринговите дейности </w:t>
            </w:r>
            <w:r>
              <w:rPr>
                <w:b/>
                <w:i/>
              </w:rPr>
              <w:t>в</w:t>
            </w:r>
            <w:r>
              <w:t xml:space="preserve"> ЕС;</w:t>
            </w:r>
          </w:p>
        </w:tc>
        <w:tc>
          <w:tcPr>
            <w:tcW w:w="4876" w:type="dxa"/>
            <w:tcBorders>
              <w:top w:val="nil"/>
              <w:left w:val="nil"/>
              <w:bottom w:val="nil"/>
              <w:right w:val="nil"/>
            </w:tcBorders>
          </w:tcPr>
          <w:p w:rsidR="004855AE" w:rsidRPr="00C34506" w:rsidRDefault="004855AE" w:rsidP="00061FA7">
            <w:pPr>
              <w:pStyle w:val="Normal6a"/>
            </w:pPr>
            <w:r>
              <w:t>8.</w:t>
            </w:r>
            <w:r>
              <w:tab/>
            </w:r>
            <w:r>
              <w:rPr>
                <w:b/>
                <w:i/>
              </w:rPr>
              <w:t>приканва</w:t>
            </w:r>
            <w:r>
              <w:t xml:space="preserve"> Комисията да разработи предложения за </w:t>
            </w:r>
            <w:r>
              <w:rPr>
                <w:b/>
                <w:i/>
              </w:rPr>
              <w:t>ефективен обмен на най-добри практики в</w:t>
            </w:r>
            <w:r>
              <w:t xml:space="preserve"> дейностите по клиринг </w:t>
            </w:r>
            <w:r>
              <w:rPr>
                <w:b/>
                <w:i/>
              </w:rPr>
              <w:t>и сетълмент</w:t>
            </w:r>
            <w:r>
              <w:t xml:space="preserve"> </w:t>
            </w:r>
            <w:r>
              <w:rPr>
                <w:b/>
                <w:i/>
              </w:rPr>
              <w:t>между</w:t>
            </w:r>
            <w:r>
              <w:t xml:space="preserve"> </w:t>
            </w:r>
            <w:r>
              <w:rPr>
                <w:b/>
                <w:i/>
              </w:rPr>
              <w:t>клиринговите къщи в ЕС, като се гарантира пълно сътрудничество</w:t>
            </w:r>
            <w:r>
              <w:t xml:space="preserve">; </w:t>
            </w:r>
            <w:r>
              <w:rPr>
                <w:b/>
                <w:i/>
              </w:rPr>
              <w:t>подчертава значението на конкуренцията между клиринговите къщи и къщите за сетълмент, като същевременно се зачитат националните правомощия и се защитава свободната конкуренция в обща рамка;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306</w:t>
      </w:r>
      <w:r>
        <w:rPr>
          <w:rStyle w:val="HideTWBExt"/>
          <w:b w:val="0"/>
        </w:rPr>
        <w:t>&lt;/NumAm&gt;</w:t>
      </w:r>
    </w:p>
    <w:p w:rsidR="004855AE" w:rsidRPr="00C34506" w:rsidRDefault="004855AE" w:rsidP="004855AE">
      <w:pPr>
        <w:pStyle w:val="NormalBold"/>
      </w:pPr>
      <w:r>
        <w:rPr>
          <w:rStyle w:val="HideTWBExt"/>
          <w:b w:val="0"/>
        </w:rPr>
        <w:t>&lt;RepeatBlock-By&gt;&lt;Members&gt;</w:t>
      </w:r>
      <w:r>
        <w:t>Реджина Дохърти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8.</w:t>
            </w:r>
            <w:r>
              <w:tab/>
              <w:t xml:space="preserve">настоятелно призовава Комисията да </w:t>
            </w:r>
            <w:r>
              <w:rPr>
                <w:b/>
                <w:i/>
              </w:rPr>
              <w:t>разработи предложения за правилно репатриране</w:t>
            </w:r>
            <w:r>
              <w:t xml:space="preserve"> на клиринговите дейности </w:t>
            </w:r>
            <w:r>
              <w:rPr>
                <w:b/>
                <w:i/>
              </w:rPr>
              <w:t>в ЕС</w:t>
            </w:r>
            <w:r>
              <w:t>;</w:t>
            </w:r>
          </w:p>
        </w:tc>
        <w:tc>
          <w:tcPr>
            <w:tcW w:w="4876" w:type="dxa"/>
            <w:tcBorders>
              <w:top w:val="nil"/>
              <w:left w:val="nil"/>
              <w:bottom w:val="nil"/>
              <w:right w:val="nil"/>
            </w:tcBorders>
          </w:tcPr>
          <w:p w:rsidR="004855AE" w:rsidRPr="00C34506" w:rsidRDefault="004855AE" w:rsidP="00061FA7">
            <w:pPr>
              <w:pStyle w:val="Normal6a"/>
            </w:pPr>
            <w:r>
              <w:t>8.</w:t>
            </w:r>
            <w:r>
              <w:tab/>
              <w:t xml:space="preserve">настоятелно призовава Комисията да продължи да </w:t>
            </w:r>
            <w:r>
              <w:rPr>
                <w:b/>
                <w:i/>
              </w:rPr>
              <w:t>възприема разумен подход към</w:t>
            </w:r>
            <w:r>
              <w:t xml:space="preserve"> клиринговите дейности, </w:t>
            </w:r>
            <w:r>
              <w:rPr>
                <w:b/>
                <w:i/>
              </w:rPr>
              <w:t xml:space="preserve">да гарантира, че участниците на пазара на ЕС </w:t>
            </w:r>
            <w:r>
              <w:rPr>
                <w:b/>
                <w:i/>
              </w:rPr>
              <w:lastRenderedPageBreak/>
              <w:t>продължават да имат достъп до ефикасен и сигурен централен клиринг, както и до клиринг и услуги за клиенти, и да продължи да подкрепя стабилността и сигурността за участниците на пазара на ЕС</w:t>
            </w:r>
            <w:r>
              <w:t>;</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307</w:t>
      </w:r>
      <w:r>
        <w:rPr>
          <w:rStyle w:val="HideTWBExt"/>
          <w:b w:val="0"/>
        </w:rPr>
        <w:t>&lt;/NumAm&gt;</w:t>
      </w:r>
    </w:p>
    <w:p w:rsidR="004855AE" w:rsidRPr="00C34506" w:rsidRDefault="004855AE" w:rsidP="004855AE">
      <w:pPr>
        <w:pStyle w:val="NormalBold"/>
      </w:pPr>
      <w:r>
        <w:rPr>
          <w:rStyle w:val="HideTWBExt"/>
          <w:b w:val="0"/>
        </w:rPr>
        <w:t>&lt;RepeatBlock-By&gt;&lt;Members&gt;</w:t>
      </w:r>
      <w:r>
        <w:t>Еникьо Дьори, Пиер Пемпи, Хорхе Мартин Фриас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8.</w:t>
            </w:r>
            <w:r>
              <w:tab/>
              <w:t xml:space="preserve">настоятелно призовава Комисията да </w:t>
            </w:r>
            <w:r>
              <w:rPr>
                <w:b/>
                <w:i/>
              </w:rPr>
              <w:t>разработи предложения за правилно репатриране</w:t>
            </w:r>
            <w:r>
              <w:t xml:space="preserve"> на клиринговите дейности в ЕС;</w:t>
            </w:r>
          </w:p>
        </w:tc>
        <w:tc>
          <w:tcPr>
            <w:tcW w:w="4876" w:type="dxa"/>
            <w:tcBorders>
              <w:top w:val="nil"/>
              <w:left w:val="nil"/>
              <w:bottom w:val="nil"/>
              <w:right w:val="nil"/>
            </w:tcBorders>
          </w:tcPr>
          <w:p w:rsidR="004855AE" w:rsidRPr="00C34506" w:rsidRDefault="004855AE" w:rsidP="00061FA7">
            <w:pPr>
              <w:pStyle w:val="Normal6a"/>
            </w:pPr>
            <w:r>
              <w:t>8.</w:t>
            </w:r>
            <w:r>
              <w:tab/>
              <w:t xml:space="preserve">настоятелно призовава Комисията, </w:t>
            </w:r>
            <w:r>
              <w:rPr>
                <w:b/>
                <w:i/>
              </w:rPr>
              <w:t>вместо да налага репатрирането на</w:t>
            </w:r>
            <w:r>
              <w:t xml:space="preserve"> клиринговите дейности в ЕС </w:t>
            </w:r>
            <w:r>
              <w:rPr>
                <w:b/>
                <w:i/>
              </w:rPr>
              <w:t>на нормативна основа, по-скоро да създаде конкурентна и ефективна среда, която привлича клиринговите дейности</w:t>
            </w:r>
            <w:r>
              <w:t>;</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308</w:t>
      </w:r>
      <w:r>
        <w:rPr>
          <w:rStyle w:val="HideTWBExt"/>
          <w:b w:val="0"/>
        </w:rPr>
        <w:t>&lt;/NumAm&gt;</w:t>
      </w:r>
    </w:p>
    <w:p w:rsidR="004855AE" w:rsidRPr="00C34506" w:rsidRDefault="004855AE" w:rsidP="004855AE">
      <w:pPr>
        <w:pStyle w:val="NormalBold"/>
      </w:pPr>
      <w:r>
        <w:rPr>
          <w:rStyle w:val="HideTWBExt"/>
          <w:b w:val="0"/>
        </w:rPr>
        <w:t>&lt;RepeatBlock-By&gt;&lt;Members&gt;</w:t>
      </w:r>
      <w:r>
        <w:t>Стефани Йон</w:t>
      </w:r>
      <w:r>
        <w:noBreakHyphen/>
        <w:t>Куртен, Жил Боайе, Паскал Канфен, Анук Ван Брюг</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8.</w:t>
            </w:r>
            <w:r>
              <w:tab/>
            </w:r>
            <w:r>
              <w:rPr>
                <w:b/>
                <w:i/>
              </w:rPr>
              <w:t>настоятелно призовава</w:t>
            </w:r>
            <w:r>
              <w:t xml:space="preserve"> Комисията да </w:t>
            </w:r>
            <w:r>
              <w:rPr>
                <w:b/>
                <w:i/>
              </w:rPr>
              <w:t>разработи предложения за правилно репатриране</w:t>
            </w:r>
            <w:r>
              <w:t xml:space="preserve"> на клиринговите дейности в ЕС;</w:t>
            </w:r>
          </w:p>
        </w:tc>
        <w:tc>
          <w:tcPr>
            <w:tcW w:w="4876" w:type="dxa"/>
            <w:tcBorders>
              <w:top w:val="nil"/>
              <w:left w:val="nil"/>
              <w:bottom w:val="nil"/>
              <w:right w:val="nil"/>
            </w:tcBorders>
          </w:tcPr>
          <w:p w:rsidR="004855AE" w:rsidRPr="00C34506" w:rsidRDefault="004855AE" w:rsidP="00061FA7">
            <w:pPr>
              <w:pStyle w:val="Normal6a"/>
            </w:pPr>
            <w:r>
              <w:t>8.</w:t>
            </w:r>
            <w:r>
              <w:tab/>
            </w:r>
            <w:r>
              <w:rPr>
                <w:b/>
                <w:i/>
              </w:rPr>
              <w:t>призовава</w:t>
            </w:r>
            <w:r>
              <w:t xml:space="preserve"> Комисията да </w:t>
            </w:r>
            <w:r>
              <w:rPr>
                <w:b/>
                <w:i/>
              </w:rPr>
              <w:t>имплементира изменената директива за европейска пазарна инфраструктура, за да улесни репатрирането на</w:t>
            </w:r>
            <w:r>
              <w:t xml:space="preserve"> клирингови дейности в ЕС;</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lastRenderedPageBreak/>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309</w:t>
      </w:r>
      <w:r>
        <w:rPr>
          <w:rStyle w:val="HideTWBExt"/>
          <w:b w:val="0"/>
        </w:rPr>
        <w:t>&lt;/NumAm&gt;</w:t>
      </w:r>
    </w:p>
    <w:p w:rsidR="004855AE" w:rsidRPr="00C34506" w:rsidRDefault="004855AE" w:rsidP="004855AE">
      <w:pPr>
        <w:pStyle w:val="NormalBold"/>
      </w:pPr>
      <w:r>
        <w:rPr>
          <w:rStyle w:val="HideTWBExt"/>
          <w:b w:val="0"/>
        </w:rPr>
        <w:t>&lt;RepeatBlock-By&gt;&lt;Members&gt;</w:t>
      </w:r>
      <w:r>
        <w:t>Лидия Перейра,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8.</w:t>
            </w:r>
            <w:r>
              <w:tab/>
              <w:t xml:space="preserve">настоятелно призовава Комисията да </w:t>
            </w:r>
            <w:r>
              <w:rPr>
                <w:b/>
                <w:i/>
              </w:rPr>
              <w:t>разработи предложения за правилно репатриране</w:t>
            </w:r>
            <w:r>
              <w:t xml:space="preserve"> на клиринговите дейности в ЕС;</w:t>
            </w:r>
          </w:p>
        </w:tc>
        <w:tc>
          <w:tcPr>
            <w:tcW w:w="4876" w:type="dxa"/>
            <w:tcBorders>
              <w:top w:val="nil"/>
              <w:left w:val="nil"/>
              <w:bottom w:val="nil"/>
              <w:right w:val="nil"/>
            </w:tcBorders>
          </w:tcPr>
          <w:p w:rsidR="004855AE" w:rsidRPr="00C34506" w:rsidRDefault="004855AE" w:rsidP="00061FA7">
            <w:pPr>
              <w:pStyle w:val="Normal6a"/>
            </w:pPr>
            <w:r>
              <w:t>8.</w:t>
            </w:r>
            <w:r>
              <w:tab/>
              <w:t xml:space="preserve">настоятелно призовава Комисията </w:t>
            </w:r>
            <w:r>
              <w:rPr>
                <w:b/>
                <w:i/>
              </w:rPr>
              <w:t>да оцени въздействието на регламента върху</w:t>
            </w:r>
            <w:r>
              <w:t xml:space="preserve"> на клиринговите дейности в ЕС;</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310</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Еро Хейнелуома, Евелин Регнер, Нилс Фулсанг, Клер Фита, Карла Тавареш,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8.</w:t>
            </w:r>
            <w:r>
              <w:tab/>
              <w:t>настоятелно призовава Комисията да разработи предложения за правилно репатриране на клиринговите дейности в ЕС;</w:t>
            </w:r>
          </w:p>
        </w:tc>
        <w:tc>
          <w:tcPr>
            <w:tcW w:w="4876" w:type="dxa"/>
            <w:tcBorders>
              <w:top w:val="nil"/>
              <w:left w:val="nil"/>
              <w:bottom w:val="nil"/>
              <w:right w:val="nil"/>
            </w:tcBorders>
          </w:tcPr>
          <w:p w:rsidR="004855AE" w:rsidRPr="00C34506" w:rsidRDefault="004855AE" w:rsidP="00061FA7">
            <w:pPr>
              <w:pStyle w:val="Normal6a"/>
            </w:pPr>
            <w:r>
              <w:t>8.</w:t>
            </w:r>
            <w:r>
              <w:tab/>
              <w:t xml:space="preserve">настоятелно призовава Комисията да разработи предложения за правилно репатриране на клиринговите дейности в ЕС; </w:t>
            </w:r>
            <w:r>
              <w:rPr>
                <w:b/>
                <w:i/>
              </w:rPr>
              <w:t>изразява съжаление относно настоящото положение, при което по-голямата част от клиринговата дейност на ЕС се извършва извън ЕС; изразява съжаление относно решението за удължаване на еквивалентността за централните контрагенти (ЦК) от Обединеното кралство за период от три години до 30 юни 2028 г. и счита, че това удължаване следва да остане последното;</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lastRenderedPageBreak/>
        <w:t>&lt;Amend&gt;</w:t>
      </w:r>
      <w:r>
        <w:t>Изменение</w:t>
      </w:r>
      <w:r>
        <w:tab/>
      </w:r>
      <w:r>
        <w:tab/>
      </w:r>
      <w:r>
        <w:rPr>
          <w:rStyle w:val="HideTWBExt"/>
          <w:b w:val="0"/>
        </w:rPr>
        <w:t>&lt;NumAm&gt;</w:t>
      </w:r>
      <w:r>
        <w:t>311</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8.</w:t>
            </w:r>
            <w:r>
              <w:tab/>
              <w:t>настоятелно призовава Комисията да разработи предложения за правилно репатриране на клиринговите дейности в ЕС;</w:t>
            </w:r>
          </w:p>
        </w:tc>
        <w:tc>
          <w:tcPr>
            <w:tcW w:w="4876" w:type="dxa"/>
            <w:tcBorders>
              <w:top w:val="nil"/>
              <w:left w:val="nil"/>
              <w:bottom w:val="nil"/>
              <w:right w:val="nil"/>
            </w:tcBorders>
          </w:tcPr>
          <w:p w:rsidR="004855AE" w:rsidRPr="00C34506" w:rsidRDefault="004855AE" w:rsidP="00061FA7">
            <w:pPr>
              <w:pStyle w:val="Normal6a"/>
            </w:pPr>
            <w:r>
              <w:t>8.</w:t>
            </w:r>
            <w:r>
              <w:tab/>
              <w:t xml:space="preserve">настоятелно призовава Комисията да разработи предложения за правилно репатриране на клиринговите дейности в ЕС; </w:t>
            </w:r>
            <w:r>
              <w:rPr>
                <w:b/>
                <w:i/>
              </w:rPr>
              <w:t>очаква амбициозен делегиран акт относно активните сметки под Регламента за европейската пазарна инфраструктура 3.0. приканва Европейската комисия непрекъснато да оценява развитието на клиринговите дейности и да представи допълнителни законодателни предложения за укрепване на клиринговата екосистема на ЕС;</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312</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8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8а.</w:t>
            </w:r>
            <w:r>
              <w:tab/>
            </w:r>
            <w:r>
              <w:rPr>
                <w:b/>
                <w:i/>
              </w:rPr>
              <w:t xml:space="preserve">приветства обявения от Комисията амбициозен пакет от законодателни предложения за укрепване на търговската и следтърговската екосистема в Европейския съюз, за премахване на пречките пред трансграничната дейност и за привеждане на рамката в съответствие с новите технологии; очаква, че подобно предложение би могло да спомогне за преодоляване на разпокъсаността на пазара в ЕС; подчертава обаче, че всички </w:t>
            </w:r>
            <w:r>
              <w:rPr>
                <w:b/>
                <w:i/>
              </w:rPr>
              <w:lastRenderedPageBreak/>
              <w:t>инициативи за консолидиране на пазара следва да бъдат пазарно ориентирани; отбелязва, че в миналото прекалено строгите антитръстови решения понякога са възпрепятствали по-нататъшната пазарна интеграция;</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313</w:t>
      </w:r>
      <w:r>
        <w:rPr>
          <w:rStyle w:val="HideTWBExt"/>
          <w:b w:val="0"/>
        </w:rPr>
        <w:t>&lt;/NumAm&gt;</w:t>
      </w:r>
    </w:p>
    <w:p w:rsidR="004855AE" w:rsidRPr="00C34506" w:rsidRDefault="004855AE" w:rsidP="004855AE">
      <w:pPr>
        <w:pStyle w:val="NormalBold"/>
      </w:pPr>
      <w:r>
        <w:rPr>
          <w:rStyle w:val="HideTWBExt"/>
          <w:b w:val="0"/>
        </w:rPr>
        <w:t>&lt;RepeatBlock-By&gt;&lt;Members&gt;</w:t>
      </w:r>
      <w:r>
        <w:t>Джовани Крозето, Доменико Денис Неши, Франческо Вентола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8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8а.</w:t>
            </w:r>
            <w:r>
              <w:tab/>
            </w:r>
            <w:r>
              <w:rPr>
                <w:b/>
                <w:i/>
              </w:rPr>
              <w:t>отбелязва със загриженост разпокъсаността на пазарните структури, която води до разпръсване на ликвидността на отделните акции на множество места за търговия; признава потенциалното отрицателно въздействие на разделянето на ликвидността върху ценообразуването, качеството на изпълнение и цялостната дълбочина на пазара; призовава Комисията да даде приоритет на оценката на разпокъсаността на ликвидността като част от работата си по съюза на капиталовите пазари и да обмисли целенасочени мерки за насърчаване на по-голяма концентрация на ликвидност на пазарите на ЕС;</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314</w:t>
      </w:r>
      <w:r>
        <w:rPr>
          <w:rStyle w:val="HideTWBExt"/>
          <w:b w:val="0"/>
        </w:rPr>
        <w:t>&lt;/NumAm&gt;</w:t>
      </w:r>
    </w:p>
    <w:p w:rsidR="004855AE" w:rsidRPr="00C34506" w:rsidRDefault="004855AE" w:rsidP="004855AE">
      <w:pPr>
        <w:pStyle w:val="NormalBold"/>
      </w:pPr>
      <w:r>
        <w:rPr>
          <w:rStyle w:val="HideTWBExt"/>
          <w:b w:val="0"/>
        </w:rPr>
        <w:t>&lt;RepeatBlock-By&gt;&lt;Members&gt;</w:t>
      </w:r>
      <w:r>
        <w:t>Фернандо Наварете Рохас,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lastRenderedPageBreak/>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9.</w:t>
            </w:r>
            <w:r>
              <w:tab/>
              <w:t xml:space="preserve">отбелязва, че рационализирането на административните процедури може да подобри привлекателността на ЕС като дестинация за инвестиции; счита, че </w:t>
            </w:r>
            <w:r>
              <w:rPr>
                <w:b/>
                <w:i/>
              </w:rPr>
              <w:t>привеждането</w:t>
            </w:r>
            <w:r>
              <w:t xml:space="preserve"> </w:t>
            </w:r>
            <w:r>
              <w:rPr>
                <w:b/>
                <w:i/>
              </w:rPr>
              <w:t>в</w:t>
            </w:r>
            <w:r>
              <w:t xml:space="preserve">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w:t>
            </w:r>
            <w:r>
              <w:rPr>
                <w:b/>
                <w:i/>
              </w:rPr>
              <w:t>призовава Комисията да разчита повече на регламенти, а не на директиви, като по този начин се ограничава свободата на преценка на национално равнище, която би могло да доведе до разпокъсаност</w:t>
            </w:r>
            <w:r>
              <w:t>;</w:t>
            </w:r>
          </w:p>
        </w:tc>
        <w:tc>
          <w:tcPr>
            <w:tcW w:w="4876" w:type="dxa"/>
            <w:tcBorders>
              <w:top w:val="nil"/>
              <w:left w:val="nil"/>
              <w:bottom w:val="nil"/>
              <w:right w:val="nil"/>
            </w:tcBorders>
          </w:tcPr>
          <w:p w:rsidR="004855AE" w:rsidRPr="00C34506" w:rsidRDefault="004855AE" w:rsidP="00061FA7">
            <w:pPr>
              <w:pStyle w:val="Normal6a"/>
            </w:pPr>
            <w:r>
              <w:t>9.</w:t>
            </w:r>
            <w:r>
              <w:tab/>
              <w:t xml:space="preserve">отбелязва, че </w:t>
            </w:r>
            <w:r>
              <w:rPr>
                <w:b/>
                <w:i/>
              </w:rPr>
              <w:t xml:space="preserve">по-нататъшно </w:t>
            </w:r>
            <w:r>
              <w:t xml:space="preserve">рационализиране </w:t>
            </w:r>
            <w:r>
              <w:rPr>
                <w:b/>
                <w:i/>
              </w:rPr>
              <w:t>на</w:t>
            </w:r>
            <w:r>
              <w:t xml:space="preserve"> административните процедури може да подобри </w:t>
            </w:r>
            <w:r>
              <w:rPr>
                <w:b/>
                <w:i/>
              </w:rPr>
              <w:t>значително</w:t>
            </w:r>
            <w:r>
              <w:t xml:space="preserve"> привлекателността на ЕС като дестинация за инвестиции; 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w:t>
            </w:r>
            <w:r>
              <w:rPr>
                <w:b/>
                <w:i/>
              </w:rPr>
              <w:t>подчертава необходимостта от намаляване на регулаторната тежест, свързана с рамката на ЕС за финансиране за устойчиво развитие, както се подчертава в доклада на Драги, по-специално чрез по-голяма яснота, последователност и насоки; във връзка с това приветства пакета „Омнибус“ на Комисията относно устойчивостта като стъпка към намаляване на сложността и подобряване на използваемостта на основните законодателни инструменти, по-специално чрез предложеното преминаване към доброволно докладване в някои области</w:t>
            </w:r>
            <w:r>
              <w:t>;</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315</w:t>
      </w:r>
      <w:r>
        <w:rPr>
          <w:rStyle w:val="HideTWBExt"/>
          <w:b w:val="0"/>
        </w:rPr>
        <w:t>&lt;/NumAm&gt;</w:t>
      </w:r>
    </w:p>
    <w:p w:rsidR="004855AE" w:rsidRPr="00C34506" w:rsidRDefault="004855AE" w:rsidP="004855AE">
      <w:pPr>
        <w:pStyle w:val="NormalBold"/>
      </w:pPr>
      <w:r>
        <w:rPr>
          <w:rStyle w:val="HideTWBExt"/>
          <w:b w:val="0"/>
        </w:rPr>
        <w:t>&lt;RepeatBlock-By&gt;&lt;Members&gt;</w:t>
      </w:r>
      <w:r>
        <w:t>Марко Фалконе, Фулвио Мартушело</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9.</w:t>
            </w:r>
            <w:r>
              <w:tab/>
              <w:t xml:space="preserve">отбелязва, че рационализирането на административните процедури може да подобри привлекателността на ЕС като дестинация за инвестиции; счита, че привеждането в съответствие на законодателните рамки на държавите </w:t>
            </w:r>
            <w:r>
              <w:lastRenderedPageBreak/>
              <w:t xml:space="preserve">членки следва да бъде част от програмата за опростяване с цел улесняване на трансграничните дейности; призовава Комисията </w:t>
            </w:r>
            <w:r>
              <w:rPr>
                <w:b/>
                <w:i/>
              </w:rPr>
              <w:t>да разчита повече на</w:t>
            </w:r>
            <w:r>
              <w:t xml:space="preserve"> регламенти, </w:t>
            </w:r>
            <w:r>
              <w:rPr>
                <w:b/>
                <w:i/>
              </w:rPr>
              <w:t>а не на директиви</w:t>
            </w:r>
            <w:r>
              <w:t xml:space="preserve">, </w:t>
            </w:r>
            <w:r>
              <w:rPr>
                <w:b/>
                <w:i/>
              </w:rPr>
              <w:t>като по този начин се ограничава</w:t>
            </w:r>
            <w:r>
              <w:t xml:space="preserve"> свободата на </w:t>
            </w:r>
            <w:r>
              <w:rPr>
                <w:b/>
                <w:i/>
              </w:rPr>
              <w:t>преценка на национално равнище, която би могло да доведе до разпокъсаност;</w:t>
            </w:r>
          </w:p>
        </w:tc>
        <w:tc>
          <w:tcPr>
            <w:tcW w:w="4876" w:type="dxa"/>
            <w:tcBorders>
              <w:top w:val="nil"/>
              <w:left w:val="nil"/>
              <w:bottom w:val="nil"/>
              <w:right w:val="nil"/>
            </w:tcBorders>
          </w:tcPr>
          <w:p w:rsidR="004855AE" w:rsidRPr="00C34506" w:rsidRDefault="004855AE" w:rsidP="00061FA7">
            <w:pPr>
              <w:pStyle w:val="Normal6a"/>
            </w:pPr>
            <w:r>
              <w:lastRenderedPageBreak/>
              <w:t>9.</w:t>
            </w:r>
            <w:r>
              <w:tab/>
              <w:t xml:space="preserve">отбелязва, че рационализирането на административните процедури може да подобри привлекателността на ЕС като дестинация за инвестиции; счита, че привеждането в съответствие на законодателните рамки на държавите </w:t>
            </w:r>
            <w:r>
              <w:lastRenderedPageBreak/>
              <w:t xml:space="preserve">членки следва да бъде част от програмата за опростяване с цел улесняване на трансграничните дейности; призовава </w:t>
            </w:r>
            <w:r>
              <w:rPr>
                <w:b/>
                <w:i/>
              </w:rPr>
              <w:t>Европейската</w:t>
            </w:r>
            <w:r>
              <w:t xml:space="preserve"> комисия да </w:t>
            </w:r>
            <w:r>
              <w:rPr>
                <w:b/>
                <w:i/>
              </w:rPr>
              <w:t>отдаде предпочитание, когато е целесъобразно, на използването на</w:t>
            </w:r>
            <w:r>
              <w:t xml:space="preserve"> регламенти </w:t>
            </w:r>
            <w:r>
              <w:rPr>
                <w:b/>
                <w:i/>
              </w:rPr>
              <w:t>като правни инструменти, с които допълнително да се хармонизира единният пазар и да се предотврати регулаторната разпокъсаност между държавите членки</w:t>
            </w:r>
            <w:r>
              <w:t xml:space="preserve">, </w:t>
            </w:r>
            <w:r>
              <w:rPr>
                <w:b/>
                <w:i/>
              </w:rPr>
              <w:t>като същевременно се гарантира подходяща гъвкавост, когато е необходимо, за да се вземат предвид</w:t>
            </w:r>
            <w:r>
              <w:t xml:space="preserve"> </w:t>
            </w:r>
            <w:r>
              <w:rPr>
                <w:b/>
                <w:i/>
              </w:rPr>
              <w:t>националните особености и да се спазва принципът на субсидиарност. </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{IT}</w:t>
      </w:r>
      <w:r w:rsidRPr="00C34506">
        <w:t>it</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316</w:t>
      </w:r>
      <w:r>
        <w:rPr>
          <w:rStyle w:val="HideTWBExt"/>
          <w:b w:val="0"/>
        </w:rPr>
        <w:t>&lt;/NumAm&gt;</w:t>
      </w:r>
    </w:p>
    <w:p w:rsidR="004855AE" w:rsidRPr="00C34506" w:rsidRDefault="004855AE" w:rsidP="004855AE">
      <w:pPr>
        <w:pStyle w:val="NormalBold"/>
      </w:pPr>
      <w:r>
        <w:rPr>
          <w:rStyle w:val="HideTWBExt"/>
          <w:b w:val="0"/>
        </w:rPr>
        <w:t>&lt;RepeatBlock-By&gt;&lt;Members&gt;</w:t>
      </w:r>
      <w:r>
        <w:t>Енгин Ероглу</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9.</w:t>
            </w:r>
            <w:r>
              <w:tab/>
              <w:t xml:space="preserve">отбелязва, че рационализирането на административните процедури може да подобри привлекателността на ЕС като дестинация за инвестиции; 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w:t>
            </w:r>
            <w:r>
              <w:rPr>
                <w:b/>
                <w:i/>
              </w:rPr>
              <w:t>призовава Комисията да разчита повече на регламенти, а не на директиви, като по този начин се ограничава свободата на преценка на национално равнище, която би могло да доведе до разпокъсаност;</w:t>
            </w:r>
          </w:p>
        </w:tc>
        <w:tc>
          <w:tcPr>
            <w:tcW w:w="4876" w:type="dxa"/>
            <w:tcBorders>
              <w:top w:val="nil"/>
              <w:left w:val="nil"/>
              <w:bottom w:val="nil"/>
              <w:right w:val="nil"/>
            </w:tcBorders>
          </w:tcPr>
          <w:p w:rsidR="004855AE" w:rsidRPr="00C34506" w:rsidRDefault="004855AE" w:rsidP="00061FA7">
            <w:pPr>
              <w:pStyle w:val="Normal6a"/>
            </w:pPr>
            <w:r>
              <w:t>9.</w:t>
            </w:r>
            <w:r>
              <w:tab/>
              <w:t>отбелязва, че рационализирането на административните процедури може да подобри привлекателността на ЕС като дестинация за инвестиции; 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{DE}</w:t>
      </w:r>
      <w:r w:rsidRPr="00C34506">
        <w:t>de</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lang w:eastAsia="en-GB"/>
        </w:rPr>
        <w:lastRenderedPageBreak/>
        <w:t>&lt;Amend&gt;</w:t>
      </w:r>
      <w:r>
        <w:t>Изменение</w:t>
      </w:r>
      <w:r>
        <w:tab/>
      </w:r>
      <w:r>
        <w:tab/>
      </w:r>
      <w:r>
        <w:rPr>
          <w:rStyle w:val="HideTWBExt"/>
          <w:b w:val="0"/>
          <w:lang w:eastAsia="en-GB"/>
        </w:rPr>
        <w:t>&lt;NumAm&gt;</w:t>
      </w:r>
      <w:r>
        <w:t>317</w:t>
      </w:r>
      <w:r>
        <w:rPr>
          <w:rStyle w:val="HideTWBExt"/>
          <w:b w:val="0"/>
          <w:lang w:eastAsia="en-GB"/>
        </w:rPr>
        <w:t>&lt;/NumAm&gt;</w:t>
      </w:r>
    </w:p>
    <w:p w:rsidR="004855AE" w:rsidRPr="00C34506" w:rsidRDefault="004855AE" w:rsidP="004855AE">
      <w:pPr>
        <w:pStyle w:val="NormalBold"/>
      </w:pPr>
      <w:r>
        <w:rPr>
          <w:rStyle w:val="HideTWBExt"/>
          <w:b w:val="0"/>
          <w:lang w:eastAsia="en-GB"/>
        </w:rPr>
        <w:t>&lt;RepeatBlock-By&gt;&lt;Members&gt;</w:t>
      </w:r>
      <w:r>
        <w:t>Кристоф Гомар</w:t>
      </w:r>
      <w:r>
        <w:rPr>
          <w:rStyle w:val="HideTWBExt"/>
          <w:b w:val="0"/>
          <w:lang w:eastAsia="en-GB"/>
        </w:rPr>
        <w:t>&lt;/Members&gt;</w:t>
      </w:r>
    </w:p>
    <w:p w:rsidR="004855AE" w:rsidRPr="00C34506" w:rsidRDefault="004855AE" w:rsidP="004855AE">
      <w:pPr>
        <w:pStyle w:val="NormalBold"/>
      </w:pPr>
      <w:r>
        <w:rPr>
          <w:rStyle w:val="HideTWBExt"/>
          <w:b w:val="0"/>
          <w:lang w:eastAsia="en-GB"/>
        </w:rPr>
        <w:t>&lt;/RepeatBlock-By&gt;</w:t>
      </w:r>
    </w:p>
    <w:p w:rsidR="004855AE" w:rsidRPr="00C34506" w:rsidRDefault="004855AE" w:rsidP="004855AE">
      <w:pPr>
        <w:pStyle w:val="NormalBold"/>
      </w:pPr>
      <w:r>
        <w:rPr>
          <w:rStyle w:val="HideTWBExt"/>
          <w:b w:val="0"/>
          <w:lang w:eastAsia="en-GB"/>
        </w:rPr>
        <w:t>&lt;DocAmend&gt;</w:t>
      </w:r>
      <w:r>
        <w:t>Предложение за резолюция</w:t>
      </w:r>
      <w:r>
        <w:rPr>
          <w:rStyle w:val="HideTWBExt"/>
          <w:b w:val="0"/>
          <w:lang w:eastAsia="en-GB"/>
        </w:rPr>
        <w:t>&lt;/DocAmend&gt;</w:t>
      </w:r>
    </w:p>
    <w:p w:rsidR="004855AE" w:rsidRPr="00C34506" w:rsidRDefault="004855AE" w:rsidP="004855AE">
      <w:pPr>
        <w:pStyle w:val="NormalBold"/>
      </w:pPr>
      <w:r>
        <w:rPr>
          <w:rStyle w:val="HideTWBExt"/>
          <w:b w:val="0"/>
          <w:lang w:eastAsia="en-GB"/>
        </w:rPr>
        <w:t>&lt;Article&gt;</w:t>
      </w:r>
      <w:r>
        <w:t>Параграф 9</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9.</w:t>
            </w:r>
            <w:r>
              <w:tab/>
              <w:t>отбелязва, че рационализирането на административните процедури може да подобри привлекателността на ЕС като дестинация за инвестиции; 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призовава Комисията да разчита повече на регламенти, а не на директиви, като по този начин се ограничава свободата на преценка на национално равнище, която би могло да доведе до разпокъсаност;</w:t>
            </w:r>
          </w:p>
        </w:tc>
        <w:tc>
          <w:tcPr>
            <w:tcW w:w="4876" w:type="dxa"/>
            <w:tcBorders>
              <w:top w:val="nil"/>
              <w:left w:val="nil"/>
              <w:bottom w:val="nil"/>
              <w:right w:val="nil"/>
            </w:tcBorders>
          </w:tcPr>
          <w:p w:rsidR="004855AE" w:rsidRPr="00C34506" w:rsidRDefault="004855AE" w:rsidP="00061FA7">
            <w:pPr>
              <w:pStyle w:val="Normal6a"/>
            </w:pPr>
            <w:r>
              <w:t>9.</w:t>
            </w:r>
            <w:r>
              <w:tab/>
              <w:t xml:space="preserve">отбелязва, че рационализирането на административните процедури </w:t>
            </w:r>
            <w:r>
              <w:rPr>
                <w:b/>
                <w:i/>
              </w:rPr>
              <w:t>и, в по-общ план, на регулаторната рамка, по-специално за инвеститорите и финансовите предприятия</w:t>
            </w:r>
            <w:r>
              <w:t xml:space="preserve">, може да подобри привлекателността на ЕС като дестинация за инвестиции за </w:t>
            </w:r>
            <w:r>
              <w:rPr>
                <w:b/>
                <w:i/>
              </w:rPr>
              <w:t>европейските и чуждестранните инвеститори</w:t>
            </w:r>
            <w:r>
              <w:t xml:space="preserve">; счита, че привеждането в съответствие на законодателните рамки на държавите членки </w:t>
            </w:r>
            <w:r>
              <w:rPr>
                <w:b/>
                <w:i/>
              </w:rPr>
              <w:t>и по-хармонизиран надзор на дейностите на националните пазари</w:t>
            </w:r>
            <w:r>
              <w:t xml:space="preserve"> следва да бъде част от програмата за опростяване с цел улесняване на трансграничните дейности; призовава Комисията да разчита повече на регламенти, а не на директиви, като по този начин се ограничава свободата на преценка на национално равнище, която би могло да доведе до разпокъсаност; </w:t>
            </w:r>
            <w:r>
              <w:rPr>
                <w:b/>
                <w:i/>
              </w:rPr>
              <w:t>призовава Комисията, с изключение на своята програма за опростяване, да даде приоритет на регулаторната стабилност.</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{FR}</w:t>
      </w:r>
      <w:r w:rsidRPr="00C34506">
        <w:t>fr</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318</w:t>
      </w:r>
      <w:r>
        <w:rPr>
          <w:rStyle w:val="HideTWBExt"/>
          <w:b w:val="0"/>
        </w:rPr>
        <w:t>&lt;/NumAm&gt;</w:t>
      </w:r>
    </w:p>
    <w:p w:rsidR="004855AE" w:rsidRPr="00C34506" w:rsidRDefault="004855AE" w:rsidP="004855AE">
      <w:pPr>
        <w:pStyle w:val="NormalBold"/>
      </w:pPr>
      <w:r>
        <w:rPr>
          <w:rStyle w:val="HideTWBExt"/>
          <w:b w:val="0"/>
        </w:rPr>
        <w:t>&lt;RepeatBlock-By&gt;&lt;Members&gt;</w:t>
      </w:r>
      <w:r>
        <w:t>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9.</w:t>
            </w:r>
            <w:r>
              <w:tab/>
              <w:t xml:space="preserve">отбелязва, че рационализирането на административните процедури </w:t>
            </w:r>
            <w:r>
              <w:rPr>
                <w:b/>
                <w:i/>
              </w:rPr>
              <w:t>може да подобри</w:t>
            </w:r>
            <w:r>
              <w:t xml:space="preserve"> привлекателността на ЕС </w:t>
            </w:r>
            <w:r>
              <w:lastRenderedPageBreak/>
              <w:t xml:space="preserve">като дестинация за инвестиции; 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призовава Комисията да разчита повече на регламенти, а не на директиви, </w:t>
            </w:r>
            <w:r>
              <w:rPr>
                <w:b/>
                <w:i/>
              </w:rPr>
              <w:t>като по този начин се ограничава свободата на преценка на национално равнище, която би могло да доведе до разпокъсаност;</w:t>
            </w:r>
          </w:p>
        </w:tc>
        <w:tc>
          <w:tcPr>
            <w:tcW w:w="4876" w:type="dxa"/>
            <w:tcBorders>
              <w:top w:val="nil"/>
              <w:left w:val="nil"/>
              <w:bottom w:val="nil"/>
              <w:right w:val="nil"/>
            </w:tcBorders>
          </w:tcPr>
          <w:p w:rsidR="004855AE" w:rsidRPr="00C34506" w:rsidRDefault="004855AE" w:rsidP="00061FA7">
            <w:pPr>
              <w:pStyle w:val="Normal6a"/>
            </w:pPr>
            <w:r>
              <w:lastRenderedPageBreak/>
              <w:t>9.</w:t>
            </w:r>
            <w:r>
              <w:tab/>
              <w:t xml:space="preserve">отбелязва, че рационализирането на административните процедури </w:t>
            </w:r>
            <w:r>
              <w:rPr>
                <w:b/>
                <w:i/>
              </w:rPr>
              <w:t>подобрява</w:t>
            </w:r>
            <w:r>
              <w:t xml:space="preserve"> привлекателността на ЕС </w:t>
            </w:r>
            <w:r>
              <w:lastRenderedPageBreak/>
              <w:t>като дестинация за инвестиции</w:t>
            </w:r>
            <w:r>
              <w:rPr>
                <w:b/>
                <w:i/>
              </w:rPr>
              <w:t>; призовава Комисията за опростяване на административните процедури в голям мащаб, за да се привлекат частни инвестиции и да се насърчи европейската конкурентоспособност, като се улесни създаването и разширяването на предприятия</w:t>
            </w:r>
            <w:r>
              <w:t xml:space="preserve">; 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w:t>
            </w:r>
            <w:r>
              <w:rPr>
                <w:b/>
                <w:i/>
              </w:rPr>
              <w:t>особено в стратегически сектори като сектора на финансовите услуги, където липсата на хармонизация възпрепятства достъпа до финансиране и инвестиции</w:t>
            </w:r>
            <w:r>
              <w:t xml:space="preserve">; призовава Комисията да разчита повече на регламенти, отколкото на директиви </w:t>
            </w:r>
            <w:r>
              <w:rPr>
                <w:b/>
                <w:i/>
              </w:rPr>
              <w:t>в сектора на финансовите услуги, като по този начин се намалява вероятността за прилагане на свръхрегулиране;</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319</w:t>
      </w:r>
      <w:r>
        <w:rPr>
          <w:rStyle w:val="HideTWBExt"/>
          <w:b w:val="0"/>
        </w:rPr>
        <w:t>&lt;/NumAm&gt;</w:t>
      </w:r>
    </w:p>
    <w:p w:rsidR="004855AE" w:rsidRPr="00C34506" w:rsidRDefault="004855AE" w:rsidP="004855AE">
      <w:pPr>
        <w:pStyle w:val="NormalBold"/>
      </w:pPr>
      <w:r>
        <w:rPr>
          <w:rStyle w:val="HideTWBExt"/>
          <w:b w:val="0"/>
        </w:rPr>
        <w:t>&lt;RepeatBlock-By&gt;&lt;Members&gt;</w:t>
      </w:r>
      <w:r>
        <w:t>Стефани Йон</w:t>
      </w:r>
      <w:r>
        <w:noBreakHyphen/>
        <w:t>Куртен, Жил Боайе, Паскал Канфен, Били Келъхър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9.</w:t>
            </w:r>
            <w:r>
              <w:tab/>
            </w:r>
            <w:r>
              <w:rPr>
                <w:b/>
                <w:i/>
              </w:rPr>
              <w:t>отбелязва</w:t>
            </w:r>
            <w:r>
              <w:t xml:space="preserve">, че рационализирането на административните процедури може да подобри привлекателността на ЕС като дестинация за инвестиции; счита, че </w:t>
            </w:r>
            <w:r>
              <w:rPr>
                <w:b/>
                <w:i/>
              </w:rPr>
              <w:t>привеждането</w:t>
            </w:r>
            <w:r>
              <w:t xml:space="preserve">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призовава Комисията да разчита повече на регламенти, а не на </w:t>
            </w:r>
            <w:r>
              <w:lastRenderedPageBreak/>
              <w:t>директиви, като по този начин се ограничава свободата на преценка на национално равнище, която би могло да доведе до разпокъсаност;</w:t>
            </w:r>
          </w:p>
        </w:tc>
        <w:tc>
          <w:tcPr>
            <w:tcW w:w="4876" w:type="dxa"/>
            <w:tcBorders>
              <w:top w:val="nil"/>
              <w:left w:val="nil"/>
              <w:bottom w:val="nil"/>
              <w:right w:val="nil"/>
            </w:tcBorders>
          </w:tcPr>
          <w:p w:rsidR="004855AE" w:rsidRPr="00C34506" w:rsidRDefault="004855AE" w:rsidP="00061FA7">
            <w:pPr>
              <w:pStyle w:val="Normal6a"/>
            </w:pPr>
            <w:r>
              <w:lastRenderedPageBreak/>
              <w:t>9.</w:t>
            </w:r>
            <w:r>
              <w:tab/>
            </w:r>
            <w:r>
              <w:rPr>
                <w:b/>
                <w:i/>
              </w:rPr>
              <w:t>смята</w:t>
            </w:r>
            <w:r>
              <w:t xml:space="preserve">, че рационализирането на административните процедури </w:t>
            </w:r>
            <w:r>
              <w:rPr>
                <w:b/>
                <w:i/>
              </w:rPr>
              <w:t>за компании и граждани</w:t>
            </w:r>
            <w:r>
              <w:t xml:space="preserve"> може да подобри привлекателността на ЕС като дестинация за инвестиции; </w:t>
            </w:r>
            <w:r>
              <w:rPr>
                <w:b/>
                <w:i/>
              </w:rPr>
              <w:t xml:space="preserve">счита, че опростяването на законодателната рамка следва да се разбира като запазване на амбицията на Европа, като същевременно се улеснява прилагането от страна на дружествата и разбирането на правилата за нейните граждани, </w:t>
            </w:r>
            <w:r>
              <w:rPr>
                <w:b/>
                <w:i/>
              </w:rPr>
              <w:lastRenderedPageBreak/>
              <w:t>което в крайна сметка ще укрепи конкурентоспособността и стратегическата автономност на ЕС;</w:t>
            </w:r>
            <w:r>
              <w:t xml:space="preserve"> счита, че </w:t>
            </w:r>
            <w:r>
              <w:rPr>
                <w:b/>
                <w:i/>
              </w:rPr>
              <w:t>привеждането</w:t>
            </w:r>
            <w:r>
              <w:t xml:space="preserve">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призовава Комисията да разчита повече на регламенти, а не на директиви, като по този начин се ограничава свободата на преценка на национално равнище, която би могло да доведе до разпокъсаност;</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320</w:t>
      </w:r>
      <w:r>
        <w:rPr>
          <w:rStyle w:val="HideTWBExt"/>
          <w:b w:val="0"/>
        </w:rPr>
        <w:t>&lt;/NumAm&gt;</w:t>
      </w:r>
    </w:p>
    <w:p w:rsidR="004855AE" w:rsidRPr="00C34506" w:rsidRDefault="004855AE" w:rsidP="004855AE">
      <w:pPr>
        <w:pStyle w:val="NormalBold"/>
      </w:pPr>
      <w:r>
        <w:rPr>
          <w:rStyle w:val="HideTWBExt"/>
          <w:b w:val="0"/>
        </w:rPr>
        <w:t>&lt;RepeatBlock-By&gt;&lt;Members&gt;</w:t>
      </w:r>
      <w:r>
        <w:t>Фернан Картайзер, Геадис Геади, Кристофер Сторм, Нора Хунко Гарсия, Диего Солиер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9.</w:t>
            </w:r>
            <w:r>
              <w:tab/>
              <w:t xml:space="preserve">отбелязва, че рационализирането на административните процедури може да подобри привлекателността на ЕС като дестинация за инвестиции; счита, че </w:t>
            </w:r>
            <w:r>
              <w:rPr>
                <w:b/>
                <w:i/>
              </w:rPr>
              <w:t>привеждането</w:t>
            </w:r>
            <w:r>
              <w:t xml:space="preserve">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w:t>
            </w:r>
            <w:r>
              <w:rPr>
                <w:b/>
                <w:i/>
              </w:rPr>
              <w:t>призовава Комисията да разчита повече на регламенти, а не на директиви, като по този начин се ограничава свободата на преценка на национално равнище, която би могло да доведе до разпокъсаност;</w:t>
            </w:r>
          </w:p>
        </w:tc>
        <w:tc>
          <w:tcPr>
            <w:tcW w:w="4876" w:type="dxa"/>
            <w:tcBorders>
              <w:top w:val="nil"/>
              <w:left w:val="nil"/>
              <w:bottom w:val="nil"/>
              <w:right w:val="nil"/>
            </w:tcBorders>
          </w:tcPr>
          <w:p w:rsidR="004855AE" w:rsidRPr="00C34506" w:rsidRDefault="004855AE" w:rsidP="00061FA7">
            <w:pPr>
              <w:pStyle w:val="Normal6a"/>
            </w:pPr>
            <w:r>
              <w:t>9.</w:t>
            </w:r>
            <w:r>
              <w:tab/>
              <w:t xml:space="preserve">отбелязва, че рационализирането на административните процедури може да подобри привлекателността на ЕС като дестинация за инвестиции; счита, че </w:t>
            </w:r>
            <w:r>
              <w:rPr>
                <w:b/>
                <w:i/>
              </w:rPr>
              <w:t>координирането</w:t>
            </w:r>
            <w:r>
              <w:t xml:space="preserve">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321</w:t>
      </w:r>
      <w:r>
        <w:rPr>
          <w:rStyle w:val="HideTWBExt"/>
          <w:b w:val="0"/>
        </w:rPr>
        <w:t>&lt;/NumAm&gt;</w:t>
      </w:r>
    </w:p>
    <w:p w:rsidR="004855AE" w:rsidRPr="00C34506" w:rsidRDefault="004855AE" w:rsidP="004855AE">
      <w:pPr>
        <w:pStyle w:val="NormalBold"/>
      </w:pPr>
      <w:r>
        <w:rPr>
          <w:rStyle w:val="HideTWBExt"/>
          <w:b w:val="0"/>
        </w:rPr>
        <w:lastRenderedPageBreak/>
        <w:t>&lt;RepeatBlock-By&gt;&lt;Members&gt;</w:t>
      </w:r>
      <w:r>
        <w:t>Джовани Крозето, Доменико Денис Неши, Франческо Вентола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9.</w:t>
            </w:r>
            <w:r>
              <w:tab/>
              <w:t>отбелязва, че рационализирането на административните процедури може да подобри привлекателността на ЕС като дестинация за инвестиции; 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призовава Комисията да разчита повече на регламенти, а не на директиви, като по този начин се ограничава свободата на преценка на национално равнище, която би могло да доведе до разпокъсаност;</w:t>
            </w:r>
          </w:p>
        </w:tc>
        <w:tc>
          <w:tcPr>
            <w:tcW w:w="4876" w:type="dxa"/>
            <w:tcBorders>
              <w:top w:val="nil"/>
              <w:left w:val="nil"/>
              <w:bottom w:val="nil"/>
              <w:right w:val="nil"/>
            </w:tcBorders>
          </w:tcPr>
          <w:p w:rsidR="004855AE" w:rsidRPr="00C34506" w:rsidRDefault="004855AE" w:rsidP="00061FA7">
            <w:pPr>
              <w:pStyle w:val="Normal6a"/>
            </w:pPr>
            <w:r>
              <w:t>9.</w:t>
            </w:r>
            <w:r>
              <w:tab/>
              <w:t xml:space="preserve">отбелязва, че рационализирането на административните процедури може да подобри привлекателността на ЕС като дестинация за инвестиции; счита, че </w:t>
            </w:r>
            <w:r>
              <w:rPr>
                <w:b/>
                <w:i/>
              </w:rPr>
              <w:t>привеждането</w:t>
            </w:r>
            <w:r>
              <w:t xml:space="preserve"> в съответствие на законодателните рамки на държавите членки </w:t>
            </w:r>
            <w:r>
              <w:rPr>
                <w:b/>
                <w:i/>
              </w:rPr>
              <w:t>следва да бъде част от</w:t>
            </w:r>
            <w:r>
              <w:t xml:space="preserve"> програмата за опростяване с цел улесняване на трансграничните дейности; призовава Комисията да </w:t>
            </w:r>
            <w:r>
              <w:rPr>
                <w:b/>
                <w:i/>
              </w:rPr>
              <w:t>направи оценка, когато е целесъобразно, на използването</w:t>
            </w:r>
            <w:r>
              <w:t xml:space="preserve"> на регламенти </w:t>
            </w:r>
            <w:r>
              <w:rPr>
                <w:b/>
                <w:i/>
              </w:rPr>
              <w:t>вместо</w:t>
            </w:r>
            <w:r>
              <w:t xml:space="preserve"> директиви </w:t>
            </w:r>
            <w:r>
              <w:rPr>
                <w:b/>
                <w:i/>
              </w:rPr>
              <w:t>с оглед намаляване на регулаторната</w:t>
            </w:r>
            <w:r>
              <w:t xml:space="preserve"> разпокъсаност, </w:t>
            </w:r>
            <w:r>
              <w:rPr>
                <w:b/>
                <w:i/>
              </w:rPr>
              <w:t>като същевременно се зачитат принципите на субсидиарност и пропорционалност</w:t>
            </w:r>
            <w:r>
              <w:t>;</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322</w:t>
      </w:r>
      <w:r>
        <w:rPr>
          <w:rStyle w:val="HideTWBExt"/>
          <w:b w:val="0"/>
        </w:rPr>
        <w:t>&lt;/NumAm&gt;</w:t>
      </w:r>
    </w:p>
    <w:p w:rsidR="004855AE" w:rsidRPr="00C34506" w:rsidRDefault="004855AE" w:rsidP="004855AE">
      <w:pPr>
        <w:pStyle w:val="NormalBold"/>
      </w:pPr>
      <w:r>
        <w:rPr>
          <w:rStyle w:val="HideTWBExt"/>
          <w:b w:val="0"/>
        </w:rPr>
        <w:t>&lt;RepeatBlock-By&gt;&lt;Members&gt;</w:t>
      </w:r>
      <w:r>
        <w:t>Арба Кокалари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9.</w:t>
            </w:r>
            <w:r>
              <w:tab/>
              <w:t xml:space="preserve">отбелязва, че рационализирането на административните процедури може да подобри привлекателността на ЕС като дестинация за инвестиции; 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призовава Комисията да разчита повече на регламенти, а не на директиви, като по този начин се </w:t>
            </w:r>
            <w:r>
              <w:lastRenderedPageBreak/>
              <w:t>ограничава свободата на преценка на национално равнище, която би могло да доведе до разпокъсаност;</w:t>
            </w:r>
          </w:p>
        </w:tc>
        <w:tc>
          <w:tcPr>
            <w:tcW w:w="4876" w:type="dxa"/>
            <w:tcBorders>
              <w:top w:val="nil"/>
              <w:left w:val="nil"/>
              <w:bottom w:val="nil"/>
              <w:right w:val="nil"/>
            </w:tcBorders>
          </w:tcPr>
          <w:p w:rsidR="004855AE" w:rsidRPr="00C34506" w:rsidRDefault="004855AE" w:rsidP="00061FA7">
            <w:pPr>
              <w:pStyle w:val="Normal6a"/>
            </w:pPr>
            <w:r>
              <w:lastRenderedPageBreak/>
              <w:t>9.</w:t>
            </w:r>
            <w:r>
              <w:tab/>
              <w:t xml:space="preserve">отбелязва, че </w:t>
            </w:r>
            <w:r>
              <w:rPr>
                <w:b/>
                <w:i/>
              </w:rPr>
              <w:t>целенасоченото</w:t>
            </w:r>
            <w:r>
              <w:t xml:space="preserve"> рационализирането на административните процедури може да подобри привлекателността на ЕС като дестинация за инвестиции; 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w:t>
            </w:r>
            <w:r>
              <w:rPr>
                <w:b/>
                <w:i/>
              </w:rPr>
              <w:t>приканва</w:t>
            </w:r>
            <w:r>
              <w:t xml:space="preserve"> Комисията да обмисли </w:t>
            </w:r>
            <w:r>
              <w:rPr>
                <w:b/>
                <w:i/>
              </w:rPr>
              <w:t>отдаването на предимство</w:t>
            </w:r>
            <w:r>
              <w:t xml:space="preserve"> </w:t>
            </w:r>
            <w:r>
              <w:lastRenderedPageBreak/>
              <w:t xml:space="preserve">на регламентите </w:t>
            </w:r>
            <w:r>
              <w:rPr>
                <w:b/>
                <w:i/>
              </w:rPr>
              <w:t>пред</w:t>
            </w:r>
            <w:r>
              <w:t xml:space="preserve"> директивите, </w:t>
            </w:r>
            <w:r>
              <w:rPr>
                <w:b/>
                <w:i/>
              </w:rPr>
              <w:t>когато това е надлежно обосновано, с оглед намаляване на неоправданите</w:t>
            </w:r>
            <w:r>
              <w:t xml:space="preserve"> национални </w:t>
            </w:r>
            <w:r>
              <w:rPr>
                <w:b/>
                <w:i/>
              </w:rPr>
              <w:t>различия и гарантиране на по-голяма хармонизация в рамките на единния пазар</w:t>
            </w:r>
            <w:r>
              <w:t>;</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323</w:t>
      </w:r>
      <w:r>
        <w:rPr>
          <w:rStyle w:val="HideTWBExt"/>
          <w:b w:val="0"/>
        </w:rPr>
        <w:t>&lt;/NumAm&gt;</w:t>
      </w:r>
    </w:p>
    <w:p w:rsidR="004855AE" w:rsidRPr="00C34506" w:rsidRDefault="004855AE" w:rsidP="004855AE">
      <w:pPr>
        <w:pStyle w:val="NormalBold"/>
      </w:pPr>
      <w:r>
        <w:rPr>
          <w:rStyle w:val="HideTWBExt"/>
          <w:b w:val="0"/>
        </w:rPr>
        <w:t>&lt;RepeatBlock-By&gt;&lt;Members&gt;</w:t>
      </w:r>
      <w:r>
        <w:t>Лидия Перейра,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9.</w:t>
            </w:r>
            <w:r>
              <w:tab/>
              <w:t xml:space="preserve">отбелязва, че рационализирането на административните процедури може да подобри привлекателността на ЕС като дестинация за инвестиции; 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призовава Комисията </w:t>
            </w:r>
            <w:r>
              <w:rPr>
                <w:b/>
                <w:i/>
              </w:rPr>
              <w:t>да разчита повече на регламенти, а не на директиви, като по този начин се ограничава свободата на преценка на национално равнище, която би могло да доведе до</w:t>
            </w:r>
            <w:r>
              <w:t xml:space="preserve"> разпокъсаност;</w:t>
            </w:r>
          </w:p>
        </w:tc>
        <w:tc>
          <w:tcPr>
            <w:tcW w:w="4876" w:type="dxa"/>
            <w:tcBorders>
              <w:top w:val="nil"/>
              <w:left w:val="nil"/>
              <w:bottom w:val="nil"/>
              <w:right w:val="nil"/>
            </w:tcBorders>
          </w:tcPr>
          <w:p w:rsidR="004855AE" w:rsidRPr="00C34506" w:rsidRDefault="004855AE" w:rsidP="00061FA7">
            <w:pPr>
              <w:pStyle w:val="Normal6a"/>
            </w:pPr>
            <w:r>
              <w:t>9.</w:t>
            </w:r>
            <w:r>
              <w:tab/>
              <w:t>отбелязва, че рационализирането на административните процедури може да подобри привлекателността на ЕС като дестинация за инвестиции; 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призовава Комисията да</w:t>
            </w:r>
            <w:r>
              <w:rPr>
                <w:b/>
                <w:i/>
              </w:rPr>
              <w:t xml:space="preserve"> прилага принципа на по-малко регулиране, за сметка на по-добро регулиране, като гарантира хармонизация, когато оценките на въздействието показват ясна добавена стойност, и да се справи с</w:t>
            </w:r>
            <w:r>
              <w:t xml:space="preserve"> разпокъсаността;</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324</w:t>
      </w:r>
      <w:r>
        <w:rPr>
          <w:rStyle w:val="HideTWBExt"/>
          <w:b w:val="0"/>
        </w:rPr>
        <w:t>&lt;/NumAm&gt;</w:t>
      </w:r>
    </w:p>
    <w:p w:rsidR="004855AE" w:rsidRPr="00C34506" w:rsidRDefault="004855AE" w:rsidP="004855AE">
      <w:pPr>
        <w:pStyle w:val="NormalBold"/>
      </w:pPr>
      <w:r>
        <w:rPr>
          <w:rStyle w:val="HideTWBExt"/>
          <w:b w:val="0"/>
        </w:rPr>
        <w:t>&lt;RepeatBlock-By&gt;&lt;Members&gt;</w:t>
      </w:r>
      <w:r>
        <w:t>Ауке Зейлстра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lastRenderedPageBreak/>
              <w:t>9.</w:t>
            </w:r>
            <w:r>
              <w:tab/>
              <w:t>отбелязва, че рационализирането на административните процедури може да подобри привлекателността на ЕС като дестинация за инвестиции;</w:t>
            </w:r>
            <w:r>
              <w:rPr>
                <w:b/>
                <w:i/>
              </w:rPr>
              <w:t xml:space="preserve"> </w:t>
            </w:r>
            <w:r>
              <w:t>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призовава Комисията да разчита повече на регламенти, а не на директиви, като по този начин се ограничава свободата на преценка на национално равнище, която би могло да доведе до разпокъсаност;</w:t>
            </w:r>
          </w:p>
        </w:tc>
        <w:tc>
          <w:tcPr>
            <w:tcW w:w="4876" w:type="dxa"/>
            <w:tcBorders>
              <w:top w:val="nil"/>
              <w:left w:val="nil"/>
              <w:bottom w:val="nil"/>
              <w:right w:val="nil"/>
            </w:tcBorders>
          </w:tcPr>
          <w:p w:rsidR="004855AE" w:rsidRPr="00C34506" w:rsidRDefault="004855AE" w:rsidP="00061FA7">
            <w:pPr>
              <w:pStyle w:val="Normal6a"/>
            </w:pPr>
            <w:r>
              <w:t>9.</w:t>
            </w:r>
            <w:r>
              <w:tab/>
              <w:t xml:space="preserve">отбелязва, че рационализирането и </w:t>
            </w:r>
            <w:r>
              <w:rPr>
                <w:b/>
                <w:i/>
              </w:rPr>
              <w:t>дерегулирането</w:t>
            </w:r>
            <w:r>
              <w:t xml:space="preserve"> на административните процедури може да подобри привлекателността на ЕС като дестинация за инвестиции </w:t>
            </w:r>
            <w:r>
              <w:rPr>
                <w:b/>
                <w:i/>
              </w:rPr>
              <w:t>и да</w:t>
            </w:r>
            <w:r>
              <w:t xml:space="preserve"> улесни </w:t>
            </w:r>
            <w:r>
              <w:rPr>
                <w:b/>
                <w:i/>
              </w:rPr>
              <w:t>трансграничните</w:t>
            </w:r>
            <w:r>
              <w:t xml:space="preserve"> дейности; призовава Комисията да разчита повече на </w:t>
            </w:r>
            <w:r>
              <w:rPr>
                <w:b/>
                <w:i/>
              </w:rPr>
              <w:t>дерегламенти</w:t>
            </w:r>
            <w:r>
              <w:t xml:space="preserve">, а не на </w:t>
            </w:r>
            <w:r>
              <w:rPr>
                <w:b/>
                <w:i/>
              </w:rPr>
              <w:t>регламенти</w:t>
            </w:r>
            <w:r>
              <w:t xml:space="preserve">, като по този начин се ограничава </w:t>
            </w:r>
            <w:r>
              <w:rPr>
                <w:b/>
                <w:i/>
              </w:rPr>
              <w:t>потенциално свръхрегулиране на ЕС</w:t>
            </w:r>
            <w:r>
              <w:t xml:space="preserve">, което би могло да </w:t>
            </w:r>
            <w:r>
              <w:rPr>
                <w:b/>
                <w:i/>
              </w:rPr>
              <w:t>възпре инвестициите в ЕС</w:t>
            </w:r>
            <w:r>
              <w:t>;</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325</w:t>
      </w:r>
      <w:r>
        <w:rPr>
          <w:rStyle w:val="HideTWBExt"/>
          <w:b w:val="0"/>
        </w:rPr>
        <w:t>&lt;/NumAm&gt;</w:t>
      </w:r>
    </w:p>
    <w:p w:rsidR="004855AE" w:rsidRPr="00C34506" w:rsidRDefault="004855AE" w:rsidP="004855AE">
      <w:pPr>
        <w:pStyle w:val="NormalBold"/>
      </w:pPr>
      <w:r>
        <w:rPr>
          <w:rStyle w:val="HideTWBExt"/>
          <w:b w:val="0"/>
        </w:rPr>
        <w:t>&lt;RepeatBlock-By&gt;&lt;Members&gt;</w:t>
      </w:r>
      <w:r>
        <w:t>Еникьо Дьори, Пиер Пемпи, Хорхе Мартин Фриас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9.</w:t>
            </w:r>
            <w:r>
              <w:tab/>
            </w:r>
            <w:r>
              <w:rPr>
                <w:b/>
                <w:i/>
              </w:rPr>
              <w:t>отбелязва, че рационализирането</w:t>
            </w:r>
            <w:r>
              <w:t xml:space="preserve"> на административните </w:t>
            </w:r>
            <w:r>
              <w:rPr>
                <w:b/>
                <w:i/>
              </w:rPr>
              <w:t>процедури може</w:t>
            </w:r>
            <w:r>
              <w:t xml:space="preserve"> да подобри привлекателността на ЕС като дестинация за инвестиции; счита, че </w:t>
            </w:r>
            <w:r>
              <w:rPr>
                <w:b/>
                <w:i/>
              </w:rPr>
              <w:t>привеждането в съответствие</w:t>
            </w:r>
            <w:r>
              <w:t xml:space="preserve"> на законодателните рамки на държавите членки </w:t>
            </w:r>
            <w:r>
              <w:rPr>
                <w:b/>
                <w:i/>
              </w:rPr>
              <w:t>следва да</w:t>
            </w:r>
            <w:r>
              <w:t xml:space="preserve"> бъде част от програмата за опростяване с цел улесняване на трансграничните дейности; </w:t>
            </w:r>
            <w:r>
              <w:rPr>
                <w:b/>
                <w:i/>
              </w:rPr>
              <w:t>призовава Комисията да разчита повече на регламенти, а не на директиви, като по този начин се ограничава свободата на преценка на национално равнище, която би могло да доведе до разпокъсаност;</w:t>
            </w:r>
          </w:p>
        </w:tc>
        <w:tc>
          <w:tcPr>
            <w:tcW w:w="4876" w:type="dxa"/>
            <w:tcBorders>
              <w:top w:val="nil"/>
              <w:left w:val="nil"/>
              <w:bottom w:val="nil"/>
              <w:right w:val="nil"/>
            </w:tcBorders>
          </w:tcPr>
          <w:p w:rsidR="004855AE" w:rsidRPr="00C34506" w:rsidRDefault="004855AE" w:rsidP="00061FA7">
            <w:pPr>
              <w:pStyle w:val="Normal6a"/>
            </w:pPr>
            <w:r>
              <w:t>9.</w:t>
            </w:r>
            <w:r>
              <w:tab/>
            </w:r>
            <w:r>
              <w:rPr>
                <w:b/>
                <w:i/>
              </w:rPr>
              <w:t>отбелязва, че целенасоченото намаляване на</w:t>
            </w:r>
            <w:r>
              <w:t xml:space="preserve"> административната </w:t>
            </w:r>
            <w:r>
              <w:rPr>
                <w:b/>
                <w:i/>
              </w:rPr>
              <w:t>тежест може да подобри</w:t>
            </w:r>
            <w:r>
              <w:t xml:space="preserve"> привлекателността на ЕС като дестинация за инвестиции; счита, че </w:t>
            </w:r>
            <w:r>
              <w:rPr>
                <w:b/>
                <w:i/>
              </w:rPr>
              <w:t>изграждането на взаимодействия между</w:t>
            </w:r>
            <w:r>
              <w:t xml:space="preserve"> законодателните рамки на държавите членки </w:t>
            </w:r>
            <w:r>
              <w:rPr>
                <w:b/>
                <w:i/>
              </w:rPr>
              <w:t>би могло</w:t>
            </w:r>
            <w:r>
              <w:t xml:space="preserve"> да бъде част от програмата за опростяване – </w:t>
            </w:r>
            <w:r>
              <w:rPr>
                <w:b/>
                <w:i/>
              </w:rPr>
              <w:t>като същевременно се зачитат техните компетенции</w:t>
            </w:r>
            <w:r>
              <w:t xml:space="preserve"> – за улесняване на трансграничните дейности;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lastRenderedPageBreak/>
        <w:t>&lt;Amend&gt;</w:t>
      </w:r>
      <w:r>
        <w:t>Изменение</w:t>
      </w:r>
      <w:r>
        <w:tab/>
      </w:r>
      <w:r>
        <w:tab/>
      </w:r>
      <w:r>
        <w:rPr>
          <w:rStyle w:val="HideTWBExt"/>
          <w:b w:val="0"/>
        </w:rPr>
        <w:t>&lt;NumAm&gt;</w:t>
      </w:r>
      <w:r>
        <w:t>326</w:t>
      </w:r>
      <w:r>
        <w:rPr>
          <w:rStyle w:val="HideTWBExt"/>
          <w:b w:val="0"/>
        </w:rPr>
        <w:t>&lt;/NumAm&gt;</w:t>
      </w:r>
    </w:p>
    <w:p w:rsidR="004855AE" w:rsidRPr="00C34506" w:rsidRDefault="004855AE" w:rsidP="004855AE">
      <w:pPr>
        <w:pStyle w:val="NormalBold"/>
      </w:pPr>
      <w:r>
        <w:rPr>
          <w:rStyle w:val="HideTWBExt"/>
          <w:b w:val="0"/>
        </w:rPr>
        <w:t>&lt;RepeatBlock-By&gt;&lt;Members&gt;</w:t>
      </w:r>
      <w:r>
        <w:t>Пиер Пемпи</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9.</w:t>
            </w:r>
            <w:r>
              <w:tab/>
              <w:t xml:space="preserve">отбелязва, че рационализирането на административните процедури може да подобри привлекателността на ЕС като дестинация за инвестиции; счита, че привеждането </w:t>
            </w:r>
            <w:r>
              <w:rPr>
                <w:b/>
                <w:i/>
              </w:rPr>
              <w:t>в съответствие на</w:t>
            </w:r>
            <w:r>
              <w:t xml:space="preserve"> законодателните рамки на държавите членки </w:t>
            </w:r>
            <w:r>
              <w:rPr>
                <w:b/>
                <w:i/>
              </w:rPr>
              <w:t>следва да бъде част от програмата за опростяване с цел улесняване</w:t>
            </w:r>
            <w:r>
              <w:t xml:space="preserve"> на трансграничните дейности; призовава Комисията да разчита повече на </w:t>
            </w:r>
            <w:r>
              <w:rPr>
                <w:b/>
                <w:i/>
              </w:rPr>
              <w:t>регламенти</w:t>
            </w:r>
            <w:r>
              <w:t xml:space="preserve">, а не на </w:t>
            </w:r>
            <w:r>
              <w:rPr>
                <w:b/>
                <w:i/>
              </w:rPr>
              <w:t>директиви, като по този начин се ограничава свободата на преценка на национално равнище, която би могло да доведе до</w:t>
            </w:r>
            <w:r>
              <w:t xml:space="preserve"> разпокъсаност;</w:t>
            </w:r>
          </w:p>
        </w:tc>
        <w:tc>
          <w:tcPr>
            <w:tcW w:w="4876" w:type="dxa"/>
            <w:tcBorders>
              <w:top w:val="nil"/>
              <w:left w:val="nil"/>
              <w:bottom w:val="nil"/>
              <w:right w:val="nil"/>
            </w:tcBorders>
          </w:tcPr>
          <w:p w:rsidR="004855AE" w:rsidRPr="00C34506" w:rsidRDefault="004855AE" w:rsidP="00061FA7">
            <w:pPr>
              <w:pStyle w:val="Normal6a"/>
            </w:pPr>
            <w:r>
              <w:t>9.</w:t>
            </w:r>
            <w:r>
              <w:tab/>
              <w:t xml:space="preserve">отбелязва, че рационализирането на административните процедури може да подобри привлекателността на ЕС като дестинация за инвестиции; счита, че държавите членки </w:t>
            </w:r>
            <w:r>
              <w:rPr>
                <w:b/>
                <w:i/>
              </w:rPr>
              <w:t>следва да работят за опростяване на своите законодателни рамки</w:t>
            </w:r>
            <w:r>
              <w:t xml:space="preserve"> </w:t>
            </w:r>
            <w:r>
              <w:rPr>
                <w:b/>
                <w:i/>
              </w:rPr>
              <w:t>с цел</w:t>
            </w:r>
            <w:r>
              <w:t xml:space="preserve"> улесняване на трансграничните дейности; призовава Комисията да разчита повече на </w:t>
            </w:r>
            <w:r>
              <w:rPr>
                <w:b/>
                <w:i/>
              </w:rPr>
              <w:t>директиви</w:t>
            </w:r>
            <w:r>
              <w:t xml:space="preserve">, а не на </w:t>
            </w:r>
            <w:r>
              <w:rPr>
                <w:b/>
                <w:i/>
              </w:rPr>
              <w:t xml:space="preserve">регламенти, по този начин се насърчават държавите членки да намалят </w:t>
            </w:r>
            <w:r>
              <w:t xml:space="preserve"> разпокъсаност;</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327</w:t>
      </w:r>
      <w:r>
        <w:rPr>
          <w:rStyle w:val="HideTWBExt"/>
          <w:b w:val="0"/>
        </w:rPr>
        <w:t>&lt;/NumAm&gt;</w:t>
      </w:r>
    </w:p>
    <w:p w:rsidR="004855AE" w:rsidRPr="00C34506" w:rsidRDefault="004855AE" w:rsidP="004855AE">
      <w:pPr>
        <w:pStyle w:val="NormalBold"/>
      </w:pPr>
      <w:r>
        <w:rPr>
          <w:rStyle w:val="HideTWBExt"/>
          <w:b w:val="0"/>
        </w:rPr>
        <w:t>&lt;RepeatBlock-By&gt;&lt;Members&gt;</w:t>
      </w:r>
      <w:r>
        <w:t>Дирк Готинк</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9.</w:t>
            </w:r>
            <w:r>
              <w:tab/>
              <w:t xml:space="preserve">отбелязва, че рационализирането на административните процедури може да подобри привлекателността на ЕС като дестинация за инвестиции; 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призовава Комисията да разчита повече на регламенти, а не на директиви, като по този начин се ограничава свободата на преценка на </w:t>
            </w:r>
            <w:r>
              <w:lastRenderedPageBreak/>
              <w:t>национално равнище, която би могло да доведе до разпокъсаност;</w:t>
            </w:r>
          </w:p>
        </w:tc>
        <w:tc>
          <w:tcPr>
            <w:tcW w:w="4876" w:type="dxa"/>
            <w:tcBorders>
              <w:top w:val="nil"/>
              <w:left w:val="nil"/>
              <w:bottom w:val="nil"/>
              <w:right w:val="nil"/>
            </w:tcBorders>
          </w:tcPr>
          <w:p w:rsidR="004855AE" w:rsidRPr="00C34506" w:rsidRDefault="004855AE" w:rsidP="00061FA7">
            <w:pPr>
              <w:pStyle w:val="Normal6a"/>
            </w:pPr>
            <w:r>
              <w:lastRenderedPageBreak/>
              <w:t>9.</w:t>
            </w:r>
            <w:r>
              <w:tab/>
              <w:t xml:space="preserve">отбелязва, че рационализирането на административните процедури </w:t>
            </w:r>
            <w:r>
              <w:rPr>
                <w:b/>
                <w:i/>
              </w:rPr>
              <w:t>и опростяване на регулирането</w:t>
            </w:r>
            <w:r>
              <w:t xml:space="preserve"> може да подобри привлекателността на ЕС като дестинация за инвестиции; 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призовава Комисията да разчита повече на регламенти, а не на директиви, като по този начин се </w:t>
            </w:r>
            <w:r>
              <w:lastRenderedPageBreak/>
              <w:t xml:space="preserve">ограничава свободата на преценка на национално равнище, която би могло да доведе до разпокъсаност; </w:t>
            </w:r>
            <w:r>
              <w:rPr>
                <w:b/>
                <w:i/>
              </w:rPr>
              <w:t>призовава Комисията да се придържа към принципа на отмяна на предишни тежести при въвеждане на нови, за да се намали регулаторната тежест, и да извършва проверка на конкурентоспособността на всяка нова политическа инициатива;</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328</w:t>
      </w:r>
      <w:r>
        <w:rPr>
          <w:rStyle w:val="HideTWBExt"/>
          <w:b w:val="0"/>
        </w:rPr>
        <w:t>&lt;/NumAm&gt;</w:t>
      </w:r>
    </w:p>
    <w:p w:rsidR="004855AE" w:rsidRPr="00C34506" w:rsidRDefault="004855AE" w:rsidP="004855AE">
      <w:pPr>
        <w:pStyle w:val="NormalBold"/>
      </w:pPr>
      <w:r>
        <w:rPr>
          <w:rStyle w:val="HideTWBExt"/>
          <w:b w:val="0"/>
        </w:rPr>
        <w:t>&lt;RepeatBlock-By&gt;&lt;Members&gt;</w:t>
      </w:r>
      <w:r>
        <w:t>Михалис Хаджипандела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9.</w:t>
            </w:r>
            <w:r>
              <w:tab/>
              <w:t>отбелязва, че рационализирането на административните процедури може да подобри привлекателността на ЕС като дестинация за инвестиции; 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призовава Комисията да разчита повече на регламенти, а не на директиви, като по този начин се ограничава свободата на преценка на национално равнище, която би могло да доведе до разпокъсаност;</w:t>
            </w:r>
          </w:p>
        </w:tc>
        <w:tc>
          <w:tcPr>
            <w:tcW w:w="4876" w:type="dxa"/>
            <w:tcBorders>
              <w:top w:val="nil"/>
              <w:left w:val="nil"/>
              <w:bottom w:val="nil"/>
              <w:right w:val="nil"/>
            </w:tcBorders>
          </w:tcPr>
          <w:p w:rsidR="004855AE" w:rsidRPr="00C34506" w:rsidRDefault="004855AE" w:rsidP="00061FA7">
            <w:pPr>
              <w:pStyle w:val="Normal6a"/>
            </w:pPr>
            <w:r>
              <w:t>9.</w:t>
            </w:r>
            <w:r>
              <w:tab/>
              <w:t xml:space="preserve">отбелязва, че рационализирането на административните процедури може да подобри привлекателността на ЕС като дестинация за инвестиции </w:t>
            </w:r>
            <w:r>
              <w:rPr>
                <w:b/>
                <w:i/>
              </w:rPr>
              <w:t>и призовава за намаляване на тежестта за имплементиране на партньори и бенефициери, особено МСП</w:t>
            </w:r>
            <w:r>
              <w:t>; 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призовава Комисията да разчита повече на регламенти, а не на директиви, като по този начин се ограничава свободата на преценка на национално равнище, която би могло да доведе до разпокъсаност;</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329</w:t>
      </w:r>
      <w:r>
        <w:rPr>
          <w:rStyle w:val="HideTWBExt"/>
          <w:b w:val="0"/>
        </w:rPr>
        <w:t>&lt;/NumAm&gt;</w:t>
      </w:r>
    </w:p>
    <w:p w:rsidR="004855AE" w:rsidRPr="00C34506" w:rsidRDefault="004855AE" w:rsidP="004855AE">
      <w:pPr>
        <w:pStyle w:val="NormalBold"/>
      </w:pPr>
      <w:r>
        <w:rPr>
          <w:rStyle w:val="HideTWBExt"/>
          <w:b w:val="0"/>
        </w:rPr>
        <w:t>&lt;RepeatBlock-By&gt;&lt;Members&gt;</w:t>
      </w:r>
      <w:r>
        <w:t>Кинга Колар, Исабел Бенхумеа Бенхумеа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lastRenderedPageBreak/>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9.</w:t>
            </w:r>
            <w:r>
              <w:tab/>
              <w:t>отбелязва, че рационализирането на административните процедури може да подобри привлекателността на ЕС като дестинация за инвестиции; 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призовава Комисията да разчита повече на регламенти, а не на директиви, като по този начин се ограничава свободата на преценка на национално равнище, която би могло да доведе до разпокъсаност;</w:t>
            </w:r>
          </w:p>
        </w:tc>
        <w:tc>
          <w:tcPr>
            <w:tcW w:w="4876" w:type="dxa"/>
            <w:tcBorders>
              <w:top w:val="nil"/>
              <w:left w:val="nil"/>
              <w:bottom w:val="nil"/>
              <w:right w:val="nil"/>
            </w:tcBorders>
          </w:tcPr>
          <w:p w:rsidR="004855AE" w:rsidRPr="00C34506" w:rsidRDefault="004855AE" w:rsidP="00061FA7">
            <w:pPr>
              <w:pStyle w:val="Normal6a"/>
            </w:pPr>
            <w:r>
              <w:t>9.</w:t>
            </w:r>
            <w:r>
              <w:tab/>
              <w:t xml:space="preserve">отбелязва, че рационализирането и </w:t>
            </w:r>
            <w:r>
              <w:rPr>
                <w:b/>
                <w:i/>
              </w:rPr>
              <w:t>забързването на</w:t>
            </w:r>
            <w:r>
              <w:t xml:space="preserve"> административните процедури и </w:t>
            </w:r>
            <w:r>
              <w:rPr>
                <w:b/>
                <w:i/>
              </w:rPr>
              <w:t>намаляването на административната тежест</w:t>
            </w:r>
            <w:r>
              <w:t>, могат да подобрят привлекателността на ЕС като дестинация за инвестиции; 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призовава Комисията да разчита повече на регламенти, а не на директиви, като по този начин се ограничава свободата на преценка на национално равнище, която би могло да доведе до разпокъсаност;</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330</w:t>
      </w:r>
      <w:r>
        <w:rPr>
          <w:rStyle w:val="HideTWBExt"/>
          <w:b w:val="0"/>
        </w:rPr>
        <w:t>&lt;/NumAm&gt;</w:t>
      </w:r>
    </w:p>
    <w:p w:rsidR="004855AE" w:rsidRPr="00C34506" w:rsidRDefault="004855AE" w:rsidP="004855AE">
      <w:pPr>
        <w:pStyle w:val="NormalBold"/>
      </w:pPr>
      <w:r>
        <w:rPr>
          <w:rStyle w:val="HideTWBExt"/>
          <w:b w:val="0"/>
        </w:rPr>
        <w:t>&lt;RepeatBlock-By&gt;&lt;Members&gt;</w:t>
      </w:r>
      <w:r>
        <w:t>Размус Андрезен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9.</w:t>
            </w:r>
            <w:r>
              <w:tab/>
              <w:t xml:space="preserve">отбелязва, че рационализирането на административните процедури може да подобри привлекателността на ЕС като дестинация за инвестиции; 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призовава Комисията да разчита повече на регламенти, а не на директиви, като по този начин се ограничава свободата на преценка на национално равнище, която би могло да </w:t>
            </w:r>
            <w:r>
              <w:lastRenderedPageBreak/>
              <w:t>доведе до разпокъсаност;</w:t>
            </w:r>
          </w:p>
        </w:tc>
        <w:tc>
          <w:tcPr>
            <w:tcW w:w="4876" w:type="dxa"/>
            <w:tcBorders>
              <w:top w:val="nil"/>
              <w:left w:val="nil"/>
              <w:bottom w:val="nil"/>
              <w:right w:val="nil"/>
            </w:tcBorders>
          </w:tcPr>
          <w:p w:rsidR="004855AE" w:rsidRPr="00C34506" w:rsidRDefault="004855AE" w:rsidP="00061FA7">
            <w:pPr>
              <w:pStyle w:val="Normal6a"/>
            </w:pPr>
            <w:r>
              <w:lastRenderedPageBreak/>
              <w:t>9.</w:t>
            </w:r>
            <w:r>
              <w:tab/>
              <w:t xml:space="preserve">отбелязва, че рационализирането на административните процедури може да подобри привлекателността на ЕС като дестинация за инвестиции; счита, че привеждането в съответствие на законодателните рамки на държавите членки </w:t>
            </w:r>
            <w:r>
              <w:rPr>
                <w:b/>
                <w:i/>
              </w:rPr>
              <w:t>като същевременно се запазват националните минимални социални стандарти</w:t>
            </w:r>
            <w:r>
              <w:t xml:space="preserve"> следва да бъде част от програмата за опростяване с цел улесняване на трансграничните дейности; призовава Комисията да разчита повече на регламенти, а не на директиви, като по този начин се </w:t>
            </w:r>
            <w:r>
              <w:lastRenderedPageBreak/>
              <w:t>ограничава свободата на преценка на национално равнище, която би могло да доведе до разпокъсаност;</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0"/>
        <w:keepNext/>
      </w:pPr>
      <w:r>
        <w:rPr>
          <w:rStyle w:val="HideTWBExt"/>
          <w:b w:val="0"/>
          <w:lang w:eastAsia="en-US"/>
        </w:rPr>
        <w:t>&lt;Amend&gt;</w:t>
      </w:r>
      <w:r>
        <w:t>Изменение</w:t>
      </w:r>
      <w:r>
        <w:tab/>
      </w:r>
      <w:r>
        <w:tab/>
      </w:r>
      <w:r>
        <w:rPr>
          <w:rStyle w:val="HideTWBExt"/>
          <w:b w:val="0"/>
          <w:lang w:eastAsia="en-US"/>
        </w:rPr>
        <w:t>&lt;NumAm&gt;</w:t>
      </w:r>
      <w:r>
        <w:t>331</w:t>
      </w:r>
      <w:r>
        <w:rPr>
          <w:rStyle w:val="HideTWBExt"/>
          <w:b w:val="0"/>
          <w:lang w:eastAsia="en-US"/>
        </w:rPr>
        <w:t>&lt;/NumAm&gt;</w:t>
      </w:r>
    </w:p>
    <w:p w:rsidR="004855AE" w:rsidRPr="00C34506" w:rsidRDefault="004855AE" w:rsidP="004855AE">
      <w:pPr>
        <w:pStyle w:val="NormalBold"/>
      </w:pPr>
      <w:r>
        <w:rPr>
          <w:rStyle w:val="HideTWBExt"/>
          <w:b w:val="0"/>
        </w:rPr>
        <w:t>&lt;RepeatBlock-By&gt;&lt;Members&gt;</w:t>
      </w:r>
      <w:r>
        <w:t>Дануше Нерудова</w:t>
      </w:r>
      <w:r>
        <w:rPr>
          <w:rStyle w:val="HideTWBExt"/>
          <w:b w:val="0"/>
        </w:rPr>
        <w:t>&lt;/Members&gt;</w:t>
      </w:r>
    </w:p>
    <w:p w:rsidR="004855AE" w:rsidRPr="00C34506" w:rsidRDefault="004855AE" w:rsidP="004855AE">
      <w:r>
        <w:rPr>
          <w:rStyle w:val="HideTWBExt"/>
        </w:rPr>
        <w:t>&lt;/RepeatBlock-By&gt;</w:t>
      </w:r>
    </w:p>
    <w:p w:rsidR="004855AE" w:rsidRPr="00C34506" w:rsidRDefault="004855AE" w:rsidP="004855AE">
      <w:pPr>
        <w:pStyle w:val="NormalBold"/>
        <w:keepNext/>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855AE" w:rsidTr="00061FA7">
        <w:trPr>
          <w:jc w:val="center"/>
        </w:trPr>
        <w:tc>
          <w:tcPr>
            <w:tcW w:w="9752" w:type="dxa"/>
            <w:gridSpan w:val="2"/>
          </w:tcPr>
          <w:p w:rsidR="004855AE" w:rsidRPr="00C34506" w:rsidRDefault="004855AE" w:rsidP="00061FA7">
            <w:pPr>
              <w:keepNext/>
            </w:pPr>
          </w:p>
        </w:tc>
      </w:tr>
      <w:tr w:rsidR="004855AE" w:rsidTr="00061FA7">
        <w:trPr>
          <w:jc w:val="center"/>
        </w:trPr>
        <w:tc>
          <w:tcPr>
            <w:tcW w:w="4876" w:type="dxa"/>
          </w:tcPr>
          <w:p w:rsidR="004855AE" w:rsidRPr="00C34506" w:rsidRDefault="004855AE" w:rsidP="00061FA7">
            <w:pPr>
              <w:pStyle w:val="ColumnHeading"/>
              <w:keepNext/>
            </w:pPr>
            <w:r>
              <w:t>Предложение за резолюция</w:t>
            </w:r>
          </w:p>
        </w:tc>
        <w:tc>
          <w:tcPr>
            <w:tcW w:w="4876" w:type="dxa"/>
          </w:tcPr>
          <w:p w:rsidR="004855AE" w:rsidRPr="00C34506" w:rsidRDefault="004855AE" w:rsidP="00061FA7">
            <w:pPr>
              <w:pStyle w:val="ColumnHeading"/>
              <w:keepNext/>
            </w:pPr>
            <w:r>
              <w:t>Изменение</w:t>
            </w:r>
          </w:p>
        </w:tc>
      </w:tr>
      <w:tr w:rsidR="004855AE" w:rsidTr="00061FA7">
        <w:trPr>
          <w:jc w:val="center"/>
        </w:trPr>
        <w:tc>
          <w:tcPr>
            <w:tcW w:w="4876" w:type="dxa"/>
          </w:tcPr>
          <w:p w:rsidR="004855AE" w:rsidRPr="00C34506" w:rsidRDefault="004855AE" w:rsidP="00061FA7">
            <w:pPr>
              <w:pStyle w:val="Normal6"/>
            </w:pPr>
            <w:r>
              <w:t>9.</w:t>
            </w:r>
            <w:r>
              <w:tab/>
              <w:t>отбелязва, че рационализирането на административните процедури може да подобри привлекателността на ЕС като дестинация за инвестиции; 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призовава Комисията да разчита повече на регламенти, а не на директиви, като по този начин се ограничава свободата на преценка на национално равнище, която би могло да доведе до разпокъсаност;</w:t>
            </w:r>
          </w:p>
        </w:tc>
        <w:tc>
          <w:tcPr>
            <w:tcW w:w="4876" w:type="dxa"/>
          </w:tcPr>
          <w:p w:rsidR="004855AE" w:rsidRPr="00C34506" w:rsidRDefault="004855AE" w:rsidP="00061FA7">
            <w:pPr>
              <w:pStyle w:val="Normal6"/>
              <w:rPr>
                <w:szCs w:val="24"/>
              </w:rPr>
            </w:pPr>
            <w:r>
              <w:t>9.</w:t>
            </w:r>
            <w:r>
              <w:tab/>
              <w:t xml:space="preserve">отбелязва, че рационализирането на административните процедури може да подобри привлекателността на ЕС като дестинация за инвестиции </w:t>
            </w:r>
            <w:r>
              <w:rPr>
                <w:b/>
                <w:i/>
              </w:rPr>
              <w:t>и призовава за намаляване на бюрокрацията за бенефициентите и за опростяване на програмите на ЕС</w:t>
            </w:r>
            <w:r>
              <w:t>; 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призовава Комисията да разчита повече на регламенти, а не на директиви, като по този начин се ограничава свободата на преценка на национално равнище, която би могло да доведе до разпокъсаност;</w:t>
            </w:r>
          </w:p>
        </w:tc>
      </w:tr>
    </w:tbl>
    <w:p w:rsidR="004855AE" w:rsidRPr="00C34506" w:rsidRDefault="004855AE" w:rsidP="004855AE">
      <w:pPr>
        <w:pStyle w:val="Olang"/>
        <w:rPr>
          <w:sz w:val="24"/>
          <w:szCs w:val="24"/>
        </w:rPr>
      </w:pPr>
      <w:r w:rsidRPr="00C34506">
        <w:rPr>
          <w:sz w:val="24"/>
          <w:szCs w:val="24"/>
        </w:rPr>
        <w:t xml:space="preserve">Or. </w:t>
      </w:r>
      <w:r w:rsidRPr="00C34506">
        <w:rPr>
          <w:rStyle w:val="HideTWBExt"/>
        </w:rPr>
        <w:t>&lt;Original&gt;</w:t>
      </w:r>
      <w:r w:rsidRPr="00C34506">
        <w:rPr>
          <w:rStyle w:val="HideTWBInt"/>
        </w:rPr>
        <w:t>{EN}</w:t>
      </w:r>
      <w:r w:rsidRPr="00C34506">
        <w:rPr>
          <w:sz w:val="24"/>
          <w:szCs w:val="24"/>
        </w:rPr>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332</w:t>
      </w:r>
      <w:r>
        <w:rPr>
          <w:rStyle w:val="HideTWBExt"/>
          <w:b w:val="0"/>
        </w:rPr>
        <w:t>&lt;/NumAm&gt;</w:t>
      </w:r>
    </w:p>
    <w:p w:rsidR="004855AE" w:rsidRPr="00C34506" w:rsidRDefault="004855AE" w:rsidP="004855AE">
      <w:pPr>
        <w:pStyle w:val="NormalBold"/>
      </w:pPr>
      <w:r>
        <w:rPr>
          <w:rStyle w:val="HideTWBExt"/>
          <w:b w:val="0"/>
        </w:rPr>
        <w:t>&lt;RepeatBlock-By&gt;&lt;Members&gt;</w:t>
      </w:r>
      <w:r>
        <w:t>Людовит Одор, Анук Ван Брюг, Били Келъхър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9.</w:t>
            </w:r>
            <w:r>
              <w:tab/>
              <w:t xml:space="preserve">отбелязва, че рационализирането на административните процедури може да подобри привлекателността на ЕС като дестинация за инвестиции; счита, </w:t>
            </w:r>
            <w:r>
              <w:lastRenderedPageBreak/>
              <w:t>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призовава Комисията да разчита повече на регламенти, а не на директиви, като по този начин се ограничава свободата на преценка на национално равнище, която би могло да доведе до разпокъсаност;</w:t>
            </w:r>
          </w:p>
        </w:tc>
        <w:tc>
          <w:tcPr>
            <w:tcW w:w="4876" w:type="dxa"/>
            <w:tcBorders>
              <w:top w:val="nil"/>
              <w:left w:val="nil"/>
              <w:bottom w:val="nil"/>
              <w:right w:val="nil"/>
            </w:tcBorders>
          </w:tcPr>
          <w:p w:rsidR="004855AE" w:rsidRPr="00C34506" w:rsidRDefault="004855AE" w:rsidP="00061FA7">
            <w:pPr>
              <w:pStyle w:val="Normal6a"/>
            </w:pPr>
            <w:r>
              <w:lastRenderedPageBreak/>
              <w:t>9.</w:t>
            </w:r>
            <w:r>
              <w:tab/>
              <w:t xml:space="preserve">отбелязва, че рационализирането на административните процедури може да подобри привлекателността на ЕС като дестинация за инвестиции; счита, </w:t>
            </w:r>
            <w:r>
              <w:lastRenderedPageBreak/>
              <w:t xml:space="preserve">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призовава Комисията да разчита повече на регламенти, а не на директиви, като по този начин се ограничава свободата на преценка на национално равнище, която би могло да доведе до разпокъсаност; </w:t>
            </w:r>
            <w:r>
              <w:rPr>
                <w:b/>
                <w:i/>
              </w:rPr>
              <w:t>във връзка с това призовава Комисията да проучи задълбочено потенциала на 28-ия режим, който може да подкопае всички съществуващи ограничения;</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333</w:t>
      </w:r>
      <w:r>
        <w:rPr>
          <w:rStyle w:val="HideTWBExt"/>
          <w:b w:val="0"/>
        </w:rPr>
        <w:t>&lt;/NumAm&gt;</w:t>
      </w:r>
    </w:p>
    <w:p w:rsidR="004855AE" w:rsidRPr="00C34506" w:rsidRDefault="004855AE" w:rsidP="004855AE">
      <w:pPr>
        <w:pStyle w:val="NormalBold"/>
      </w:pPr>
      <w:r>
        <w:rPr>
          <w:rStyle w:val="HideTWBExt"/>
          <w:b w:val="0"/>
        </w:rPr>
        <w:t>&lt;RepeatBlock-By&gt;&lt;Members&gt;</w:t>
      </w:r>
      <w:r>
        <w:t>Маркус Фербер</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r>
              <w:t>9.</w:t>
            </w:r>
            <w:r>
              <w:tab/>
              <w:t>отбелязва, че рационализирането на административните процедури може да подобри привлекателността на ЕС като дестинация за инвестиции; 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призовава Комисията да разчита повече на регламенти, а не на директиви, като по този начин се ограничава свободата на преценка на национално равнище, която би могло да доведе до разпокъсаност;</w:t>
            </w:r>
          </w:p>
        </w:tc>
        <w:tc>
          <w:tcPr>
            <w:tcW w:w="4876" w:type="dxa"/>
            <w:tcBorders>
              <w:top w:val="nil"/>
              <w:left w:val="nil"/>
              <w:bottom w:val="nil"/>
              <w:right w:val="nil"/>
            </w:tcBorders>
          </w:tcPr>
          <w:p w:rsidR="004855AE" w:rsidRPr="00C34506" w:rsidRDefault="004855AE" w:rsidP="00061FA7">
            <w:pPr>
              <w:pStyle w:val="Normal6a"/>
            </w:pPr>
            <w:r>
              <w:t>9.</w:t>
            </w:r>
            <w:r>
              <w:tab/>
              <w:t xml:space="preserve">отбелязва, че рационализирането на административните процедури може да подобри привлекателността на ЕС като дестинация за инвестиции; счита, че привеждането в съответствие на законодателните рамки на държавите членки следва да бъде част от програмата за опростяване с цел улесняване на трансграничните дейности; призовава Комисията да разчита повече на регламенти, а не на директиви, като по този начин се ограничава свободата на преценка на национално равнище, която би могло да доведе до разпокъсаност; </w:t>
            </w:r>
            <w:r>
              <w:rPr>
                <w:b/>
                <w:i/>
              </w:rPr>
              <w:t>призовава Комисията да се справи със случаите на свръхрегулиране от страна на държавите членки;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lastRenderedPageBreak/>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334</w:t>
      </w:r>
      <w:r>
        <w:rPr>
          <w:rStyle w:val="HideTWBExt"/>
          <w:b w:val="0"/>
        </w:rPr>
        <w:t>&lt;/NumAm&gt;</w:t>
      </w:r>
    </w:p>
    <w:p w:rsidR="004855AE" w:rsidRPr="00C34506" w:rsidRDefault="004855AE" w:rsidP="004855AE">
      <w:pPr>
        <w:pStyle w:val="NormalBold"/>
      </w:pPr>
      <w:r>
        <w:rPr>
          <w:rStyle w:val="HideTWBExt"/>
          <w:b w:val="0"/>
        </w:rPr>
        <w:t>&lt;RepeatBlock-By&gt;&lt;Members&gt;</w:t>
      </w:r>
      <w:r>
        <w:t>Еро Хейнелуома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 a (нов)</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9а. призовава Комисията да гарантира системното участие на европейските надзорни органи (ЕНО) в процеса на вземане на решения за мандатите от ниво 2 и ниво 3, за да се гарантира, че тези мандати са основани на доказателства, пропорционални и съобразени с нуждите на финансовия сектор. призовава Комисията да осигури необходимото финансиране за изпълнението на тези мандати от ЕНО;</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335</w:t>
      </w:r>
      <w:r>
        <w:rPr>
          <w:rStyle w:val="HideTWBExt"/>
          <w:b w:val="0"/>
        </w:rPr>
        <w:t>&lt;/NumAm&gt;</w:t>
      </w:r>
    </w:p>
    <w:p w:rsidR="004855AE" w:rsidRPr="00C34506" w:rsidRDefault="004855AE" w:rsidP="004855AE">
      <w:pPr>
        <w:pStyle w:val="NormalBold"/>
      </w:pPr>
      <w:r>
        <w:rPr>
          <w:rStyle w:val="HideTWBExt"/>
          <w:b w:val="0"/>
        </w:rPr>
        <w:t>&lt;RepeatBlock-By&gt;&lt;Members&gt;</w:t>
      </w:r>
      <w:r>
        <w:t>Орор Лалюк</w:t>
      </w:r>
      <w:r>
        <w:rPr>
          <w:rStyle w:val="HideTWBExt"/>
          <w:b w:val="0"/>
        </w:rPr>
        <w:t>&lt;/Members&gt;</w:t>
      </w:r>
    </w:p>
    <w:p w:rsidR="004855AE" w:rsidRPr="00C34506" w:rsidRDefault="004855AE" w:rsidP="004855AE">
      <w:r>
        <w:rPr>
          <w:rStyle w:val="HideTWBExt"/>
        </w:rPr>
        <w:t>&lt;AuNomDe&gt;</w:t>
      </w:r>
      <w:r>
        <w:rPr>
          <w:rStyle w:val="HideTWBInt"/>
        </w:rPr>
        <w:t>{S&amp;D}</w:t>
      </w:r>
      <w:r>
        <w:t>от името на групата S&amp;D</w:t>
      </w:r>
      <w:r>
        <w:rPr>
          <w:rStyle w:val="HideTWBExt"/>
        </w:rPr>
        <w:t>&lt;/AuNomDe&gt;</w:t>
      </w:r>
    </w:p>
    <w:p w:rsidR="004855AE" w:rsidRPr="00C34506" w:rsidRDefault="004855AE" w:rsidP="004855AE">
      <w:pPr>
        <w:pStyle w:val="NormalBold"/>
      </w:pPr>
      <w:r>
        <w:rPr>
          <w:rStyle w:val="HideTWBExt"/>
          <w:b w:val="0"/>
        </w:rPr>
        <w:t>&lt;Members&gt;</w:t>
      </w:r>
      <w:r>
        <w:t>Хонас Фернандес, Рене Репази, Еро Хейнелуома, Евелин Регнер, Нилс Фулсанг, Клер Фита, Карла Тавареш, Томас Баяда, Франсишку Асиш, Лара Волтерс</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9а.</w:t>
            </w:r>
            <w:r>
              <w:tab/>
            </w:r>
            <w:r>
              <w:rPr>
                <w:b/>
                <w:i/>
              </w:rPr>
              <w:t xml:space="preserve">счита, че първата стъпка към опростяване се състои в ефективно законодателство; призовава Комисията да гарантира системното участие на европейските надзорни органи (ЕНО) в процеса на вземане на решения за мандатите от ниво 2 и ниво 3, за да се гарантира, че тези мандати са основани на доказателства, пропорционални и </w:t>
            </w:r>
            <w:r>
              <w:rPr>
                <w:b/>
                <w:i/>
              </w:rPr>
              <w:lastRenderedPageBreak/>
              <w:t>съобразени с нуждите на финансовия сектор;</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336</w:t>
      </w:r>
      <w:r>
        <w:rPr>
          <w:rStyle w:val="HideTWBExt"/>
          <w:b w:val="0"/>
        </w:rPr>
        <w:t>&lt;/NumAm&gt;</w:t>
      </w:r>
    </w:p>
    <w:p w:rsidR="004855AE" w:rsidRPr="00C34506" w:rsidRDefault="004855AE" w:rsidP="004855AE">
      <w:pPr>
        <w:pStyle w:val="NormalBold"/>
      </w:pPr>
      <w:r>
        <w:rPr>
          <w:rStyle w:val="HideTWBExt"/>
          <w:b w:val="0"/>
        </w:rPr>
        <w:t>&lt;RepeatBlock-By&gt;&lt;Members&gt;</w:t>
      </w:r>
      <w:r>
        <w:t>Джовани Крозето, Доменико Денис Неши, Франческо Вентола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9а.</w:t>
            </w:r>
            <w:r>
              <w:tab/>
            </w:r>
            <w:r>
              <w:rPr>
                <w:b/>
                <w:i/>
              </w:rPr>
              <w:t>призовава за намаляване на административната тежест и тежестта за привеждане в съответствие за дружествата, като се обърне специално внимание на дружествата, допуснати до борсова търговия, за да се подобри тяхната конкурентоспособност и привлекателност; подчертава, че прекомерните задължения за докладване и процедурната сложност могат да възпрат котировките и да възпрепятстват достъпа до капиталовите пазари;</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337</w:t>
      </w:r>
      <w:r>
        <w:rPr>
          <w:rStyle w:val="HideTWBExt"/>
          <w:b w:val="0"/>
        </w:rPr>
        <w:t>&lt;/NumAm&gt;</w:t>
      </w:r>
    </w:p>
    <w:p w:rsidR="004855AE" w:rsidRPr="00C34506" w:rsidRDefault="004855AE" w:rsidP="004855AE">
      <w:pPr>
        <w:pStyle w:val="NormalBold"/>
      </w:pPr>
      <w:r>
        <w:rPr>
          <w:rStyle w:val="HideTWBExt"/>
          <w:b w:val="0"/>
        </w:rPr>
        <w:t>&lt;RepeatBlock-By&gt;&lt;Members&gt;</w:t>
      </w:r>
      <w:r>
        <w:t>Сирпа Пиетикяйнен</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 a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9а.</w:t>
            </w:r>
            <w:r>
              <w:tab/>
            </w:r>
            <w:r>
              <w:rPr>
                <w:b/>
                <w:i/>
              </w:rPr>
              <w:t xml:space="preserve">призовава Комисията да осигури еднакви условия на конкуренция, като стимулира възможностите за инвестиции чрез създаване на дългосрочна и амбициозна устойчивост и друго регулиране, за да се осигури </w:t>
            </w:r>
            <w:r>
              <w:rPr>
                <w:b/>
                <w:i/>
              </w:rPr>
              <w:lastRenderedPageBreak/>
              <w:t>дългосрочна перспектива за промишлените отрасли и инвеститорите;</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338</w:t>
      </w:r>
      <w:r>
        <w:rPr>
          <w:rStyle w:val="HideTWBExt"/>
          <w:b w:val="0"/>
        </w:rPr>
        <w:t>&lt;/NumAm&gt;</w:t>
      </w:r>
    </w:p>
    <w:p w:rsidR="004855AE" w:rsidRPr="00C34506" w:rsidRDefault="004855AE" w:rsidP="004855AE">
      <w:pPr>
        <w:pStyle w:val="NormalBold"/>
      </w:pPr>
      <w:r>
        <w:rPr>
          <w:rStyle w:val="HideTWBExt"/>
          <w:b w:val="0"/>
        </w:rPr>
        <w:t>&lt;RepeatBlock-By&gt;&lt;Members&gt;</w:t>
      </w:r>
      <w:r>
        <w:t>Джовани Крозето, Доменико Денис Неши, Франческо Вентола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 б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9б.</w:t>
            </w:r>
            <w:r>
              <w:tab/>
            </w:r>
            <w:r>
              <w:rPr>
                <w:b/>
                <w:i/>
              </w:rPr>
              <w:t>призовава мерките за прилагане съгласно Акта за допускането до търговия да бъдат изцяло приведени в съответствие с неговата основна цел за намаляване на регулаторната сложност и разходите за привеждане в съответствие, особено за емитентите; подчертава, че разпоредбите от ниво 2 следва да допринасят за по-достъпна и икономически ефективна среда за изготвяне на списъци в целия Съюз;</w:t>
            </w:r>
          </w:p>
        </w:tc>
      </w:tr>
    </w:tbl>
    <w:p w:rsidR="004855AE" w:rsidRPr="00C34506" w:rsidRDefault="004855AE" w:rsidP="004855AE">
      <w:pPr>
        <w:pStyle w:val="AmOrLang"/>
      </w:pPr>
      <w:r w:rsidRPr="00C34506">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Pr="00C34506" w:rsidRDefault="004855AE" w:rsidP="004855AE">
      <w:r>
        <w:rPr>
          <w:rStyle w:val="HideTWBExt"/>
        </w:rPr>
        <w:t>&lt;/Amend&gt;</w:t>
      </w:r>
    </w:p>
    <w:p w:rsidR="004855AE" w:rsidRPr="00C34506" w:rsidRDefault="004855AE" w:rsidP="004855AE">
      <w:pPr>
        <w:pStyle w:val="AmNumberTabs"/>
      </w:pPr>
      <w:r>
        <w:rPr>
          <w:rStyle w:val="HideTWBExt"/>
          <w:b w:val="0"/>
        </w:rPr>
        <w:t>&lt;Amend&gt;</w:t>
      </w:r>
      <w:r>
        <w:t>Изменение</w:t>
      </w:r>
      <w:r>
        <w:tab/>
      </w:r>
      <w:r>
        <w:tab/>
      </w:r>
      <w:r>
        <w:rPr>
          <w:rStyle w:val="HideTWBExt"/>
          <w:b w:val="0"/>
        </w:rPr>
        <w:t>&lt;NumAm&gt;</w:t>
      </w:r>
      <w:r>
        <w:t>339</w:t>
      </w:r>
      <w:r>
        <w:rPr>
          <w:rStyle w:val="HideTWBExt"/>
          <w:b w:val="0"/>
        </w:rPr>
        <w:t>&lt;/NumAm&gt;</w:t>
      </w:r>
    </w:p>
    <w:p w:rsidR="004855AE" w:rsidRPr="00C34506" w:rsidRDefault="004855AE" w:rsidP="004855AE">
      <w:pPr>
        <w:pStyle w:val="NormalBold"/>
      </w:pPr>
      <w:r>
        <w:rPr>
          <w:rStyle w:val="HideTWBExt"/>
          <w:b w:val="0"/>
        </w:rPr>
        <w:t>&lt;RepeatBlock-By&gt;&lt;Members&gt;</w:t>
      </w:r>
      <w:r>
        <w:t>Джовани Крозето, Доменико Денис Неши, Франческо Вентола</w:t>
      </w:r>
      <w:r>
        <w:rPr>
          <w:rStyle w:val="HideTWBExt"/>
          <w:b w:val="0"/>
        </w:rPr>
        <w:t>&lt;/Members&gt;</w:t>
      </w:r>
    </w:p>
    <w:p w:rsidR="004855AE" w:rsidRPr="00C34506" w:rsidRDefault="004855AE" w:rsidP="004855AE">
      <w:pPr>
        <w:pStyle w:val="NormalBold"/>
      </w:pPr>
      <w:r>
        <w:rPr>
          <w:rStyle w:val="HideTWBExt"/>
          <w:b w:val="0"/>
        </w:rPr>
        <w:t>&lt;/RepeatBlock-By&gt;</w:t>
      </w:r>
    </w:p>
    <w:p w:rsidR="004855AE" w:rsidRPr="00C34506" w:rsidRDefault="004855AE" w:rsidP="004855AE">
      <w:pPr>
        <w:pStyle w:val="NormalBold"/>
      </w:pPr>
      <w:r>
        <w:rPr>
          <w:rStyle w:val="HideTWBExt"/>
          <w:b w:val="0"/>
        </w:rPr>
        <w:t>&lt;DocAmend&gt;</w:t>
      </w:r>
      <w:r>
        <w:t>Предложение за резолюция</w:t>
      </w:r>
      <w:r>
        <w:rPr>
          <w:rStyle w:val="HideTWBExt"/>
          <w:b w:val="0"/>
        </w:rPr>
        <w:t>&lt;/DocAmend&gt;</w:t>
      </w:r>
    </w:p>
    <w:p w:rsidR="004855AE" w:rsidRPr="00C34506" w:rsidRDefault="004855AE" w:rsidP="004855AE">
      <w:pPr>
        <w:pStyle w:val="NormalBold"/>
      </w:pPr>
      <w:r>
        <w:rPr>
          <w:rStyle w:val="HideTWBExt"/>
          <w:b w:val="0"/>
        </w:rPr>
        <w:t>&lt;Article&gt;</w:t>
      </w:r>
      <w:r>
        <w:t>Параграф 9 в (нов)</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55AE" w:rsidTr="00061FA7">
        <w:trPr>
          <w:trHeight w:hRule="exact" w:val="240"/>
          <w:jc w:val="center"/>
        </w:trPr>
        <w:tc>
          <w:tcPr>
            <w:tcW w:w="9752" w:type="dxa"/>
            <w:gridSpan w:val="2"/>
            <w:tcBorders>
              <w:top w:val="nil"/>
              <w:left w:val="nil"/>
              <w:bottom w:val="nil"/>
              <w:right w:val="nil"/>
            </w:tcBorders>
          </w:tcPr>
          <w:p w:rsidR="004855AE" w:rsidRPr="00C34506" w:rsidRDefault="004855AE" w:rsidP="00061FA7"/>
        </w:tc>
      </w:tr>
      <w:tr w:rsidR="004855AE" w:rsidTr="00061FA7">
        <w:trPr>
          <w:trHeight w:val="240"/>
          <w:jc w:val="center"/>
        </w:trPr>
        <w:tc>
          <w:tcPr>
            <w:tcW w:w="4876" w:type="dxa"/>
            <w:tcBorders>
              <w:top w:val="nil"/>
              <w:left w:val="nil"/>
              <w:bottom w:val="nil"/>
              <w:right w:val="nil"/>
            </w:tcBorders>
          </w:tcPr>
          <w:p w:rsidR="004855AE" w:rsidRPr="00C34506" w:rsidRDefault="004855AE" w:rsidP="00061FA7">
            <w:pPr>
              <w:pStyle w:val="AmColumnHeading"/>
            </w:pPr>
            <w:r>
              <w:t>Предложение за резолюция</w:t>
            </w:r>
          </w:p>
        </w:tc>
        <w:tc>
          <w:tcPr>
            <w:tcW w:w="4876" w:type="dxa"/>
            <w:tcBorders>
              <w:top w:val="nil"/>
              <w:left w:val="nil"/>
              <w:bottom w:val="nil"/>
              <w:right w:val="nil"/>
            </w:tcBorders>
          </w:tcPr>
          <w:p w:rsidR="004855AE" w:rsidRPr="00C34506" w:rsidRDefault="004855AE" w:rsidP="00061FA7">
            <w:pPr>
              <w:pStyle w:val="AmColumnHeading"/>
            </w:pPr>
            <w:r>
              <w:t>Изменение</w:t>
            </w:r>
          </w:p>
        </w:tc>
      </w:tr>
      <w:tr w:rsidR="004855AE" w:rsidTr="00061FA7">
        <w:trPr>
          <w:jc w:val="center"/>
        </w:trPr>
        <w:tc>
          <w:tcPr>
            <w:tcW w:w="4876" w:type="dxa"/>
            <w:tcBorders>
              <w:top w:val="nil"/>
              <w:left w:val="nil"/>
              <w:bottom w:val="nil"/>
              <w:right w:val="nil"/>
            </w:tcBorders>
          </w:tcPr>
          <w:p w:rsidR="004855AE" w:rsidRPr="00C34506" w:rsidRDefault="004855AE" w:rsidP="00061FA7">
            <w:pPr>
              <w:pStyle w:val="Normal6a"/>
            </w:pPr>
          </w:p>
        </w:tc>
        <w:tc>
          <w:tcPr>
            <w:tcW w:w="4876" w:type="dxa"/>
            <w:tcBorders>
              <w:top w:val="nil"/>
              <w:left w:val="nil"/>
              <w:bottom w:val="nil"/>
              <w:right w:val="nil"/>
            </w:tcBorders>
          </w:tcPr>
          <w:p w:rsidR="004855AE" w:rsidRPr="00C34506" w:rsidRDefault="004855AE" w:rsidP="00061FA7">
            <w:pPr>
              <w:pStyle w:val="Normal6a"/>
            </w:pPr>
            <w:r>
              <w:rPr>
                <w:b/>
                <w:i/>
              </w:rPr>
              <w:t>9в.</w:t>
            </w:r>
            <w:r>
              <w:tab/>
            </w:r>
            <w:r>
              <w:rPr>
                <w:b/>
                <w:i/>
              </w:rPr>
              <w:t xml:space="preserve">призовава Комисията да обърне внимание на разпокъсаността на националните рамки в областта на несъстоятелността и да създаде ефективни механизми за разрешаване на трансгранични спорове; подчертава, че правното сближаване и процедурната яснота са от </w:t>
            </w:r>
            <w:r>
              <w:rPr>
                <w:b/>
                <w:i/>
              </w:rPr>
              <w:lastRenderedPageBreak/>
              <w:t>съществено значение за намаляване на пречките пред трансграничните инвестиции и за подкрепа на по-задълбочената интеграция на капиталовите пазари в ЕС;</w:t>
            </w:r>
          </w:p>
        </w:tc>
      </w:tr>
    </w:tbl>
    <w:p w:rsidR="004855AE" w:rsidRPr="00C34506" w:rsidRDefault="004855AE" w:rsidP="004855AE">
      <w:pPr>
        <w:pStyle w:val="AmOrLang"/>
      </w:pPr>
      <w:r w:rsidRPr="00C34506">
        <w:lastRenderedPageBreak/>
        <w:t xml:space="preserve">Or. </w:t>
      </w:r>
      <w:r w:rsidRPr="00C34506">
        <w:rPr>
          <w:rStyle w:val="HideTWBExt"/>
        </w:rPr>
        <w:t>&lt;Original&gt;</w:t>
      </w:r>
      <w:r w:rsidRPr="00C34506">
        <w:rPr>
          <w:rStyle w:val="HideTWBInt"/>
        </w:rPr>
        <w:t>{EN}</w:t>
      </w:r>
      <w:r w:rsidRPr="00C34506">
        <w:t>en</w:t>
      </w:r>
      <w:r w:rsidRPr="00C34506">
        <w:rPr>
          <w:rStyle w:val="HideTWBExt"/>
        </w:rPr>
        <w:t>&lt;/Original&gt;</w:t>
      </w:r>
    </w:p>
    <w:p w:rsidR="004855AE" w:rsidRDefault="004855AE" w:rsidP="004855AE">
      <w:pPr>
        <w:rPr>
          <w:rStyle w:val="HideTWBExt"/>
        </w:rPr>
      </w:pPr>
      <w:r>
        <w:rPr>
          <w:rStyle w:val="HideTWBExt"/>
        </w:rPr>
        <w:t>&lt;/Amend&gt;</w:t>
      </w:r>
      <w:r w:rsidRPr="004855AE">
        <w:rPr>
          <w:rStyle w:val="HideTWBExt"/>
        </w:rPr>
        <w:t>&lt;/RepeatBlock-Amend&gt;</w:t>
      </w:r>
    </w:p>
    <w:p w:rsidR="00F2637A" w:rsidRPr="00C34506" w:rsidRDefault="00F2637A" w:rsidP="004855AE"/>
    <w:sectPr w:rsidR="00F2637A" w:rsidRPr="00C34506" w:rsidSect="004855AE">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855AE">
      <w:r>
        <w:separator/>
      </w:r>
    </w:p>
  </w:endnote>
  <w:endnote w:type="continuationSeparator" w:id="0">
    <w:p w:rsidR="00000000" w:rsidRDefault="00485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5AE" w:rsidRDefault="004855AE" w:rsidP="004855AE">
    <w:pPr>
      <w:pStyle w:val="EPFooter"/>
    </w:pPr>
    <w:r>
      <w:t>PE</w:t>
    </w:r>
    <w:r w:rsidRPr="004855AE">
      <w:rPr>
        <w:rStyle w:val="HideTWBExt"/>
      </w:rPr>
      <w:t>&lt;NoPE&gt;</w:t>
    </w:r>
    <w:r>
      <w:t>773.152</w:t>
    </w:r>
    <w:r w:rsidRPr="004855AE">
      <w:rPr>
        <w:rStyle w:val="HideTWBExt"/>
      </w:rPr>
      <w:t>&lt;/NoPE&gt;&lt;Version&gt;</w:t>
    </w:r>
    <w:r>
      <w:t>v01-00</w:t>
    </w:r>
    <w:r w:rsidRPr="004855AE">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198</w:t>
      </w:r>
    </w:fldSimple>
    <w:r>
      <w:tab/>
    </w:r>
    <w:r w:rsidRPr="004855AE">
      <w:rPr>
        <w:rStyle w:val="HideTWBExt"/>
      </w:rPr>
      <w:t>&lt;PathFdR&gt;</w:t>
    </w:r>
    <w:r>
      <w:t>AM\1320327BG.docx</w:t>
    </w:r>
    <w:r w:rsidRPr="004855AE">
      <w:rPr>
        <w:rStyle w:val="HideTWBExt"/>
      </w:rPr>
      <w:t>&lt;/PathFdR&gt;</w:t>
    </w:r>
  </w:p>
  <w:p w:rsidR="00A96DA3" w:rsidRPr="00C34506" w:rsidRDefault="004855AE" w:rsidP="004855AE">
    <w:pPr>
      <w:pStyle w:val="EPFooter2"/>
    </w:pPr>
    <w:r>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5AE" w:rsidRDefault="004855AE" w:rsidP="004855AE">
    <w:pPr>
      <w:pStyle w:val="EPFooter"/>
    </w:pPr>
    <w:r w:rsidRPr="004855AE">
      <w:rPr>
        <w:rStyle w:val="HideTWBExt"/>
      </w:rPr>
      <w:t>&lt;PathFdR&gt;</w:t>
    </w:r>
    <w:r>
      <w:t>AM\1320327BG.docx</w:t>
    </w:r>
    <w:r w:rsidRPr="004855AE">
      <w:rPr>
        <w:rStyle w:val="HideTWBExt"/>
      </w:rPr>
      <w:t>&lt;/PathFdR&gt;</w:t>
    </w:r>
    <w:r>
      <w:tab/>
    </w:r>
    <w:r>
      <w:fldChar w:fldCharType="begin"/>
    </w:r>
    <w:r>
      <w:instrText xml:space="preserve"> PAGE  \* MERGEFORMAT </w:instrText>
    </w:r>
    <w:r>
      <w:fldChar w:fldCharType="separate"/>
    </w:r>
    <w:r>
      <w:rPr>
        <w:noProof/>
      </w:rPr>
      <w:t>3</w:t>
    </w:r>
    <w:r>
      <w:fldChar w:fldCharType="end"/>
    </w:r>
    <w:r>
      <w:t>/</w:t>
    </w:r>
    <w:fldSimple w:instr=" NUMPAGES  \* MERGEFORMAT ">
      <w:r>
        <w:rPr>
          <w:noProof/>
        </w:rPr>
        <w:t>198</w:t>
      </w:r>
    </w:fldSimple>
    <w:r>
      <w:tab/>
      <w:t>PE</w:t>
    </w:r>
    <w:r w:rsidRPr="004855AE">
      <w:rPr>
        <w:rStyle w:val="HideTWBExt"/>
      </w:rPr>
      <w:t>&lt;NoPE&gt;</w:t>
    </w:r>
    <w:r>
      <w:t>773.152</w:t>
    </w:r>
    <w:r w:rsidRPr="004855AE">
      <w:rPr>
        <w:rStyle w:val="HideTWBExt"/>
      </w:rPr>
      <w:t>&lt;/NoPE&gt;&lt;Version&gt;</w:t>
    </w:r>
    <w:r>
      <w:t>v01-00</w:t>
    </w:r>
    <w:r w:rsidRPr="004855AE">
      <w:rPr>
        <w:rStyle w:val="HideTWBExt"/>
      </w:rPr>
      <w:t>&lt;/Version&gt;</w:t>
    </w:r>
  </w:p>
  <w:p w:rsidR="00A96DA3" w:rsidRPr="00C34506" w:rsidRDefault="004855AE" w:rsidP="004855AE">
    <w:pPr>
      <w:pStyle w:val="EPFooter2"/>
    </w:pPr>
    <w:r>
      <w:tab/>
    </w:r>
    <w:r>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5AE" w:rsidRDefault="004855AE" w:rsidP="004855AE">
    <w:pPr>
      <w:pStyle w:val="EPFooter"/>
    </w:pPr>
    <w:r w:rsidRPr="004855AE">
      <w:rPr>
        <w:rStyle w:val="HideTWBExt"/>
      </w:rPr>
      <w:t>&lt;PathFdR&gt;</w:t>
    </w:r>
    <w:r>
      <w:t>AM\1320327BG.docx</w:t>
    </w:r>
    <w:r w:rsidRPr="004855AE">
      <w:rPr>
        <w:rStyle w:val="HideTWBExt"/>
      </w:rPr>
      <w:t>&lt;/PathFdR&gt;</w:t>
    </w:r>
    <w:r>
      <w:tab/>
    </w:r>
    <w:r>
      <w:tab/>
      <w:t>PE</w:t>
    </w:r>
    <w:r w:rsidRPr="004855AE">
      <w:rPr>
        <w:rStyle w:val="HideTWBExt"/>
      </w:rPr>
      <w:t>&lt;NoPE&gt;</w:t>
    </w:r>
    <w:r>
      <w:t>773.152</w:t>
    </w:r>
    <w:r w:rsidRPr="004855AE">
      <w:rPr>
        <w:rStyle w:val="HideTWBExt"/>
      </w:rPr>
      <w:t>&lt;/NoPE&gt;&lt;Version&gt;</w:t>
    </w:r>
    <w:r>
      <w:t>v01-00</w:t>
    </w:r>
    <w:r w:rsidRPr="004855AE">
      <w:rPr>
        <w:rStyle w:val="HideTWBExt"/>
      </w:rPr>
      <w:t>&lt;/Version&gt;</w:t>
    </w:r>
  </w:p>
  <w:p w:rsidR="00A96DA3" w:rsidRPr="00C34506" w:rsidRDefault="004855AE" w:rsidP="004855AE">
    <w:pPr>
      <w:pStyle w:val="EPFooter2"/>
    </w:pPr>
    <w:r>
      <w:t>BG</w:t>
    </w:r>
    <w:r>
      <w:tab/>
    </w:r>
    <w:r w:rsidRPr="004855AE">
      <w:rPr>
        <w:b w:val="0"/>
        <w:i/>
        <w:color w:val="C0C0C0"/>
        <w:sz w:val="22"/>
      </w:rPr>
      <w:t>Единство в многообразието</w:t>
    </w:r>
    <w:r>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4855AE">
      <w:r>
        <w:separator/>
      </w:r>
    </w:p>
  </w:footnote>
  <w:footnote w:type="continuationSeparator" w:id="0">
    <w:p w:rsidR="00000000" w:rsidRDefault="004855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5AE" w:rsidRDefault="004855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5AE" w:rsidRDefault="004855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5AE" w:rsidRDefault="004855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DEMNU" w:val=" 2"/>
    <w:docVar w:name="iNoAmend" w:val="44"/>
    <w:docVar w:name="InsideLoop" w:val="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0"/>
    <w:docVar w:name="TVTAMPART" w:val="Recital Aa (new)"/>
    <w:docVar w:name="TVTMEMBERS1" w:val="Danuše Nerudová"/>
    <w:docVar w:name="TXTLANGUE" w:val="BG"/>
    <w:docVar w:name="TXTLANGUEMIN" w:val="bg"/>
    <w:docVar w:name="TXTNRFIRSTAM" w:val="1"/>
    <w:docVar w:name="TXTNRLASTAM" w:val="339"/>
    <w:docVar w:name="TXTNRPE" w:val="773.152"/>
    <w:docVar w:name="TXTPEorAP" w:val="PE"/>
    <w:docVar w:name="TXTROUTE" w:val="AM\1320327BG.docx"/>
    <w:docVar w:name="TXTVERSION" w:val="01-00"/>
  </w:docVars>
  <w:rsids>
    <w:rsidRoot w:val="00A77B3E"/>
    <w:rsid w:val="00120A62"/>
    <w:rsid w:val="00202118"/>
    <w:rsid w:val="00252254"/>
    <w:rsid w:val="002B2112"/>
    <w:rsid w:val="002C7302"/>
    <w:rsid w:val="002D6885"/>
    <w:rsid w:val="0042035E"/>
    <w:rsid w:val="004855AE"/>
    <w:rsid w:val="00564D5A"/>
    <w:rsid w:val="005A2C42"/>
    <w:rsid w:val="005B5DE2"/>
    <w:rsid w:val="005F763A"/>
    <w:rsid w:val="00604C7A"/>
    <w:rsid w:val="006E30DC"/>
    <w:rsid w:val="007238E9"/>
    <w:rsid w:val="007323C4"/>
    <w:rsid w:val="00787CF7"/>
    <w:rsid w:val="00797FFA"/>
    <w:rsid w:val="007E54B8"/>
    <w:rsid w:val="008777C2"/>
    <w:rsid w:val="008A3AEC"/>
    <w:rsid w:val="00943645"/>
    <w:rsid w:val="009549BB"/>
    <w:rsid w:val="00971BB6"/>
    <w:rsid w:val="00A77B3E"/>
    <w:rsid w:val="00A96DA3"/>
    <w:rsid w:val="00BB6EBB"/>
    <w:rsid w:val="00C34506"/>
    <w:rsid w:val="00CA2A55"/>
    <w:rsid w:val="00E17CF9"/>
    <w:rsid w:val="00F2637A"/>
    <w:rsid w:val="00FC3F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3ECB9B"/>
  <w15:docId w15:val="{2AEF1259-B4C1-410D-AB9A-F23A4D71B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link w:val="NormalBoldChar"/>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2C7302"/>
    <w:pPr>
      <w:tabs>
        <w:tab w:val="center" w:pos="4513"/>
        <w:tab w:val="right" w:pos="9026"/>
      </w:tabs>
    </w:pPr>
  </w:style>
  <w:style w:type="character" w:customStyle="1" w:styleId="HeaderChar">
    <w:name w:val="Header Char"/>
    <w:basedOn w:val="DefaultParagraphFont"/>
    <w:link w:val="Header"/>
    <w:rsid w:val="002C7302"/>
    <w:rPr>
      <w:sz w:val="24"/>
      <w:szCs w:val="24"/>
    </w:rPr>
  </w:style>
  <w:style w:type="paragraph" w:styleId="Footer">
    <w:name w:val="footer"/>
    <w:basedOn w:val="Normal"/>
    <w:link w:val="FooterChar"/>
    <w:semiHidden/>
    <w:unhideWhenUsed/>
    <w:rsid w:val="002C7302"/>
    <w:pPr>
      <w:tabs>
        <w:tab w:val="center" w:pos="4513"/>
        <w:tab w:val="right" w:pos="9026"/>
      </w:tabs>
    </w:pPr>
  </w:style>
  <w:style w:type="character" w:customStyle="1" w:styleId="FooterChar">
    <w:name w:val="Footer Char"/>
    <w:basedOn w:val="DefaultParagraphFont"/>
    <w:link w:val="Footer"/>
    <w:semiHidden/>
    <w:rsid w:val="002C7302"/>
    <w:rPr>
      <w:sz w:val="24"/>
      <w:szCs w:val="24"/>
    </w:rPr>
  </w:style>
  <w:style w:type="paragraph" w:styleId="BalloonText">
    <w:name w:val="Balloon Text"/>
    <w:basedOn w:val="Normal"/>
    <w:link w:val="BalloonTextChar"/>
    <w:semiHidden/>
    <w:unhideWhenUsed/>
    <w:rsid w:val="00BB6EBB"/>
    <w:rPr>
      <w:rFonts w:ascii="Segoe UI" w:hAnsi="Segoe UI" w:cs="Segoe UI"/>
      <w:sz w:val="18"/>
      <w:szCs w:val="18"/>
    </w:rPr>
  </w:style>
  <w:style w:type="character" w:customStyle="1" w:styleId="BalloonTextChar">
    <w:name w:val="Balloon Text Char"/>
    <w:basedOn w:val="DefaultParagraphFont"/>
    <w:link w:val="BalloonText"/>
    <w:semiHidden/>
    <w:rsid w:val="00BB6EBB"/>
    <w:rPr>
      <w:rFonts w:ascii="Segoe UI" w:hAnsi="Segoe UI" w:cs="Segoe UI"/>
      <w:sz w:val="18"/>
      <w:szCs w:val="18"/>
    </w:rPr>
  </w:style>
  <w:style w:type="paragraph" w:customStyle="1" w:styleId="Normal6">
    <w:name w:val="Normal6"/>
    <w:basedOn w:val="Normal"/>
    <w:link w:val="Normal6Char"/>
    <w:rsid w:val="005F763A"/>
    <w:pPr>
      <w:spacing w:after="120"/>
    </w:pPr>
    <w:rPr>
      <w:szCs w:val="20"/>
      <w:lang w:eastAsia="en-GB"/>
    </w:rPr>
  </w:style>
  <w:style w:type="character" w:customStyle="1" w:styleId="NormalBoldChar">
    <w:name w:val="NormalBold Char"/>
    <w:basedOn w:val="DefaultParagraphFont"/>
    <w:link w:val="NormalBold"/>
    <w:rsid w:val="005F763A"/>
    <w:rPr>
      <w:b/>
      <w:sz w:val="24"/>
      <w:szCs w:val="24"/>
    </w:rPr>
  </w:style>
  <w:style w:type="character" w:customStyle="1" w:styleId="Normal6Char">
    <w:name w:val="Normal6 Char"/>
    <w:basedOn w:val="DefaultParagraphFont"/>
    <w:link w:val="Normal6"/>
    <w:rsid w:val="005F763A"/>
    <w:rPr>
      <w:sz w:val="24"/>
      <w:lang w:val="bg-BG" w:eastAsia="en-GB"/>
    </w:rPr>
  </w:style>
  <w:style w:type="paragraph" w:customStyle="1" w:styleId="ColumnHeading">
    <w:name w:val="ColumnHeading"/>
    <w:basedOn w:val="Normal"/>
    <w:rsid w:val="005F763A"/>
    <w:pPr>
      <w:spacing w:after="240"/>
      <w:jc w:val="center"/>
    </w:pPr>
    <w:rPr>
      <w:i/>
      <w:szCs w:val="20"/>
      <w:lang w:eastAsia="en-GB"/>
    </w:rPr>
  </w:style>
  <w:style w:type="paragraph" w:customStyle="1" w:styleId="AMNumberTabs0">
    <w:name w:val="AMNumberTabs"/>
    <w:basedOn w:val="Normal"/>
    <w:rsid w:val="005F763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eastAsia="en-GB"/>
    </w:rPr>
  </w:style>
  <w:style w:type="paragraph" w:customStyle="1" w:styleId="Olang">
    <w:name w:val="Olang"/>
    <w:rsid w:val="005F763A"/>
    <w:pPr>
      <w:jc w:val="right"/>
    </w:pPr>
    <w:rPr>
      <w:lang w:eastAsia="cs-CZ"/>
    </w:rPr>
  </w:style>
  <w:style w:type="character" w:styleId="CommentReference">
    <w:name w:val="annotation reference"/>
    <w:basedOn w:val="DefaultParagraphFont"/>
    <w:semiHidden/>
    <w:unhideWhenUsed/>
    <w:rsid w:val="007323C4"/>
    <w:rPr>
      <w:sz w:val="16"/>
      <w:szCs w:val="16"/>
    </w:rPr>
  </w:style>
  <w:style w:type="paragraph" w:styleId="CommentText">
    <w:name w:val="annotation text"/>
    <w:basedOn w:val="Normal"/>
    <w:link w:val="CommentTextChar"/>
    <w:semiHidden/>
    <w:unhideWhenUsed/>
    <w:rsid w:val="007323C4"/>
    <w:rPr>
      <w:sz w:val="20"/>
      <w:szCs w:val="20"/>
    </w:rPr>
  </w:style>
  <w:style w:type="character" w:customStyle="1" w:styleId="CommentTextChar">
    <w:name w:val="Comment Text Char"/>
    <w:basedOn w:val="DefaultParagraphFont"/>
    <w:link w:val="CommentText"/>
    <w:semiHidden/>
    <w:rsid w:val="007323C4"/>
  </w:style>
  <w:style w:type="paragraph" w:styleId="CommentSubject">
    <w:name w:val="annotation subject"/>
    <w:basedOn w:val="CommentText"/>
    <w:next w:val="CommentText"/>
    <w:link w:val="CommentSubjectChar"/>
    <w:semiHidden/>
    <w:unhideWhenUsed/>
    <w:rsid w:val="007323C4"/>
    <w:rPr>
      <w:b/>
      <w:bCs/>
    </w:rPr>
  </w:style>
  <w:style w:type="character" w:customStyle="1" w:styleId="CommentSubjectChar">
    <w:name w:val="Comment Subject Char"/>
    <w:basedOn w:val="CommentTextChar"/>
    <w:link w:val="CommentSubject"/>
    <w:semiHidden/>
    <w:rsid w:val="007323C4"/>
    <w:rPr>
      <w:b/>
      <w:bCs/>
    </w:rPr>
  </w:style>
  <w:style w:type="paragraph" w:styleId="Revision">
    <w:name w:val="Revision"/>
    <w:hidden/>
    <w:uiPriority w:val="99"/>
    <w:semiHidden/>
    <w:rsid w:val="007323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6C1DA-DE6C-4FB6-8FD5-88C653414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198</Pages>
  <Words>35274</Words>
  <Characters>214030</Characters>
  <Application>Microsoft Office Word</Application>
  <DocSecurity>0</DocSecurity>
  <Lines>10233</Lines>
  <Paragraphs>3051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SAVOVA KHALDOUNE Savina</cp:lastModifiedBy>
  <cp:revision>2</cp:revision>
  <dcterms:created xsi:type="dcterms:W3CDTF">2025-05-23T10:05:00Z</dcterms:created>
  <dcterms:modified xsi:type="dcterms:W3CDTF">2025-05-23T10:05:00Z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1320327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- 2025/05/23 12:05</vt:lpwstr>
  </property>
  <property fmtid="{D5CDD505-2E9C-101B-9397-08002B2CF9AE}" pid="7" name="dmxml.render.id">
    <vt:lpwstr>173951</vt:lpwstr>
  </property>
  <property fmtid="{D5CDD505-2E9C-101B-9397-08002B2CF9AE}" pid="8" name="dmxml.render.traceId">
    <vt:lpwstr>6814b4ffff221515b528b7fae7ef3a9e</vt:lpwstr>
  </property>
  <property fmtid="{D5CDD505-2E9C-101B-9397-08002B2CF9AE}" pid="9" name="FooterPath">
    <vt:lpwstr>AM\1320327BG.docx</vt:lpwstr>
  </property>
  <property fmtid="{D5CDD505-2E9C-101B-9397-08002B2CF9AE}" pid="10" name="LastEdited with">
    <vt:lpwstr>10.1.1 Build [20250421]</vt:lpwstr>
  </property>
  <property fmtid="{D5CDD505-2E9C-101B-9397-08002B2CF9AE}" pid="11" name="OriLang">
    <vt:lpwstr>EN</vt:lpwstr>
  </property>
  <property fmtid="{D5CDD505-2E9C-101B-9397-08002B2CF9AE}" pid="12" name="PE Number">
    <vt:lpwstr>773.152</vt:lpwstr>
  </property>
  <property fmtid="{D5CDD505-2E9C-101B-9397-08002B2CF9AE}" pid="13" name="SDLStudio">
    <vt:lpwstr/>
  </property>
  <property fmtid="{D5CDD505-2E9C-101B-9397-08002B2CF9AE}" pid="14" name="SendToEpades">
    <vt:lpwstr>OK(AMNUM) - 2025/05/05 14:11</vt:lpwstr>
  </property>
  <property fmtid="{D5CDD505-2E9C-101B-9397-08002B2CF9AE}" pid="15" name="UID">
    <vt:lpwstr>eu.europa.europarl-TMP1-0000-0000000336_00.00-xm-00.00_text-xml</vt:lpwstr>
  </property>
</Properties>
</file>