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F129C3" w:rsidRPr="004E16CD">
        <w:trPr>
          <w:trHeight w:hRule="exact" w:val="1417"/>
          <w:jc w:val="center"/>
        </w:trPr>
        <w:tc>
          <w:tcPr>
            <w:tcW w:w="6804" w:type="dxa"/>
            <w:tcBorders>
              <w:top w:val="nil"/>
              <w:left w:val="nil"/>
              <w:bottom w:val="nil"/>
              <w:right w:val="nil"/>
            </w:tcBorders>
            <w:vAlign w:val="center"/>
          </w:tcPr>
          <w:p w:rsidR="00F2637A" w:rsidRPr="004E16CD" w:rsidRDefault="004E16CD">
            <w:pPr>
              <w:pStyle w:val="EPName"/>
            </w:pPr>
            <w:r w:rsidRPr="004E16CD">
              <w:t>Europ</w:t>
            </w:r>
            <w:r w:rsidRPr="004E16CD">
              <w:rPr>
                <w:color w:val="000000"/>
              </w:rPr>
              <w:t>äisches Parlament</w:t>
            </w:r>
          </w:p>
          <w:p w:rsidR="00F2637A" w:rsidRPr="004E16CD" w:rsidRDefault="004E16CD">
            <w:pPr>
              <w:pStyle w:val="EPTerm"/>
            </w:pPr>
            <w:r w:rsidRPr="004E16CD">
              <w:t>2024-2029</w:t>
            </w:r>
          </w:p>
        </w:tc>
        <w:tc>
          <w:tcPr>
            <w:tcW w:w="2268" w:type="dxa"/>
            <w:tcBorders>
              <w:top w:val="nil"/>
              <w:left w:val="nil"/>
              <w:bottom w:val="nil"/>
              <w:right w:val="nil"/>
            </w:tcBorders>
          </w:tcPr>
          <w:p w:rsidR="00F2637A" w:rsidRPr="004E16CD" w:rsidRDefault="004E16CD">
            <w:pPr>
              <w:pStyle w:val="EPLogo"/>
            </w:pPr>
            <w:r w:rsidRPr="004E16CD">
              <w:rPr>
                <w:noProof/>
                <w:lang w:eastAsia="en-GB"/>
              </w:rPr>
              <w:drawing>
                <wp:inline distT="0" distB="0" distL="0" distR="0">
                  <wp:extent cx="1162050" cy="657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62050" cy="657225"/>
                          </a:xfrm>
                          <a:prstGeom prst="rect">
                            <a:avLst/>
                          </a:prstGeom>
                          <a:noFill/>
                          <a:ln>
                            <a:noFill/>
                          </a:ln>
                        </pic:spPr>
                      </pic:pic>
                    </a:graphicData>
                  </a:graphic>
                </wp:inline>
              </w:drawing>
            </w:r>
          </w:p>
        </w:tc>
      </w:tr>
    </w:tbl>
    <w:p w:rsidR="00F2637A" w:rsidRPr="004E16CD" w:rsidRDefault="004E16CD">
      <w:pPr>
        <w:pStyle w:val="LineTop"/>
      </w:pPr>
      <w:r w:rsidRPr="004E16CD">
        <w:t xml:space="preserve"> </w:t>
      </w:r>
    </w:p>
    <w:p w:rsidR="00F2637A" w:rsidRPr="004E16CD" w:rsidRDefault="004E16CD">
      <w:pPr>
        <w:pStyle w:val="EPBody"/>
      </w:pPr>
      <w:r w:rsidRPr="004E16CD">
        <w:rPr>
          <w:rStyle w:val="HideTWBExt"/>
          <w:i w:val="0"/>
        </w:rPr>
        <w:t>&lt;Commission&gt;</w:t>
      </w:r>
      <w:r w:rsidRPr="004E16CD">
        <w:rPr>
          <w:rStyle w:val="HideTWBInt"/>
          <w:i w:val="0"/>
          <w:color w:val="auto"/>
        </w:rPr>
        <w:t>{ECON}</w:t>
      </w:r>
      <w:r w:rsidRPr="004E16CD">
        <w:t>Ausschuss für Wirtschaft und Währung</w:t>
      </w:r>
      <w:r w:rsidRPr="004E16CD">
        <w:rPr>
          <w:rStyle w:val="HideTWBExt"/>
          <w:i w:val="0"/>
        </w:rPr>
        <w:t>&lt;/Commission&gt;</w:t>
      </w:r>
    </w:p>
    <w:p w:rsidR="00F2637A" w:rsidRPr="004E16CD" w:rsidRDefault="004E16CD">
      <w:pPr>
        <w:pStyle w:val="LineBottom"/>
      </w:pPr>
      <w:r w:rsidRPr="004E16CD">
        <w:t xml:space="preserve"> </w:t>
      </w:r>
    </w:p>
    <w:p w:rsidR="00F2637A" w:rsidRPr="004E16CD" w:rsidRDefault="004E16CD">
      <w:pPr>
        <w:pStyle w:val="CoverReference"/>
      </w:pPr>
      <w:r w:rsidRPr="004E16CD">
        <w:rPr>
          <w:rStyle w:val="HideTWBExt"/>
          <w:b w:val="0"/>
        </w:rPr>
        <w:t>&lt;RefProc&gt;</w:t>
      </w:r>
      <w:r w:rsidRPr="004E16CD">
        <w:t>2024/2116</w:t>
      </w:r>
      <w:r w:rsidRPr="004E16CD">
        <w:rPr>
          <w:rStyle w:val="HideTWBExt"/>
          <w:b w:val="0"/>
        </w:rPr>
        <w:t>&lt;/RefProc&gt;&lt;RefTypeProc&gt;</w:t>
      </w:r>
      <w:r w:rsidRPr="004E16CD">
        <w:t>(INI)</w:t>
      </w:r>
      <w:r w:rsidRPr="004E16CD">
        <w:rPr>
          <w:rStyle w:val="HideTWBExt"/>
          <w:b w:val="0"/>
        </w:rPr>
        <w:t>&lt;/RefTypeProc&gt;</w:t>
      </w:r>
    </w:p>
    <w:p w:rsidR="00F2637A" w:rsidRPr="004E16CD" w:rsidRDefault="004E16CD">
      <w:pPr>
        <w:pStyle w:val="CoverDate"/>
      </w:pPr>
      <w:r w:rsidRPr="004E16CD">
        <w:rPr>
          <w:rStyle w:val="HideTWBExt"/>
        </w:rPr>
        <w:t>&lt;Date&gt;</w:t>
      </w:r>
      <w:r w:rsidRPr="004E16CD">
        <w:rPr>
          <w:rStyle w:val="HideTWBInt"/>
          <w:color w:val="auto"/>
        </w:rPr>
        <w:t>{05/05/2025}</w:t>
      </w:r>
      <w:r w:rsidRPr="004E16CD">
        <w:t>5.5.2025</w:t>
      </w:r>
      <w:r w:rsidRPr="004E16CD">
        <w:rPr>
          <w:rStyle w:val="HideTWBExt"/>
        </w:rPr>
        <w:t>&lt;/Date&gt;</w:t>
      </w:r>
    </w:p>
    <w:p w:rsidR="00F2637A" w:rsidRPr="004E16CD" w:rsidRDefault="004E16CD">
      <w:pPr>
        <w:pStyle w:val="CoverDocType"/>
      </w:pPr>
      <w:r w:rsidRPr="004E16CD">
        <w:rPr>
          <w:rStyle w:val="HideTWBExt"/>
          <w:b w:val="0"/>
        </w:rPr>
        <w:t>&lt;TypeAM&gt;</w:t>
      </w:r>
      <w:r w:rsidRPr="004E16CD">
        <w:t>ÄNDERUNGSANTRÄGE</w:t>
      </w:r>
      <w:r w:rsidRPr="004E16CD">
        <w:rPr>
          <w:rStyle w:val="HideTWBExt"/>
          <w:b w:val="0"/>
        </w:rPr>
        <w:t>&lt;/TypeAM&gt;</w:t>
      </w:r>
    </w:p>
    <w:p w:rsidR="00F2637A" w:rsidRPr="004E16CD" w:rsidRDefault="004E16CD">
      <w:pPr>
        <w:pStyle w:val="CoverDocType24a"/>
      </w:pPr>
      <w:r w:rsidRPr="004E16CD">
        <w:rPr>
          <w:rStyle w:val="HideTWBExt"/>
          <w:b w:val="0"/>
        </w:rPr>
        <w:t>&lt;RangeAM&gt;</w:t>
      </w:r>
      <w:r w:rsidRPr="004E16CD">
        <w:t>1 - 339</w:t>
      </w:r>
      <w:r w:rsidRPr="004E16CD">
        <w:rPr>
          <w:rStyle w:val="HideTWBExt"/>
          <w:b w:val="0"/>
        </w:rPr>
        <w:t>&lt;/RangeAM&gt;</w:t>
      </w:r>
    </w:p>
    <w:p w:rsidR="00F2637A" w:rsidRPr="004E16CD" w:rsidRDefault="004E16CD">
      <w:pPr>
        <w:pStyle w:val="CoverBold"/>
      </w:pPr>
      <w:r w:rsidRPr="004E16CD">
        <w:rPr>
          <w:rStyle w:val="HideTWBExt"/>
          <w:b w:val="0"/>
        </w:rPr>
        <w:t>&lt;TitreType&gt;</w:t>
      </w:r>
      <w:r w:rsidRPr="004E16CD">
        <w:t>Entwurf eines Berichts</w:t>
      </w:r>
      <w:r w:rsidRPr="004E16CD">
        <w:rPr>
          <w:rStyle w:val="HideTWBExt"/>
          <w:b w:val="0"/>
        </w:rPr>
        <w:t>&lt;/TitreType&gt;</w:t>
      </w:r>
    </w:p>
    <w:p w:rsidR="00F2637A" w:rsidRPr="004E16CD" w:rsidRDefault="004E16CD">
      <w:pPr>
        <w:pStyle w:val="CoverBold"/>
      </w:pPr>
      <w:r w:rsidRPr="004E16CD">
        <w:rPr>
          <w:rStyle w:val="HideTWBExt"/>
          <w:b w:val="0"/>
        </w:rPr>
        <w:t>&lt;Rapporteur&gt;</w:t>
      </w:r>
      <w:r w:rsidRPr="004E16CD">
        <w:t>Aurore Lalucq</w:t>
      </w:r>
      <w:r w:rsidRPr="004E16CD">
        <w:rPr>
          <w:rStyle w:val="HideTWBExt"/>
          <w:b w:val="0"/>
        </w:rPr>
        <w:t>&lt;/Rapporteur&gt;</w:t>
      </w:r>
    </w:p>
    <w:p w:rsidR="00F2637A" w:rsidRPr="004E16CD" w:rsidRDefault="004E16CD">
      <w:pPr>
        <w:pStyle w:val="CoverNormal24a"/>
      </w:pPr>
      <w:r w:rsidRPr="004E16CD">
        <w:rPr>
          <w:rStyle w:val="HideTWBExt"/>
        </w:rPr>
        <w:t>&lt;DocRefPE&gt;</w:t>
      </w:r>
      <w:r w:rsidRPr="004E16CD">
        <w:t>(PE770.112v01-00)</w:t>
      </w:r>
      <w:r w:rsidRPr="004E16CD">
        <w:rPr>
          <w:rStyle w:val="HideTWBExt"/>
        </w:rPr>
        <w:t>&lt;/DocRefPE&gt;</w:t>
      </w:r>
    </w:p>
    <w:p w:rsidR="00F2637A" w:rsidRPr="004E16CD" w:rsidRDefault="004E16CD">
      <w:pPr>
        <w:pStyle w:val="CoverNormal"/>
      </w:pPr>
      <w:r w:rsidRPr="004E16CD">
        <w:rPr>
          <w:rStyle w:val="HideTWBExt"/>
        </w:rPr>
        <w:t>&lt;Titre&gt;</w:t>
      </w:r>
      <w:r w:rsidRPr="004E16CD">
        <w:t xml:space="preserve">über Erleichterungen bei der Finanzierung von Investitionen und Reformen zur Steigerung der Wettbewerbsfähigkeit </w:t>
      </w:r>
      <w:r w:rsidRPr="004E16CD">
        <w:t>der Union und die Schaffung einer Kapitalmarktunion (Draghi-Bericht)</w:t>
      </w:r>
      <w:r w:rsidRPr="004E16CD">
        <w:rPr>
          <w:rStyle w:val="HideTWBExt"/>
        </w:rPr>
        <w:t>&lt;/Titre&gt;</w:t>
      </w:r>
    </w:p>
    <w:p w:rsidR="00F2637A" w:rsidRPr="004E16CD" w:rsidRDefault="004E16CD">
      <w:pPr>
        <w:pStyle w:val="CoverNormal24a"/>
      </w:pPr>
      <w:r w:rsidRPr="004E16CD">
        <w:rPr>
          <w:rStyle w:val="HideTWBExt"/>
        </w:rPr>
        <w:t>&lt;DocRef&gt;</w:t>
      </w:r>
      <w:r w:rsidRPr="004E16CD">
        <w:t>(2024/2116(INI))</w:t>
      </w:r>
      <w:r w:rsidRPr="004E16CD">
        <w:rPr>
          <w:rStyle w:val="HideTWBExt"/>
        </w:rPr>
        <w:t>&lt;/DocRef&gt;</w:t>
      </w:r>
    </w:p>
    <w:p w:rsidR="00F2637A" w:rsidRPr="004E16CD" w:rsidRDefault="004E16CD">
      <w:r w:rsidRPr="004E16CD">
        <w:br w:type="page"/>
      </w:r>
      <w:r w:rsidRPr="004E16CD">
        <w:lastRenderedPageBreak/>
        <w:t>AM_Com_NonLegReport</w:t>
      </w:r>
    </w:p>
    <w:p w:rsidR="00566232" w:rsidRPr="004E16CD" w:rsidRDefault="004E16CD" w:rsidP="00566232">
      <w:pPr>
        <w:pStyle w:val="AmNumberTabs"/>
      </w:pPr>
      <w:r w:rsidRPr="004E16CD">
        <w:br w:type="page"/>
      </w:r>
    </w:p>
    <w:p w:rsidR="00F2637A" w:rsidRPr="004E16CD" w:rsidRDefault="00F2637A"/>
    <w:p w:rsidR="004E16CD" w:rsidRPr="004E16CD" w:rsidRDefault="004E16CD" w:rsidP="004E16CD">
      <w:pPr>
        <w:pStyle w:val="AmNumberTabs"/>
      </w:pPr>
      <w:r w:rsidRPr="004E16CD">
        <w:rPr>
          <w:rStyle w:val="HideTWBExt"/>
          <w:b w:val="0"/>
        </w:rPr>
        <w:t>&lt;RepeatBlock-Amend&gt;</w:t>
      </w: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Ľudovít Ódor, Anouk Van Brug, Pascal Canfin, Billy Kelleher, Stéphanie Yon-Courtin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Bezugsvermerk -1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w:t>
            </w:r>
            <w:r w:rsidRPr="004E16CD">
              <w:tab/>
            </w:r>
            <w:r w:rsidRPr="004E16CD">
              <w:rPr>
                <w:b/>
                <w:i/>
              </w:rPr>
              <w:t>unter Hinweis auf die Mitteilung der Kommission vom 19. März 2025 mit dem Titel „Spar- und Investitionsunion – Eine Strategie zur Förderung von Wohlstand und wirtschaftlicher Wettbewerbsfähigkeit in der EU“ (COM(2025)0124),</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Regina Doherty</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Bezugsvermerk 4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w:t>
            </w:r>
            <w:r w:rsidRPr="004E16CD">
              <w:tab/>
            </w:r>
            <w:r w:rsidRPr="004E16CD">
              <w:rPr>
                <w:b/>
                <w:i/>
              </w:rPr>
              <w:t>unter Hinweis auf die Mitteilung der Kommission vom 29. Januar 2025 mit dem Titel „Ein Kompass für eine wettbewerbsfähige EU“ (COM(2025)0030),</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Sirpa Pietikäinen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Bezugsvermerk 6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w:t>
            </w:r>
            <w:r w:rsidRPr="004E16CD">
              <w:tab/>
            </w:r>
            <w:r w:rsidRPr="004E16CD">
              <w:rPr>
                <w:b/>
                <w:i/>
              </w:rPr>
              <w:t>unter Hinweis auf die Mitteilung der Kommission vom 26. Februar 2025 mit dem Titel „Der Deal für eine saubere Industrie: Ein gemeinsamer Fahrplan für Wettbewerbsfähigkeit und Dekarbonisierung“ (COM(2025)0085),</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Sirpa Pietikäinen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Bezugsvermerk 6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w:t>
            </w:r>
            <w:r w:rsidRPr="004E16CD">
              <w:tab/>
            </w:r>
            <w:r w:rsidRPr="004E16CD">
              <w:rPr>
                <w:b/>
                <w:i/>
              </w:rPr>
              <w:t>unter Hinweis auf die Mitteilung der Kommission vom 11. Dezember 2019 mit dem Titel „Der europäische Grüne Deal“ (COM(2019)0640),</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Sirpa Pietikäinen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Bezugsvermerk 6 c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w:t>
            </w:r>
            <w:r w:rsidRPr="004E16CD">
              <w:tab/>
            </w:r>
            <w:r w:rsidRPr="004E16CD">
              <w:rPr>
                <w:b/>
                <w:i/>
              </w:rPr>
              <w:t>unter Hinweis auf seine Entschließung vom 15. Januar 2020 zu dem Thema „Der europäische Grüne Deal“ (P9_TA(2020)0005),</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Sirpa Pietikäinen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Bezugsvermerk 6 d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w:t>
            </w:r>
            <w:r w:rsidRPr="004E16CD">
              <w:tab/>
            </w:r>
            <w:r w:rsidRPr="004E16CD">
              <w:rPr>
                <w:b/>
                <w:i/>
              </w:rPr>
              <w:t>unter Hinweis auf die Mitteilung der Kommission vom 11. März 2020 mit dem Titel „Ein neuer Aktionsplan für die Kreislaufwirtschaft – Für ein saubereres und wettbewerbsfähigeres Europa“ (COM(2020)0098),</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Sirpa Pietikäinen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Bezugsvermerk 6 e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w:t>
            </w:r>
            <w:r w:rsidRPr="004E16CD">
              <w:tab/>
            </w:r>
            <w:r w:rsidRPr="004E16CD">
              <w:rPr>
                <w:b/>
                <w:i/>
              </w:rPr>
              <w:t>unter Hinweis auf seine Entschließung vom 10. Februar 2021 zu dem neuen Aktionsplan für die Kreislaufwirtschaft (P9_TA(2021)0640),</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Evelyn Regner, Niels Fuglsang, Claire Fita, Carla Tavares, Thomas Bajada,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Bezugsvermerk 8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w:t>
            </w:r>
            <w:r w:rsidRPr="004E16CD">
              <w:tab/>
            </w:r>
            <w:r w:rsidRPr="004E16CD">
              <w:rPr>
                <w:b/>
                <w:i/>
              </w:rPr>
              <w:t>unter Hinweis auf die Mitteilung der Kommission vom 19. März 2025 mit dem Titel „Spar- und Investitionsunion – Eine Strategie zur Förderung von Wohlstand und wirtschaftlicher Wettbewerbsfähigkeit in der EU“ (COM(2025)0124),</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Arba Kokalari</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Bezugsvermerk 8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w:t>
            </w:r>
            <w:r w:rsidRPr="004E16CD">
              <w:tab/>
            </w:r>
            <w:r w:rsidRPr="004E16CD">
              <w:rPr>
                <w:b/>
                <w:i/>
              </w:rPr>
              <w:t>unter Hinweis auf die Mitteilung der Kommission vom 29. Januar 2025 mit dem Titel „Ein Kompass für eine wettbewerbsfähige EU“ (COM(2025)0030),</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Dirk Gotink</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Bezugsvermerk 8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w:t>
            </w:r>
            <w:r w:rsidRPr="004E16CD">
              <w:tab/>
            </w:r>
            <w:r w:rsidRPr="004E16CD">
              <w:rPr>
                <w:b/>
                <w:i/>
              </w:rPr>
              <w:t>unter Hinweis auf die Mitteilung der Kommission vom 29. Januar 2025 mit dem Titel „Ein Kompass für eine wettbewerbsfähige EU“ (COM(2025)0030),</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Dirk Gotink</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Bezugsvermerk 8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w:t>
            </w:r>
            <w:r w:rsidRPr="004E16CD">
              <w:tab/>
            </w:r>
            <w:r w:rsidRPr="004E16CD">
              <w:rPr>
                <w:b/>
                <w:i/>
              </w:rPr>
              <w:t>unter Hinweis auf die Mitteilung der Kommission vom 19. März 2025 mit dem Titel „Spar- und Investitionsunion – Eine Strategie zur Förderung von Wohlstand und wirtschaftlicher Wettbewerbsfähigkeit in der EU“ (COM(2025)0124),</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Evelyn Regner, Niels Fuglsang, Claire Fita, Carla Tavares,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Bezugsvermerk 9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w:t>
            </w:r>
            <w:r w:rsidRPr="004E16CD">
              <w:tab/>
            </w:r>
            <w:r w:rsidRPr="004E16CD">
              <w:rPr>
                <w:b/>
                <w:i/>
              </w:rPr>
              <w:t>unter Hinweis auf die Sondierungsstellungnahme des Europäischen Wirtschafts- und Sozialausschusses mit dem Titel „Investitionen und Reformen für Wettbewerbsfähigkeit/Kapitalmarktunion“ (ECO/665),</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Rasmus Andresen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Bezugsvermerk 11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w:t>
            </w:r>
            <w:r w:rsidRPr="004E16CD">
              <w:tab/>
            </w:r>
            <w:r w:rsidRPr="004E16CD">
              <w:rPr>
                <w:b/>
                <w:i/>
              </w:rPr>
              <w:t>unter Hinweis auf den ESMA-Marktbericht mit dem Titel „Costs and Performance of EU Retail Investment Products 2023“ (Kosten und Wertentwicklung von EU-Anlageprodukten für Kleinanleger) vom Dezember 2023,</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Rasmus Andresen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Bezugsvermerk 11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w:t>
            </w:r>
            <w:r w:rsidRPr="004E16CD">
              <w:tab/>
            </w:r>
            <w:r w:rsidRPr="004E16CD">
              <w:rPr>
                <w:b/>
                <w:i/>
              </w:rPr>
              <w:t>unter Hinweis auf die Stellungnahme der ESMA vom Juli 2024 mit dem Titel „Sustainable investments: Facilitating the investor journey - A holistic vision for the long term“ (Nachhaltige Investitionen: Den Weg für Investoren erleichtern – eine ganzheitliche langfristige Vision),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Rasmus Andresen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Bezugsvermerk 11 c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w:t>
            </w:r>
            <w:r w:rsidRPr="004E16CD">
              <w:tab/>
            </w:r>
            <w:r w:rsidRPr="004E16CD">
              <w:rPr>
                <w:b/>
                <w:i/>
              </w:rPr>
              <w:t>unter Hinweis auf das Arbeitspapier der Dienststellen der Europäischen Aufsichtsbehörde für das Versicherungswesen und die betriebliche Altersversorgung (EIOPA) vom September 2024 mit dem Titel „The Future Pan-European Pension Product“ (Das künftige Paneuropäische Private Pensionsprodukt),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Rasmus Andresen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Bezugsvermerk 11 d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w:t>
            </w:r>
            <w:r w:rsidRPr="004E16CD">
              <w:tab/>
            </w:r>
            <w:r w:rsidRPr="004E16CD">
              <w:rPr>
                <w:b/>
                <w:i/>
              </w:rPr>
              <w:t>unter Hinweis auf den Bericht der EIOPA vom April 2025 mit dem Titel „Costs and past performance report“ (Bericht über Kosten und bisherige Wertentwicklung),</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Rasmus Andresen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Bezugsvermerk 11 e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w:t>
            </w:r>
            <w:r w:rsidRPr="004E16CD">
              <w:tab/>
            </w:r>
            <w:r w:rsidRPr="004E16CD">
              <w:rPr>
                <w:b/>
                <w:i/>
              </w:rPr>
              <w:t>unter Hinweis auf den Abschlussbericht der EIOPA vom November 2024 mit dem Titel „Prudential Treatment of Sustainability Risks for Insurers“ (Aufsichtliche Behandlung von Nachhaltigkeitsrisiken für Versicherer),</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Bezugsvermerk 12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w:t>
            </w:r>
            <w:r w:rsidRPr="004E16CD">
              <w:tab/>
            </w:r>
            <w:r w:rsidRPr="004E16CD">
              <w:rPr>
                <w:b/>
                <w:i/>
              </w:rPr>
              <w:t>unter Hinweis auf die Mitteilung der Kommission vom 19. März 2025 mit dem Titel „Spar- und Investitionsunion – Eine Strategie zur Förderung von Wohlstand und wirtschaftlicher Wettbewerbsfähigkeit in der EU“ (COM(2025)0124),</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Gilles Boyer, Stéphanie Yon-Courtin, Pascal Canfin, Anouk Van Brug, Billy Kelleher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Bezugsvermerk 12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w:t>
            </w:r>
            <w:r w:rsidRPr="004E16CD">
              <w:tab/>
            </w:r>
            <w:r w:rsidRPr="004E16CD">
              <w:rPr>
                <w:b/>
                <w:i/>
              </w:rPr>
              <w:t>unter Hinweis auf den Bericht des Gemeinsamen Ausschusses der Europäischen Aufsichtsbehörden über die Durchführung und Funktionsweise der Verbriefungsverordnung,</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Sirpa Pietikäinen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Bezugsvermerk 12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w:t>
            </w:r>
            <w:r w:rsidRPr="004E16CD">
              <w:tab/>
            </w:r>
            <w:r w:rsidRPr="004E16CD">
              <w:rPr>
                <w:b/>
                <w:i/>
              </w:rPr>
              <w:t>unter Hinweis auf den sechsten Synthesebericht des Zwischenstaatlichen Ausschusses für Klimaänderungen (Intergovernmental Panel on Climate Change – IPCC),</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Bezugsvermerk 12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w:t>
            </w:r>
            <w:r w:rsidRPr="004E16CD">
              <w:tab/>
            </w:r>
            <w:r w:rsidRPr="004E16CD">
              <w:rPr>
                <w:b/>
                <w:i/>
              </w:rPr>
              <w:t>unter Hinweis auf den Bericht der Europäischen Wertpapier- und Marktaufsichtsbehörde vom 21. September 2023 mit dem Titel „The EU securitisation market – an overview“ (Der EU-Verbriefungsmarkt – ein Überblick)</w:t>
            </w:r>
            <w:r w:rsidRPr="004E16CD">
              <w:rPr>
                <w:b/>
                <w:i/>
                <w:vertAlign w:val="superscript"/>
              </w:rPr>
              <w:t>1a</w:t>
            </w:r>
            <w:r w:rsidRPr="004E16CD">
              <w:rPr>
                <w:b/>
                <w:i/>
              </w:rPr>
              <w: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vertAlign w:val="superscript"/>
              </w:rPr>
              <w:t>1a</w:t>
            </w:r>
            <w:r w:rsidRPr="004E16CD">
              <w:t xml:space="preserve"> </w:t>
            </w:r>
            <w:r w:rsidRPr="004E16CD">
              <w:rPr>
                <w:b/>
                <w:i/>
              </w:rPr>
              <w:t>ESMA50-524821-2908</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Sirpa Pietikäinen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Bezugsvermerk 12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w:t>
            </w:r>
            <w:r w:rsidRPr="004E16CD">
              <w:tab/>
            </w:r>
            <w:r w:rsidRPr="004E16CD">
              <w:rPr>
                <w:b/>
                <w:i/>
              </w:rPr>
              <w:t>unter Hinweis auf den Beschluss zum Übereinkommen der Vereinten Nationen über die biologische Vielfalt vom Dezember 2022 mit dem Titel „Globaler Biodiversitätsrahmen von Kunming-Montreal“,</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Bezugsvermerk 12 c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w:t>
            </w:r>
            <w:r w:rsidRPr="004E16CD">
              <w:tab/>
            </w:r>
            <w:r w:rsidRPr="004E16CD">
              <w:rPr>
                <w:b/>
                <w:i/>
              </w:rPr>
              <w:t>unter Hinweis auf den Legislativvorschlag der Kommission vom 12. Februar 2025 zur Verkürzung des Abwicklungszyklus für EU-Wertpapiere von zwei Tagen auf einen Tag</w:t>
            </w:r>
            <w:r w:rsidRPr="004E16CD">
              <w:rPr>
                <w:b/>
                <w:i/>
                <w:vertAlign w:val="superscript"/>
              </w:rPr>
              <w:t>1a</w:t>
            </w:r>
            <w:r w:rsidRPr="004E16CD">
              <w:rPr>
                <w:b/>
                <w:i/>
              </w:rPr>
              <w: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vertAlign w:val="superscript"/>
              </w:rPr>
              <w:t>1a</w:t>
            </w:r>
            <w:r w:rsidRPr="004E16CD">
              <w:t xml:space="preserve"> </w:t>
            </w:r>
            <w:r w:rsidRPr="004E16CD">
              <w:rPr>
                <w:b/>
                <w:i/>
              </w:rPr>
              <w:t>COM(2025)0038.</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Lídia Pereira, 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Bezugsvermerk 14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w:t>
            </w:r>
            <w:r w:rsidRPr="004E16CD">
              <w:tab/>
            </w:r>
            <w:r w:rsidRPr="004E16CD">
              <w:rPr>
                <w:b/>
                <w:i/>
              </w:rPr>
              <w:t>unter Hinweis auf die Mitteilung der Kommission vom 19. März 2025 mit dem Titel „Spar- und Investitionsunion – Eine Strategie zur Förderung von Wohlstand und wirtschaftlicher Wettbewerbsfähigkeit in der EU“ (COM(2025)0124),</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Kinga Kollár, 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Bezugsvermerk 17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w:t>
            </w:r>
            <w:r w:rsidRPr="004E16CD">
              <w:tab/>
            </w:r>
            <w:r w:rsidRPr="004E16CD">
              <w:rPr>
                <w:b/>
                <w:i/>
              </w:rPr>
              <w:t>unter Hinweis auf die im Februar 2023 ins Leben gerufene Initiative „European Tech Champions“,</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Sirpa Pietikäinen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-A.</w:t>
            </w:r>
            <w:r w:rsidRPr="004E16CD">
              <w:tab/>
            </w:r>
            <w:r w:rsidRPr="004E16CD">
              <w:rPr>
                <w:b/>
                <w:i/>
              </w:rPr>
              <w:t>in der Erwägung, dass Wachstum und Wettbewerbsfähigkeit in Europa in hohem Maße von externen Rohstoffen und kritischen Mineralien abhängig sind und daher dringend ein Übergang zu Ressourceneffizienz und echter Kreislaufwirtschaft erforderlich ist; in der Erwägung, dass es keine nachhaltige Wettbewerbsfähigkeit gibt, ohne dass die beispiellose Klimakrise, der Verlust an biologischer Vielfalt und die soziale Nachhaltigkeit berücksichtigt werden;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Sirpa Pietikäinen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-A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-Aa.</w:t>
            </w:r>
            <w:r w:rsidRPr="004E16CD">
              <w:tab/>
            </w:r>
            <w:r w:rsidRPr="004E16CD">
              <w:rPr>
                <w:b/>
                <w:i/>
              </w:rPr>
              <w:t>in der Erwägung, dass diese Herausforderungen nur gelöst werden können, wenn die Finanzströme auf neues und nachhaltiges Wachstum ausgerichtet werden, und dass die weltweite jährliche Investitionslücke, um bis 2050 Klimaneutralität zu erreichen, mehr als 8 000 Mrd. EUR beträgt; in der Erwägung, dass nur 3,1 % der verwalteten Vermögenswerte weltweit in eindeutig nachhaltige Investitionen fließen und bis zu 70 % in klima- oder umweltschädliche Tätigkeiten;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Pierre Pimpie</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A</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A.</w:t>
            </w:r>
            <w:r w:rsidRPr="004E16CD">
              <w:tab/>
              <w:t xml:space="preserve">in der Erwägung, dass im Draghi-Bericht festgestellt wurde, dass zusätzliche Investitionen in Höhe von mindestens 750 bis 800 Mrd. EUR jährlich erforderlich sind, um die Produktivität </w:t>
            </w:r>
            <w:r w:rsidRPr="004E16CD">
              <w:rPr>
                <w:b/>
                <w:i/>
              </w:rPr>
              <w:t xml:space="preserve">der EU wiederherzustellen </w:t>
            </w:r>
            <w:r w:rsidRPr="004E16CD">
              <w:t xml:space="preserve">und </w:t>
            </w:r>
            <w:r w:rsidRPr="004E16CD">
              <w:rPr>
                <w:b/>
                <w:i/>
              </w:rPr>
              <w:t>die ökologischen und sozialen Ziele</w:t>
            </w:r>
            <w:r w:rsidRPr="004E16CD">
              <w:t xml:space="preserve"> der EU </w:t>
            </w:r>
            <w:r w:rsidRPr="004E16CD">
              <w:rPr>
                <w:b/>
                <w:i/>
              </w:rPr>
              <w:t>zu verwirklichen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A.</w:t>
            </w:r>
            <w:r w:rsidRPr="004E16CD">
              <w:tab/>
              <w:t xml:space="preserve">in der Erwägung, dass im Draghi-Bericht festgestellt wurde, dass zusätzliche Investitionen in Höhe von mindestens 750 bis 800 Mrd. EUR jährlich erforderlich sind, um die Produktivität und </w:t>
            </w:r>
            <w:r w:rsidRPr="004E16CD">
              <w:rPr>
                <w:b/>
                <w:i/>
              </w:rPr>
              <w:t>Wettbewerbsfähigkeit</w:t>
            </w:r>
            <w:r w:rsidRPr="004E16CD">
              <w:t xml:space="preserve"> der EU </w:t>
            </w:r>
            <w:r w:rsidRPr="004E16CD">
              <w:rPr>
                <w:b/>
                <w:i/>
              </w:rPr>
              <w:t>wiederherzustellen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Michalis Hadjipantela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A</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A.</w:t>
            </w:r>
            <w:r w:rsidRPr="004E16CD">
              <w:tab/>
              <w:t xml:space="preserve">in der Erwägung, dass im Draghi-Bericht festgestellt wurde, dass </w:t>
            </w:r>
            <w:r w:rsidRPr="004E16CD">
              <w:rPr>
                <w:b/>
                <w:i/>
              </w:rPr>
              <w:t>zusätzliche Investitionen in Höhe von mindestens 750 bis 800 Mrd. EUR jährlich erforderlich sind, um die Produktivität</w:t>
            </w:r>
            <w:r w:rsidRPr="004E16CD">
              <w:t xml:space="preserve"> der EU wiederherzustellen und die</w:t>
            </w:r>
            <w:r w:rsidRPr="004E16CD">
              <w:rPr>
                <w:b/>
                <w:i/>
              </w:rPr>
              <w:t xml:space="preserve"> ökologischen und sozialen</w:t>
            </w:r>
            <w:r w:rsidRPr="004E16CD">
              <w:t xml:space="preserve"> Ziele der EU zu verwirklichen;</w:t>
            </w:r>
          </w:p>
        </w:tc>
        <w:tc>
          <w:tcPr>
            <w:tcW w:w="4876" w:type="dxa"/>
            <w:tcBorders>
              <w:top w:val="nil"/>
              <w:left w:val="nil"/>
              <w:bottom w:val="nil"/>
              <w:right w:val="nil"/>
            </w:tcBorders>
          </w:tcPr>
          <w:p w:rsidR="004E16CD" w:rsidRPr="004E16CD" w:rsidRDefault="004E16CD" w:rsidP="00241723">
            <w:pPr>
              <w:pStyle w:val="Normal6a"/>
            </w:pPr>
            <w:r w:rsidRPr="004E16CD">
              <w:t>A.</w:t>
            </w:r>
            <w:r w:rsidRPr="004E16CD">
              <w:tab/>
              <w:t xml:space="preserve">in der Erwägung, dass im Draghi-Bericht festgestellt wurde, dass </w:t>
            </w:r>
            <w:r w:rsidRPr="004E16CD">
              <w:rPr>
                <w:b/>
                <w:i/>
              </w:rPr>
              <w:t>immer mehr Finanzmittel benötigt werden, um die Wettbewerbsfähigkeit und das Wirtschaftswachstum</w:t>
            </w:r>
            <w:r w:rsidRPr="004E16CD">
              <w:t xml:space="preserve"> der EU wiederherzustellen und die Ziele der EU zu verwirklichen;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Anouk Van Brug, Engin Eroglu</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A</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A.</w:t>
            </w:r>
            <w:r w:rsidRPr="004E16CD">
              <w:tab/>
              <w:t xml:space="preserve">in der Erwägung, dass im Draghi-Bericht festgestellt wurde, dass zusätzliche Investitionen in Höhe von mindestens 750 bis 800 Mrd. EUR jährlich erforderlich sind, um die Produktivität der EU wiederherzustellen und </w:t>
            </w:r>
            <w:r w:rsidRPr="004E16CD">
              <w:rPr>
                <w:b/>
                <w:i/>
              </w:rPr>
              <w:t>die ökologischen und sozialen Ziele der EU</w:t>
            </w:r>
            <w:r w:rsidRPr="004E16CD">
              <w:t xml:space="preserve"> zu </w:t>
            </w:r>
            <w:r w:rsidRPr="004E16CD">
              <w:rPr>
                <w:b/>
                <w:i/>
              </w:rPr>
              <w:t>verwirklichen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A.</w:t>
            </w:r>
            <w:r w:rsidRPr="004E16CD">
              <w:tab/>
              <w:t xml:space="preserve">in der Erwägung, dass im Draghi-Bericht festgestellt wurde, dass zusätzliche Investitionen in Höhe von mindestens 750 bis 800 Mrd. EUR jährlich erforderlich sind, um die Produktivität der EU wiederherzustellen und </w:t>
            </w:r>
            <w:r w:rsidRPr="004E16CD">
              <w:rPr>
                <w:b/>
                <w:i/>
              </w:rPr>
              <w:t>ihre Wettbewerbsfähigkeit neu</w:t>
            </w:r>
            <w:r w:rsidRPr="004E16CD">
              <w:t xml:space="preserve"> zu </w:t>
            </w:r>
            <w:r w:rsidRPr="004E16CD">
              <w:rPr>
                <w:b/>
                <w:i/>
              </w:rPr>
              <w:t>beleben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Dirk Gotink</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A</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A.</w:t>
            </w:r>
            <w:r w:rsidRPr="004E16CD">
              <w:tab/>
              <w:t xml:space="preserve">in der Erwägung, dass im Draghi-Bericht festgestellt wurde, dass zusätzliche Investitionen in Höhe von mindestens 750 bis 800 Mrd. EUR jährlich erforderlich sind, um die Produktivität </w:t>
            </w:r>
            <w:r w:rsidRPr="004E16CD">
              <w:rPr>
                <w:b/>
                <w:i/>
              </w:rPr>
              <w:t>der EU wiederherzustellen und die ökologischen</w:t>
            </w:r>
            <w:r w:rsidRPr="004E16CD">
              <w:t xml:space="preserve"> und </w:t>
            </w:r>
            <w:r w:rsidRPr="004E16CD">
              <w:rPr>
                <w:b/>
                <w:i/>
              </w:rPr>
              <w:t>sozialen Ziele der EU</w:t>
            </w:r>
            <w:r w:rsidRPr="004E16CD">
              <w:t xml:space="preserve"> zu </w:t>
            </w:r>
            <w:r w:rsidRPr="004E16CD">
              <w:rPr>
                <w:b/>
                <w:i/>
              </w:rPr>
              <w:t>verwirklichen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A.</w:t>
            </w:r>
            <w:r w:rsidRPr="004E16CD">
              <w:tab/>
              <w:t xml:space="preserve">in der Erwägung, dass im Draghi-Bericht festgestellt wurde, dass zusätzliche Investitionen in Höhe von mindestens 750 bis 800 Mrd. EUR jährlich erforderlich sind, um </w:t>
            </w:r>
            <w:r w:rsidRPr="004E16CD">
              <w:rPr>
                <w:b/>
                <w:i/>
              </w:rPr>
              <w:t xml:space="preserve">wieder ein nachhaltiges Wachstum anzuregen, </w:t>
            </w:r>
            <w:r w:rsidRPr="004E16CD">
              <w:t xml:space="preserve">die Produktivität </w:t>
            </w:r>
            <w:r w:rsidRPr="004E16CD">
              <w:rPr>
                <w:b/>
                <w:i/>
              </w:rPr>
              <w:t>wiederherzustellen, die Wettbewerbsfähigkeit zu unterstützen, Innovationen zu fördern, Sicherheit</w:t>
            </w:r>
            <w:r w:rsidRPr="004E16CD">
              <w:t xml:space="preserve"> und </w:t>
            </w:r>
            <w:r w:rsidRPr="004E16CD">
              <w:rPr>
                <w:b/>
                <w:i/>
              </w:rPr>
              <w:t>Verteidigung zu verbessern und Abhängigkeiten</w:t>
            </w:r>
            <w:r w:rsidRPr="004E16CD">
              <w:t xml:space="preserve"> zu </w:t>
            </w:r>
            <w:r w:rsidRPr="004E16CD">
              <w:rPr>
                <w:b/>
                <w:i/>
              </w:rPr>
              <w:t>verringern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Giovanni Crosetto, Denis Nesci, Francesco Ventola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A</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A.</w:t>
            </w:r>
            <w:r w:rsidRPr="004E16CD">
              <w:tab/>
              <w:t xml:space="preserve">in der Erwägung, dass im Draghi-Bericht festgestellt wurde, dass zusätzliche Investitionen in Höhe von mindestens 750 bis 800 Mrd. EUR jährlich erforderlich sind, um die </w:t>
            </w:r>
            <w:r w:rsidRPr="004E16CD">
              <w:rPr>
                <w:b/>
                <w:i/>
              </w:rPr>
              <w:t>Produktivität</w:t>
            </w:r>
            <w:r w:rsidRPr="004E16CD">
              <w:t xml:space="preserve"> der EU </w:t>
            </w:r>
            <w:r w:rsidRPr="004E16CD">
              <w:rPr>
                <w:b/>
                <w:i/>
              </w:rPr>
              <w:t>wiederherzustellen</w:t>
            </w:r>
            <w:r w:rsidRPr="004E16CD">
              <w:t xml:space="preserve"> und </w:t>
            </w:r>
            <w:r w:rsidRPr="004E16CD">
              <w:rPr>
                <w:b/>
                <w:i/>
              </w:rPr>
              <w:t>die ökologischen</w:t>
            </w:r>
            <w:r w:rsidRPr="004E16CD">
              <w:t xml:space="preserve"> und </w:t>
            </w:r>
            <w:r w:rsidRPr="004E16CD">
              <w:rPr>
                <w:b/>
                <w:i/>
              </w:rPr>
              <w:t>sozialen Ziele</w:t>
            </w:r>
            <w:r w:rsidRPr="004E16CD">
              <w:t xml:space="preserve"> der EU zu </w:t>
            </w:r>
            <w:r w:rsidRPr="004E16CD">
              <w:rPr>
                <w:b/>
                <w:i/>
              </w:rPr>
              <w:t>verwirklichen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A.</w:t>
            </w:r>
            <w:r w:rsidRPr="004E16CD">
              <w:tab/>
              <w:t xml:space="preserve">in der Erwägung, dass im Draghi-Bericht festgestellt wurde, dass zusätzliche Investitionen in Höhe von mindestens 750 bis 800 Mrd. EUR jährlich erforderlich sind, um die </w:t>
            </w:r>
            <w:r w:rsidRPr="004E16CD">
              <w:rPr>
                <w:b/>
                <w:i/>
              </w:rPr>
              <w:t>Energiewende</w:t>
            </w:r>
            <w:r w:rsidRPr="004E16CD">
              <w:t xml:space="preserve"> der EU </w:t>
            </w:r>
            <w:r w:rsidRPr="004E16CD">
              <w:rPr>
                <w:b/>
                <w:i/>
              </w:rPr>
              <w:t>zu unterstützen, ihre Führungsposition im Bereich digitale Technologien auszubauen, Verteidigung</w:t>
            </w:r>
            <w:r w:rsidRPr="004E16CD">
              <w:t xml:space="preserve"> und </w:t>
            </w:r>
            <w:r w:rsidRPr="004E16CD">
              <w:rPr>
                <w:b/>
                <w:i/>
              </w:rPr>
              <w:t>Sicherheit zu stärken</w:t>
            </w:r>
            <w:r w:rsidRPr="004E16CD">
              <w:t xml:space="preserve"> und </w:t>
            </w:r>
            <w:r w:rsidRPr="004E16CD">
              <w:rPr>
                <w:b/>
                <w:i/>
              </w:rPr>
              <w:t>die Produktivität</w:t>
            </w:r>
            <w:r w:rsidRPr="004E16CD">
              <w:t xml:space="preserve"> der EU zu </w:t>
            </w:r>
            <w:r w:rsidRPr="004E16CD">
              <w:rPr>
                <w:b/>
                <w:i/>
              </w:rPr>
              <w:t>erhöhen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Enikő Győri, Pierre Pimpie, Jorge Martín Frías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A</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A.</w:t>
            </w:r>
            <w:r w:rsidRPr="004E16CD">
              <w:tab/>
              <w:t xml:space="preserve">in der Erwägung, dass im Draghi-Bericht festgestellt wurde, dass zusätzliche Investitionen in Höhe von mindestens 750 bis 800 Mrd. EUR jährlich erforderlich sind, um die Produktivität </w:t>
            </w:r>
            <w:r w:rsidRPr="004E16CD">
              <w:rPr>
                <w:b/>
                <w:i/>
              </w:rPr>
              <w:t xml:space="preserve">der EU wiederherzustellen </w:t>
            </w:r>
            <w:r w:rsidRPr="004E16CD">
              <w:t xml:space="preserve">und </w:t>
            </w:r>
            <w:r w:rsidRPr="004E16CD">
              <w:rPr>
                <w:b/>
                <w:i/>
              </w:rPr>
              <w:t>die ökologischen und sozialen Ziele</w:t>
            </w:r>
            <w:r w:rsidRPr="004E16CD">
              <w:t xml:space="preserve"> der EU </w:t>
            </w:r>
            <w:r w:rsidRPr="004E16CD">
              <w:rPr>
                <w:b/>
                <w:i/>
              </w:rPr>
              <w:t>zu verwirklichen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A.</w:t>
            </w:r>
            <w:r w:rsidRPr="004E16CD">
              <w:tab/>
              <w:t xml:space="preserve">in der Erwägung, dass im Draghi-Bericht festgestellt wurde, dass zusätzliche Investitionen in Höhe von mindestens 750 bis 800 Mrd. EUR jährlich erforderlich sind, um die Produktivität und </w:t>
            </w:r>
            <w:r w:rsidRPr="004E16CD">
              <w:rPr>
                <w:b/>
                <w:i/>
              </w:rPr>
              <w:t>Wettbewerbsfähigkeit</w:t>
            </w:r>
            <w:r w:rsidRPr="004E16CD">
              <w:t xml:space="preserve"> der EU </w:t>
            </w:r>
            <w:r w:rsidRPr="004E16CD">
              <w:rPr>
                <w:b/>
                <w:i/>
              </w:rPr>
              <w:t>wiederherzustellen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Lídia Pereira, 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A</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A.</w:t>
            </w:r>
            <w:r w:rsidRPr="004E16CD">
              <w:tab/>
              <w:t>in der Erwägung, dass im Draghi-Bericht festgestellt wurde, dass zusätzliche Investitionen in Höhe von mindestens 750 bis 800 Mrd. EUR jährlich erforderlich sind, um die Produktivität der EU wiederherzustellen und die ökologischen und sozialen Ziele der EU zu verwirklichen;</w:t>
            </w:r>
          </w:p>
        </w:tc>
        <w:tc>
          <w:tcPr>
            <w:tcW w:w="4876" w:type="dxa"/>
            <w:tcBorders>
              <w:top w:val="nil"/>
              <w:left w:val="nil"/>
              <w:bottom w:val="nil"/>
              <w:right w:val="nil"/>
            </w:tcBorders>
          </w:tcPr>
          <w:p w:rsidR="004E16CD" w:rsidRPr="004E16CD" w:rsidRDefault="004E16CD" w:rsidP="00241723">
            <w:pPr>
              <w:pStyle w:val="Normal6a"/>
            </w:pPr>
            <w:r w:rsidRPr="004E16CD">
              <w:t>A.</w:t>
            </w:r>
            <w:r w:rsidRPr="004E16CD">
              <w:tab/>
              <w:t xml:space="preserve">in der Erwägung, dass im Draghi-Bericht festgestellt wurde, dass zusätzliche Investitionen in Höhe von mindestens 750 bis 800 Mrd. EUR jährlich erforderlich sind, um die Produktivität </w:t>
            </w:r>
            <w:r w:rsidRPr="004E16CD">
              <w:rPr>
                <w:b/>
                <w:i/>
              </w:rPr>
              <w:t xml:space="preserve">und Wettbewerbsfähigkeit </w:t>
            </w:r>
            <w:r w:rsidRPr="004E16CD">
              <w:t>der EU wiederherzustellen und die</w:t>
            </w:r>
            <w:r w:rsidRPr="004E16CD">
              <w:rPr>
                <w:b/>
                <w:i/>
              </w:rPr>
              <w:t xml:space="preserve"> wirtschaftlichen,</w:t>
            </w:r>
            <w:r w:rsidRPr="004E16CD">
              <w:t xml:space="preserve"> ökologischen und sozialen Ziele der EU zu verwirklichen;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Fernando Navarrete Rojas, 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A</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A.</w:t>
            </w:r>
            <w:r w:rsidRPr="004E16CD">
              <w:tab/>
              <w:t xml:space="preserve">in der Erwägung, dass im Draghi-Bericht festgestellt wurde, dass zusätzliche Investitionen in Höhe von mindestens 750 bis 800 Mrd. EUR jährlich erforderlich sind, um die </w:t>
            </w:r>
            <w:r w:rsidRPr="004E16CD">
              <w:rPr>
                <w:b/>
                <w:i/>
              </w:rPr>
              <w:t>Produktivität</w:t>
            </w:r>
            <w:r w:rsidRPr="004E16CD">
              <w:t xml:space="preserve"> der EU wiederherzustellen und </w:t>
            </w:r>
            <w:r w:rsidRPr="004E16CD">
              <w:rPr>
                <w:b/>
                <w:i/>
              </w:rPr>
              <w:t>die ökologischen und sozialen Ziele</w:t>
            </w:r>
            <w:r w:rsidRPr="004E16CD">
              <w:t xml:space="preserve"> der </w:t>
            </w:r>
            <w:r w:rsidRPr="004E16CD">
              <w:rPr>
                <w:b/>
                <w:i/>
              </w:rPr>
              <w:t>EU</w:t>
            </w:r>
            <w:r w:rsidRPr="004E16CD">
              <w:t xml:space="preserve"> zu </w:t>
            </w:r>
            <w:r w:rsidRPr="004E16CD">
              <w:rPr>
                <w:b/>
                <w:i/>
              </w:rPr>
              <w:t>verwirklichen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A.</w:t>
            </w:r>
            <w:r w:rsidRPr="004E16CD">
              <w:tab/>
              <w:t xml:space="preserve">in der Erwägung, dass im Draghi-Bericht festgestellt wurde, dass zusätzliche Investitionen in Höhe von mindestens 750 bis 800 Mrd. EUR jährlich erforderlich sind, um die </w:t>
            </w:r>
            <w:r w:rsidRPr="004E16CD">
              <w:rPr>
                <w:b/>
                <w:i/>
              </w:rPr>
              <w:t>Wettbewerbsfähigkeit</w:t>
            </w:r>
            <w:r w:rsidRPr="004E16CD">
              <w:t xml:space="preserve"> der EU wiederherzustellen und </w:t>
            </w:r>
            <w:r w:rsidRPr="004E16CD">
              <w:rPr>
                <w:b/>
                <w:i/>
              </w:rPr>
              <w:t>den Strukturwandel</w:t>
            </w:r>
            <w:r w:rsidRPr="004E16CD">
              <w:t xml:space="preserve"> der </w:t>
            </w:r>
            <w:r w:rsidRPr="004E16CD">
              <w:rPr>
                <w:b/>
                <w:i/>
              </w:rPr>
              <w:t>europäischen Wirtschaft</w:t>
            </w:r>
            <w:r w:rsidRPr="004E16CD">
              <w:t xml:space="preserve"> zu </w:t>
            </w:r>
            <w:r w:rsidRPr="004E16CD">
              <w:rPr>
                <w:b/>
                <w:i/>
              </w:rPr>
              <w:t>vollziehen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A</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A.</w:t>
            </w:r>
            <w:r w:rsidRPr="004E16CD">
              <w:tab/>
              <w:t xml:space="preserve">in der Erwägung, dass im Draghi-Bericht </w:t>
            </w:r>
            <w:r w:rsidRPr="004E16CD">
              <w:rPr>
                <w:b/>
                <w:i/>
              </w:rPr>
              <w:t>festgestellt wurde, dass zusätzliche Investitionen</w:t>
            </w:r>
            <w:r w:rsidRPr="004E16CD">
              <w:t xml:space="preserve"> in </w:t>
            </w:r>
            <w:r w:rsidRPr="004E16CD">
              <w:rPr>
                <w:b/>
                <w:i/>
              </w:rPr>
              <w:t>Höhe von mindestens 750 bis 800 Mrd. EUR jährlich erforderlich sind, um die Produktivität der EU wiederherzustellen und</w:t>
            </w:r>
            <w:r w:rsidRPr="004E16CD">
              <w:t xml:space="preserve"> die </w:t>
            </w:r>
            <w:r w:rsidRPr="004E16CD">
              <w:rPr>
                <w:b/>
                <w:i/>
              </w:rPr>
              <w:t>ökologischen und sozialen Ziele</w:t>
            </w:r>
            <w:r w:rsidRPr="004E16CD">
              <w:t xml:space="preserve"> der EU </w:t>
            </w:r>
            <w:r w:rsidRPr="004E16CD">
              <w:rPr>
                <w:b/>
                <w:i/>
              </w:rPr>
              <w:t>zu verwirklichen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A.</w:t>
            </w:r>
            <w:r w:rsidRPr="004E16CD">
              <w:tab/>
              <w:t xml:space="preserve">in der Erwägung, dass im Draghi-Bericht </w:t>
            </w:r>
            <w:r w:rsidRPr="004E16CD">
              <w:rPr>
                <w:b/>
                <w:i/>
              </w:rPr>
              <w:t>ein hohes Maß an Marktfragmentierung, Unstimmigkeiten</w:t>
            </w:r>
            <w:r w:rsidRPr="004E16CD">
              <w:t xml:space="preserve"> in </w:t>
            </w:r>
            <w:r w:rsidRPr="004E16CD">
              <w:rPr>
                <w:b/>
                <w:i/>
              </w:rPr>
              <w:t>der Steuerpolitik und im Insolvenzrecht sowie ein übermäßiger Rückgriff auf Schuldenfinanzierung als einige der Ursachen für</w:t>
            </w:r>
            <w:r w:rsidRPr="004E16CD">
              <w:t xml:space="preserve"> die </w:t>
            </w:r>
            <w:r w:rsidRPr="004E16CD">
              <w:rPr>
                <w:b/>
                <w:i/>
              </w:rPr>
              <w:t>geringe Investitionsfinanzierung in</w:t>
            </w:r>
            <w:r w:rsidRPr="004E16CD">
              <w:t xml:space="preserve"> der EU </w:t>
            </w:r>
            <w:r w:rsidRPr="004E16CD">
              <w:rPr>
                <w:b/>
                <w:i/>
              </w:rPr>
              <w:t>festgestellt wurden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A</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A.</w:t>
            </w:r>
            <w:r w:rsidRPr="004E16CD">
              <w:tab/>
              <w:t xml:space="preserve">in der Erwägung, dass im Draghi-Bericht </w:t>
            </w:r>
            <w:r w:rsidRPr="004E16CD">
              <w:rPr>
                <w:b/>
                <w:i/>
              </w:rPr>
              <w:t>festgestellt</w:t>
            </w:r>
            <w:r w:rsidRPr="004E16CD">
              <w:t xml:space="preserve"> wurde, dass zusätzliche Investitionen in Höhe von mindestens 750 bis 800 Mrd. EUR jährlich erforderlich sind, um die </w:t>
            </w:r>
            <w:r w:rsidRPr="004E16CD">
              <w:rPr>
                <w:b/>
                <w:i/>
              </w:rPr>
              <w:t>Produktivität</w:t>
            </w:r>
            <w:r w:rsidRPr="004E16CD">
              <w:t xml:space="preserve"> der EU </w:t>
            </w:r>
            <w:r w:rsidRPr="004E16CD">
              <w:rPr>
                <w:b/>
                <w:i/>
              </w:rPr>
              <w:t>wiederherzustellen und die ökologischen und sozialen Ziele der EU zu verwirklichen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A.</w:t>
            </w:r>
            <w:r w:rsidRPr="004E16CD">
              <w:tab/>
              <w:t xml:space="preserve">in der Erwägung, dass im Draghi-Bericht </w:t>
            </w:r>
            <w:r w:rsidRPr="004E16CD">
              <w:rPr>
                <w:b/>
                <w:i/>
              </w:rPr>
              <w:t>nahegelegt</w:t>
            </w:r>
            <w:r w:rsidRPr="004E16CD">
              <w:t xml:space="preserve"> wurde, dass zusätzliche Investitionen in Höhe von mindestens 750 bis 800 Mrd. EUR jährlich erforderlich sind, um die </w:t>
            </w:r>
            <w:r w:rsidRPr="004E16CD">
              <w:rPr>
                <w:b/>
                <w:i/>
              </w:rPr>
              <w:t>Wettbewerbsfähigkeit</w:t>
            </w:r>
            <w:r w:rsidRPr="004E16CD">
              <w:t xml:space="preserve"> der EU </w:t>
            </w:r>
            <w:r w:rsidRPr="004E16CD">
              <w:rPr>
                <w:b/>
                <w:i/>
              </w:rPr>
              <w:t>zu erhalten; in der Erwägung, dass diese Summe dem jährlichen nominalen BIP von zehn Mitgliedstaaten im Jahr 2023 entspricht</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Evelyn Regner, Niels Fuglsang, Claire Fita, Carla Tavares,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A</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A.</w:t>
            </w:r>
            <w:r w:rsidRPr="004E16CD">
              <w:tab/>
              <w:t>in der Erwägung, dass im Draghi-Bericht festgestellt wurde, dass zusätzliche Investitionen in Höhe von mindestens 750 bis 800 Mrd. EUR jährlich erforderlich sind, um die Produktivität der EU wiederherzustellen und die ökologischen und sozialen Ziele der EU zu verwirklichen;</w:t>
            </w:r>
          </w:p>
        </w:tc>
        <w:tc>
          <w:tcPr>
            <w:tcW w:w="4876" w:type="dxa"/>
            <w:tcBorders>
              <w:top w:val="nil"/>
              <w:left w:val="nil"/>
              <w:bottom w:val="nil"/>
              <w:right w:val="nil"/>
            </w:tcBorders>
          </w:tcPr>
          <w:p w:rsidR="004E16CD" w:rsidRPr="004E16CD" w:rsidRDefault="004E16CD" w:rsidP="00241723">
            <w:pPr>
              <w:pStyle w:val="Normal6a"/>
            </w:pPr>
            <w:r w:rsidRPr="004E16CD">
              <w:t>A.</w:t>
            </w:r>
            <w:r w:rsidRPr="004E16CD">
              <w:tab/>
              <w:t xml:space="preserve">in der Erwägung, dass im Draghi-Bericht festgestellt wurde, dass zusätzliche Investitionen in Höhe von mindestens 750 bis 800 Mrd. EUR jährlich erforderlich sind, um die Produktivität der EU wiederherzustellen und die ökologischen und sozialen Ziele der EU zu verwirklichen; </w:t>
            </w:r>
            <w:r w:rsidRPr="004E16CD">
              <w:rPr>
                <w:b/>
                <w:i/>
              </w:rPr>
              <w:t>in der Erwägung, dass dies 4,4-4,7 % des BIP der EU im Jahr 2023 entspricht</w:t>
            </w:r>
            <w:r w:rsidRPr="004E16CD">
              <w:rPr>
                <w:b/>
                <w:i/>
                <w:vertAlign w:val="superscript"/>
              </w:rPr>
              <w:t>1a</w:t>
            </w:r>
            <w:r w:rsidRPr="004E16CD">
              <w:rPr>
                <w:b/>
                <w:i/>
              </w:rPr>
              <w: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vertAlign w:val="superscript"/>
              </w:rPr>
              <w:t>1a</w:t>
            </w:r>
            <w:r w:rsidRPr="004E16CD">
              <w:t xml:space="preserve"> </w:t>
            </w:r>
            <w:r w:rsidRPr="004E16CD">
              <w:rPr>
                <w:b/>
                <w:i/>
              </w:rPr>
              <w:t>M. Draghi, The future of European competitiveness Part A, A competitiveness strategy for Europe (Die Zukunft der europäischen Wettbewerbsfähigkeit, Teil A – Eine Wettbewerbsfähigkeitsstrategie für Europa), 2024.</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Rasmus Andresen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A</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A.</w:t>
            </w:r>
            <w:r w:rsidRPr="004E16CD">
              <w:tab/>
              <w:t>in der Erwägung, dass im Draghi-Bericht festgestellt wurde, dass zusätzliche Investitionen in Höhe von mindestens 750 bis 800 Mrd. EUR jährlich erforderlich sind, um die Produktivität der EU wiederherzustellen und die ökologischen und sozialen Ziele der EU zu verwirklichen;</w:t>
            </w:r>
          </w:p>
        </w:tc>
        <w:tc>
          <w:tcPr>
            <w:tcW w:w="4876" w:type="dxa"/>
            <w:tcBorders>
              <w:top w:val="nil"/>
              <w:left w:val="nil"/>
              <w:bottom w:val="nil"/>
              <w:right w:val="nil"/>
            </w:tcBorders>
          </w:tcPr>
          <w:p w:rsidR="004E16CD" w:rsidRPr="004E16CD" w:rsidRDefault="004E16CD" w:rsidP="00241723">
            <w:pPr>
              <w:pStyle w:val="Normal6a"/>
            </w:pPr>
            <w:r w:rsidRPr="004E16CD">
              <w:t>A.</w:t>
            </w:r>
            <w:r w:rsidRPr="004E16CD">
              <w:tab/>
              <w:t xml:space="preserve">in der Erwägung, dass im Draghi-Bericht festgestellt wurde, dass zusätzliche Investitionen in Höhe von mindestens 750 bis 800 Mrd. EUR jährlich erforderlich sind, um die Produktivität der EU wiederherzustellen und die ökologischen und sozialen Ziele der EU zu verwirklichen; </w:t>
            </w:r>
            <w:r w:rsidRPr="004E16CD">
              <w:rPr>
                <w:b/>
                <w:i/>
              </w:rPr>
              <w:t>in der Erwägung, dass davon laut dem Institut Rousseau 450 Mrd. EUR ausschließlich für die Energiewende bestimmt sein sollten, wovon 260 Mrd. EUR aus dem öffentlichen Sektor stammen sollten;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40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Enikő Győri, Pierre Pimpie, Jorge Martín Frías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A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Aa.</w:t>
            </w:r>
            <w:r w:rsidRPr="004E16CD">
              <w:tab/>
            </w:r>
            <w:r w:rsidRPr="004E16CD">
              <w:rPr>
                <w:b/>
                <w:i/>
              </w:rPr>
              <w:t>in der Erwägung, dass zahlreiche hochtechnische, aufwendige und häufig widersprüchliche Vorschriften zusammen mit einem politischen Pauschalansatz und Zentralisierungsbemühungen die Hauptgründe dafür sind, dass frühere Versuche, eine unternehmens- und investitionsfreundliche Kapitalmarktunion zu schaffen, keine nennenswerten Ergebnisse erbracht haben;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41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A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Aa.</w:t>
            </w:r>
            <w:r w:rsidRPr="004E16CD">
              <w:tab/>
            </w:r>
            <w:r w:rsidRPr="004E16CD">
              <w:rPr>
                <w:b/>
                <w:i/>
              </w:rPr>
              <w:t>in der Erwägung, dass in dem Bericht festgestellt wird, dass in den letzten 50 Jahren kein Unternehmen in der Union mit einer Marktkapitalisierung von über 100 Mrd. EUR als neues Unternehmen gegründet wurde, während im selben Zeitraum in den Vereinigten Staaten sechs US-amerikanische Unternehmen gegründet wurden, deren Wert mehr als eine Billion US-Dollar beträgt;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42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A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Aa.</w:t>
            </w:r>
            <w:r w:rsidRPr="004E16CD">
              <w:tab/>
            </w:r>
            <w:r w:rsidRPr="004E16CD">
              <w:rPr>
                <w:b/>
                <w:i/>
              </w:rPr>
              <w:t>in der Erwägung, dass im Draghi-Bericht auf einen schwerwiegenden Mangel an allgemeiner Wettbewerbsfähigkeit der europäischen Wirtschaft und insbesondere auf ein mangelndes Produktivitätswachstum hingewiesen wurde; </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43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René Repasi, Niels Fuglsang, Claire Fita,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A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Aa.</w:t>
            </w:r>
            <w:r w:rsidRPr="004E16CD">
              <w:tab/>
            </w:r>
            <w:r w:rsidRPr="004E16CD">
              <w:rPr>
                <w:b/>
                <w:i/>
              </w:rPr>
              <w:t>in der Erwägung, dass die Union kurzfristig Verteidigungsausgaben in Höhe von mindestens 250 Mrd. EUR pro Jahr benötigen könnte, um Russland von weiterer Aggression abzuhalten;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keepNext/>
      </w:pPr>
      <w:bookmarkStart w:id="0" w:name="restart"/>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44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Danuše Nerudová</w:t>
      </w:r>
      <w:r w:rsidRPr="004E16CD">
        <w:rPr>
          <w:rStyle w:val="HideTWBExt"/>
          <w:b w:val="0"/>
        </w:rPr>
        <w:t>&lt;/Members&gt;</w:t>
      </w:r>
    </w:p>
    <w:p w:rsidR="004E16CD" w:rsidRPr="004E16CD" w:rsidRDefault="004E16CD" w:rsidP="004E16CD">
      <w:r w:rsidRPr="004E16CD">
        <w:rPr>
          <w:rStyle w:val="HideTWBExt"/>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Aa (neu)</w:t>
      </w:r>
      <w:r w:rsidRPr="004E16CD">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E16CD" w:rsidRPr="004E16CD" w:rsidTr="00241723">
        <w:trPr>
          <w:jc w:val="center"/>
        </w:trPr>
        <w:tc>
          <w:tcPr>
            <w:tcW w:w="9752" w:type="dxa"/>
            <w:gridSpan w:val="2"/>
          </w:tcPr>
          <w:p w:rsidR="004E16CD" w:rsidRPr="004E16CD" w:rsidRDefault="004E16CD" w:rsidP="00241723">
            <w:pPr>
              <w:keepNext/>
            </w:pPr>
          </w:p>
        </w:tc>
      </w:tr>
      <w:tr w:rsidR="004E16CD" w:rsidRPr="004E16CD" w:rsidTr="00241723">
        <w:trPr>
          <w:jc w:val="center"/>
        </w:trPr>
        <w:tc>
          <w:tcPr>
            <w:tcW w:w="4876" w:type="dxa"/>
          </w:tcPr>
          <w:p w:rsidR="004E16CD" w:rsidRPr="004E16CD" w:rsidRDefault="004E16CD" w:rsidP="00241723">
            <w:pPr>
              <w:pStyle w:val="AmColumnHeading"/>
              <w:keepNext/>
            </w:pPr>
            <w:r w:rsidRPr="004E16CD">
              <w:t>Entschließungsantrag</w:t>
            </w:r>
          </w:p>
        </w:tc>
        <w:tc>
          <w:tcPr>
            <w:tcW w:w="4876" w:type="dxa"/>
          </w:tcPr>
          <w:p w:rsidR="004E16CD" w:rsidRPr="004E16CD" w:rsidRDefault="004E16CD" w:rsidP="00241723">
            <w:pPr>
              <w:pStyle w:val="AmColumnHeading"/>
              <w:keepNext/>
            </w:pPr>
            <w:r w:rsidRPr="004E16CD">
              <w:t>Geänderter Text</w:t>
            </w:r>
          </w:p>
        </w:tc>
      </w:tr>
      <w:tr w:rsidR="004E16CD" w:rsidRPr="004E16CD" w:rsidTr="00241723">
        <w:trPr>
          <w:jc w:val="center"/>
        </w:trPr>
        <w:tc>
          <w:tcPr>
            <w:tcW w:w="4876" w:type="dxa"/>
          </w:tcPr>
          <w:p w:rsidR="004E16CD" w:rsidRPr="004E16CD" w:rsidRDefault="004E16CD" w:rsidP="00241723">
            <w:pPr>
              <w:pStyle w:val="Normal6a"/>
            </w:pPr>
          </w:p>
        </w:tc>
        <w:tc>
          <w:tcPr>
            <w:tcW w:w="4876" w:type="dxa"/>
          </w:tcPr>
          <w:p w:rsidR="004E16CD" w:rsidRPr="004E16CD" w:rsidRDefault="004E16CD" w:rsidP="00241723">
            <w:pPr>
              <w:pStyle w:val="Normal6a"/>
            </w:pPr>
            <w:r w:rsidRPr="004E16CD">
              <w:rPr>
                <w:b/>
                <w:i/>
              </w:rPr>
              <w:t>Aa.</w:t>
            </w:r>
            <w:r w:rsidRPr="004E16CD">
              <w:rPr>
                <w:b/>
                <w:i/>
              </w:rPr>
              <w:tab/>
              <w:t>in der Erwägung, dass der jährliche EU-Haushalt begrenzten haushaltspolitischen Spielraum für die Umsetzung eines Deals für die europäische Wettbewerbsfähigkeit bietet;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bookmarkEnd w:id="0"/>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45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A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Ab.</w:t>
            </w:r>
            <w:r w:rsidRPr="004E16CD">
              <w:tab/>
            </w:r>
            <w:r w:rsidRPr="004E16CD">
              <w:rPr>
                <w:b/>
                <w:i/>
              </w:rPr>
              <w:t>in der Erwägung, dass das europäische Risikokapital weit unter dem der USA liegt, und zwar um 80 % in der Startphase, 73 % in der Frühphase und 82 % in der Wachstumsphase; in der Erwägung, dass die Produktivität in Europa zwischen 2000 und 2019 um mehr als 0,5 % zurückgegangen ist; in der Erwägung, dass der Rückgang der Geburtenraten dazu geführt hat, dass sich das Bevölkerungswachstum seit den 1990er Jahren verlangsamt hat und in den letzten zehn Jahren angefangen hat, abzunehmen;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46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A c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Ac.</w:t>
            </w:r>
            <w:r w:rsidRPr="004E16CD">
              <w:tab/>
            </w:r>
            <w:r w:rsidRPr="004E16CD">
              <w:rPr>
                <w:b/>
                <w:i/>
              </w:rPr>
              <w:t>in der Erwägung, dass die von Draghi vorgeschlagene Lösung darin besteht, durch die Schaffung der Spar- und Investitionsunion Investitionen anzuziehen, vor allem durch die Mobilisierung von privatem Kapital;</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47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A d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Ad.</w:t>
            </w:r>
            <w:r w:rsidRPr="004E16CD">
              <w:tab/>
            </w:r>
            <w:r w:rsidRPr="004E16CD">
              <w:rPr>
                <w:b/>
                <w:i/>
              </w:rPr>
              <w:t>in der Erwägung, dass das Rentenkapital in der Europäischen Union im Jahr 2022 nur 32 % des BIP betrug, während es in den Vereinigten Staaten 142 % sind, was auf erhebliche Unterschiede in der Tiefe und Entwicklung der privaten Rentensysteme in Europa hindeutet; in der Erwägung, dass diese Lücke die Unterentwicklung der Rentensysteme der zweiten Säule in vielen Mitgliedstaaten widerspiegelt, weshalb langfristige Sparalternativen für die europäischen Bürger beschränkt sind; in der Erwägung, dass private Altersversorgungssysteme eine entscheidende Rolle spielen, wenn es darum geht, finanzielle Sicherheit im Ruhestand zu gewährleisten, den Druck auf die öffentlichen Rentensysteme zu verringern und die allgemeine Widerstandsfähigkeit der europäischen Finanzmärkte zu stärken; in der Erwägung, dass dringend konkrete Maßnahmen erforderlich sind, um die Entwicklung privater Renten in Europa zu fördern, darunter Anreize für langfristige Ersparnisse, die Vereinfachung grenzüberschreitender Renteninvestitionen und die Beseitigung von Hindernissen für das Wachstum von Rentenfons, um die künftige wirtschaftliche Sicherheit der europäischen Bürgerinnen und Bürger zu stärken und die Tragfähigkeit der Rentensysteme sicherzustellen;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48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B</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B.</w:t>
            </w:r>
            <w:r w:rsidRPr="004E16CD">
              <w:tab/>
              <w:t xml:space="preserve">in der Erwägung, dass der Plan „ReArm Europe“ aus fünf Säulen besteht, die auf die Finanzierung der Sicherheit und Verteidigung Europas abzielen und </w:t>
            </w:r>
            <w:r w:rsidRPr="004E16CD">
              <w:rPr>
                <w:b/>
                <w:i/>
              </w:rPr>
              <w:t>sowohl öffentliche Investitionen als auch die</w:t>
            </w:r>
            <w:r w:rsidRPr="004E16CD">
              <w:t xml:space="preserve"> Spar- und Investitionsunion </w:t>
            </w:r>
            <w:r w:rsidRPr="004E16CD">
              <w:rPr>
                <w:b/>
                <w:i/>
              </w:rPr>
              <w:t>umfassen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B.</w:t>
            </w:r>
            <w:r w:rsidRPr="004E16CD">
              <w:tab/>
              <w:t xml:space="preserve">in der Erwägung, dass der Plan „ReArm Europe“ aus fünf Säulen besteht, die auf die Finanzierung der Sicherheit und Verteidigung Europas abzielen und </w:t>
            </w:r>
            <w:r w:rsidRPr="004E16CD">
              <w:rPr>
                <w:b/>
                <w:i/>
              </w:rPr>
              <w:t>Synergieeffekte zwischen dem öffentlichen und dem privaten Sektor umfassen, um mit der Entwicklung der</w:t>
            </w:r>
            <w:r w:rsidRPr="004E16CD">
              <w:t xml:space="preserve"> Spar- und Investitionsunion </w:t>
            </w:r>
            <w:r w:rsidRPr="004E16CD">
              <w:rPr>
                <w:b/>
                <w:i/>
              </w:rPr>
              <w:t>Investitionen anzuziehen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49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Ľudovít Ódor, Anouk Van Brug, Billy Kelleher, Stéphanie Yon-Courtin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B</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B.</w:t>
            </w:r>
            <w:r w:rsidRPr="004E16CD">
              <w:tab/>
              <w:t>in der Erwägung, dass der Plan „ReArm Europe“ aus fünf Säulen besteht, die auf die Finanzierung der Sicherheit und Verteidigung Europas abzielen und sowohl öffentliche Investitionen als auch die Spar- und Investitionsunion umfassen;</w:t>
            </w:r>
          </w:p>
        </w:tc>
        <w:tc>
          <w:tcPr>
            <w:tcW w:w="4876" w:type="dxa"/>
            <w:tcBorders>
              <w:top w:val="nil"/>
              <w:left w:val="nil"/>
              <w:bottom w:val="nil"/>
              <w:right w:val="nil"/>
            </w:tcBorders>
          </w:tcPr>
          <w:p w:rsidR="004E16CD" w:rsidRPr="004E16CD" w:rsidRDefault="004E16CD" w:rsidP="00241723">
            <w:pPr>
              <w:pStyle w:val="Normal6a"/>
            </w:pPr>
            <w:r w:rsidRPr="004E16CD">
              <w:rPr>
                <w:i/>
              </w:rPr>
              <w:t>(Betrifft nicht die deutsche Fassung.)</w:t>
            </w:r>
            <w:r w:rsidRPr="004E16CD">
              <w:tab/>
              <w:t xml:space="preserve"> </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i/>
              </w:rPr>
              <w:t xml:space="preserve"> </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50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Rasmus Andresen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B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Ba.</w:t>
            </w:r>
            <w:r w:rsidRPr="004E16CD">
              <w:tab/>
            </w:r>
            <w:r w:rsidRPr="004E16CD">
              <w:rPr>
                <w:b/>
                <w:i/>
              </w:rPr>
              <w:t>in der Erwägung, dass die jüngsten Beschlüsse der US-Regierung, einschließlich der Erhöhung der Zölle, zu hohen Unsicherheiten geführt haben, die sich negativ auf Wachstums-, Inflations- und Beschäftigungsprognosen ausgewirkt haben; in der Erwägung, dass die Finanzmärkte stark auf den neuen politischen Kurs der USA reagiert haben; in der Erwägung, dass der Dollar seit Januar 2025 deutlich an Wert verloren hat, während die Renditen von US-Staatsanleihen gestiegen sind, was darauf hindeutet, dass Investoren Kapitalströme umlenken könnten;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51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C</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C.</w:t>
            </w:r>
            <w:r w:rsidRPr="004E16CD">
              <w:tab/>
              <w:t xml:space="preserve">in der Erwägung, dass der private Sektor in </w:t>
            </w:r>
            <w:r w:rsidRPr="004E16CD">
              <w:rPr>
                <w:b/>
                <w:i/>
              </w:rPr>
              <w:t xml:space="preserve">der Vergangenheit in </w:t>
            </w:r>
            <w:r w:rsidRPr="004E16CD">
              <w:t xml:space="preserve">Europa etwa vier Fünftel der produktiven Investitionen </w:t>
            </w:r>
            <w:r w:rsidRPr="004E16CD">
              <w:rPr>
                <w:b/>
                <w:i/>
              </w:rPr>
              <w:t>beigetragen hat</w:t>
            </w:r>
            <w:r w:rsidRPr="004E16CD">
              <w:t xml:space="preserve">, </w:t>
            </w:r>
            <w:r w:rsidRPr="004E16CD">
              <w:rPr>
                <w:b/>
                <w:i/>
              </w:rPr>
              <w:t>wobei</w:t>
            </w:r>
            <w:r w:rsidRPr="004E16CD">
              <w:t xml:space="preserve"> der Rest vom öffentlichen Sektor beigetragen </w:t>
            </w:r>
            <w:r w:rsidRPr="004E16CD">
              <w:rPr>
                <w:b/>
                <w:i/>
              </w:rPr>
              <w:t>wurde</w:t>
            </w:r>
            <w:r w:rsidRPr="004E16CD">
              <w:rPr>
                <w:vertAlign w:val="superscript"/>
              </w:rPr>
              <w:t>3</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C.</w:t>
            </w:r>
            <w:r w:rsidRPr="004E16CD">
              <w:tab/>
              <w:t xml:space="preserve">in der Erwägung, dass der private Sektor in Europa etwa vier Fünftel der produktiven Investitionen </w:t>
            </w:r>
            <w:r w:rsidRPr="004E16CD">
              <w:rPr>
                <w:b/>
                <w:i/>
              </w:rPr>
              <w:t>beiträgt</w:t>
            </w:r>
            <w:r w:rsidRPr="004E16CD">
              <w:t xml:space="preserve">, </w:t>
            </w:r>
            <w:r w:rsidRPr="004E16CD">
              <w:rPr>
                <w:b/>
                <w:i/>
              </w:rPr>
              <w:t>während</w:t>
            </w:r>
            <w:r w:rsidRPr="004E16CD">
              <w:t xml:space="preserve"> der Rest vom öffentlichen Sektor beigetragen </w:t>
            </w:r>
            <w:r w:rsidRPr="004E16CD">
              <w:rPr>
                <w:b/>
                <w:i/>
              </w:rPr>
              <w:t>wird</w:t>
            </w:r>
            <w:r w:rsidRPr="004E16CD">
              <w:rPr>
                <w:vertAlign w:val="superscript"/>
              </w:rPr>
              <w:t>3</w:t>
            </w:r>
            <w:r w:rsidRPr="004E16CD">
              <w: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rPr>
                <w:vertAlign w:val="superscript"/>
              </w:rPr>
              <w:t>3</w:t>
            </w:r>
            <w:r w:rsidRPr="004E16CD">
              <w:t xml:space="preserve"> Draghi, The future of European competitiveness Part A | A competitiveness strategy for Europe (Die Zukunft der europäischen Wettbewerbsfähigkeit, Teil A – Eine Wettbewerbsfähigkeitsstrategie für Europa), 2024.</w:t>
            </w:r>
          </w:p>
        </w:tc>
        <w:tc>
          <w:tcPr>
            <w:tcW w:w="4876" w:type="dxa"/>
            <w:tcBorders>
              <w:top w:val="nil"/>
              <w:left w:val="nil"/>
              <w:bottom w:val="nil"/>
              <w:right w:val="nil"/>
            </w:tcBorders>
          </w:tcPr>
          <w:p w:rsidR="004E16CD" w:rsidRPr="004E16CD" w:rsidRDefault="004E16CD" w:rsidP="00241723">
            <w:pPr>
              <w:pStyle w:val="Normal6a"/>
            </w:pPr>
            <w:r w:rsidRPr="004E16CD">
              <w:rPr>
                <w:vertAlign w:val="superscript"/>
              </w:rPr>
              <w:t>3</w:t>
            </w:r>
            <w:r w:rsidRPr="004E16CD">
              <w:t xml:space="preserve"> Draghi, The future of European competitiveness Part A | A competitiveness strategy for Europe (Die Zukunft der europäischen Wettbewerbsfähigkeit, Teil A – Eine Wettbewerbsfähigkeitsstrategie für Europa), 2024.</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52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C</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C.</w:t>
            </w:r>
            <w:r w:rsidRPr="004E16CD">
              <w:tab/>
              <w:t>in der Erwägung, dass der private Sektor in der Vergangenheit in Europa etwa vier Fünftel der produktiven Investitionen beigetragen hat, wobei der Rest vom öffentlichen Sektor beigetragen wurde</w:t>
            </w:r>
            <w:r w:rsidRPr="004E16CD">
              <w:rPr>
                <w:vertAlign w:val="superscript"/>
              </w:rPr>
              <w:t>3</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C.</w:t>
            </w:r>
            <w:r w:rsidRPr="004E16CD">
              <w:tab/>
              <w:t>in der Erwägung, dass der private Sektor in der Vergangenheit in Europa etwa vier Fünftel der produktiven Investitionen beigetragen hat, wobei der Rest vom öffentlichen Sektor beigetragen wurde</w:t>
            </w:r>
            <w:r w:rsidRPr="004E16CD">
              <w:rPr>
                <w:vertAlign w:val="superscript"/>
              </w:rPr>
              <w:t>3</w:t>
            </w:r>
            <w:r w:rsidRPr="004E16CD">
              <w:t xml:space="preserve">; </w:t>
            </w:r>
            <w:r w:rsidRPr="004E16CD">
              <w:rPr>
                <w:b/>
                <w:i/>
              </w:rPr>
              <w:t>in der Erwägung, dass das Gesamtniveau der produktiven Investitionen in der EU in den letzten zwei Jahrzehnten deutlich niedriger war als in den USA;</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rPr>
                <w:vertAlign w:val="superscript"/>
              </w:rPr>
              <w:t>3</w:t>
            </w:r>
            <w:r w:rsidRPr="004E16CD">
              <w:t xml:space="preserve"> Draghi, The future of European competitiveness Part A | A competitiveness strategy for Europe (Die Zukunft der europäischen Wettbewerbsfähigkeit, Teil A – Eine Wettbewerbsfähigkeitsstrategie für Europa), 2024.</w:t>
            </w:r>
          </w:p>
        </w:tc>
        <w:tc>
          <w:tcPr>
            <w:tcW w:w="4876" w:type="dxa"/>
            <w:tcBorders>
              <w:top w:val="nil"/>
              <w:left w:val="nil"/>
              <w:bottom w:val="nil"/>
              <w:right w:val="nil"/>
            </w:tcBorders>
          </w:tcPr>
          <w:p w:rsidR="004E16CD" w:rsidRPr="004E16CD" w:rsidRDefault="004E16CD" w:rsidP="00241723">
            <w:pPr>
              <w:pStyle w:val="Normal6a"/>
            </w:pPr>
            <w:r w:rsidRPr="004E16CD">
              <w:rPr>
                <w:vertAlign w:val="superscript"/>
              </w:rPr>
              <w:t>3</w:t>
            </w:r>
            <w:r w:rsidRPr="004E16CD">
              <w:t xml:space="preserve"> Draghi, The future of European competitiveness Part A | A competitiveness strategy for Europe (Die Zukunft der europäischen Wettbewerbsfähigkeit, Teil A – Eine Wettbewerbsfähigkeitsstrategie für Europa), 2024.</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53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Rasmus Andresen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C</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C.</w:t>
            </w:r>
            <w:r w:rsidRPr="004E16CD">
              <w:tab/>
              <w:t>in der Erwägung, dass der private Sektor in der Vergangenheit in Europa etwa vier Fünftel der produktiven Investitionen beigetragen hat, wobei der Rest vom öffentlichen Sektor beigetragen wurde</w:t>
            </w:r>
            <w:r w:rsidRPr="004E16CD">
              <w:rPr>
                <w:vertAlign w:val="superscript"/>
              </w:rPr>
              <w:t>3</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C.</w:t>
            </w:r>
            <w:r w:rsidRPr="004E16CD">
              <w:tab/>
              <w:t>in der Erwägung, dass der private Sektor in der Vergangenheit in Europa etwa vier Fünftel der produktiven Investitionen beigetragen hat, wobei der Rest vom öffentlichen Sektor beigetragen wurde</w:t>
            </w:r>
            <w:r w:rsidRPr="004E16CD">
              <w:rPr>
                <w:vertAlign w:val="superscript"/>
              </w:rPr>
              <w:t>3</w:t>
            </w:r>
            <w:r w:rsidRPr="004E16CD">
              <w:t>;</w:t>
            </w:r>
            <w:r w:rsidRPr="004E16CD">
              <w:rPr>
                <w:b/>
                <w:i/>
              </w:rPr>
              <w:t> in der Erwägung, dass die Kapitalmärkte nach Angaben von Finance Watch nur ein Drittel des Investitionsbedarfs der EU decken können</w:t>
            </w:r>
            <w:r w:rsidRPr="004E16CD">
              <w:rPr>
                <w:b/>
                <w:i/>
                <w:vertAlign w:val="superscript"/>
              </w:rPr>
              <w:t>3a</w:t>
            </w:r>
            <w:r w:rsidRPr="004E16CD">
              <w:rPr>
                <w:b/>
                <w:i/>
              </w:rPr>
              <w: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rPr>
                <w:vertAlign w:val="superscript"/>
              </w:rPr>
              <w:t>3</w:t>
            </w:r>
            <w:r w:rsidRPr="004E16CD">
              <w:t xml:space="preserve"> Draghi, The future of European competitiveness Part A | A competitiveness strategy for Europe (Die Zukunft der europäischen Wettbewerbsfähigkeit, Teil A – Eine Wettbewerbsfähigkeitsstrategie für Europa), 2024.</w:t>
            </w:r>
          </w:p>
        </w:tc>
        <w:tc>
          <w:tcPr>
            <w:tcW w:w="4876" w:type="dxa"/>
            <w:tcBorders>
              <w:top w:val="nil"/>
              <w:left w:val="nil"/>
              <w:bottom w:val="nil"/>
              <w:right w:val="nil"/>
            </w:tcBorders>
          </w:tcPr>
          <w:p w:rsidR="004E16CD" w:rsidRPr="004E16CD" w:rsidRDefault="004E16CD" w:rsidP="00241723">
            <w:pPr>
              <w:pStyle w:val="Normal6a"/>
            </w:pPr>
            <w:r w:rsidRPr="004E16CD">
              <w:rPr>
                <w:vertAlign w:val="superscript"/>
              </w:rPr>
              <w:t>3</w:t>
            </w:r>
            <w:r w:rsidRPr="004E16CD">
              <w:t xml:space="preserve"> Draghi, The future of European competitiveness Part A | A competitiveness strategy for Europe (Die Zukunft der europäischen Wettbewerbsfähigkeit, Teil A – Eine Wettbewerbsfähigkeitsstrategie für Europa), 2024.</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vertAlign w:val="superscript"/>
              </w:rPr>
              <w:t>3a</w:t>
            </w:r>
            <w:r w:rsidRPr="004E16CD">
              <w:t xml:space="preserve"> </w:t>
            </w:r>
            <w:r w:rsidRPr="004E16CD">
              <w:rPr>
                <w:b/>
                <w:i/>
              </w:rPr>
              <w:t>Philipponnat, „Europe’s coming investment crisis. What if capital markets could only meet a third of Europe’s essential funding needs?“ (Europas bevorstehende Investitionskrise. Was, wenn die Kapitalmärkte nur ein Drittel des grundlegenden Finanzierungsbedarfs Europas decken können?) Bericht von Finance Watch, 2024.</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54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C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Ca.</w:t>
            </w:r>
            <w:r w:rsidRPr="004E16CD">
              <w:tab/>
            </w:r>
            <w:r w:rsidRPr="004E16CD">
              <w:rPr>
                <w:b/>
                <w:i/>
              </w:rPr>
              <w:t>in der Erwägung, dass nur 18 % der europäischen Bürgerinnen und Bürger über ein hohes Maß an Finanzkompetenz verfügen, wie in dem von der Kommission erstellten Europäischen Monitor für Finanzkompetenz hervorgehoben wird; in der Erwägung, dass eine Mehrheit von 64 % über ein durchschnittliches Finanzwissen und 18 % über ein geringes Finanzwissen verfügen, was zu einer erheblichen Lücke bei den finanziellen Fähigkeiten der europäischen Bürgerinnen und Bürger führt; in der Erwägung, dass nur in vier Mitgliedstaaten – die mehr als ein Viertel der EU-Bevölkerung repräsentieren –, ein hohes Maß an Finanzwissen besteht, nämlich in den Niederlanden, Dänemark, Schweden und Slowenien; in der Erwägung, dass die Verbesserung der Finanzkompetenz von wesentlicher Bedeutung ist, um es Menschen zu ermöglichen, fundierte Entscheidungen über Ersparnisse, Investitionen und die Ruhestandsplanung zu treffen, wodurch ihr langfristiges finanzielles Wohlergehen verbessert wird; in der Erwägung, dass die Stärkung der Vermittlung von Finanzwissen in der gesamten EU notwendig ist, um die Bürgerinnen und Bürger mit den Kompetenzen auszustatten, die erforderlich sind, um sich auf immer komplexeren Finanzmärkten zurechtzufinden und Investitionsmöglichkeiten in vollem Umfang zu nutzen, was zum Wirtschaftswachstum beitragen wird;</w:t>
            </w:r>
          </w:p>
        </w:tc>
      </w:tr>
    </w:tbl>
    <w:p w:rsidR="004E16CD" w:rsidRPr="004E16CD" w:rsidRDefault="004E16CD" w:rsidP="004E16CD">
      <w:pPr>
        <w:pStyle w:val="AmOrLang"/>
        <w:rPr>
          <w:rFonts w:ascii="Arial" w:hAnsi="Arial" w:cs="Arial"/>
          <w:noProof/>
          <w:vanish/>
          <w:color w:val="000080"/>
          <w:sz w:val="20"/>
        </w:rPr>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55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Evelyn Regner, Niels Fuglsang, Claire Fita, Carla Tavares,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C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Ca.</w:t>
            </w:r>
            <w:r w:rsidRPr="004E16CD">
              <w:tab/>
            </w:r>
            <w:r w:rsidRPr="004E16CD">
              <w:rPr>
                <w:b/>
                <w:i/>
              </w:rPr>
              <w:t>in der Erwägung, dass das BIP der EU 2023 17 % des weltweiten BIP ausmachte und auf einem ähnlichen Niveau wie Chinas BIP, aber 9 Prozentpunkte unter dem der USA lag; in der Erwägung, dass die Union über einen der niedrigsten Gini-Koeffizienten der Welt verfügt</w:t>
            </w:r>
            <w:r w:rsidRPr="004E16CD">
              <w:rPr>
                <w:b/>
                <w:i/>
                <w:vertAlign w:val="superscript"/>
              </w:rPr>
              <w:t>1a</w:t>
            </w:r>
            <w:r w:rsidRPr="004E16CD">
              <w:rPr>
                <w:b/>
                <w:i/>
              </w:rPr>
              <w:t>, was auf eine relativ geringe Einkommensungleichheit im Vergleich zu anderen großen Volkswirtschaften hindeutet; in der Erwägung, dass ein langsameres Produktivitätswachstum mit einem langsameren Einkommenswachstum und einer schwächeren Binnennachfrage in Europa in Verbindung gebracht wird</w:t>
            </w:r>
            <w:r w:rsidRPr="004E16CD">
              <w:rPr>
                <w:b/>
                <w:i/>
                <w:vertAlign w:val="superscript"/>
              </w:rPr>
              <w:t>1b</w:t>
            </w:r>
            <w:r w:rsidRPr="004E16CD">
              <w:rPr>
                <w:b/>
                <w:i/>
              </w:rPr>
              <w: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vertAlign w:val="superscript"/>
              </w:rPr>
              <w:t>1a</w:t>
            </w:r>
            <w:r w:rsidRPr="004E16CD">
              <w:t xml:space="preserve"> </w:t>
            </w:r>
            <w:r w:rsidRPr="004E16CD">
              <w:rPr>
                <w:b/>
                <w:i/>
              </w:rPr>
              <w:t xml:space="preserve">https://data.worldbank.org/indicator/SI.POV.GINI?locations=EU </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vertAlign w:val="superscript"/>
              </w:rPr>
              <w:t>1b</w:t>
            </w:r>
            <w:r w:rsidRPr="004E16CD">
              <w:t xml:space="preserve"> </w:t>
            </w:r>
            <w:r w:rsidRPr="004E16CD">
              <w:rPr>
                <w:b/>
                <w:i/>
              </w:rPr>
              <w:t>M. Draghi, The future of European competitiveness Part A | A competitiveness strategy for Europe (Die Zukunft der europäischen Wettbewerbsfähigkeit, Teil A – Eine Wettbewerbsfähigkeitsstrategie für Europa), 2024.</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56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Auke Zijlstra, Enikő Győri</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D</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D.</w:t>
            </w:r>
            <w:r w:rsidRPr="004E16CD">
              <w:tab/>
              <w:t>in der Erwägung, dass sich dem Draghi-Bericht zufolge die Ersparnisse der Haushalte in der EU im Jahr 2022 auf 1 390 Mrd. EUR beliefen, während es in den USA 840 Mrd. EUR waren;</w:t>
            </w:r>
          </w:p>
        </w:tc>
        <w:tc>
          <w:tcPr>
            <w:tcW w:w="4876" w:type="dxa"/>
            <w:tcBorders>
              <w:top w:val="nil"/>
              <w:left w:val="nil"/>
              <w:bottom w:val="nil"/>
              <w:right w:val="nil"/>
            </w:tcBorders>
          </w:tcPr>
          <w:p w:rsidR="004E16CD" w:rsidRPr="004E16CD" w:rsidRDefault="004E16CD" w:rsidP="00241723">
            <w:pPr>
              <w:pStyle w:val="Normal6a"/>
            </w:pPr>
            <w:r w:rsidRPr="004E16CD">
              <w:t>D.</w:t>
            </w:r>
            <w:r w:rsidRPr="004E16CD">
              <w:tab/>
              <w:t>in der Erwägung, dass sich dem Draghi-Bericht zufolge die Ersparnisse der Haushalte in der EU im Jahr 2022 auf 1 390 Mrd. EUR beliefen, während es in den USA 840 Mrd. EUR waren</w:t>
            </w:r>
            <w:r w:rsidRPr="004E16CD">
              <w:rPr>
                <w:b/>
                <w:i/>
              </w:rPr>
              <w:t>, was ein Spiegelbild unterschiedlicher Spar- und Investitionsstrategien ist, die in sehr unterschiedlichen Finanzkulturen verwurzelt sind</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57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D</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D.</w:t>
            </w:r>
            <w:r w:rsidRPr="004E16CD">
              <w:tab/>
              <w:t>in der Erwägung, dass sich dem Draghi-Bericht zufolge die Ersparnisse der Haushalte in der EU im Jahr 2022 auf 1 390 Mrd. EUR beliefen, während es in den USA 840 Mrd. EUR waren;</w:t>
            </w:r>
          </w:p>
        </w:tc>
        <w:tc>
          <w:tcPr>
            <w:tcW w:w="4876" w:type="dxa"/>
            <w:tcBorders>
              <w:top w:val="nil"/>
              <w:left w:val="nil"/>
              <w:bottom w:val="nil"/>
              <w:right w:val="nil"/>
            </w:tcBorders>
          </w:tcPr>
          <w:p w:rsidR="004E16CD" w:rsidRPr="004E16CD" w:rsidRDefault="004E16CD" w:rsidP="00241723">
            <w:pPr>
              <w:pStyle w:val="Normal6a"/>
            </w:pPr>
            <w:r w:rsidRPr="004E16CD">
              <w:t>D.</w:t>
            </w:r>
            <w:r w:rsidRPr="004E16CD">
              <w:tab/>
              <w:t>in der Erwägung, dass sich dem Draghi-Bericht zufolge die Ersparnisse der Haushalte in der EU im Jahr 2022 auf 1 390 Mrd. EUR beliefen, während es in den USA 840 Mrd. EUR waren</w:t>
            </w:r>
            <w:r w:rsidRPr="004E16CD">
              <w:rPr>
                <w:b/>
                <w:i/>
              </w:rPr>
              <w:t>, dass EU-Haushalte jedoch über ein wesentlich geringeres Vermögen verfügen als US-Haushalte</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58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Christophe Gomart</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D</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D.</w:t>
            </w:r>
            <w:r w:rsidRPr="004E16CD">
              <w:tab/>
              <w:t>in der Erwägung, dass sich dem Draghi-Bericht zufolge die Ersparnisse der Haushalte in der EU im Jahr 2022 auf 1 390 Mrd. EUR beliefen, während es in den USA 840 Mrd. EUR waren;</w:t>
            </w:r>
          </w:p>
        </w:tc>
        <w:tc>
          <w:tcPr>
            <w:tcW w:w="4876" w:type="dxa"/>
            <w:tcBorders>
              <w:top w:val="nil"/>
              <w:left w:val="nil"/>
              <w:bottom w:val="nil"/>
              <w:right w:val="nil"/>
            </w:tcBorders>
          </w:tcPr>
          <w:p w:rsidR="004E16CD" w:rsidRPr="004E16CD" w:rsidRDefault="004E16CD" w:rsidP="00241723">
            <w:pPr>
              <w:pStyle w:val="Normal6a"/>
            </w:pPr>
            <w:r w:rsidRPr="004E16CD">
              <w:t>D.</w:t>
            </w:r>
            <w:r w:rsidRPr="004E16CD">
              <w:tab/>
              <w:t xml:space="preserve">in der Erwägung, dass sich dem Draghi-Bericht zufolge die Ersparnisse der Haushalte in der EU im Jahr 2022 auf 1 390 Mrd. EUR beliefen, während es in den USA 840 Mrd. EUR waren; </w:t>
            </w:r>
            <w:r w:rsidRPr="004E16CD">
              <w:rPr>
                <w:b/>
                <w:i/>
              </w:rPr>
              <w:t>in der Erwägung, dass jährlich durchschnittlich 300 Mrd. EUR der Ersparnisse der Haushalte in der EU in die US-Wirtschaft fließen;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{FR}</w:t>
      </w:r>
      <w:r w:rsidRPr="004E16CD">
        <w:t>fr</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59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D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Da.</w:t>
            </w:r>
            <w:r w:rsidRPr="004E16CD">
              <w:tab/>
            </w:r>
            <w:r w:rsidRPr="004E16CD">
              <w:rPr>
                <w:b/>
                <w:i/>
              </w:rPr>
              <w:t>in der Erwägung, dass die marktgesteuerte Wirtschaft für die Förderung von Innovation, Wachstum und Investitionen von wesentlicher Bedeutung ist und dass die Einhaltung dieses Grundsatzes für die wirtschaftliche Wettbewerbsfähigkeit Europas entscheidend ist; in der Erwägung, dass privates Kapital in einer marktgesteuerten Wirtschaft eine zentrale Rolle bei der Förderung von Innovation, Unternehmertum und der Schaffung neuer Arbeitsplätze spielt, was für die Entwicklung des Risikokapitalsektors von besonderer Bedeutung ist; in der Erwägung, dass die privaten Investitionen, insbesondere in Risikokapital, trotz der starken Sparbasis Europas nach wie vor deutlich hinter denen der Vereinigten Staaten zurückbleiben; in der Erwägung, dass politische Maßnahmen, die ein freies und wettbewerbsorientiertes Marktumfeld ermöglichen, von entscheidender Bedeutung sind, um diese Lücke zu schließen und sicherzustellen, dass Europa sein wirtschaftliches Potenzial voll ausschöpfen und sowohl inländische als auch internationale Investitionen anziehen kann;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60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Evelyn Regner, Niels Fuglsang, Claire Fita, Carla Tavares,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D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Da.</w:t>
            </w:r>
            <w:r w:rsidRPr="004E16CD">
              <w:tab/>
            </w:r>
            <w:r w:rsidRPr="004E16CD">
              <w:rPr>
                <w:b/>
                <w:i/>
              </w:rPr>
              <w:t>in der Erwägung, dass Finanzinstrumente (börsennotierte Aktien, Anleihen, Investmentfonds und Derivate), die direkt von privaten Haushalten gehalten werden, derzeit 43 % des Vermögens der privaten Haushalte in den USA, aber nur 17 % des Vermögens der privaten Haushalte in der EU ausmachen</w:t>
            </w:r>
            <w:r w:rsidRPr="004E16CD">
              <w:rPr>
                <w:b/>
                <w:i/>
                <w:vertAlign w:val="superscript"/>
              </w:rPr>
              <w:t>1a</w:t>
            </w:r>
            <w:r w:rsidRPr="004E16CD">
              <w:rPr>
                <w:b/>
                <w:i/>
              </w:rPr>
              <w: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vertAlign w:val="superscript"/>
              </w:rPr>
              <w:t>1a</w:t>
            </w:r>
            <w:r w:rsidRPr="004E16CD">
              <w:t xml:space="preserve"> </w:t>
            </w:r>
            <w:r w:rsidRPr="004E16CD">
              <w:rPr>
                <w:b/>
                <w:i/>
              </w:rPr>
              <w:t>M. Draghi, The future of European competitiveness Part A | A competitiveness strategy for Europe (Die Zukunft der europäischen Wettbewerbsfähigkeit, Teil A – Eine Wettbewerbsfähigkeitsstrategie für Europa), 2024.</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61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Auke Zijlstra, Enikő Győri</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D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Da.</w:t>
            </w:r>
            <w:r w:rsidRPr="004E16CD">
              <w:tab/>
            </w:r>
            <w:r w:rsidRPr="004E16CD">
              <w:rPr>
                <w:b/>
                <w:i/>
              </w:rPr>
              <w:t>in der Erwägung, dass ein im Vergleich zu den USA größeres Sparvolumen in Europa auch die Inflation im Vergleich zu den USA bremst und somit die Kaufkraft der europäischen Haushalte besser schützt;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62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D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Db.</w:t>
            </w:r>
            <w:r w:rsidRPr="004E16CD">
              <w:tab/>
            </w:r>
            <w:r w:rsidRPr="004E16CD">
              <w:rPr>
                <w:b/>
                <w:i/>
              </w:rPr>
              <w:t>in der Erwägung, dass 70 % der Einlagen von Kleinanlegern in der Union in Form von Bankeinlagen und nur 30 % in Form von Kapitalmarktinstrumenten gehalten werden, während das Verhältnis in den Vereinigten Staaten umgekehrt ist;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63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Ľudovít Ódor, Anouk Van Brug, Billy Kelleher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E</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E.</w:t>
            </w:r>
            <w:r w:rsidRPr="004E16CD">
              <w:tab/>
              <w:t>in der Erwägung, dass die Haushalte in der EU 14,79 % ihres verfügbaren Einkommens gespart haben und die Bürgerinnen und Bürger der EU 31,01 % ihrer Ersparnisse (11,63 Billionen</w:t>
            </w:r>
            <w:r w:rsidRPr="004E16CD">
              <w:rPr>
                <w:b/>
                <w:i/>
              </w:rPr>
              <w:t> </w:t>
            </w:r>
            <w:r w:rsidRPr="004E16CD">
              <w:t>EUR) in Form von Bargeld und Einlagen hielten, die begrenzte Renditen bieten; in der Erwägung, dass 36 % (13,42 Billionen EUR) in Anteilsrechten und Anteilen an Investmentfondsanteilen und 27 % (10,06 Billionen EUR) in Versicherungs-, Alterssicherungs- und Standardgarantie-Systemen angelegt waren4;</w:t>
            </w:r>
          </w:p>
        </w:tc>
        <w:tc>
          <w:tcPr>
            <w:tcW w:w="4876" w:type="dxa"/>
            <w:tcBorders>
              <w:top w:val="nil"/>
              <w:left w:val="nil"/>
              <w:bottom w:val="nil"/>
              <w:right w:val="nil"/>
            </w:tcBorders>
          </w:tcPr>
          <w:p w:rsidR="004E16CD" w:rsidRPr="004E16CD" w:rsidRDefault="004E16CD" w:rsidP="00241723">
            <w:pPr>
              <w:pStyle w:val="Normal6a"/>
            </w:pPr>
            <w:r w:rsidRPr="004E16CD">
              <w:t>E.</w:t>
            </w:r>
            <w:r w:rsidRPr="004E16CD">
              <w:tab/>
              <w:t xml:space="preserve">in der Erwägung, dass die Haushalte in der EU 14,79 % ihres verfügbaren Einkommens gespart haben </w:t>
            </w:r>
            <w:r w:rsidRPr="004E16CD">
              <w:rPr>
                <w:b/>
                <w:i/>
              </w:rPr>
              <w:t>(mehr als dreimal so viel wie die 4,7 % in den USA</w:t>
            </w:r>
            <w:r w:rsidRPr="004E16CD">
              <w:rPr>
                <w:b/>
                <w:i/>
                <w:vertAlign w:val="superscript"/>
              </w:rPr>
              <w:t>2a</w:t>
            </w:r>
            <w:r w:rsidRPr="004E16CD">
              <w:rPr>
                <w:b/>
                <w:i/>
              </w:rPr>
              <w:t xml:space="preserve">) </w:t>
            </w:r>
            <w:r w:rsidRPr="004E16CD">
              <w:t>und die Bürgerinnen und Bürger der EU 31,01 % ihrer Ersparnisse (11,63 Billionen</w:t>
            </w:r>
            <w:r w:rsidRPr="004E16CD">
              <w:rPr>
                <w:b/>
                <w:i/>
              </w:rPr>
              <w:t xml:space="preserve"> </w:t>
            </w:r>
            <w:r w:rsidRPr="004E16CD">
              <w:t xml:space="preserve">EUR) in Form von Bargeld und Einlagen hielten, die </w:t>
            </w:r>
            <w:r w:rsidRPr="004E16CD">
              <w:rPr>
                <w:b/>
                <w:i/>
              </w:rPr>
              <w:t xml:space="preserve">nur </w:t>
            </w:r>
            <w:r w:rsidRPr="004E16CD">
              <w:t>begrenzte Renditen bieten</w:t>
            </w:r>
            <w:r w:rsidRPr="004E16CD">
              <w:rPr>
                <w:b/>
                <w:i/>
              </w:rPr>
              <w:t xml:space="preserve"> (12,1 % in den USA)</w:t>
            </w:r>
            <w:r w:rsidRPr="004E16CD">
              <w:t xml:space="preserve">; in der Erwägung, dass 36 % (13,42 Billionen EUR) in Anteilsrechten und Anteilen an Investmentfondsanteilen </w:t>
            </w:r>
            <w:r w:rsidRPr="004E16CD">
              <w:rPr>
                <w:b/>
                <w:i/>
              </w:rPr>
              <w:t xml:space="preserve">(49,1 % in den USA) </w:t>
            </w:r>
            <w:r w:rsidRPr="004E16CD">
              <w:t>und 27 % (10,06 Billionen EUR) in Versicherungs-, Alterssicherungs- und Standardgarantie-Systemen angelegt waren</w:t>
            </w:r>
            <w:r w:rsidRPr="004E16CD">
              <w:rPr>
                <w:b/>
                <w:i/>
              </w:rPr>
              <w:t xml:space="preserve"> (27,5 % in den USA)</w:t>
            </w:r>
            <w:r w:rsidRPr="004E16CD">
              <w:rPr>
                <w:b/>
                <w:i/>
                <w:vertAlign w:val="superscript"/>
              </w:rPr>
              <w:t>3a</w:t>
            </w:r>
            <w:r w:rsidRPr="004E16CD">
              <w:rPr>
                <w:b/>
                <w:i/>
              </w:rPr>
              <w:t xml:space="preserve"> </w:t>
            </w:r>
            <w:r w:rsidRPr="004E16CD">
              <w:t>4;</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rPr>
              <w:t>2a U.S. Bureau of Economic Analysis, „Personal Income and Its Disposition, Monthly“ (Persönliches Einkommen und dessen Verwendung, monatlich), 2025</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rPr>
              <w:t>3a Rat der Gouverneure des Federal Reserve Systems, Bilanz der Haushalte und gemeinnützigen Organisationen, 2025</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4 Eurostat, Finanzielle Ströme und Bestände, 2023 https://ec.europa.eu/eurostat/databrowser/view/NASA_10_F_BS__custom_13650774/default/table?lang=de.</w:t>
            </w:r>
          </w:p>
        </w:tc>
        <w:tc>
          <w:tcPr>
            <w:tcW w:w="4876" w:type="dxa"/>
            <w:tcBorders>
              <w:top w:val="nil"/>
              <w:left w:val="nil"/>
              <w:bottom w:val="nil"/>
              <w:right w:val="nil"/>
            </w:tcBorders>
          </w:tcPr>
          <w:p w:rsidR="004E16CD" w:rsidRPr="004E16CD" w:rsidRDefault="004E16CD" w:rsidP="00241723">
            <w:pPr>
              <w:pStyle w:val="Normal6a"/>
            </w:pPr>
            <w:r w:rsidRPr="004E16CD">
              <w:t>4 Eurostat, Finanzielle Ströme und Bestände, 2023 https://ec.europa.eu/eurostat/databrowser/view/NASA_10_F_BS__custom_13650774/default/table?lang=de.</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64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Auke Zijlstra, Enikő Győri</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E</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E.</w:t>
            </w:r>
            <w:r w:rsidRPr="004E16CD">
              <w:tab/>
              <w:t>in der Erwägung, dass die Haushalte in der EU 14,79 % ihres verfügbaren Einkommens gespart haben und die Bürgerinnen und Bürger der EU 31,01 % ihrer Ersparnisse (11,63 Billionen EUR) in Form von Bargeld und Einlagen hielten, die begrenzte Renditen bieten; in der Erwägung, dass 36 % (13,42 Billionen EUR) in Anteilsrechten und Anteilen an Investmentfondsanteilen und 27 % (10,06 Billionen EUR) in Versicherungs-, Alterssicherungs- und Standardgarantie-Systemen angelegt waren</w:t>
            </w:r>
            <w:r w:rsidRPr="004E16CD">
              <w:rPr>
                <w:vertAlign w:val="superscript"/>
              </w:rPr>
              <w:t>4</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E.</w:t>
            </w:r>
            <w:r w:rsidRPr="004E16CD">
              <w:tab/>
              <w:t>in der Erwägung, dass die Haushalte in der EU 14,79 % ihres verfügbaren Einkommens gespart haben und die Bürgerinnen und Bürger der EU 31,01 % ihrer Ersparnisse (11,63 Billionen EUR) in Form von Bargeld und Einlagen hielten, die begrenzte Renditen bieten</w:t>
            </w:r>
            <w:r w:rsidRPr="004E16CD">
              <w:rPr>
                <w:b/>
                <w:i/>
              </w:rPr>
              <w:t>, teilweise aufgrund der steigenden Kosten für Bankdienstleistungen, die ihrerseits das Ergebnis undurchsichtiger Regulierungen auf EU-Ebene sind</w:t>
            </w:r>
            <w:r w:rsidRPr="004E16CD">
              <w:t>; in der Erwägung, dass 36 % (13,42 Billionen EUR) in Anteilsrechten und Anteilen an Investmentfondsanteilen und 27 % (10,06 Billionen EUR) in Versicherungs-, Alterssicherungs- und Standardgarantie-Systemen angelegt waren</w:t>
            </w:r>
            <w:r w:rsidRPr="004E16CD">
              <w:rPr>
                <w:vertAlign w:val="superscript"/>
              </w:rPr>
              <w:t>4</w:t>
            </w:r>
            <w:r w:rsidRPr="004E16CD">
              <w: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rPr>
                <w:vertAlign w:val="superscript"/>
              </w:rPr>
              <w:t>4</w:t>
            </w:r>
            <w:r w:rsidRPr="004E16CD">
              <w:t xml:space="preserve"> Eurostat, Finanzielle Ströme und Bestände, 2023 https://ec.europa.eu/eurostat/databrowser/view/NASA_10_F_BS__custom_13650774/default/table?lang=de.</w:t>
            </w:r>
          </w:p>
        </w:tc>
        <w:tc>
          <w:tcPr>
            <w:tcW w:w="4876" w:type="dxa"/>
            <w:tcBorders>
              <w:top w:val="nil"/>
              <w:left w:val="nil"/>
              <w:bottom w:val="nil"/>
              <w:right w:val="nil"/>
            </w:tcBorders>
          </w:tcPr>
          <w:p w:rsidR="004E16CD" w:rsidRPr="004E16CD" w:rsidRDefault="004E16CD" w:rsidP="00241723">
            <w:pPr>
              <w:pStyle w:val="Normal6a"/>
            </w:pPr>
            <w:r w:rsidRPr="004E16CD">
              <w:rPr>
                <w:vertAlign w:val="superscript"/>
              </w:rPr>
              <w:t>4</w:t>
            </w:r>
            <w:r w:rsidRPr="004E16CD">
              <w:t xml:space="preserve"> Eurostat, Finanzielle Ströme und Bestände, 2023 https://ec.europa.eu/eurostat/databrowser/view/NASA_10_F_BS__custom_13650774/default/table?lang=de.</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65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Sirpa Pietikäinen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E</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E.</w:t>
            </w:r>
            <w:r w:rsidRPr="004E16CD">
              <w:tab/>
              <w:t>in der Erwägung, dass die Haushalte in der EU 14,79 % ihres verfügbaren Einkommens gespart haben und die Bürgerinnen und Bürger der EU 31,01 % ihrer Ersparnisse (11,63 Billionen EUR) in Form von Bargeld und Einlagen hielten, die begrenzte Renditen bieten; in der Erwägung, dass 36 % (13,42 Billionen EUR) in Anteilsrechten und Anteilen an Investmentfondsanteilen und 27 % (10,06 Billionen EUR) in Versicherungs-, Alterssicherungs- und Standardgarantie-Systemen angelegt waren</w:t>
            </w:r>
            <w:r w:rsidRPr="004E16CD">
              <w:rPr>
                <w:vertAlign w:val="superscript"/>
              </w:rPr>
              <w:t>4</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E.</w:t>
            </w:r>
            <w:r w:rsidRPr="004E16CD">
              <w:tab/>
              <w:t>in der Erwägung, dass die Haushalte in der EU 14,79 % ihres verfügbaren Einkommens gespart haben und die Bürgerinnen und Bürger der EU 31,01 % ihrer Ersparnisse (11,63 Billionen EUR) in Form von Bargeld und Einlagen hielten, die begrenzte Renditen bieten; in der Erwägung, dass 36 % (13,42 Billionen EUR) in Anteilsrechten und Anteilen an Investmentfondsanteilen und 27 % (10,06 Billionen EUR) in Versicherungs-, Alterssicherungs- und Standardgarantie-Systemen angelegt waren</w:t>
            </w:r>
            <w:r w:rsidRPr="004E16CD">
              <w:rPr>
                <w:vertAlign w:val="superscript"/>
              </w:rPr>
              <w:t>4</w:t>
            </w:r>
            <w:r w:rsidRPr="004E16CD">
              <w:t>;</w:t>
            </w:r>
            <w:r w:rsidRPr="004E16CD">
              <w:rPr>
                <w:b/>
                <w:i/>
              </w:rPr>
              <w:t> in der Erwägung, dass eine effizientere Nutzung der Einlagen auf europäischen Bankkonten an den Kapitalmärkten zusätzliche 350 Milliarden Euro jährlich für Investitionen bedeuten könnte;</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rPr>
                <w:vertAlign w:val="superscript"/>
              </w:rPr>
              <w:t>4</w:t>
            </w:r>
            <w:r w:rsidRPr="004E16CD">
              <w:t xml:space="preserve"> Eurostat, Finanzielle Ströme und Bestände, 2023 https://ec.europa.eu/eurostat/databrowser/view/NASA_10_F_BS__custom_13650774/default/table?lang=de.</w:t>
            </w:r>
          </w:p>
        </w:tc>
        <w:tc>
          <w:tcPr>
            <w:tcW w:w="4876" w:type="dxa"/>
            <w:tcBorders>
              <w:top w:val="nil"/>
              <w:left w:val="nil"/>
              <w:bottom w:val="nil"/>
              <w:right w:val="nil"/>
            </w:tcBorders>
          </w:tcPr>
          <w:p w:rsidR="004E16CD" w:rsidRPr="004E16CD" w:rsidRDefault="004E16CD" w:rsidP="00241723">
            <w:pPr>
              <w:pStyle w:val="Normal6a"/>
            </w:pPr>
            <w:r w:rsidRPr="004E16CD">
              <w:rPr>
                <w:vertAlign w:val="superscript"/>
              </w:rPr>
              <w:t>4</w:t>
            </w:r>
            <w:r w:rsidRPr="004E16CD">
              <w:t xml:space="preserve"> Eurostat, Finanzielle Ströme und Bestände, 2023 https://ec.europa.eu/eurostat/databrowser/view/NASA_10_F_BS__custom_13650774/default/table?lang=de.</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66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Pascal Canfin, Stéphanie Yon-Courtin, Gilles Boyer, Anouk Van Brug</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E</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E.</w:t>
            </w:r>
            <w:r w:rsidRPr="004E16CD">
              <w:tab/>
              <w:t>in der Erwägung, dass die Haushalte in der EU 14,79 % ihres verfügbaren Einkommens gespart haben und die Bürgerinnen und Bürger der EU 31,01 % ihrer Ersparnisse (11,63 Billionen EUR) in Form von Bargeld und Einlagen hielten, die begrenzte Renditen bieten; in der Erwägung, dass 36 % (13,42 Billionen EUR) in Anteilsrechten und Anteilen an Investmentfondsanteilen und 27 % (10,06 Billionen EUR) in Versicherungs-, Alterssicherungs- und Standardgarantie-Systemen angelegt waren</w:t>
            </w:r>
            <w:r w:rsidRPr="004E16CD">
              <w:rPr>
                <w:vertAlign w:val="superscript"/>
              </w:rPr>
              <w:t>4</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E.</w:t>
            </w:r>
            <w:r w:rsidRPr="004E16CD">
              <w:tab/>
              <w:t>in der Erwägung, dass die Haushalte in der EU 14,79 % ihres verfügbaren Einkommens gespart haben und die Bürgerinnen und Bürger der EU 31,01 % ihrer Ersparnisse (11,63 Billionen EUR) in Form von Bargeld und Einlagen hielten, die begrenzte Renditen bieten; in der Erwägung, dass 36 % (13,42 Billionen EUR) in Anteilsrechten und Anteilen an Investmentfondsanteilen und 27 % (10,06 Billionen EUR) in Versicherungs-, Alterssicherungs- und Standardgarantie-Systemen angelegt waren</w:t>
            </w:r>
            <w:r w:rsidRPr="004E16CD">
              <w:rPr>
                <w:vertAlign w:val="superscript"/>
              </w:rPr>
              <w:t>4</w:t>
            </w:r>
            <w:r w:rsidRPr="004E16CD">
              <w:t xml:space="preserve">; </w:t>
            </w:r>
            <w:r w:rsidRPr="004E16CD">
              <w:rPr>
                <w:b/>
                <w:i/>
              </w:rPr>
              <w:t>in der Erwägung, dass laut dem Letta-Bericht 300 Mrd. EUR der Ersparnisse europäischer Familien vom EU-Markt auf ausländische Finanzmärkte umgeleitet werden;</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rPr>
                <w:vertAlign w:val="superscript"/>
              </w:rPr>
              <w:t>4</w:t>
            </w:r>
            <w:r w:rsidRPr="004E16CD">
              <w:t xml:space="preserve"> Eurostat, Finanzielle Ströme und Bestände, 2023 https://ec.europa.eu/eurostat/databrowser/view/NASA_10_F_BS__custom_13650774/default/table?lang=de.</w:t>
            </w:r>
          </w:p>
        </w:tc>
        <w:tc>
          <w:tcPr>
            <w:tcW w:w="4876" w:type="dxa"/>
            <w:tcBorders>
              <w:top w:val="nil"/>
              <w:left w:val="nil"/>
              <w:bottom w:val="nil"/>
              <w:right w:val="nil"/>
            </w:tcBorders>
          </w:tcPr>
          <w:p w:rsidR="004E16CD" w:rsidRPr="004E16CD" w:rsidRDefault="004E16CD" w:rsidP="00241723">
            <w:pPr>
              <w:pStyle w:val="Normal6a"/>
            </w:pPr>
            <w:r w:rsidRPr="004E16CD">
              <w:rPr>
                <w:vertAlign w:val="superscript"/>
              </w:rPr>
              <w:t>4</w:t>
            </w:r>
            <w:r w:rsidRPr="004E16CD">
              <w:t xml:space="preserve"> Eurostat, Finanzielle Ströme und Bestände, 2023 https://ec.europa.eu/eurostat/databrowser/view/NASA_10_F_BS__custom_13650774/default/table?lang=de.</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67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Giovanni Crosetto, Denis Nesci, Francesco Ventola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E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Ea.</w:t>
            </w:r>
            <w:r w:rsidRPr="004E16CD">
              <w:tab/>
            </w:r>
            <w:r w:rsidRPr="004E16CD">
              <w:rPr>
                <w:b/>
                <w:i/>
              </w:rPr>
              <w:t>in der Erwägung, dass der Schwerpunkt der EU-Finanzregulierung seit der Finanzkrise 2008 in erster Linie darauf lag, Finanzstabilität und Anlegerschutz zu gewährleisten; in der Erwägung, dass diese Ziele zwar von wesentlicher Bedeutung sind, aber nicht immer mit den wirksamsten oder verhältnismäßigsten Ansätzen verfolgt wurden; in der Erwägung, dass bei künftigen Maßnahmen der Schwerpunkt verstärkt darauf gelegt werden sollte, die europäischen Kapitalmärkte sowohl für Emittenten als auch für Anleger attraktiver, zugänglicher und wettbewerbsfähiger zu machen; in der Erwägung, dass der Anlegerschutz voll und ganz mit einem stärker risikobasierten Regulierungsrahmen vereinbar ist, der die Rentabilität fördert, die Marktentwicklung unterstützt und eine stärkere Beteiligung von Kleinanlegern an gut diversifizierten – vorzugsweise europäischen – Anlageportfolios fördert;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68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Christophe Gomart</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E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Ea.</w:t>
            </w:r>
            <w:r w:rsidRPr="004E16CD">
              <w:tab/>
            </w:r>
            <w:r w:rsidRPr="004E16CD">
              <w:rPr>
                <w:b/>
                <w:i/>
              </w:rPr>
              <w:t>in der Erwägung, dass dem Bericht Noyer zufolge der Verbriefungsmarkt in Europa seit 2008 von 2 000 Milliarden im Jahr 2008 auf 1 200 Milliarden im Jahr 2023 geschrumpft ist, während in den Vereinigten Staaten die aktuelle Zahl (13 700 Mrd. im Jahr 2021) über den 11 300 Mrd. aus dem Jahr 2008 liegt;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{FR}</w:t>
      </w:r>
      <w:r w:rsidRPr="004E16CD">
        <w:t>fr</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69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Eero Heinäluoma, Evelyn Regner, Claire Fita, Carla Tavares,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E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Ea.</w:t>
            </w:r>
            <w:r w:rsidRPr="004E16CD">
              <w:tab/>
            </w:r>
            <w:r w:rsidRPr="004E16CD">
              <w:rPr>
                <w:b/>
                <w:i/>
              </w:rPr>
              <w:t>in der Erwägung, dass bis zu 8 Billionen EUR – was einem Zufluss von rund 350 Mrd. EUR jährlich entspräche – in marktbasierte Investitionsinstrumente umgelenkt werden könnten</w:t>
            </w:r>
            <w:r w:rsidRPr="004E16CD">
              <w:rPr>
                <w:b/>
                <w:i/>
                <w:vertAlign w:val="superscript"/>
              </w:rPr>
              <w:t>1a</w:t>
            </w:r>
            <w:r w:rsidRPr="004E16CD">
              <w:rPr>
                <w:b/>
                <w:i/>
              </w:rPr>
              <w:t>, wenn die Haushalte in der EU ihre Aufteilung auf Einlagen und Finanzanlagen an die in den USA beobachtete Struktur angleichen;</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vertAlign w:val="superscript"/>
              </w:rPr>
              <w:t>1a</w:t>
            </w:r>
            <w:r w:rsidRPr="004E16CD">
              <w:t xml:space="preserve"> </w:t>
            </w:r>
            <w:r w:rsidRPr="004E16CD">
              <w:rPr>
                <w:b/>
                <w:i/>
              </w:rPr>
              <w:t>Europäische Zentralbank, „Follow the money: channelling savings into investment and innovation in Europe,“ Rede von Christine Lagarde, Präsidentin der Europäischen Zentralbank, 22. November 2024.</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70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Stéphanie Yon-Courtin, Gilles Boyer, Pascal Canfin, Billy Kelleher, Anouk Van Brug</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E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Ea.</w:t>
            </w:r>
            <w:r w:rsidRPr="004E16CD">
              <w:tab/>
            </w:r>
            <w:r w:rsidRPr="004E16CD">
              <w:rPr>
                <w:b/>
                <w:i/>
              </w:rPr>
              <w:t>in der Erwägung, dass einer Analyse der EZB zufolge ein Volumen von bis zu 8 Billionen EUR in marktbasierte Investitionen umgelenkt werden könnte – was einem Zufluss von rund 350 Mrd. EUR jährlich entspräche –, wenn die privaten Haushalte in der EU ihr Verhältnis zwischen Einlagen und Finanzanlagen an das der Privathaushalte in den USA angleichen würden;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71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E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Ea.</w:t>
            </w:r>
            <w:r w:rsidRPr="004E16CD">
              <w:tab/>
            </w:r>
            <w:r w:rsidRPr="004E16CD">
              <w:rPr>
                <w:b/>
                <w:i/>
              </w:rPr>
              <w:t>in der Erwägung, dass die EZB berechnet hat, dass bis zu 8 Billionen EUR in marktbasierte Investitionen umgelenkt werden könnten – was einem Zufluss von rund 350 Mrd. EUR jährlich entspräche –, wenn die privaten Haushalte in der EU ihr Verhältnis zwischen Einlagen und Finanzanlagen an das der Privathaushalte in den USA angleichen würden;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72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Regina Doherty</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E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Ea.</w:t>
            </w:r>
            <w:r w:rsidRPr="004E16CD">
              <w:tab/>
            </w:r>
            <w:r w:rsidRPr="004E16CD">
              <w:rPr>
                <w:b/>
                <w:i/>
              </w:rPr>
              <w:t>in der Erwägung, dass rund 70 % der Unternehmensfinanzierung in der EU in Form von Kreditaufnahmen bei Banken erfolgt, während in den USA rund 77 % der Unternehmensfinanzierung über Kapitalmärkte finanziert werden;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73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Eero Heinäluoma, Evelyn Regner, Niels Fuglsang, Claire Fita, Carla Tavares, Thomas Bajada,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E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Eb.</w:t>
            </w:r>
            <w:r w:rsidRPr="004E16CD">
              <w:tab/>
            </w:r>
            <w:r w:rsidRPr="004E16CD">
              <w:rPr>
                <w:b/>
                <w:i/>
              </w:rPr>
              <w:t>in der Erwägung, dass die europäischen Haushalte jährlich rund 300 Mrd. EUR</w:t>
            </w:r>
            <w:r w:rsidRPr="004E16CD">
              <w:rPr>
                <w:b/>
                <w:i/>
                <w:vertAlign w:val="superscript"/>
              </w:rPr>
              <w:t>1a</w:t>
            </w:r>
            <w:r w:rsidRPr="004E16CD">
              <w:rPr>
                <w:b/>
                <w:i/>
              </w:rPr>
              <w:t xml:space="preserve"> außerhalb der EU investieren, vor allem in den Vereinigten Staaten; in der Erwägung, dass dieser Betrag mit dem zusätzlichen Kapital vergleichbar ist, das unter stärker marktorientierten Bedingungen innerhalb der EU mobilisiert werden könnte;</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vertAlign w:val="superscript"/>
              </w:rPr>
              <w:t>1a</w:t>
            </w:r>
            <w:r w:rsidRPr="004E16CD">
              <w:t xml:space="preserve"> </w:t>
            </w:r>
            <w:r w:rsidRPr="004E16CD">
              <w:rPr>
                <w:b/>
                <w:i/>
              </w:rPr>
              <w:t>„Much more than a Market“ (Viel mehr als ein Markt), Enrico Letta, 2024.</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74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Regina Doherty</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E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Eb.</w:t>
            </w:r>
            <w:r w:rsidRPr="004E16CD">
              <w:tab/>
            </w:r>
            <w:r w:rsidRPr="004E16CD">
              <w:rPr>
                <w:b/>
                <w:i/>
              </w:rPr>
              <w:t>in der Erwägung, dass die europäischen Märkte im Vergleich zu anderen Regionen, insbesondere den USA, mit einem erheblichen Liquiditätsdefizit konfrontiert sind;</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75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F</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F.</w:t>
            </w:r>
            <w:r w:rsidRPr="004E16CD">
              <w:tab/>
              <w:t xml:space="preserve">in der Erwägung, dass dem Draghi-Bericht zufolge zwischen 2008 und 2021 </w:t>
            </w:r>
            <w:r w:rsidRPr="004E16CD">
              <w:rPr>
                <w:b/>
                <w:i/>
              </w:rPr>
              <w:t>fast 30 % der „Einhörner“</w:t>
            </w:r>
            <w:r w:rsidRPr="004E16CD">
              <w:t>, d. h. Start-up-Unternehmen, die in der Folge einen Wert von mehr als 1 Mrd. USD erreichten, ihren Hauptsitz ins Ausland verlagert haben, hauptsächlich in die USA;</w:t>
            </w:r>
          </w:p>
        </w:tc>
        <w:tc>
          <w:tcPr>
            <w:tcW w:w="4876" w:type="dxa"/>
            <w:tcBorders>
              <w:top w:val="nil"/>
              <w:left w:val="nil"/>
              <w:bottom w:val="nil"/>
              <w:right w:val="nil"/>
            </w:tcBorders>
          </w:tcPr>
          <w:p w:rsidR="004E16CD" w:rsidRPr="004E16CD" w:rsidRDefault="004E16CD" w:rsidP="00241723">
            <w:pPr>
              <w:pStyle w:val="Normal6a"/>
            </w:pPr>
            <w:r w:rsidRPr="004E16CD">
              <w:t>F.</w:t>
            </w:r>
            <w:r w:rsidRPr="004E16CD">
              <w:tab/>
              <w:t xml:space="preserve">in der Erwägung, dass dem Draghi-Bericht zufolge zwischen 2008 und 2021 </w:t>
            </w:r>
            <w:r w:rsidRPr="004E16CD">
              <w:rPr>
                <w:b/>
                <w:i/>
              </w:rPr>
              <w:t>147 „Einhörner“, gegründet wurden</w:t>
            </w:r>
            <w:r w:rsidRPr="004E16CD">
              <w:t xml:space="preserve">, d. h. Start-up-Unternehmen, die in der Folge einen Wert von mehr als 1 Mrd. USD erreichten, </w:t>
            </w:r>
            <w:r w:rsidRPr="004E16CD">
              <w:rPr>
                <w:b/>
                <w:i/>
              </w:rPr>
              <w:t xml:space="preserve">und dass von diesen 40 </w:t>
            </w:r>
            <w:r w:rsidRPr="004E16CD">
              <w:t xml:space="preserve">ihren Hauptsitz ins Ausland verlagert haben, hauptsächlich in die USA; </w:t>
            </w:r>
            <w:r w:rsidRPr="004E16CD">
              <w:rPr>
                <w:b/>
                <w:i/>
              </w:rPr>
              <w:t>in der Erwägung, dass der Verwaltungsaufwand der Union auf rund 150 Mrd. EUR (1,3 % des jährlichen BIP) geschätzt wird und dass interne Hindernisse nach Angaben des IWF einem Zoll von 100 % im Binnenmarkt gleichkommen;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76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Auke Zijlstra, Enikő Győri</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F</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F.</w:t>
            </w:r>
            <w:r w:rsidRPr="004E16CD">
              <w:tab/>
              <w:t>in der Erwägung, dass dem Draghi-Bericht zufolge zwischen 2008 und 2021 fast 30 % der „Einhörner“, d. h. Start-up-Unternehmen, die in der Folge einen Wert von mehr als 1 Mrd. USD erreichten, ihren Hauptsitz ins Ausland verlagert haben, hauptsächlich in die USA;</w:t>
            </w:r>
          </w:p>
        </w:tc>
        <w:tc>
          <w:tcPr>
            <w:tcW w:w="4876" w:type="dxa"/>
            <w:tcBorders>
              <w:top w:val="nil"/>
              <w:left w:val="nil"/>
              <w:bottom w:val="nil"/>
              <w:right w:val="nil"/>
            </w:tcBorders>
          </w:tcPr>
          <w:p w:rsidR="004E16CD" w:rsidRPr="004E16CD" w:rsidRDefault="004E16CD" w:rsidP="00241723">
            <w:pPr>
              <w:pStyle w:val="Normal6a"/>
            </w:pPr>
            <w:r w:rsidRPr="004E16CD">
              <w:t>F.</w:t>
            </w:r>
            <w:r w:rsidRPr="004E16CD">
              <w:tab/>
              <w:t>in der Erwägung, dass dem Draghi-Bericht zufolge zwischen 2008 und 2021 fast 30 % der „Einhörner“, d. h. Start-up-Unternehmen, die in der Folge einen Wert von mehr als 1 Mrd. USD erreichten, ihren Hauptsitz ins Ausland verlagert haben, hauptsächlich in die USA</w:t>
            </w:r>
            <w:r w:rsidRPr="004E16CD">
              <w:rPr>
                <w:b/>
                <w:i/>
              </w:rPr>
              <w:t>, da der kulturelle und regulatorische Rahmen für Unternehmertum dort günstiger ist</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77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Kinga Kollár, 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F</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F.</w:t>
            </w:r>
            <w:r w:rsidRPr="004E16CD">
              <w:tab/>
              <w:t>in der Erwägung, dass dem Draghi-Bericht zufolge zwischen 2008 und 2021 fast 30 % der „Einhörner“, d. h. Start-up-Unternehmen, die in der Folge einen Wert von mehr als 1 Mrd. USD erreichten, ihren Hauptsitz ins Ausland verlagert haben, hauptsächlich in die USA;</w:t>
            </w:r>
          </w:p>
        </w:tc>
        <w:tc>
          <w:tcPr>
            <w:tcW w:w="4876" w:type="dxa"/>
            <w:tcBorders>
              <w:top w:val="nil"/>
              <w:left w:val="nil"/>
              <w:bottom w:val="nil"/>
              <w:right w:val="nil"/>
            </w:tcBorders>
          </w:tcPr>
          <w:p w:rsidR="004E16CD" w:rsidRPr="004E16CD" w:rsidRDefault="004E16CD" w:rsidP="00241723">
            <w:pPr>
              <w:pStyle w:val="Normal6a"/>
            </w:pPr>
            <w:r w:rsidRPr="004E16CD">
              <w:t>F.</w:t>
            </w:r>
            <w:r w:rsidRPr="004E16CD">
              <w:tab/>
              <w:t xml:space="preserve">in der Erwägung, dass dem Draghi-Bericht zufolge zwischen 2008 und 2021 fast 30 % der „Einhörner“, d. h. Start-up-Unternehmen, die in der Folge einen Wert von mehr als 1 Mrd. USD erreichten, ihren Hauptsitz ins Ausland verlagert haben, hauptsächlich in die USA; </w:t>
            </w:r>
            <w:r w:rsidRPr="004E16CD">
              <w:rPr>
                <w:b/>
                <w:i/>
              </w:rPr>
              <w:t>in der Erwägung, dass nur vier der fünfzig führenden Technologieunternehmen der Welt europäische Unternehmen sind;</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78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F</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F.</w:t>
            </w:r>
            <w:r w:rsidRPr="004E16CD">
              <w:tab/>
              <w:t xml:space="preserve">in der Erwägung, dass dem Draghi-Bericht zufolge zwischen 2008 und 2021 fast 30 % der „Einhörner“, d. h. Start-up-Unternehmen, die in der Folge einen Wert </w:t>
            </w:r>
            <w:r w:rsidRPr="004E16CD">
              <w:rPr>
                <w:b/>
                <w:i/>
              </w:rPr>
              <w:t xml:space="preserve">von mehr als </w:t>
            </w:r>
            <w:r w:rsidRPr="004E16CD">
              <w:t>1 Mrd. USD erreichten, ihren Hauptsitz ins Ausland verlagert haben, hauptsächlich in die USA;</w:t>
            </w:r>
          </w:p>
        </w:tc>
        <w:tc>
          <w:tcPr>
            <w:tcW w:w="4876" w:type="dxa"/>
            <w:tcBorders>
              <w:top w:val="nil"/>
              <w:left w:val="nil"/>
              <w:bottom w:val="nil"/>
              <w:right w:val="nil"/>
            </w:tcBorders>
          </w:tcPr>
          <w:p w:rsidR="004E16CD" w:rsidRPr="004E16CD" w:rsidRDefault="004E16CD" w:rsidP="00241723">
            <w:pPr>
              <w:pStyle w:val="Normal6a"/>
            </w:pPr>
            <w:r w:rsidRPr="004E16CD">
              <w:t>F.</w:t>
            </w:r>
            <w:r w:rsidRPr="004E16CD">
              <w:tab/>
              <w:t xml:space="preserve">in der Erwägung, dass dem Draghi-Bericht zufolge zwischen 2008 und 2021 fast 30 % der </w:t>
            </w:r>
            <w:r w:rsidRPr="004E16CD">
              <w:rPr>
                <w:b/>
                <w:i/>
              </w:rPr>
              <w:t xml:space="preserve">europäischen </w:t>
            </w:r>
            <w:r w:rsidRPr="004E16CD">
              <w:t>„Einhörner“, d. h. Start-up-Unternehmen, die in der Folge einen Wert 1 Mrd. USD</w:t>
            </w:r>
            <w:r w:rsidRPr="004E16CD">
              <w:rPr>
                <w:b/>
                <w:i/>
              </w:rPr>
              <w:t xml:space="preserve"> oder mehr</w:t>
            </w:r>
            <w:r w:rsidRPr="004E16CD">
              <w:t xml:space="preserve"> erreichten, ihren Hauptsitz ins Ausland verlagert haben, hauptsächlich in die USA;</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79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F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Fa.</w:t>
            </w:r>
            <w:r w:rsidRPr="004E16CD">
              <w:tab/>
            </w:r>
            <w:r w:rsidRPr="004E16CD">
              <w:rPr>
                <w:b/>
                <w:i/>
              </w:rPr>
              <w:t>in der Erwägung, dass sich die Opportunitätskosten der mangelnden Harmonisierung auf europäischer Ebene jährlich auf 200 Mrd. EUR belaufen, was hauptsächlich auf die Komplexität und die unverhältnismäßige Menge der europäischen Rechtsvorschriften zurückzuführen ist; in der Erwägung, dass im US-Kongress zwischen 2019 und 2024 3 500 Legislativtexte und 2 000 Entschließungen angenommen wurden, während auf europäischer Ebene 13 000 Rechtsakte angenommen wurden;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80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Rasmus Andresen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F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Fa.</w:t>
            </w:r>
            <w:r w:rsidRPr="004E16CD">
              <w:tab/>
            </w:r>
            <w:r w:rsidRPr="004E16CD">
              <w:rPr>
                <w:b/>
                <w:i/>
              </w:rPr>
              <w:t>in der Erwägung, dass die Europäische Zentralbank betont, dass sich klimabezogene Risiken auf makroökonomische Indikatoren wie Inflation, Wirtschaftswachstum, Finanzstabilität und Transmission der Geldpolitik auswirken und dass der Verlust an biologischer Vielfalt und die Verschlechterung der natürlichen Ökosysteme die klimabedingten Risiken verstärken dürften;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81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Ľudovít Ódor, Anouk Van Brug, Billy Kelleher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G.</w:t>
            </w:r>
            <w:r w:rsidRPr="004E16CD">
              <w:tab/>
              <w:t xml:space="preserve">in der Erwägung, dass sich die Ausgaben für Forschung und Entwicklung im Jahr </w:t>
            </w:r>
            <w:r w:rsidRPr="004E16CD">
              <w:rPr>
                <w:b/>
                <w:i/>
              </w:rPr>
              <w:t>2021</w:t>
            </w:r>
            <w:r w:rsidRPr="004E16CD">
              <w:t xml:space="preserve"> in der EU auf</w:t>
            </w:r>
            <w:r w:rsidRPr="004E16CD">
              <w:rPr>
                <w:b/>
                <w:i/>
              </w:rPr>
              <w:t xml:space="preserve"> 2,1 %</w:t>
            </w:r>
            <w:r w:rsidRPr="004E16CD">
              <w:t xml:space="preserve"> des BIP, in den USA jedoch auf </w:t>
            </w:r>
            <w:r w:rsidRPr="004E16CD">
              <w:rPr>
                <w:b/>
                <w:i/>
              </w:rPr>
              <w:t>3,5 %</w:t>
            </w:r>
            <w:r w:rsidRPr="004E16CD">
              <w:t xml:space="preserve"> und in China auf </w:t>
            </w:r>
            <w:r w:rsidRPr="004E16CD">
              <w:rPr>
                <w:b/>
                <w:i/>
              </w:rPr>
              <w:t>2,4 %</w:t>
            </w:r>
            <w:r w:rsidRPr="004E16CD">
              <w:t xml:space="preserve"> beliefen, während in der Lissabon-Strategie von 2000 ein Ausgabenziel von 3 % für Forschung und Entwicklung festgelegt wurde;</w:t>
            </w:r>
          </w:p>
        </w:tc>
        <w:tc>
          <w:tcPr>
            <w:tcW w:w="4876" w:type="dxa"/>
            <w:tcBorders>
              <w:top w:val="nil"/>
              <w:left w:val="nil"/>
              <w:bottom w:val="nil"/>
              <w:right w:val="nil"/>
            </w:tcBorders>
          </w:tcPr>
          <w:p w:rsidR="004E16CD" w:rsidRPr="004E16CD" w:rsidRDefault="004E16CD" w:rsidP="00241723">
            <w:pPr>
              <w:pStyle w:val="Normal6a"/>
            </w:pPr>
            <w:r w:rsidRPr="004E16CD">
              <w:t>G.</w:t>
            </w:r>
            <w:r w:rsidRPr="004E16CD">
              <w:tab/>
              <w:t xml:space="preserve">in der Erwägung, dass sich die Ausgaben für Forschung und Entwicklung im Jahr </w:t>
            </w:r>
            <w:r w:rsidRPr="004E16CD">
              <w:rPr>
                <w:b/>
                <w:i/>
              </w:rPr>
              <w:t>2023</w:t>
            </w:r>
            <w:r w:rsidRPr="004E16CD">
              <w:t xml:space="preserve"> in der EU auf </w:t>
            </w:r>
            <w:r w:rsidRPr="004E16CD">
              <w:rPr>
                <w:b/>
                <w:i/>
              </w:rPr>
              <w:t>2,2 %</w:t>
            </w:r>
            <w:r w:rsidRPr="004E16CD">
              <w:t xml:space="preserve"> des BIP, in den USA jedoch auf </w:t>
            </w:r>
            <w:r w:rsidRPr="004E16CD">
              <w:rPr>
                <w:b/>
                <w:i/>
              </w:rPr>
              <w:t>3,4 %</w:t>
            </w:r>
            <w:r w:rsidRPr="004E16CD">
              <w:t xml:space="preserve"> und in China auf </w:t>
            </w:r>
            <w:r w:rsidRPr="004E16CD">
              <w:rPr>
                <w:b/>
                <w:i/>
              </w:rPr>
              <w:t>2,6 %</w:t>
            </w:r>
            <w:r w:rsidRPr="004E16CD">
              <w:t xml:space="preserve"> beliefen, während in der Lissabon-Strategie von 2000 ein Ausgabenziel von 3 % für Forschung und Entwicklung festgelegt wurde; </w:t>
            </w:r>
            <w:r w:rsidRPr="004E16CD">
              <w:rPr>
                <w:b/>
                <w:i/>
              </w:rPr>
              <w:t>in der Erwägung, dass der Anteil der Privatwirtschaft an allen FuE-Ausgaben in der EU 66 % gegenüber 78 % in den USA und 77,7 % in China betrug;</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82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Ga.</w:t>
            </w:r>
            <w:r w:rsidRPr="004E16CD">
              <w:tab/>
            </w:r>
            <w:r w:rsidRPr="004E16CD">
              <w:rPr>
                <w:b/>
                <w:i/>
              </w:rPr>
              <w:t>in der Erwägung, dass die Mobilisierung privater Investitionen von entscheidender Bedeutung ist, um Wirtschaftswachstum, Innovation und die Schaffung von Arbeitsplätzen in ganz Europa zu fördern, und dass dies durch die Umsetzung steuerlicher Anreize erreicht werden kann; in der Erwägung, dass solche Anreize die Abhängigkeit Europas von öffentlichen Mitteln verringern, eine effiziente Kapitalallokation fördern und die Finanzierung von Schlüsselsektoren wie Risikokapital, Infrastruktur und Technologie ermöglichen würden; in der Erwägung, dass steuerliche Maßnahmen so konzipiert sein sollten, dass die Zuständigkeiten der Mitgliedstaaten im Bereich der Steuerpolitik geachtet werden und sichergestellt wird, dass sie die Flexibilität behalten, ihre Steuersysteme auf ihre nationalen Prioritäten abzustimmen, und gleichzeitig wettbewerbsorientierte und gleiche Wettbewerbsbedingungen in der gesamten Union fördern sollten; in der Erwägung, dass die Schaffung eines kohärenten Rahmens steuerlicher Anreize auf europäischer Ebene, der die Souveränität der Mitgliedstaaten nicht untergräbt, eine dynamischere und widerstandsfähigere Wirtschaft ermöglichen und den Übergang zu einer marktorientierten Wirtschaft unterstützen wird;</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83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Giovanni Crosetto, Denis Nesci, Francesco Ventola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Ga.</w:t>
            </w:r>
            <w:r w:rsidRPr="004E16CD">
              <w:tab/>
            </w:r>
            <w:r w:rsidRPr="004E16CD">
              <w:rPr>
                <w:b/>
                <w:i/>
              </w:rPr>
              <w:t>in der Erwägung, dass Banken nach wie vor ein Eckpfeiler des Finanzsystems der EU und ein wichtiger Kanal für die Finanzierung der Realwirtschaft sind; in der Erwägung, dass ein gut kalibrierter Regelungsrahmen für die Wahrung der Finanzstabilität von wesentlicher Bedeutung ist, dass übermäßig strenge Anforderungen jedoch die Kreditvergabe einschränken und die Wettbewerbsfähigkeit verringern können; in der Erwägung, dass die EU in mehreren Fällen über die internationalen Baseler Standards hinausgegangen ist, was zu einem vergleichsweise höheren Befolgungsaufwand für EU-Banken geführt hat;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84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Michalis Hadjipantela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Ga.</w:t>
            </w:r>
            <w:r w:rsidRPr="004E16CD">
              <w:tab/>
            </w:r>
            <w:r w:rsidRPr="004E16CD">
              <w:rPr>
                <w:b/>
                <w:i/>
              </w:rPr>
              <w:t>in der Erwägung, dass Europa dem Draghi-Bericht zufolge in Bezug auf die fortschrittlichen Technologien, die das künftige Wachstum vorantreiben werden, zurückfällt, wobei hervorgehoben wird, dass nur vier der 50 weltweit führenden Technologieunternehmen in Europa sind, während sich die globale Position der EU im Technologiebereich verschlechtert, und in der Erwägung, dass sich der Anteil der EU an den weltweiten Technologieeinnahmen von 2013 bis 2023 von 22 % auf 18 % verringert hat, während der Anteil der USA von 30 % auf 38 % gestiegen ist</w:t>
            </w:r>
            <w:r w:rsidRPr="004E16CD">
              <w:rPr>
                <w:b/>
                <w:i/>
                <w:vertAlign w:val="superscript"/>
              </w:rPr>
              <w:t>1a</w:t>
            </w:r>
            <w:r w:rsidRPr="004E16CD">
              <w:rPr>
                <w:b/>
                <w:i/>
              </w:rPr>
              <w: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vertAlign w:val="superscript"/>
              </w:rPr>
              <w:t>1a</w:t>
            </w:r>
            <w:r w:rsidRPr="004E16CD">
              <w:t xml:space="preserve"> </w:t>
            </w:r>
            <w:r w:rsidRPr="004E16CD">
              <w:rPr>
                <w:b/>
                <w:i/>
              </w:rPr>
              <w:t>„The Draghi report: A competitiveness strategy for Europe (Part A)“ (Der Draghi-Bericht: Eine Strategie für die Wettbewerbsfähigkeit Europas (Teil A), Seite 14.</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85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Ľudovít Ódor, Anouk Van Brug, Billy Kelleher, Stéphanie Yon-Courtin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Ga.</w:t>
            </w:r>
            <w:r w:rsidRPr="004E16CD">
              <w:tab/>
            </w:r>
            <w:r w:rsidRPr="004E16CD">
              <w:rPr>
                <w:b/>
                <w:i/>
              </w:rPr>
              <w:t>in der Erwägung, dass nach Angaben des IWF die verbleibenden nichttarifären Handelshemmnisse, die den Handel innerhalb der EU behindern, im verarbeitenden Gewerbe auf durchschnittlich etwa 45 % (dreimal so hoch wie in den USA) und im Dienstleistungssektor auf durchschnittlich 110 % geschätzt werden</w:t>
            </w:r>
            <w:r w:rsidRPr="004E16CD">
              <w:rPr>
                <w:b/>
                <w:i/>
                <w:vertAlign w:val="superscript"/>
              </w:rPr>
              <w:t>5a</w:t>
            </w:r>
            <w:r w:rsidRPr="004E16CD">
              <w:rPr>
                <w:b/>
                <w:i/>
              </w:rPr>
              <w: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vertAlign w:val="superscript"/>
              </w:rPr>
              <w:t>5a</w:t>
            </w:r>
            <w:r w:rsidRPr="004E16CD">
              <w:t xml:space="preserve"> </w:t>
            </w:r>
            <w:r w:rsidRPr="004E16CD">
              <w:rPr>
                <w:b/>
                <w:i/>
              </w:rPr>
              <w:t>Internationaler Währungsfonds, Regional Economic Outlook Notes – Europe, November 2024, „Europe’s Declining Productivity Growth: Diagnoses and Remedies“, https://www.elibrary.imf.org/supplemental/book/9798400287312/9798400287312.xml/REOEUREA2024002-S001_SOURCE_PDF.pdf</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86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Sirpa Pietikäinen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Ga.</w:t>
            </w:r>
            <w:r w:rsidRPr="004E16CD">
              <w:tab/>
            </w:r>
            <w:r w:rsidRPr="004E16CD">
              <w:rPr>
                <w:b/>
                <w:i/>
              </w:rPr>
              <w:t>in der Erwägung, dass durch den ungebremsten Klimawandel das weltweite BIP bis 2060 voraussichtlich um durchschnittlich mehr als 2 % sinken wird, wobei einige Regionen aufgrund negativer Auswirkungen auf die Arbeitsproduktivität, die landwirtschaftliche Produktion, die menschliche Gesundheit und die Infrastruktur möglicherweise Verluste von bis zu 6 % erleiden werden</w:t>
            </w:r>
            <w:r w:rsidRPr="004E16CD">
              <w:rPr>
                <w:b/>
                <w:i/>
                <w:vertAlign w:val="superscript"/>
              </w:rPr>
              <w:t>1a</w:t>
            </w:r>
            <w:r w:rsidRPr="004E16CD">
              <w:rPr>
                <w:b/>
                <w:i/>
              </w:rPr>
              <w: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vertAlign w:val="superscript"/>
              </w:rPr>
              <w:t>1a</w:t>
            </w:r>
            <w:r w:rsidRPr="004E16CD">
              <w:t xml:space="preserve"> </w:t>
            </w:r>
            <w:r w:rsidRPr="004E16CD">
              <w:rPr>
                <w:b/>
                <w:i/>
              </w:rPr>
              <w:t>„The Economic Consequences of Climate Change“ (Die wirtschaftlichen Folgen des Klimawandels), OECD, 2015, https://www.oecd.org/env/the-economic-consequences-of-climate-change-9789264235410-en.htm</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87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Lídia Pereira, 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Ga.</w:t>
            </w:r>
            <w:r w:rsidRPr="004E16CD">
              <w:tab/>
            </w:r>
            <w:r w:rsidRPr="004E16CD">
              <w:rPr>
                <w:b/>
                <w:i/>
              </w:rPr>
              <w:t>in der Erwägung, dass die EU mit einer Kapitalabwanderung in die USA konfrontiert ist, wobei jährlich rund 300 Mrd. EUR an europäischen Ersparnissen in die Kapitalmärkte der USA fließen; in der Erwägung, dass dringend Anreize für europäische Haushalte geschaffen werden müssen, in Europa zu sparen und zu investieren;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88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Rasmus Andresen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Ga.</w:t>
            </w:r>
            <w:r w:rsidRPr="004E16CD">
              <w:tab/>
            </w:r>
            <w:r w:rsidRPr="004E16CD">
              <w:rPr>
                <w:b/>
                <w:i/>
              </w:rPr>
              <w:t>in der Erwägung, dass derzeit mehr als 80 % der europäischen digitalen Technologien aus Drittländern importiert werden, was zu einer systemischen Anfälligkeit führt und die Wettbewerbsfähigkeit und das Innovationspotenzial Europas beeinträchtigt;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89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Fabio De Masi</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Ga.</w:t>
            </w:r>
            <w:r w:rsidRPr="004E16CD">
              <w:tab/>
            </w:r>
            <w:r w:rsidRPr="004E16CD">
              <w:rPr>
                <w:b/>
                <w:i/>
              </w:rPr>
              <w:t>in der Erwägung, dass in der Umfrage der EZB zum Kreditgeschäft im Euro-Währungsgebiet (Bank Lending Survey)(Januar 2025) und im SAFE-Bericht (November 2024) festgestellt wird, dass die mangelnde Nachfrage nach Krediten das Haupthindernis für ein höheres Kreditwachstum ist;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90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René Repasi, Evelyn Regner, Niels Fuglsang, Claire Fita,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Ga.</w:t>
            </w:r>
            <w:r w:rsidRPr="004E16CD">
              <w:tab/>
            </w:r>
            <w:r w:rsidRPr="004E16CD">
              <w:rPr>
                <w:b/>
                <w:i/>
              </w:rPr>
              <w:t>in der Erwägung, dass KMU als Hindernisse für den Binnenmarkt die Mehrwertsteuer (17 %), den Marktzugang (12 %), die Finanzierung (10 %) und die Marktanforderungen (6 %) hervorgehoben haben</w:t>
            </w:r>
            <w:r w:rsidRPr="004E16CD">
              <w:rPr>
                <w:b/>
                <w:i/>
                <w:vertAlign w:val="superscript"/>
              </w:rPr>
              <w:t>1a</w:t>
            </w:r>
            <w:r w:rsidRPr="004E16CD">
              <w:rPr>
                <w:b/>
                <w:i/>
              </w:rPr>
              <w: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vertAlign w:val="superscript"/>
              </w:rPr>
              <w:t>1a</w:t>
            </w:r>
            <w:r w:rsidRPr="004E16CD">
              <w:t xml:space="preserve"> </w:t>
            </w:r>
            <w:r w:rsidRPr="004E16CD">
              <w:rPr>
                <w:b/>
                <w:i/>
              </w:rPr>
              <w:t>Jahresbericht 2025 über den Binnenmarkt und die Wettbewerbsfähigkeit (COM(2025)0026).</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91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Christophe Gomart</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Ga.</w:t>
            </w:r>
            <w:r w:rsidRPr="004E16CD">
              <w:tab/>
            </w:r>
            <w:r w:rsidRPr="004E16CD">
              <w:rPr>
                <w:b/>
                <w:i/>
              </w:rPr>
              <w:t>in der Erwägung, dass laut einer Umfrage der Kommission vom 19. Juli 2023 nur 18 % der Europäer über ein umfangreiches Finanzwissen verfügen;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{FR}</w:t>
      </w:r>
      <w:r w:rsidRPr="004E16CD">
        <w:t>fr</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92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Ga.</w:t>
            </w:r>
            <w:r w:rsidRPr="004E16CD">
              <w:tab/>
            </w:r>
            <w:r w:rsidRPr="004E16CD">
              <w:rPr>
                <w:b/>
                <w:i/>
              </w:rPr>
              <w:t>in der Erwägung, dass die Kommission im September 2015 ihren ersten Aktionsplan zur Schaffung einer Kapitalmarktunion veröffentlicht hat;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93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Thomas Bajada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Ga.</w:t>
            </w:r>
            <w:r w:rsidRPr="004E16CD">
              <w:tab/>
            </w:r>
            <w:r w:rsidRPr="004E16CD">
              <w:rPr>
                <w:b/>
                <w:i/>
              </w:rPr>
              <w:t>in der Erwägung, dass aus der Eurobarometer-Umfrage vom Juli 2023 hervorgeht, dass nur 18 % der Bürgerinnen und Bürger der EU über ein hohes Maß an Finanzwissen verfügen;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94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Gb.</w:t>
            </w:r>
            <w:r w:rsidRPr="004E16CD">
              <w:tab/>
            </w:r>
            <w:r w:rsidRPr="004E16CD">
              <w:rPr>
                <w:b/>
                <w:i/>
              </w:rPr>
              <w:t>in der Erwägung, dass die anhaltenden Handelskriege und Zollstreitigkeiten zu erheblicher Unsicherheit auf den Weltmärkten führen und insbesondere grenzüberschreitende Investitionen beeinträchtigen und etablierte Lieferketten stören; in der Erwägung, dass die Einführung von Zöllen und Handelshemmnissen die Grundsätze des freien Handels und der wettbewerbsorientierten Märkte untergräbt, die für das reibungslose Funktionieren der privaten Kapitalmärkte von wesentlicher Bedeutung sind; in der Erwägung, dass solche geopolitischen Spannungen zusätzliche Risiken für Investoren mit sich bringen, das Vertrauen verringern und den grenzüberschreitenden Fluss von privatem Kapital behindern, was für die Finanzierung von Innovation, Start-up-Unternehmen und Wachstumsunternehmen von entscheidender Bedeutung ist; in der Erwägung, dass die durch diese Handelskonflikte verursachte Instabilität die Entwicklung der Kapitalmarktunion verlangsamen könnte, indem von Investitionen auf dem europäischen Markt abgehalten wird, insbesondere in Branchen mit hohem Risiko, die stark von globalen Handelsnetzen abhängig sind;</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95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Giovanni Crosetto, Denis Nesci, Francesco Ventola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Gb.</w:t>
            </w:r>
            <w:r w:rsidRPr="004E16CD">
              <w:tab/>
            </w:r>
            <w:r w:rsidRPr="004E16CD">
              <w:rPr>
                <w:b/>
                <w:i/>
              </w:rPr>
              <w:t>in der Erwägung, dass Versicherer bei der Verwirklichung der Ziele der Kapitalmarktunion eine grundlegende Rolle spielen, indem sie Bürgerinnen und Bürgern und Unternehmen Schutz vor Risiken bieten, Altersvorsorge unterstützen und als wichtige langfristige Anleger in der EU-Wirtschaft fungieren;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96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Michalis Hadjipantela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Gb.</w:t>
            </w:r>
            <w:r w:rsidRPr="004E16CD">
              <w:tab/>
            </w:r>
            <w:r w:rsidRPr="004E16CD">
              <w:rPr>
                <w:b/>
                <w:i/>
              </w:rPr>
              <w:t>in der Erwägung, dass eine Verringerung der finanziellen Zwänge die Entwicklung innovativer, junger und kleiner Unternehmen unterstützen würde</w:t>
            </w:r>
            <w:r w:rsidRPr="004E16CD">
              <w:rPr>
                <w:b/>
                <w:i/>
                <w:vertAlign w:val="superscript"/>
              </w:rPr>
              <w:t>1a</w:t>
            </w:r>
            <w:r w:rsidRPr="004E16CD">
              <w:rPr>
                <w:b/>
                <w:i/>
              </w:rPr>
              <w:t>; in der Erwägung, dass im Draghi-Bericht betont wird, dass übermäßige Risikoscheu das Wachstum behindert;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vertAlign w:val="superscript"/>
              </w:rPr>
              <w:t>1a</w:t>
            </w:r>
            <w:r w:rsidRPr="004E16CD">
              <w:t xml:space="preserve"> </w:t>
            </w:r>
            <w:r w:rsidRPr="004E16CD">
              <w:rPr>
                <w:b/>
                <w:i/>
              </w:rPr>
              <w:t>Europäische Zentralbank, „European competitiveness: the role of institutions and the case for structural reforms“ (Europäische Wettbewerbsfähigkeit: Die Rolle von Institutionen und Argumente für Strukturreformen), https://www.ecb.europa.eu/press/economic-bulletin/articles/2025/html/ecb.ebart202501_01~fd1781599d.en.html</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97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Eero Heinäluoma, Evelyn Regner, Niels Fuglsang, Claire Fita, Carla Tavares,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Gb.</w:t>
            </w:r>
            <w:r w:rsidRPr="004E16CD">
              <w:tab/>
            </w:r>
            <w:r w:rsidRPr="004E16CD">
              <w:rPr>
                <w:b/>
                <w:i/>
              </w:rPr>
              <w:t>in der Erwägung, dass die internen Hemmnisse für den Binnenmarkt einem Zoll von vom mehr als 100 % allein für Finanzdienstleistungen gleichkommen</w:t>
            </w:r>
            <w:r w:rsidRPr="004E16CD">
              <w:rPr>
                <w:b/>
                <w:i/>
                <w:vertAlign w:val="superscript"/>
              </w:rPr>
              <w:t>1a</w:t>
            </w:r>
            <w:r w:rsidRPr="004E16CD">
              <w:rPr>
                <w:b/>
                <w:i/>
              </w:rPr>
              <w: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vertAlign w:val="superscript"/>
              </w:rPr>
              <w:t>1a</w:t>
            </w:r>
            <w:r w:rsidRPr="004E16CD">
              <w:t xml:space="preserve"> </w:t>
            </w:r>
            <w:r w:rsidRPr="004E16CD">
              <w:rPr>
                <w:b/>
                <w:i/>
              </w:rPr>
              <w:t>IWF, Regional Economic Outlook, „Europe’s Declining Productivity Growth: Diagnoses and Remedies“ (Europas abnehmendes Produktivitätswachstum: Diagnosen und Abhilfemaßnahmen), S. 19.</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98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Evelyn Regner, Niels Fuglsang, Claire Fita, Carla Tavares,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c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Gc.</w:t>
            </w:r>
            <w:r w:rsidRPr="004E16CD">
              <w:tab/>
            </w:r>
            <w:r w:rsidRPr="004E16CD">
              <w:rPr>
                <w:b/>
                <w:i/>
              </w:rPr>
              <w:t>in der Erwägung, dass es im März 2023 in der EU 295 Handelsplätze, 14 zentrale Gegenparteien und 32 Zentralverwahrer gab; in der Erwägung, dass im Jahr 2023 56-68 % des Handels an Handelsplätzen für die fünf wichtigsten westeuropäischen Aktienindizes (AEX 25, CAC 40, DAX 40, IBEX 35 und MIB 40) an der inländischen Börse stattfand</w:t>
            </w:r>
            <w:r w:rsidRPr="004E16CD">
              <w:rPr>
                <w:b/>
                <w:i/>
                <w:vertAlign w:val="superscript"/>
              </w:rPr>
              <w:t>1a</w:t>
            </w:r>
            <w:r w:rsidRPr="004E16CD">
              <w:rPr>
                <w:b/>
                <w:i/>
              </w:rPr>
              <w: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vertAlign w:val="superscript"/>
              </w:rPr>
              <w:t>1a</w:t>
            </w:r>
            <w:r w:rsidRPr="004E16CD">
              <w:t xml:space="preserve"> </w:t>
            </w:r>
            <w:r w:rsidRPr="004E16CD">
              <w:rPr>
                <w:b/>
                <w:i/>
              </w:rPr>
              <w:t>Occasional Paper der EZB Nr. 369.</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99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Giovanni Crosetto, Denis Nesci, Francesco Ventola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c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Gc.</w:t>
            </w:r>
            <w:r w:rsidRPr="004E16CD">
              <w:tab/>
            </w:r>
            <w:r w:rsidRPr="004E16CD">
              <w:rPr>
                <w:b/>
                <w:i/>
              </w:rPr>
              <w:t>in der Erwägung, dass die europäischen Kapitalmärkte stark fragmentiert sind und es auf dem gesamten Kontinent eine beträchtliche Zahl von Handelsplätzen gibt;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100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Giovanni Crosetto, Denis Nesci, Francesco Ventola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d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Gd.</w:t>
            </w:r>
            <w:r w:rsidRPr="004E16CD">
              <w:tab/>
            </w:r>
            <w:r w:rsidRPr="004E16CD">
              <w:rPr>
                <w:b/>
                <w:i/>
              </w:rPr>
              <w:t>in der Erwägung, dass ein erhebliches ungenutztes Potenzial von Beteiligungsfinanzierung besteht, wenn es darum geht, das Wachstum und die Innovation von EU-Unternehmen zu unterstützen; in der Erwägung, dass Banken derzeit weniger als 5 % der Private-Equity-Investitionen ausmachen, was zum Teil auf die aufsichtsrechtliche Behandlung von Kapitalbeteiligungen im Rahmen der Eigenkapitalverordnung und des Basel-III-Rahmens zurückzuführen ist;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101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Evelyn Regner, Niels Fuglsang, Claire Fita, Carla Tavares,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d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Gd.</w:t>
            </w:r>
            <w:r w:rsidRPr="004E16CD">
              <w:tab/>
            </w:r>
            <w:r w:rsidRPr="004E16CD">
              <w:rPr>
                <w:b/>
                <w:i/>
              </w:rPr>
              <w:t>in der Erwägung, dass die Steuer- und Insolvenzregelungen in den Mitgliedstaaten nach wie vor in wesentlichen Aspekten voneinander abweichen;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102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Giovanni Crosetto, Denis Nesci, Francesco Ventola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e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Ge.</w:t>
            </w:r>
            <w:r w:rsidRPr="004E16CD">
              <w:tab/>
            </w:r>
            <w:r w:rsidRPr="004E16CD">
              <w:rPr>
                <w:b/>
                <w:i/>
              </w:rPr>
              <w:t>in der Erwägung, dass Ersparnisse nur dann in der Union investiert werden, wenn die europäische Wirtschaft ausreichend attraktive und rentable Möglichkeiten bietet; in der Erwägung, dass der Erfolg der Spar- und Investitionsunion von einer erheblichen Verbesserung der Wettbewerbsfähigkeit und der allgemeinen wirtschaftlichen Attraktivität der Union abhängt;</w:t>
            </w:r>
          </w:p>
        </w:tc>
      </w:tr>
    </w:tbl>
    <w:p w:rsidR="004E16CD" w:rsidRPr="004E16CD" w:rsidRDefault="004E16CD" w:rsidP="004E16CD">
      <w:pPr>
        <w:pStyle w:val="AmOrLang"/>
        <w:rPr>
          <w:rFonts w:ascii="Arial" w:hAnsi="Arial" w:cs="Arial"/>
          <w:noProof/>
          <w:vanish/>
          <w:color w:val="000080"/>
          <w:sz w:val="20"/>
        </w:rPr>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103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Evelyn Regner, Niels Fuglsang, Claire Fita, Carla Tavares,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e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Ge.</w:t>
            </w:r>
            <w:r w:rsidRPr="004E16CD">
              <w:tab/>
            </w:r>
            <w:r w:rsidRPr="004E16CD">
              <w:rPr>
                <w:b/>
                <w:i/>
              </w:rPr>
              <w:t>in der Erwägung, dass die Bürgerinnen und Bürger der Union dem Draghi-Bericht zufolge in der Lage sein sollten, ohne komplizierte Besteuerung in anderen Mitgliedstaaten zu investieren, und die Besteuerung von Kapitalinvestitionen so weit wie möglich synchronisiert werden sollte, um im Hinblick auf Anreize die Fragmentierung zu verringern</w:t>
            </w:r>
            <w:r w:rsidRPr="004E16CD">
              <w:rPr>
                <w:b/>
                <w:i/>
                <w:vertAlign w:val="superscript"/>
              </w:rPr>
              <w:t>1a</w:t>
            </w:r>
            <w:r w:rsidRPr="004E16CD">
              <w:rPr>
                <w:b/>
                <w:i/>
              </w:rPr>
              <w: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vertAlign w:val="superscript"/>
              </w:rPr>
              <w:t>1a</w:t>
            </w:r>
            <w:r w:rsidRPr="004E16CD">
              <w:rPr>
                <w:b/>
                <w:i/>
              </w:rPr>
              <w:t xml:space="preserve"> Mario Draghi, „The Future of European Competitiveness, Part B – In-depth analysis and recommendations“ (Die Zukunft der europäischen Wettbewerbsfähigkeit, Teil B – Eingehende Analyse und Empfehlungen), September 2024, S. 293.</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104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Evelyn Regner, Niels Fuglsang, Claire Fita, Carla Tavares,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f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Gf.</w:t>
            </w:r>
            <w:r w:rsidRPr="004E16CD">
              <w:tab/>
            </w:r>
            <w:r w:rsidRPr="004E16CD">
              <w:rPr>
                <w:b/>
                <w:i/>
              </w:rPr>
              <w:t>in der Erwägung, dass die Steuerfragmentierung dem Letta-Bericht zufolge nach wie vor ein großes Hindernis für Unternehmen und insbesondere KMU in der EU darstellt und dass eine bessere Angleichung durch einen harmonisierten EU-Steuerrahmen von entscheidender Bedeutung ist, um die Arbeitnehmerfreizügigkeit und den freien Verkehr von Waren und Dienstleistungen zu erleichtern sowie Wachstum und private Investitionen zu unterstützen</w:t>
            </w:r>
            <w:r w:rsidRPr="004E16CD">
              <w:rPr>
                <w:b/>
                <w:i/>
                <w:vertAlign w:val="superscript"/>
              </w:rPr>
              <w:t>1a</w:t>
            </w:r>
            <w:r w:rsidRPr="004E16CD">
              <w:rPr>
                <w:b/>
                <w:i/>
              </w:rPr>
              <w: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vertAlign w:val="superscript"/>
              </w:rPr>
              <w:t>3f</w:t>
            </w:r>
            <w:r w:rsidRPr="004E16CD">
              <w:t xml:space="preserve"> </w:t>
            </w:r>
            <w:r w:rsidRPr="004E16CD">
              <w:rPr>
                <w:b/>
                <w:i/>
              </w:rPr>
              <w:t>Enrico Letta, „Much More than a Market – Empowering the Single Market to deliver a sustainable future and prosperity for all EU Citizens“ („Weit mehr als ein Markt – Stärkung des Binnenmarkts für eine nachhaltige Zukunft und Wohlstand für alle Bürgerinnen und Bürger der EU“), April 2024, S. 91 und 111.</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105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Giovanni Crosetto, Denis Nesci, Francesco Ventola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f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Gf.</w:t>
            </w:r>
            <w:r w:rsidRPr="004E16CD">
              <w:tab/>
            </w:r>
            <w:r w:rsidRPr="004E16CD">
              <w:rPr>
                <w:b/>
                <w:i/>
              </w:rPr>
              <w:t>in der Erwägung, dass der Austritt des Vereinigten Königreichs aus der Europäischen Union dazu geführt hat, dass die Union einen erheblichen Teil ihres Kapitalmarkts Union verloren hat, während gleichzeitig ein Konkurrent in der Nähe mit einer gut entwickelten Finanzinfrastruktur und tiefen Liquiditätspools entstanden ist;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106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Giovanni Crosetto, Denis Nesci, Francesco Ventola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g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Gg.</w:t>
            </w:r>
            <w:r w:rsidRPr="004E16CD">
              <w:tab/>
            </w:r>
            <w:r w:rsidRPr="004E16CD">
              <w:rPr>
                <w:b/>
                <w:i/>
              </w:rPr>
              <w:t>in der Erwägung, dass die Integration der Kapitalmärkte zwar notwendig ist, für sich allein aber nicht ausreicht, um die angestrebte Erhöhung der Investitionen zu erreichen; in der Erwägung, dass die Verbesserung der Effizienz der Kapitalmärkte durch geeignete steuerliche Anreize und gezielte öffentliche Investitionen ergänzt werden sollte;</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107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Evelyn Regner, Niels Fuglsang, Claire Fita, Carla Tavares, Thomas Bajada,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g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Gg.</w:t>
            </w:r>
            <w:r w:rsidRPr="004E16CD">
              <w:tab/>
            </w:r>
            <w:r w:rsidRPr="004E16CD">
              <w:rPr>
                <w:b/>
                <w:i/>
              </w:rPr>
              <w:t>in der Erwägung, dass der Mangel an Ausstiegsmöglichkeiten für Investoren ein Schlüsselfaktor für die Unterentwicklung von Risikokapital- und Wachstumskapitalfonds in der EU ist, und in der Erwägung, dass die EU übermäßig auf die Finanzierung durch Banken angewiesen ist</w:t>
            </w:r>
            <w:r w:rsidRPr="004E16CD">
              <w:rPr>
                <w:b/>
                <w:i/>
                <w:vertAlign w:val="superscript"/>
              </w:rPr>
              <w:t>1a</w:t>
            </w:r>
            <w:r w:rsidRPr="004E16CD">
              <w:rPr>
                <w:b/>
                <w:i/>
              </w:rPr>
              <w: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vertAlign w:val="superscript"/>
              </w:rPr>
              <w:t>1a</w:t>
            </w:r>
            <w:r w:rsidRPr="004E16CD">
              <w:t xml:space="preserve"> </w:t>
            </w:r>
            <w:r w:rsidRPr="004E16CD">
              <w:rPr>
                <w:b/>
                <w:i/>
              </w:rPr>
              <w:t>Bankkredite machten 50,43 % der Finanzierung nichtfinanzieller Kapitalgesellschaften aus (ESTAT, EZB, der GD FISMA 2023), Mitteilung über die Europäische Spar- und Investitionsunion, Aufforderung zur Stellungnahme.</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108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Eero Heinäluoma, Evelyn Regner, Niels Fuglsang, Claire Fita, Carla Tavares,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h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Gh.</w:t>
            </w:r>
            <w:r w:rsidRPr="004E16CD">
              <w:tab/>
            </w:r>
            <w:r w:rsidRPr="004E16CD">
              <w:rPr>
                <w:b/>
                <w:i/>
              </w:rPr>
              <w:t>in der Erwägung, dass 84 %</w:t>
            </w:r>
            <w:r w:rsidRPr="004E16CD">
              <w:rPr>
                <w:b/>
                <w:i/>
                <w:vertAlign w:val="superscript"/>
              </w:rPr>
              <w:t>1a</w:t>
            </w:r>
            <w:r w:rsidRPr="004E16CD">
              <w:rPr>
                <w:b/>
                <w:i/>
              </w:rPr>
              <w:t xml:space="preserve"> der gesamten europäischen Verbriefungen von Banken behalten und nicht an Anleger verkauft wurden; in der Erwägung, dass sich 80 % der Verbriefungsemissionen auf vier Mitgliedstaaten konzentrieren; in der Erwägung, dass der Markt für Verbriefungsemissionen unter den Marktteilnehmern sehr konzentriert ist</w:t>
            </w:r>
            <w:r w:rsidRPr="004E16CD">
              <w:rPr>
                <w:b/>
                <w:i/>
                <w:vertAlign w:val="superscript"/>
              </w:rPr>
              <w:t>1b</w:t>
            </w:r>
            <w:r w:rsidRPr="004E16CD">
              <w:rPr>
                <w:b/>
                <w:i/>
              </w:rPr>
              <w: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rPr>
              <w:t>1a „Monitoring systemic risks in the EU securitisation market“ (Überwachung systemischer Risiken auf dem EU-Verbriefungsmarkt), Europäischer Ausschuss für Systemrisiken, Juli 2022.</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rPr>
              <w:t>1b Nach Angaben des Europäischen Ausschusses für Systemrisiken (ESRB), „Monitoring Systemic Risks in the EU Securitisation Market“ (Juli 2022), entfielen im größten Segment des EU-Marktes, durch private Wohnimmobilien besicherte Wertpapiere, zwei Drittel der Gesamtemissionen auf zehn Banken.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109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Evelyn Regner, Niels Fuglsang, Claire Fita, Carla Tavares,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i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Gi.</w:t>
            </w:r>
            <w:r w:rsidRPr="004E16CD">
              <w:tab/>
            </w:r>
            <w:r w:rsidRPr="004E16CD">
              <w:rPr>
                <w:b/>
                <w:i/>
              </w:rPr>
              <w:t>in der Erwägung, dass die Aufbau- und Resilienzfazilität (ARF) zu einem kumulativen Anstieg des BIP der Europäischen Union um 0,4 bis 0,9 Prozentpunkte bis 2026 und in den besonderen Fällen Italiens und Spaniens um 1,2 bis 1,9 Prozentpunkte beitragen könnte</w:t>
            </w:r>
            <w:r w:rsidRPr="004E16CD">
              <w:rPr>
                <w:b/>
                <w:i/>
                <w:vertAlign w:val="superscript"/>
              </w:rPr>
              <w:t>1a</w:t>
            </w:r>
            <w:r w:rsidRPr="004E16CD">
              <w:rPr>
                <w:b/>
                <w:i/>
              </w:rPr>
              <w: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vertAlign w:val="superscript"/>
              </w:rPr>
              <w:t>1a</w:t>
            </w:r>
            <w:r w:rsidRPr="004E16CD">
              <w:t xml:space="preserve"> </w:t>
            </w:r>
            <w:r w:rsidRPr="004E16CD">
              <w:rPr>
                <w:b/>
                <w:i/>
              </w:rPr>
              <w:t>Occasional Paper der EZB Nr. 362.</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110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Evelyn Regner, Niels Fuglsang, Claire Fita, Carla Tavares, Thomas Bajada,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j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Gj.</w:t>
            </w:r>
            <w:r w:rsidRPr="004E16CD">
              <w:tab/>
            </w:r>
            <w:r w:rsidRPr="004E16CD">
              <w:rPr>
                <w:b/>
                <w:i/>
              </w:rPr>
              <w:t>in der Erwägung, dass im Rahmen der Aufbau- und Resilienzfazilität (ARF) derzeit keine Zahlungen nach Dezember 2026 geleistet werden können;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111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Evelyn Regner, Niels Fuglsang, Claire Fita, Carla Tavares,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k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Gk.</w:t>
            </w:r>
            <w:r w:rsidRPr="004E16CD">
              <w:tab/>
            </w:r>
            <w:r w:rsidRPr="004E16CD">
              <w:rPr>
                <w:b/>
                <w:i/>
              </w:rPr>
              <w:t>in der Erwägung, dass das derzeit größte Risikoteilungsinstrument der Union das Programm „InvestEU“ ist; in der Erwägung, dass sich die meisten Durchführungspartner nach wie vor hauptsächlich auf das Segment der risikoärmeren Investitionen konzentrieren;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112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Eero Heinäluoma, Evelyn Regner, Niels Fuglsang, Claire Fita, Carla Tavares,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Erwägung G l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Gl.</w:t>
            </w:r>
            <w:r w:rsidRPr="004E16CD">
              <w:tab/>
            </w:r>
            <w:r w:rsidRPr="004E16CD">
              <w:rPr>
                <w:b/>
                <w:i/>
              </w:rPr>
              <w:t>in der Erwägung, dass aufgrund politischer Widerstände und divergierender nationaler Interessen kein Konsens über die Verwirklichung einer Kapitalmarktunion erzielt werden konnte;</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113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Zwischenüberschrift 1</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 xml:space="preserve">Entwicklung einer gemeinsamen Vision für die Produktivität Europas und die Notwendigkeit </w:t>
            </w:r>
            <w:r w:rsidRPr="004E16CD">
              <w:rPr>
                <w:b/>
                <w:i/>
              </w:rPr>
              <w:t>nachhaltigen Wachstums</w:t>
            </w:r>
          </w:p>
        </w:tc>
        <w:tc>
          <w:tcPr>
            <w:tcW w:w="4876" w:type="dxa"/>
            <w:tcBorders>
              <w:top w:val="nil"/>
              <w:left w:val="nil"/>
              <w:bottom w:val="nil"/>
              <w:right w:val="nil"/>
            </w:tcBorders>
          </w:tcPr>
          <w:p w:rsidR="004E16CD" w:rsidRPr="004E16CD" w:rsidRDefault="004E16CD" w:rsidP="00241723">
            <w:pPr>
              <w:pStyle w:val="Normal6a"/>
            </w:pPr>
            <w:r w:rsidRPr="004E16CD">
              <w:t xml:space="preserve">Entwicklung einer gemeinsamen Vision für die Produktivität Europas und die Notwendigkeit </w:t>
            </w:r>
            <w:r w:rsidRPr="004E16CD">
              <w:rPr>
                <w:b/>
                <w:i/>
              </w:rPr>
              <w:t>von Wachstum</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114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Lefteris Nikolaou-Alavanos, Kostas Papadakis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-1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-1.</w:t>
            </w:r>
            <w:r w:rsidRPr="004E16CD">
              <w:tab/>
            </w:r>
            <w:r w:rsidRPr="004E16CD">
              <w:rPr>
                <w:b/>
                <w:i/>
              </w:rPr>
              <w:t>Mit dem „Draghi-Bericht“ über die „Wettbewerbsfähigkeit der EU-Unternehmen“ soll die kapitalistische Wirtschaft der EU in einer Zeit neu ausgerichtet werden, in der sich der geopolitische Wettbewerb der EU angesichts des Machtkampfs zwischen China und den USA, aber auch ihrer Beziehungen zu den USA und Russland verschärft, während die ersten Anzeichen einer neuerlichen Wirtschaftskrise sichtbar werden. Sein Ziel besteht darin, akkumulierte Mittel zu mobilisieren, die im Rahmen des europäischen Grünen Deals und des Aufbau- und Resilienzfonds nicht investiert wurden, zusätzliche Anreize im Umfang von Milliarden von Euro für Konzerne zu schaffen und sich sogar an den Einlagen des gemeinen Volkes, den Rentenkassen und den hart verdienten Früchten lebenslanger Arbeit der Arbeiterfamilien zu bedienen. Der Bericht zeichnet sich durch die darin ausgesprochene Unterstützung für den Übergang der EU zur „Kriegswirtschaft“ aus, der mit dem Plan „ReArm Europe“, der Strategie für eine „krisenfeste Union“ und „ProtectEU“ bereits Gestalt annimmt, und markiert die zunehmende Beteiligung der EU am imperialistischen Krieg in der Ukraine gegen das kapitalistische Russland im Rahmen der euro-atlantischen Planung, aber auch unabhängig davon, wobei die Bodenschätze der Ukraine, die Energieübertragungsnetze usw. die „Beute“ darstellen. Zudem geht es darin um die Unterstützung der EU für den Besatzungsstaat Israel, der Völkermord am palästinensischen Volk begeht. Im Namen der Wettbewerbsfähigkeit werden im „Draghi-Bericht“ das Einfrieren von Löhnen und Renten, drastische Kürzungen in den Bereichen Bildung, Gesundheit, Wohlfahrt und Katastrophenschutz sowie deren Kommerzialisierung in der Absicht gefördert, die Rentabilität der Konzerne zu subventionieren. Ebenso wird die weitere Zerschlagung der Rechte auf gewerkschaftliche Organisation und Betätigung sowie auf Streiks vorangetrieben, wobei ein Klima geschürt wird, das von „drohendem Krieg“ und „außergewöhnlichen Umständen“ geprägt ist. Dem „Draghi-Bericht“ zufolge werden die für die Kriegswirtschaft bestimmten 800 Mrd. EUR von der arbeitenden Bevölkerung der EU, d. h. den ärmeren Bevölkerungsschichten, sehr teuer bezahlt, um die Rentabilität und die Interessen großer Unternehmen zu sichern, und zwar zu einer Zeit, in der die „erwerbstätigen Armen“ mehr als ein Drittel der EU-Bevölkerung ausmachen und vier von zehn ständig oder regelmäßig nicht in der Lage sind, ihre laufenden Kosten zu decken.</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Aus diesen Gründen werden der „Draghi-Bericht“ und die volksfeindliche Planung der EU, mit der Wirtschaftskonzerne auf Kosten der Rechte und Bedürfnisse des werktätigen Volkes gestärkt werden sollen, abgelehnt.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{EL}</w:t>
      </w:r>
      <w:r w:rsidRPr="004E16CD">
        <w:t>el</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115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Rasmus Andresen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-1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-1.</w:t>
            </w:r>
            <w:r w:rsidRPr="004E16CD">
              <w:tab/>
            </w:r>
            <w:r w:rsidRPr="004E16CD">
              <w:rPr>
                <w:b/>
                <w:i/>
              </w:rPr>
              <w:t>ist besorgt über die anhaltenden geopolitischen Unsicherheiten und ihre Auswirkungen auf makroökonomische Indikatoren und ihre sozialen Folgen; stellt fest, dass diese Unsicherheiten bereits zu einer erheblichen Zunahme der Volatilität an den Finanzmärkten und zur Schwächung des US-Dollars geführt haben; ist der Ansicht, dass jetzt der ideale Zeitpunkt ist, um die Integration der europäischen Kapitalmärkte zu beschleunigen, da ein stärker integrierter Kapitalmarkt größere Investitionsströme fördern, die Finanzstabilität verbessern und den Euro als bedeutendere globale Währung positionieren kann, wodurch die wirtschaftliche Souveränität und Widerstandsfähigkeit Europas gestärkt werden; betont, dass Rechtsstaatlichkeit, rechtliche Stabilität und Vorhersehbarkeit für internationale Investoren von entscheidender Bedeutung sind; fordert die Kommission nachdrücklich auf, davon abzusehen, vor Kurzem angenommene Rechtsvorschriften wesentlich zu ändern; betont, dass die Emission gemeinsamer EU-Schulden zur Attraktivität der EU-Finanzmärkte beitragen würde, indem internationalen Anlegern sichere und liquide Vermögenswerte zur Verfügung gestellt würden; betont, dass ein digitaler Euro durch die Bereitstellung eines gesicherten, kostenlosen und leicht zugänglichen Zahlungsmittels erheblich zur Währungssouveränität beitragen und die internationale Rolle des Euro stärken würde;</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pPr>
        <w:pStyle w:val="AmOrLang"/>
      </w:pP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116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1</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1.</w:t>
            </w:r>
            <w:r w:rsidRPr="004E16CD">
              <w:tab/>
              <w:t>fordert eine allgemeine Mobilisierung aller Finanzmittel und verfügbaren Instrumente</w:t>
            </w:r>
            <w:r w:rsidRPr="004E16CD">
              <w:rPr>
                <w:b/>
                <w:i/>
              </w:rPr>
              <w:t>, um in einem Umfeld geopolitischer Instabilität und internationaler Spannungen</w:t>
            </w:r>
            <w:r w:rsidRPr="004E16CD">
              <w:t xml:space="preserve"> die Sicherheit und die industrielle und technologische Souveränität der EU zu stärken, den </w:t>
            </w:r>
            <w:r w:rsidRPr="004E16CD">
              <w:rPr>
                <w:b/>
                <w:i/>
              </w:rPr>
              <w:t>grünen Wandel</w:t>
            </w:r>
            <w:r w:rsidRPr="004E16CD">
              <w:t xml:space="preserve"> zu </w:t>
            </w:r>
            <w:r w:rsidRPr="004E16CD">
              <w:rPr>
                <w:b/>
                <w:i/>
              </w:rPr>
              <w:t>unterstützen</w:t>
            </w:r>
            <w:r w:rsidRPr="004E16CD">
              <w:t xml:space="preserve">, hochwertige Arbeitsplätze </w:t>
            </w:r>
            <w:r w:rsidRPr="004E16CD">
              <w:rPr>
                <w:b/>
                <w:i/>
              </w:rPr>
              <w:t>zu schaffen</w:t>
            </w:r>
            <w:r w:rsidRPr="004E16CD">
              <w:t xml:space="preserve"> und zur </w:t>
            </w:r>
            <w:r w:rsidRPr="004E16CD">
              <w:rPr>
                <w:b/>
                <w:i/>
              </w:rPr>
              <w:t>sozialen Aufwärtskonvergenz beizutragen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1.</w:t>
            </w:r>
            <w:r w:rsidRPr="004E16CD">
              <w:tab/>
              <w:t xml:space="preserve">fordert eine </w:t>
            </w:r>
            <w:r w:rsidRPr="004E16CD">
              <w:rPr>
                <w:b/>
                <w:i/>
              </w:rPr>
              <w:t xml:space="preserve">Liberalisierung des Marktes, die eine </w:t>
            </w:r>
            <w:r w:rsidRPr="004E16CD">
              <w:t>allgemeine Mobilisierung aller Finanzmittel und verfügbaren Instrumente</w:t>
            </w:r>
            <w:r w:rsidRPr="004E16CD">
              <w:rPr>
                <w:b/>
                <w:i/>
              </w:rPr>
              <w:t xml:space="preserve"> fördert, die effizient eingesetzt werden, um</w:t>
            </w:r>
            <w:r w:rsidRPr="004E16CD">
              <w:t xml:space="preserve"> die Sicherheit und die industrielle und technologische Souveränität der EU zu stärken, </w:t>
            </w:r>
            <w:r w:rsidRPr="004E16CD">
              <w:rPr>
                <w:b/>
                <w:i/>
              </w:rPr>
              <w:t xml:space="preserve">und zwar durch private Investitionen, Marktöffnung und </w:t>
            </w:r>
            <w:r w:rsidRPr="004E16CD">
              <w:t xml:space="preserve">den </w:t>
            </w:r>
            <w:r w:rsidRPr="004E16CD">
              <w:rPr>
                <w:b/>
                <w:i/>
              </w:rPr>
              <w:t>Abbau von Hemmnissen, wodurch die starke Abhängigkeit von Subventionen beseitigt wird; weist darauf hin, dass eine Marktliberalisierung in einem Umfeld geopolitischer Instabilität und internationaler Spannungen, in dem Überregulierung Investitionen und die Schaffung von Wohlstand hemmt,</w:t>
            </w:r>
            <w:r w:rsidRPr="004E16CD">
              <w:t xml:space="preserve"> </w:t>
            </w:r>
            <w:r w:rsidRPr="004E16CD">
              <w:rPr>
                <w:b/>
                <w:i/>
              </w:rPr>
              <w:t>Anziehen von Investitionen führt und die Gründung und das Wachstum von Unternehmen fördert</w:t>
            </w:r>
            <w:r w:rsidRPr="004E16CD">
              <w:t xml:space="preserve">, </w:t>
            </w:r>
            <w:r w:rsidRPr="004E16CD">
              <w:rPr>
                <w:b/>
                <w:i/>
              </w:rPr>
              <w:t xml:space="preserve">was auch </w:t>
            </w:r>
            <w:r w:rsidRPr="004E16CD">
              <w:t xml:space="preserve">hochwertige Arbeitsplätze </w:t>
            </w:r>
            <w:r w:rsidRPr="004E16CD">
              <w:rPr>
                <w:b/>
                <w:i/>
              </w:rPr>
              <w:t>schafft</w:t>
            </w:r>
            <w:r w:rsidRPr="004E16CD">
              <w:t xml:space="preserve"> und zur </w:t>
            </w:r>
            <w:r w:rsidRPr="004E16CD">
              <w:rPr>
                <w:b/>
                <w:i/>
              </w:rPr>
              <w:t>Verbesserung der Lebensqualität der Bürgerinnen und Bürger beiträgt</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117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Regina Doherty</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1</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1.</w:t>
            </w:r>
            <w:r w:rsidRPr="004E16CD">
              <w:tab/>
              <w:t xml:space="preserve">fordert eine allgemeine Mobilisierung </w:t>
            </w:r>
            <w:r w:rsidRPr="004E16CD">
              <w:rPr>
                <w:b/>
                <w:i/>
              </w:rPr>
              <w:t>aller Finanzmittel</w:t>
            </w:r>
            <w:r w:rsidRPr="004E16CD">
              <w:t xml:space="preserve"> und </w:t>
            </w:r>
            <w:r w:rsidRPr="004E16CD">
              <w:rPr>
                <w:b/>
                <w:i/>
              </w:rPr>
              <w:t>verfügbaren Instrumente</w:t>
            </w:r>
            <w:r w:rsidRPr="004E16CD">
              <w:t xml:space="preserve">, um in </w:t>
            </w:r>
            <w:r w:rsidRPr="004E16CD">
              <w:rPr>
                <w:b/>
                <w:i/>
              </w:rPr>
              <w:t>einem Umfeld geopolitischer Instabilität und internationaler Spannungen</w:t>
            </w:r>
            <w:r w:rsidRPr="004E16CD">
              <w:t xml:space="preserve"> die </w:t>
            </w:r>
            <w:r w:rsidRPr="004E16CD">
              <w:rPr>
                <w:b/>
                <w:i/>
              </w:rPr>
              <w:t>Sicherheit und die industrielle</w:t>
            </w:r>
            <w:r w:rsidRPr="004E16CD">
              <w:t xml:space="preserve"> und </w:t>
            </w:r>
            <w:r w:rsidRPr="004E16CD">
              <w:rPr>
                <w:b/>
                <w:i/>
              </w:rPr>
              <w:t>technologische Souveränität der EU zu stärken</w:t>
            </w:r>
            <w:r w:rsidRPr="004E16CD">
              <w:t xml:space="preserve">, </w:t>
            </w:r>
            <w:r w:rsidRPr="004E16CD">
              <w:rPr>
                <w:b/>
                <w:i/>
              </w:rPr>
              <w:t>den grünen Wandel zu unterstützen</w:t>
            </w:r>
            <w:r w:rsidRPr="004E16CD">
              <w:t xml:space="preserve">, hochwertige Arbeitsplätze </w:t>
            </w:r>
            <w:r w:rsidRPr="004E16CD">
              <w:rPr>
                <w:b/>
                <w:i/>
              </w:rPr>
              <w:t>zu schaffen</w:t>
            </w:r>
            <w:r w:rsidRPr="004E16CD">
              <w:t xml:space="preserve"> und </w:t>
            </w:r>
            <w:r w:rsidRPr="004E16CD">
              <w:rPr>
                <w:b/>
                <w:i/>
              </w:rPr>
              <w:t>zur sozialen Aufwärtskonvergenz beizutragen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1.</w:t>
            </w:r>
            <w:r w:rsidRPr="004E16CD">
              <w:tab/>
              <w:t xml:space="preserve">fordert eine allgemeine Mobilisierung </w:t>
            </w:r>
            <w:r w:rsidRPr="004E16CD">
              <w:rPr>
                <w:b/>
                <w:i/>
              </w:rPr>
              <w:t>rechtlicher, administrativer</w:t>
            </w:r>
            <w:r w:rsidRPr="004E16CD">
              <w:t xml:space="preserve"> und </w:t>
            </w:r>
            <w:r w:rsidRPr="004E16CD">
              <w:rPr>
                <w:b/>
                <w:i/>
              </w:rPr>
              <w:t>finanzieller Ressourcen</w:t>
            </w:r>
            <w:r w:rsidRPr="004E16CD">
              <w:t xml:space="preserve">, um </w:t>
            </w:r>
            <w:r w:rsidRPr="004E16CD">
              <w:rPr>
                <w:b/>
                <w:i/>
              </w:rPr>
              <w:t xml:space="preserve">eine starke Kapitalmarktunion </w:t>
            </w:r>
            <w:r w:rsidRPr="004E16CD">
              <w:t xml:space="preserve">in </w:t>
            </w:r>
            <w:r w:rsidRPr="004E16CD">
              <w:rPr>
                <w:b/>
                <w:i/>
              </w:rPr>
              <w:t>Europa zu schaffen, was private Investitionen ankurbeln,</w:t>
            </w:r>
            <w:r w:rsidRPr="004E16CD">
              <w:t xml:space="preserve"> die </w:t>
            </w:r>
            <w:r w:rsidRPr="004E16CD">
              <w:rPr>
                <w:b/>
                <w:i/>
              </w:rPr>
              <w:t>Investitionen von Kleinanlegern erhöhen, Sparer zu Anlegern machen, Sparen produktiver machen, den Lebensstandard in Europa verbessern, das Wirtschaftswachstum steigern</w:t>
            </w:r>
            <w:r w:rsidRPr="004E16CD">
              <w:t xml:space="preserve"> und </w:t>
            </w:r>
            <w:r w:rsidRPr="004E16CD">
              <w:rPr>
                <w:b/>
                <w:i/>
              </w:rPr>
              <w:t>mehr Kapital für Investitionen generieren wird</w:t>
            </w:r>
            <w:r w:rsidRPr="004E16CD">
              <w:t xml:space="preserve">, </w:t>
            </w:r>
            <w:r w:rsidRPr="004E16CD">
              <w:rPr>
                <w:b/>
                <w:i/>
              </w:rPr>
              <w:t>wodurch wiederum der grüne und der digitale Wandel unterstützt</w:t>
            </w:r>
            <w:r w:rsidRPr="004E16CD">
              <w:t xml:space="preserve">, hochwertige Arbeitsplätze </w:t>
            </w:r>
            <w:r w:rsidRPr="004E16CD">
              <w:rPr>
                <w:b/>
                <w:i/>
              </w:rPr>
              <w:t>geschaffen und wirtschaftliche Chancen und soziale Mobilität in einem Umfeld geopolitischer Instabilität</w:t>
            </w:r>
            <w:r w:rsidRPr="004E16CD">
              <w:t xml:space="preserve"> und </w:t>
            </w:r>
            <w:r w:rsidRPr="004E16CD">
              <w:rPr>
                <w:b/>
                <w:i/>
              </w:rPr>
              <w:t>internationaler Spannungen verbessert werden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118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Fernando Navarrete Rojas, 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1</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1.</w:t>
            </w:r>
            <w:r w:rsidRPr="004E16CD">
              <w:tab/>
              <w:t xml:space="preserve">fordert eine allgemeine Mobilisierung aller Finanzmittel und verfügbaren Instrumente, um </w:t>
            </w:r>
            <w:r w:rsidRPr="004E16CD">
              <w:rPr>
                <w:b/>
                <w:i/>
              </w:rPr>
              <w:t>in einem Umfeld geopolitischer Instabilität und internationaler Spannungen die Sicherheit und die industrielle</w:t>
            </w:r>
            <w:r w:rsidRPr="004E16CD">
              <w:t xml:space="preserve"> und </w:t>
            </w:r>
            <w:r w:rsidRPr="004E16CD">
              <w:rPr>
                <w:b/>
                <w:i/>
              </w:rPr>
              <w:t>technologische Souveränität der EU zu stärken</w:t>
            </w:r>
            <w:r w:rsidRPr="004E16CD">
              <w:t xml:space="preserve">, </w:t>
            </w:r>
            <w:r w:rsidRPr="004E16CD">
              <w:rPr>
                <w:b/>
                <w:i/>
              </w:rPr>
              <w:t>den grünen Wandel</w:t>
            </w:r>
            <w:r w:rsidRPr="004E16CD">
              <w:t xml:space="preserve"> zu </w:t>
            </w:r>
            <w:r w:rsidRPr="004E16CD">
              <w:rPr>
                <w:b/>
                <w:i/>
              </w:rPr>
              <w:t>unterstützen</w:t>
            </w:r>
            <w:r w:rsidRPr="004E16CD">
              <w:t xml:space="preserve">, </w:t>
            </w:r>
            <w:r w:rsidRPr="004E16CD">
              <w:rPr>
                <w:b/>
                <w:i/>
              </w:rPr>
              <w:t>hochwertige Arbeitsplätze zu schaffen</w:t>
            </w:r>
            <w:r w:rsidRPr="004E16CD">
              <w:t xml:space="preserve"> und </w:t>
            </w:r>
            <w:r w:rsidRPr="004E16CD">
              <w:rPr>
                <w:b/>
                <w:i/>
              </w:rPr>
              <w:t>zur sozialen Aufwärtskonvergenz beizutragen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1.</w:t>
            </w:r>
            <w:r w:rsidRPr="004E16CD">
              <w:tab/>
              <w:t xml:space="preserve">fordert eine allgemeine Mobilisierung aller Finanzmittel und verfügbaren Instrumente, um </w:t>
            </w:r>
            <w:r w:rsidRPr="004E16CD">
              <w:rPr>
                <w:b/>
                <w:i/>
              </w:rPr>
              <w:t>die Wettbewerbsfähigkeit und die offene strategische Autonomie der EU durch eine verbesserte</w:t>
            </w:r>
            <w:r w:rsidRPr="004E16CD">
              <w:t xml:space="preserve"> und </w:t>
            </w:r>
            <w:r w:rsidRPr="004E16CD">
              <w:rPr>
                <w:b/>
                <w:i/>
              </w:rPr>
              <w:t>horizontale Industriepolitik mit Schwerpunkt auf Innovation</w:t>
            </w:r>
            <w:r w:rsidRPr="004E16CD">
              <w:t xml:space="preserve">, </w:t>
            </w:r>
            <w:r w:rsidRPr="004E16CD">
              <w:rPr>
                <w:b/>
                <w:i/>
              </w:rPr>
              <w:t>kritischen Technologien und Verteidigungsfähigkeiten</w:t>
            </w:r>
            <w:r w:rsidRPr="004E16CD">
              <w:t xml:space="preserve"> zu </w:t>
            </w:r>
            <w:r w:rsidRPr="004E16CD">
              <w:rPr>
                <w:b/>
                <w:i/>
              </w:rPr>
              <w:t>stärken</w:t>
            </w:r>
            <w:r w:rsidRPr="004E16CD">
              <w:t xml:space="preserve">, </w:t>
            </w:r>
            <w:r w:rsidRPr="004E16CD">
              <w:rPr>
                <w:b/>
                <w:i/>
              </w:rPr>
              <w:t>damit EU-Unternehmen in einem Umfeld geopolitischer Instabilität</w:t>
            </w:r>
            <w:r w:rsidRPr="004E16CD">
              <w:t xml:space="preserve"> und </w:t>
            </w:r>
            <w:r w:rsidRPr="004E16CD">
              <w:rPr>
                <w:b/>
                <w:i/>
              </w:rPr>
              <w:t>internationaler Spannungen im globalen Wettbewerb bestehen können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119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Auke Zijlstra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1</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1.</w:t>
            </w:r>
            <w:r w:rsidRPr="004E16CD">
              <w:tab/>
              <w:t>fordert</w:t>
            </w:r>
            <w:r w:rsidRPr="004E16CD">
              <w:rPr>
                <w:b/>
                <w:i/>
              </w:rPr>
              <w:t xml:space="preserve"> eine allgemeine Mobilisierung aller Finanzmittel und verfügbaren Instrumente</w:t>
            </w:r>
            <w:r w:rsidRPr="004E16CD">
              <w:t>,</w:t>
            </w:r>
            <w:r w:rsidRPr="004E16CD">
              <w:rPr>
                <w:b/>
                <w:i/>
              </w:rPr>
              <w:t xml:space="preserve"> um</w:t>
            </w:r>
            <w:r w:rsidRPr="004E16CD">
              <w:t xml:space="preserve"> in einem Umfeld geopolitischer Instabilität und internationaler Spannungen die Sicherheit</w:t>
            </w:r>
            <w:r w:rsidRPr="004E16CD">
              <w:rPr>
                <w:b/>
                <w:i/>
              </w:rPr>
              <w:t xml:space="preserve"> und</w:t>
            </w:r>
            <w:r w:rsidRPr="004E16CD">
              <w:t xml:space="preserve"> die industrielle und technologische Souveränität der EU zu stärken, </w:t>
            </w:r>
            <w:r w:rsidRPr="004E16CD">
              <w:rPr>
                <w:b/>
                <w:i/>
              </w:rPr>
              <w:t>den grünen Wandel zu unterstützen,</w:t>
            </w:r>
            <w:r w:rsidRPr="004E16CD">
              <w:t xml:space="preserve"> hochwertige Arbeitsplätze </w:t>
            </w:r>
            <w:r w:rsidRPr="004E16CD">
              <w:rPr>
                <w:b/>
                <w:i/>
              </w:rPr>
              <w:t>zu schaffen</w:t>
            </w:r>
            <w:r w:rsidRPr="004E16CD">
              <w:t xml:space="preserve"> und zur sozialen Aufwärtskonvergenz </w:t>
            </w:r>
            <w:r w:rsidRPr="004E16CD">
              <w:rPr>
                <w:b/>
                <w:i/>
              </w:rPr>
              <w:t>beizutragen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1.</w:t>
            </w:r>
            <w:r w:rsidRPr="004E16CD">
              <w:tab/>
              <w:t>fordert, in einem Umfeld geopolitischer Instabilität und internationaler Spannungen die Sicherheit</w:t>
            </w:r>
            <w:r w:rsidRPr="004E16CD">
              <w:rPr>
                <w:b/>
                <w:i/>
              </w:rPr>
              <w:t>,</w:t>
            </w:r>
            <w:r w:rsidRPr="004E16CD">
              <w:t xml:space="preserve"> die industrielle und technologische Souveränität </w:t>
            </w:r>
            <w:r w:rsidRPr="004E16CD">
              <w:rPr>
                <w:b/>
                <w:i/>
              </w:rPr>
              <w:t xml:space="preserve">sowie die Wettbewerbsfähigkeit </w:t>
            </w:r>
            <w:r w:rsidRPr="004E16CD">
              <w:t xml:space="preserve">der EU zu stärken, </w:t>
            </w:r>
            <w:r w:rsidRPr="004E16CD">
              <w:rPr>
                <w:b/>
                <w:i/>
              </w:rPr>
              <w:t>wodurch</w:t>
            </w:r>
            <w:r w:rsidRPr="004E16CD">
              <w:t xml:space="preserve"> hochwertige Arbeitsplätze </w:t>
            </w:r>
            <w:r w:rsidRPr="004E16CD">
              <w:rPr>
                <w:b/>
                <w:i/>
              </w:rPr>
              <w:t>geschaffen werden</w:t>
            </w:r>
            <w:r w:rsidRPr="004E16CD">
              <w:t xml:space="preserve"> und zur sozialen Aufwärtskonvergenz </w:t>
            </w:r>
            <w:r w:rsidRPr="004E16CD">
              <w:rPr>
                <w:b/>
                <w:i/>
              </w:rPr>
              <w:t>beigetragen wird</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120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Pierre Pimpie</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1</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1.</w:t>
            </w:r>
            <w:r w:rsidRPr="004E16CD">
              <w:tab/>
              <w:t>fordert eine allgemeine Mobilisierung aller Finanzmittel und verfügbaren Instrumente, um in einem Umfeld geopolitischer Instabilität und internationaler Spannungen die Sicherheit und die industrielle und technologische Souveränität der EU zu stärken</w:t>
            </w:r>
            <w:r w:rsidRPr="004E16CD">
              <w:rPr>
                <w:b/>
                <w:i/>
              </w:rPr>
              <w:t>, den grünen Wandel zu unterstützen,</w:t>
            </w:r>
            <w:r w:rsidRPr="004E16CD">
              <w:t xml:space="preserve"> hochwertige Arbeitsplätze zu schaffen</w:t>
            </w:r>
            <w:r w:rsidRPr="004E16CD">
              <w:rPr>
                <w:b/>
                <w:i/>
              </w:rPr>
              <w:t xml:space="preserve"> und zur sozialen Aufwärtskonvergenz beizutragen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1.</w:t>
            </w:r>
            <w:r w:rsidRPr="004E16CD">
              <w:tab/>
              <w:t>fordert eine allgemeine Mobilisierung aller Finanzmittel und verfügbaren Instrumente, um in einem Umfeld geopolitischer Instabilität und internationaler Spannungen die Sicherheit und die industrielle und technologische Souveränität der EU zu stärken</w:t>
            </w:r>
            <w:r w:rsidRPr="004E16CD">
              <w:rPr>
                <w:b/>
                <w:i/>
              </w:rPr>
              <w:t xml:space="preserve"> und</w:t>
            </w:r>
            <w:r w:rsidRPr="004E16CD">
              <w:t xml:space="preserve"> hochwertige Arbeitsplätze zu schaffen;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121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Arba Kokalari</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1</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1.</w:t>
            </w:r>
            <w:r w:rsidRPr="004E16CD">
              <w:tab/>
              <w:t xml:space="preserve">fordert </w:t>
            </w:r>
            <w:r w:rsidRPr="004E16CD">
              <w:rPr>
                <w:b/>
                <w:i/>
              </w:rPr>
              <w:t>eine allgemeine Mobilisierung aller Finanzmittel</w:t>
            </w:r>
            <w:r w:rsidRPr="004E16CD">
              <w:t xml:space="preserve"> und </w:t>
            </w:r>
            <w:r w:rsidRPr="004E16CD">
              <w:rPr>
                <w:b/>
                <w:i/>
              </w:rPr>
              <w:t>verfügbaren Instrumente</w:t>
            </w:r>
            <w:r w:rsidRPr="004E16CD">
              <w:t>, um in einem Umfeld geopolitischer Instabilität und internationaler Spannungen die Sicherheit und die industrielle und technologische Souveränität der EU zu stärken, den grünen Wandel zu unterstützen, hochwertige Arbeitsplätze zu schaffen und zur sozialen Aufwärtskonvergenz beizutragen;</w:t>
            </w:r>
          </w:p>
        </w:tc>
        <w:tc>
          <w:tcPr>
            <w:tcW w:w="4876" w:type="dxa"/>
            <w:tcBorders>
              <w:top w:val="nil"/>
              <w:left w:val="nil"/>
              <w:bottom w:val="nil"/>
              <w:right w:val="nil"/>
            </w:tcBorders>
          </w:tcPr>
          <w:p w:rsidR="004E16CD" w:rsidRPr="004E16CD" w:rsidRDefault="004E16CD" w:rsidP="00241723">
            <w:pPr>
              <w:pStyle w:val="Normal6a"/>
            </w:pPr>
            <w:r w:rsidRPr="004E16CD">
              <w:t>1.</w:t>
            </w:r>
            <w:r w:rsidRPr="004E16CD">
              <w:tab/>
              <w:t xml:space="preserve">fordert </w:t>
            </w:r>
            <w:r w:rsidRPr="004E16CD">
              <w:rPr>
                <w:b/>
                <w:i/>
              </w:rPr>
              <w:t>die Schaffung einer Spar-</w:t>
            </w:r>
            <w:r w:rsidRPr="004E16CD">
              <w:t xml:space="preserve"> und </w:t>
            </w:r>
            <w:r w:rsidRPr="004E16CD">
              <w:rPr>
                <w:b/>
                <w:i/>
              </w:rPr>
              <w:t>Investitionsunion</w:t>
            </w:r>
            <w:r w:rsidRPr="004E16CD">
              <w:t>, um in einem Umfeld geopolitischer Instabilität und internationaler Spannungen die Sicherheit und die industrielle und technologische Souveränität der EU zu stärken, den grünen Wandel zu unterstützen</w:t>
            </w:r>
            <w:r w:rsidRPr="004E16CD">
              <w:rPr>
                <w:b/>
                <w:i/>
              </w:rPr>
              <w:t>, die Wettbewerbsfähigkeit zu stärken, das Wirtschaftswachstum anzukurbeln</w:t>
            </w:r>
            <w:r w:rsidRPr="004E16CD">
              <w:t>, hochwertige Arbeitsplätze zu schaffen und zur sozialen Aufwärtskonvergenz beizutragen;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122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1</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1.</w:t>
            </w:r>
            <w:r w:rsidRPr="004E16CD">
              <w:tab/>
              <w:t>fordert eine allgemeine Mobilisierung aller Finanzmittel und verfügbaren Instrumente, um in einem Umfeld geopolitischer Instabilität und internationaler Spannungen die Sicherheit und die industrielle und technologische Souveränität der EU zu stärken</w:t>
            </w:r>
            <w:r w:rsidRPr="004E16CD">
              <w:rPr>
                <w:b/>
                <w:i/>
              </w:rPr>
              <w:t>, den grünen Wandel zu unterstützen, hochwertige Arbeitsplätze zu schaffen</w:t>
            </w:r>
            <w:r w:rsidRPr="004E16CD">
              <w:t xml:space="preserve"> und </w:t>
            </w:r>
            <w:r w:rsidRPr="004E16CD">
              <w:rPr>
                <w:b/>
                <w:i/>
              </w:rPr>
              <w:t>zur sozialen Aufwärtskonvergenz beizutragen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1.</w:t>
            </w:r>
            <w:r w:rsidRPr="004E16CD">
              <w:tab/>
              <w:t xml:space="preserve">fordert eine allgemeine Mobilisierung aller Finanzmittel und verfügbaren Instrumente, um in einem Umfeld geopolitischer Instabilität und internationaler Spannungen die Sicherheit und die industrielle und technologische Souveränität der EU zu stärken und </w:t>
            </w:r>
            <w:r w:rsidRPr="004E16CD">
              <w:rPr>
                <w:b/>
                <w:i/>
              </w:rPr>
              <w:t>ihre Wettbewerbsfähigkeit zu verbessern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123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Rasmus Andresen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1</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1.</w:t>
            </w:r>
            <w:r w:rsidRPr="004E16CD">
              <w:tab/>
              <w:t xml:space="preserve">fordert eine allgemeine Mobilisierung aller Finanzmittel und verfügbaren Instrumente, um in einem Umfeld geopolitischer Instabilität und internationaler Spannungen die Sicherheit und die industrielle und technologische Souveränität der EU zu stärken, den grünen Wandel zu </w:t>
            </w:r>
            <w:r w:rsidRPr="004E16CD">
              <w:rPr>
                <w:b/>
                <w:i/>
              </w:rPr>
              <w:t>unterstützen</w:t>
            </w:r>
            <w:r w:rsidRPr="004E16CD">
              <w:t>, hochwertige Arbeitsplätze zu schaffen und zur sozialen Aufwärtskonvergenz beizutragen;</w:t>
            </w:r>
          </w:p>
        </w:tc>
        <w:tc>
          <w:tcPr>
            <w:tcW w:w="4876" w:type="dxa"/>
            <w:tcBorders>
              <w:top w:val="nil"/>
              <w:left w:val="nil"/>
              <w:bottom w:val="nil"/>
              <w:right w:val="nil"/>
            </w:tcBorders>
          </w:tcPr>
          <w:p w:rsidR="004E16CD" w:rsidRPr="004E16CD" w:rsidRDefault="004E16CD" w:rsidP="00241723">
            <w:pPr>
              <w:pStyle w:val="Normal6a"/>
            </w:pPr>
            <w:r w:rsidRPr="004E16CD">
              <w:t>1.</w:t>
            </w:r>
            <w:r w:rsidRPr="004E16CD">
              <w:tab/>
              <w:t xml:space="preserve">fordert eine allgemeine Mobilisierung aller Finanzmittel und verfügbaren Instrumente, um in einem Umfeld geopolitischer Instabilität und internationaler Spannungen die Sicherheit und die industrielle und technologische Souveränität der EU zu stärken, den grünen Wandel zu </w:t>
            </w:r>
            <w:r w:rsidRPr="004E16CD">
              <w:rPr>
                <w:b/>
                <w:i/>
              </w:rPr>
              <w:t>beschleunigen</w:t>
            </w:r>
            <w:r w:rsidRPr="004E16CD">
              <w:t>, hochwertige Arbeitsplätze zu schaffen und zur sozialen Aufwärtskonvergenz beizutragen;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124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Fernand Kartheiser, Geadis Geadi, Kristoffer Storm, Nora Junco García, Diego Solier, Adrian-George Axinia, Georgiana Teodorescu</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1</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1.</w:t>
            </w:r>
            <w:r w:rsidRPr="004E16CD">
              <w:tab/>
              <w:t xml:space="preserve">fordert eine allgemeine Mobilisierung aller Finanzmittel und verfügbaren Instrumente, um in einem Umfeld geopolitischer Instabilität und internationaler Spannungen die Sicherheit und die industrielle und technologische Souveränität der EU zu stärken, den </w:t>
            </w:r>
            <w:r w:rsidRPr="004E16CD">
              <w:rPr>
                <w:b/>
                <w:i/>
              </w:rPr>
              <w:t>grünen</w:t>
            </w:r>
            <w:r w:rsidRPr="004E16CD">
              <w:t xml:space="preserve"> Wandel zu unterstützen, hochwertige Arbeitsplätze zu schaffen und zur sozialen Aufwärtskonvergenz beizutragen;</w:t>
            </w:r>
          </w:p>
        </w:tc>
        <w:tc>
          <w:tcPr>
            <w:tcW w:w="4876" w:type="dxa"/>
            <w:tcBorders>
              <w:top w:val="nil"/>
              <w:left w:val="nil"/>
              <w:bottom w:val="nil"/>
              <w:right w:val="nil"/>
            </w:tcBorders>
          </w:tcPr>
          <w:p w:rsidR="004E16CD" w:rsidRPr="004E16CD" w:rsidRDefault="004E16CD" w:rsidP="00241723">
            <w:pPr>
              <w:pStyle w:val="Normal6a"/>
            </w:pPr>
            <w:r w:rsidRPr="004E16CD">
              <w:t>1.</w:t>
            </w:r>
            <w:r w:rsidRPr="004E16CD">
              <w:tab/>
              <w:t xml:space="preserve">fordert eine allgemeine Mobilisierung aller Finanzmittel und verfügbaren Instrumente, um in einem Umfeld geopolitischer Instabilität und internationaler Spannungen die Sicherheit und die industrielle und technologische Souveränität der EU zu stärken, den </w:t>
            </w:r>
            <w:r w:rsidRPr="004E16CD">
              <w:rPr>
                <w:b/>
                <w:i/>
              </w:rPr>
              <w:t>digitalen</w:t>
            </w:r>
            <w:r w:rsidRPr="004E16CD">
              <w:t xml:space="preserve"> Wandel zu unterstützen, hochwertige Arbeitsplätze zu schaffen und zur sozialen Aufwärtskonvergenz beizutragen;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125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Enikő Győri, Pierre Pimpie, Jorge Martín Frías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1</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1.</w:t>
            </w:r>
            <w:r w:rsidRPr="004E16CD">
              <w:tab/>
              <w:t>fordert eine allgemeine Mobilisierung aller Finanzmittel und verfügbaren Instrumente, um in einem Umfeld geopolitischer Instabilität und internationaler Spannungen die Sicherheit und</w:t>
            </w:r>
            <w:r w:rsidRPr="004E16CD">
              <w:rPr>
                <w:b/>
                <w:i/>
              </w:rPr>
              <w:t xml:space="preserve"> die</w:t>
            </w:r>
            <w:r w:rsidRPr="004E16CD">
              <w:t xml:space="preserve"> industrielle und technologische Souveränität </w:t>
            </w:r>
            <w:r w:rsidRPr="004E16CD">
              <w:rPr>
                <w:b/>
                <w:i/>
              </w:rPr>
              <w:t xml:space="preserve">der EU </w:t>
            </w:r>
            <w:r w:rsidRPr="004E16CD">
              <w:t>zu stärken</w:t>
            </w:r>
            <w:r w:rsidRPr="004E16CD">
              <w:rPr>
                <w:b/>
                <w:i/>
              </w:rPr>
              <w:t>, den grünen Wandel zu unterstützen</w:t>
            </w:r>
            <w:r w:rsidRPr="004E16CD">
              <w:t>, hochwertige Arbeitsplätze zu schaffen und zur sozialen Aufwärtskonvergenz beizutragen;</w:t>
            </w:r>
          </w:p>
        </w:tc>
        <w:tc>
          <w:tcPr>
            <w:tcW w:w="4876" w:type="dxa"/>
            <w:tcBorders>
              <w:top w:val="nil"/>
              <w:left w:val="nil"/>
              <w:bottom w:val="nil"/>
              <w:right w:val="nil"/>
            </w:tcBorders>
          </w:tcPr>
          <w:p w:rsidR="004E16CD" w:rsidRPr="004E16CD" w:rsidRDefault="004E16CD" w:rsidP="00241723">
            <w:pPr>
              <w:pStyle w:val="Normal6a"/>
            </w:pPr>
            <w:r w:rsidRPr="004E16CD">
              <w:t>1.</w:t>
            </w:r>
            <w:r w:rsidRPr="004E16CD">
              <w:tab/>
              <w:t xml:space="preserve">fordert eine allgemeine Mobilisierung aller Finanzmittel und verfügbaren Instrumente, um in einem Umfeld geopolitischer Instabilität und internationaler Spannungen die </w:t>
            </w:r>
            <w:r w:rsidRPr="004E16CD">
              <w:rPr>
                <w:b/>
                <w:i/>
              </w:rPr>
              <w:t xml:space="preserve">Wettbewerbsfähigkeit der EU zu verbessern, ihre </w:t>
            </w:r>
            <w:r w:rsidRPr="004E16CD">
              <w:t>Sicherheit und industrielle und technologische Souveränität zu stärken, hochwertige Arbeitsplätze zu schaffen und zur sozialen Aufwärtskonvergenz beizutragen;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126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Dirk Gotink</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1</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1.</w:t>
            </w:r>
            <w:r w:rsidRPr="004E16CD">
              <w:tab/>
              <w:t xml:space="preserve">fordert eine allgemeine Mobilisierung </w:t>
            </w:r>
            <w:r w:rsidRPr="004E16CD">
              <w:rPr>
                <w:b/>
                <w:i/>
              </w:rPr>
              <w:t>aller</w:t>
            </w:r>
            <w:r w:rsidRPr="004E16CD">
              <w:t xml:space="preserve"> Finanzmittel </w:t>
            </w:r>
            <w:r w:rsidRPr="004E16CD">
              <w:rPr>
                <w:b/>
                <w:i/>
              </w:rPr>
              <w:t>und verfügbaren Instrumente</w:t>
            </w:r>
            <w:r w:rsidRPr="004E16CD">
              <w:t xml:space="preserve">, um in einem Umfeld geopolitischer Instabilität und internationaler Spannungen die Sicherheit und die industrielle und technologische Souveränität der EU zu stärken, </w:t>
            </w:r>
            <w:r w:rsidRPr="004E16CD">
              <w:rPr>
                <w:b/>
                <w:i/>
              </w:rPr>
              <w:t>den grünen Wandel</w:t>
            </w:r>
            <w:r w:rsidRPr="004E16CD">
              <w:t xml:space="preserve"> zu unterstützen, hochwertige Arbeitsplätze zu schaffen und zur sozialen Aufwärtskonvergenz beizutragen;</w:t>
            </w:r>
          </w:p>
        </w:tc>
        <w:tc>
          <w:tcPr>
            <w:tcW w:w="4876" w:type="dxa"/>
            <w:tcBorders>
              <w:top w:val="nil"/>
              <w:left w:val="nil"/>
              <w:bottom w:val="nil"/>
              <w:right w:val="nil"/>
            </w:tcBorders>
          </w:tcPr>
          <w:p w:rsidR="004E16CD" w:rsidRPr="004E16CD" w:rsidRDefault="004E16CD" w:rsidP="00241723">
            <w:pPr>
              <w:pStyle w:val="Normal6a"/>
            </w:pPr>
            <w:r w:rsidRPr="004E16CD">
              <w:t>1.</w:t>
            </w:r>
            <w:r w:rsidRPr="004E16CD">
              <w:tab/>
              <w:t xml:space="preserve">fordert eine allgemeine Mobilisierung </w:t>
            </w:r>
            <w:r w:rsidRPr="004E16CD">
              <w:rPr>
                <w:b/>
                <w:i/>
              </w:rPr>
              <w:t>der</w:t>
            </w:r>
            <w:r w:rsidRPr="004E16CD">
              <w:t xml:space="preserve"> Finanzmittel </w:t>
            </w:r>
            <w:r w:rsidRPr="004E16CD">
              <w:rPr>
                <w:b/>
                <w:i/>
              </w:rPr>
              <w:t>des Privatsektors</w:t>
            </w:r>
            <w:r w:rsidRPr="004E16CD">
              <w:t xml:space="preserve">, um in einem Umfeld geopolitischer Instabilität und internationaler Spannungen die Sicherheit und die industrielle und technologische Souveränität der EU zu stärken, </w:t>
            </w:r>
            <w:r w:rsidRPr="004E16CD">
              <w:rPr>
                <w:b/>
                <w:i/>
              </w:rPr>
              <w:t>die Energiewende und die Dekarbonisierung</w:t>
            </w:r>
            <w:r w:rsidRPr="004E16CD">
              <w:t xml:space="preserve"> zu unterstützen, hochwertige Arbeitsplätze zu schaffen und zur sozialen Aufwärtskonvergenz beizutragen;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127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Giovanni Crosetto, Denis Nesci, Francesco Ventola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1</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1.</w:t>
            </w:r>
            <w:r w:rsidRPr="004E16CD">
              <w:tab/>
              <w:t xml:space="preserve">fordert eine allgemeine Mobilisierung aller Finanzmittel und verfügbaren Instrumente, um in einem Umfeld geopolitischer Instabilität und internationaler Spannungen die Sicherheit und die industrielle und technologische Souveränität der EU zu stärken, </w:t>
            </w:r>
            <w:r w:rsidRPr="004E16CD">
              <w:rPr>
                <w:b/>
                <w:i/>
              </w:rPr>
              <w:t>den grünen Wandel</w:t>
            </w:r>
            <w:r w:rsidRPr="004E16CD">
              <w:t xml:space="preserve"> zu unterstützen, hochwertige Arbeitsplätze zu schaffen und zur sozialen Aufwärtskonvergenz beizutragen;</w:t>
            </w:r>
          </w:p>
        </w:tc>
        <w:tc>
          <w:tcPr>
            <w:tcW w:w="4876" w:type="dxa"/>
            <w:tcBorders>
              <w:top w:val="nil"/>
              <w:left w:val="nil"/>
              <w:bottom w:val="nil"/>
              <w:right w:val="nil"/>
            </w:tcBorders>
          </w:tcPr>
          <w:p w:rsidR="004E16CD" w:rsidRPr="004E16CD" w:rsidRDefault="004E16CD" w:rsidP="00241723">
            <w:pPr>
              <w:pStyle w:val="Normal6a"/>
            </w:pPr>
            <w:r w:rsidRPr="004E16CD">
              <w:t>1.</w:t>
            </w:r>
            <w:r w:rsidRPr="004E16CD">
              <w:tab/>
              <w:t xml:space="preserve">fordert eine allgemeine Mobilisierung aller Finanzmittel und verfügbaren Instrumente, um in einem Umfeld geopolitischer Instabilität und internationaler Spannungen die Sicherheit und die industrielle und technologische Souveränität der EU zu stärken, </w:t>
            </w:r>
            <w:r w:rsidRPr="004E16CD">
              <w:rPr>
                <w:b/>
                <w:i/>
              </w:rPr>
              <w:t>die Energiewende</w:t>
            </w:r>
            <w:r w:rsidRPr="004E16CD">
              <w:t xml:space="preserve"> zu unterstützen, hochwertige Arbeitsplätze zu schaffen und zur sozialen Aufwärtskonvergenz beizutragen;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128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Anouk Van Brug, Engin Eroglu</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1</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1.</w:t>
            </w:r>
            <w:r w:rsidRPr="004E16CD">
              <w:tab/>
              <w:t xml:space="preserve">fordert eine </w:t>
            </w:r>
            <w:r w:rsidRPr="004E16CD">
              <w:rPr>
                <w:b/>
                <w:i/>
              </w:rPr>
              <w:t>allgemeine</w:t>
            </w:r>
            <w:r w:rsidRPr="004E16CD">
              <w:t xml:space="preserve"> Mobilisierung </w:t>
            </w:r>
            <w:r w:rsidRPr="004E16CD">
              <w:rPr>
                <w:b/>
                <w:i/>
              </w:rPr>
              <w:t>aller</w:t>
            </w:r>
            <w:r w:rsidRPr="004E16CD">
              <w:t xml:space="preserve"> Finanzmittel und verfügbaren Instrumente, um in einem Umfeld geopolitischer Instabilität und internationaler Spannungen die Sicherheit und die industrielle und technologische Souveränität der EU zu stärken, den grünen Wandel zu unterstützen, hochwertige Arbeitsplätze zu schaffen und zur sozialen Aufwärtskonvergenz beizutragen;</w:t>
            </w:r>
          </w:p>
        </w:tc>
        <w:tc>
          <w:tcPr>
            <w:tcW w:w="4876" w:type="dxa"/>
            <w:tcBorders>
              <w:top w:val="nil"/>
              <w:left w:val="nil"/>
              <w:bottom w:val="nil"/>
              <w:right w:val="nil"/>
            </w:tcBorders>
          </w:tcPr>
          <w:p w:rsidR="004E16CD" w:rsidRPr="004E16CD" w:rsidRDefault="004E16CD" w:rsidP="00241723">
            <w:pPr>
              <w:pStyle w:val="Normal6a"/>
            </w:pPr>
            <w:r w:rsidRPr="004E16CD">
              <w:t>1.</w:t>
            </w:r>
            <w:r w:rsidRPr="004E16CD">
              <w:tab/>
              <w:t xml:space="preserve">fordert eine </w:t>
            </w:r>
            <w:r w:rsidRPr="004E16CD">
              <w:rPr>
                <w:b/>
                <w:i/>
              </w:rPr>
              <w:t>umfassende</w:t>
            </w:r>
            <w:r w:rsidRPr="004E16CD">
              <w:t xml:space="preserve"> Mobilisierung </w:t>
            </w:r>
            <w:r w:rsidRPr="004E16CD">
              <w:rPr>
                <w:b/>
                <w:i/>
              </w:rPr>
              <w:t>der</w:t>
            </w:r>
            <w:r w:rsidRPr="004E16CD">
              <w:t xml:space="preserve"> Finanzmittel und verfügbaren Instrumente, um in einem Umfeld geopolitischer Instabilität und internationaler Spannungen die Sicherheit und die industrielle und technologische Souveränität der EU zu stärken, den grünen Wandel zu unterstützen, hochwertige Arbeitsplätze zu schaffen und zur sozialen Aufwärtskonvergenz beizutragen;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129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Lídia Pereira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1</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1.</w:t>
            </w:r>
            <w:r w:rsidRPr="004E16CD">
              <w:tab/>
              <w:t>fordert eine allgemeine Mobilisierung aller Finanzmittel und verfügbaren Instrumente, um in einem Umfeld geopolitischer Instabilität und internationaler Spannungen die Sicherheit und die industrielle und technologische Souveränität der EU zu stärken, den grünen Wandel zu unterstützen, hochwertige Arbeitsplätze zu schaffen und zur sozialen Aufwärtskonvergenz beizutragen;</w:t>
            </w:r>
          </w:p>
        </w:tc>
        <w:tc>
          <w:tcPr>
            <w:tcW w:w="4876" w:type="dxa"/>
            <w:tcBorders>
              <w:top w:val="nil"/>
              <w:left w:val="nil"/>
              <w:bottom w:val="nil"/>
              <w:right w:val="nil"/>
            </w:tcBorders>
          </w:tcPr>
          <w:p w:rsidR="004E16CD" w:rsidRPr="004E16CD" w:rsidRDefault="004E16CD" w:rsidP="00241723">
            <w:pPr>
              <w:pStyle w:val="Normal6a"/>
            </w:pPr>
            <w:r w:rsidRPr="004E16CD">
              <w:t>1.</w:t>
            </w:r>
            <w:r w:rsidRPr="004E16CD">
              <w:tab/>
              <w:t xml:space="preserve">fordert eine allgemeine Mobilisierung aller Finanzmittel und verfügbaren Instrumente, um in einem Umfeld geopolitischer Instabilität und internationaler Spannungen die Sicherheit und die industrielle und technologische Souveränität der EU zu stärken, den </w:t>
            </w:r>
            <w:r w:rsidRPr="004E16CD">
              <w:rPr>
                <w:b/>
                <w:i/>
              </w:rPr>
              <w:t xml:space="preserve">digitalen und den </w:t>
            </w:r>
            <w:r w:rsidRPr="004E16CD">
              <w:t xml:space="preserve">grünen Wandel zu unterstützen, </w:t>
            </w:r>
            <w:r w:rsidRPr="004E16CD">
              <w:rPr>
                <w:b/>
                <w:i/>
              </w:rPr>
              <w:t xml:space="preserve">die Wettbewerbsfähigkeit zu steigern, nachhaltiges Wirtschaftswachstum zu erzeugen, </w:t>
            </w:r>
            <w:r w:rsidRPr="004E16CD">
              <w:t>hochwertige Arbeitsplätze zu schaffen und zur sozialen Aufwärtskonvergenz</w:t>
            </w:r>
            <w:r w:rsidRPr="004E16CD">
              <w:rPr>
                <w:b/>
                <w:i/>
              </w:rPr>
              <w:t xml:space="preserve"> und Kohäsion</w:t>
            </w:r>
            <w:r w:rsidRPr="004E16CD">
              <w:t xml:space="preserve"> beizutragen;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130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Kinga Kollár, 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1</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1.</w:t>
            </w:r>
            <w:r w:rsidRPr="004E16CD">
              <w:tab/>
              <w:t>fordert eine allgemeine Mobilisierung aller Finanzmittel und verfügbaren Instrumente, um in einem Umfeld geopolitischer Instabilität und internationaler Spannungen die Sicherheit und die industrielle und technologische Souveränität der EU zu stärken, den grünen Wandel zu unterstützen, hochwertige Arbeitsplätze zu schaffen und zur sozialen Aufwärtskonvergenz beizutragen;</w:t>
            </w:r>
          </w:p>
        </w:tc>
        <w:tc>
          <w:tcPr>
            <w:tcW w:w="4876" w:type="dxa"/>
            <w:tcBorders>
              <w:top w:val="nil"/>
              <w:left w:val="nil"/>
              <w:bottom w:val="nil"/>
              <w:right w:val="nil"/>
            </w:tcBorders>
          </w:tcPr>
          <w:p w:rsidR="004E16CD" w:rsidRPr="004E16CD" w:rsidRDefault="004E16CD" w:rsidP="00241723">
            <w:pPr>
              <w:pStyle w:val="Normal6a"/>
            </w:pPr>
            <w:r w:rsidRPr="004E16CD">
              <w:t>1.</w:t>
            </w:r>
            <w:r w:rsidRPr="004E16CD">
              <w:tab/>
              <w:t>fordert eine allgemeine Mobilisierung aller Finanzmittel und verfügbaren Instrumente, um in einem Umfeld geopolitischer Instabilität und internationaler Spannungen die Sicherheit und die industrielle und technologische Souveränität der EU zu stärken, den grünen Wandel zu unterstützen, hochwertige Arbeitsplätze zu schaffen</w:t>
            </w:r>
            <w:r w:rsidRPr="004E16CD">
              <w:rPr>
                <w:b/>
                <w:i/>
              </w:rPr>
              <w:t>, den KMU-Sektor zu fördern</w:t>
            </w:r>
            <w:r w:rsidRPr="004E16CD">
              <w:t xml:space="preserve"> und zur sozialen Aufwärtskonvergenz beizutragen; </w:t>
            </w:r>
            <w:r w:rsidRPr="004E16CD">
              <w:rPr>
                <w:b/>
                <w:i/>
              </w:rPr>
              <w:t>weist darauf hin, dass Sicherheit eine Voraussetzung für nachhaltiges Wachstum ist;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131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Guillaume Peltier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1</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1.</w:t>
            </w:r>
            <w:r w:rsidRPr="004E16CD">
              <w:tab/>
              <w:t>fordert eine allgemeine Mobilisierung aller Finanzmittel und verfügbaren Instrumente, um in einem Umfeld geopolitischer Instabilität und internationaler Spannungen die Sicherheit und die industrielle und technologische Souveränität der EU zu stärken, den grünen Wandel zu unterstützen, hochwertige Arbeitsplätze zu schaffen und zur sozialen Aufwärtskonvergenz beizutragen;</w:t>
            </w:r>
          </w:p>
        </w:tc>
        <w:tc>
          <w:tcPr>
            <w:tcW w:w="4876" w:type="dxa"/>
            <w:tcBorders>
              <w:top w:val="nil"/>
              <w:left w:val="nil"/>
              <w:bottom w:val="nil"/>
              <w:right w:val="nil"/>
            </w:tcBorders>
          </w:tcPr>
          <w:p w:rsidR="004E16CD" w:rsidRPr="004E16CD" w:rsidRDefault="004E16CD" w:rsidP="00241723">
            <w:pPr>
              <w:pStyle w:val="Normal6a"/>
            </w:pPr>
            <w:r w:rsidRPr="004E16CD">
              <w:t>1.</w:t>
            </w:r>
            <w:r w:rsidRPr="004E16CD">
              <w:tab/>
              <w:t xml:space="preserve">fordert eine allgemeine Mobilisierung aller Finanzmittel und verfügbaren Instrumente, um in einem Umfeld geopolitischer Instabilität und internationaler Spannungen die Sicherheit und die industrielle und technologische Souveränität der EU zu stärken, den grünen Wandel </w:t>
            </w:r>
            <w:r w:rsidRPr="004E16CD">
              <w:rPr>
                <w:b/>
                <w:i/>
              </w:rPr>
              <w:t xml:space="preserve">und insbesondere die Schaffung neuer biobasierter und kompostierbarer Materialien </w:t>
            </w:r>
            <w:r w:rsidRPr="004E16CD">
              <w:t>zu unterstützen, hochwertige Arbeitsplätze zu schaffen und zur sozialen Aufwärtskonvergenz beizutragen;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{FR}</w:t>
      </w:r>
      <w:r w:rsidRPr="004E16CD">
        <w:t>fr</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132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Sirpa Pietikäinen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1</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1.</w:t>
            </w:r>
            <w:r w:rsidRPr="004E16CD">
              <w:tab/>
              <w:t xml:space="preserve">fordert eine allgemeine Mobilisierung aller Finanzmittel und verfügbaren Instrumente, um in einem Umfeld geopolitischer Instabilität und internationaler Spannungen die Sicherheit und die industrielle und technologische Souveränität der EU zu stärken, den grünen Wandel zu </w:t>
            </w:r>
            <w:r w:rsidRPr="004E16CD">
              <w:rPr>
                <w:b/>
                <w:i/>
              </w:rPr>
              <w:t>unterstützen</w:t>
            </w:r>
            <w:r w:rsidRPr="004E16CD">
              <w:t>, hochwertige Arbeitsplätze zu schaffen und zur sozialen Aufwärtskonvergenz beizutragen;</w:t>
            </w:r>
          </w:p>
        </w:tc>
        <w:tc>
          <w:tcPr>
            <w:tcW w:w="4876" w:type="dxa"/>
            <w:tcBorders>
              <w:top w:val="nil"/>
              <w:left w:val="nil"/>
              <w:bottom w:val="nil"/>
              <w:right w:val="nil"/>
            </w:tcBorders>
          </w:tcPr>
          <w:p w:rsidR="004E16CD" w:rsidRPr="004E16CD" w:rsidRDefault="004E16CD" w:rsidP="00241723">
            <w:pPr>
              <w:pStyle w:val="Normal6a"/>
            </w:pPr>
            <w:r w:rsidRPr="004E16CD">
              <w:t>1.</w:t>
            </w:r>
            <w:r w:rsidRPr="004E16CD">
              <w:tab/>
              <w:t xml:space="preserve">fordert eine allgemeine Mobilisierung aller Finanzmittel und verfügbaren Instrumente, um in einem Umfeld geopolitischer Instabilität und internationaler Spannungen die Sicherheit und die industrielle und technologische Souveränität der EU zu stärken, den grünen Wandel </w:t>
            </w:r>
            <w:r w:rsidRPr="004E16CD">
              <w:rPr>
                <w:b/>
                <w:i/>
              </w:rPr>
              <w:t xml:space="preserve">in einem Maße auszuweiten, das aus wissenschaftlicher Sicht als Mindestziel angesehen wird, und ihn </w:t>
            </w:r>
            <w:r w:rsidRPr="004E16CD">
              <w:t xml:space="preserve">zu </w:t>
            </w:r>
            <w:r w:rsidRPr="004E16CD">
              <w:rPr>
                <w:b/>
                <w:i/>
              </w:rPr>
              <w:t>beschleunigen</w:t>
            </w:r>
            <w:r w:rsidRPr="004E16CD">
              <w:t>, hochwertige Arbeitsplätze zu schaffen und zur sozialen Aufwärtskonvergenz beizutragen;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133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Evelyn Regner, Niels Fuglsang, Claire Fita, Carla Tavares, Thomas Bajada,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1</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1.</w:t>
            </w:r>
            <w:r w:rsidRPr="004E16CD">
              <w:tab/>
              <w:t>fordert eine allgemeine Mobilisierung aller Finanzmittel und verfügbaren Instrumente, um in einem Umfeld geopolitischer Instabilität und internationaler Spannungen die Sicherheit und die industrielle und technologische Souveränität der EU zu stärken, den grünen Wandel zu unterstützen, hochwertige Arbeitsplätze zu schaffen und zur sozialen Aufwärtskonvergenz beizutragen;</w:t>
            </w:r>
          </w:p>
        </w:tc>
        <w:tc>
          <w:tcPr>
            <w:tcW w:w="4876" w:type="dxa"/>
            <w:tcBorders>
              <w:top w:val="nil"/>
              <w:left w:val="nil"/>
              <w:bottom w:val="nil"/>
              <w:right w:val="nil"/>
            </w:tcBorders>
          </w:tcPr>
          <w:p w:rsidR="004E16CD" w:rsidRPr="004E16CD" w:rsidRDefault="004E16CD" w:rsidP="00241723">
            <w:pPr>
              <w:pStyle w:val="Normal6a"/>
            </w:pPr>
            <w:r w:rsidRPr="004E16CD">
              <w:t>1.</w:t>
            </w:r>
            <w:r w:rsidRPr="004E16CD">
              <w:tab/>
              <w:t xml:space="preserve">fordert eine </w:t>
            </w:r>
            <w:r w:rsidRPr="004E16CD">
              <w:rPr>
                <w:b/>
                <w:i/>
              </w:rPr>
              <w:t xml:space="preserve">dringende </w:t>
            </w:r>
            <w:r w:rsidRPr="004E16CD">
              <w:t>allgemeine Mobilisierung aller Finanzmittel und verfügbaren Instrumente, um in einem Umfeld geopolitischer Instabilität und internationaler Spannungen die Sicherheit und die industrielle und technologische Souveränität der EU zu stärken, den grünen Wandel zu unterstützen</w:t>
            </w:r>
            <w:r w:rsidRPr="004E16CD">
              <w:rPr>
                <w:b/>
                <w:i/>
              </w:rPr>
              <w:t xml:space="preserve"> und in ihn zu investieren</w:t>
            </w:r>
            <w:r w:rsidRPr="004E16CD">
              <w:t>, hochwertige Arbeitsplätze zu schaffen und zur sozialen Aufwärtskonvergenz beizutragen;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134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Michalis Hadjipantela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1</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1.</w:t>
            </w:r>
            <w:r w:rsidRPr="004E16CD">
              <w:tab/>
              <w:t>fordert eine allgemeine Mobilisierung aller Finanzmittel und verfügbaren Instrumente, um in einem Umfeld geopolitischer Instabilität und internationaler Spannungen die Sicherheit und die industrielle und technologische Souveränität der EU zu stärken, den grünen Wandel zu unterstützen, hochwertige Arbeitsplätze zu schaffen und zur sozialen Aufwärtskonvergenz beizutragen;</w:t>
            </w:r>
          </w:p>
        </w:tc>
        <w:tc>
          <w:tcPr>
            <w:tcW w:w="4876" w:type="dxa"/>
            <w:tcBorders>
              <w:top w:val="nil"/>
              <w:left w:val="nil"/>
              <w:bottom w:val="nil"/>
              <w:right w:val="nil"/>
            </w:tcBorders>
          </w:tcPr>
          <w:p w:rsidR="004E16CD" w:rsidRPr="004E16CD" w:rsidRDefault="004E16CD" w:rsidP="00241723">
            <w:pPr>
              <w:pStyle w:val="Normal6a"/>
            </w:pPr>
            <w:r w:rsidRPr="004E16CD">
              <w:t>1.</w:t>
            </w:r>
            <w:r w:rsidRPr="004E16CD">
              <w:tab/>
              <w:t xml:space="preserve">fordert eine allgemeine Mobilisierung aller Finanzmittel und verfügbaren Instrumente, um in einem Umfeld geopolitischer Instabilität und internationaler Spannungen die Sicherheit und die industrielle und technologische Souveränität der EU zu stärken, den grünen </w:t>
            </w:r>
            <w:r w:rsidRPr="004E16CD">
              <w:rPr>
                <w:b/>
                <w:i/>
              </w:rPr>
              <w:t xml:space="preserve">und den digitalen </w:t>
            </w:r>
            <w:r w:rsidRPr="004E16CD">
              <w:t>Wandel zu unterstützen, hochwertige Arbeitsplätze zu schaffen und zur sozialen Aufwärtskonvergenz beizutragen;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135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Guillaume Peltier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1</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1.</w:t>
            </w:r>
            <w:r w:rsidRPr="004E16CD">
              <w:tab/>
              <w:t>fordert eine allgemeine Mobilisierung aller Finanzmittel und verfügbaren Instrumente, um in einem Umfeld geopolitischer Instabilität und internationaler Spannungen die Sicherheit und die industrielle und technologische Souveränität der EU zu stärken, den grünen Wandel zu unterstützen, hochwertige Arbeitsplätze zu schaffen und zur sozialen Aufwärtskonvergenz beizutragen;</w:t>
            </w:r>
          </w:p>
        </w:tc>
        <w:tc>
          <w:tcPr>
            <w:tcW w:w="4876" w:type="dxa"/>
            <w:tcBorders>
              <w:top w:val="nil"/>
              <w:left w:val="nil"/>
              <w:bottom w:val="nil"/>
              <w:right w:val="nil"/>
            </w:tcBorders>
          </w:tcPr>
          <w:p w:rsidR="004E16CD" w:rsidRPr="004E16CD" w:rsidRDefault="004E16CD" w:rsidP="00241723">
            <w:pPr>
              <w:pStyle w:val="Normal6a"/>
            </w:pPr>
            <w:r w:rsidRPr="004E16CD">
              <w:t>1.</w:t>
            </w:r>
            <w:r w:rsidRPr="004E16CD">
              <w:tab/>
              <w:t xml:space="preserve">fordert eine allgemeine Mobilisierung aller Finanzmittel und verfügbaren Instrumente, um in einem Umfeld geopolitischer Instabilität und internationaler Spannungen </w:t>
            </w:r>
            <w:r w:rsidRPr="004E16CD">
              <w:rPr>
                <w:b/>
                <w:i/>
              </w:rPr>
              <w:t xml:space="preserve">sowie angesichts der steigenden Schuldenquote im Euro-Währungsgebiet </w:t>
            </w:r>
            <w:r w:rsidRPr="004E16CD">
              <w:t>die Sicherheit und die industrielle und technologische Souveränität der EU zu stärken, den grünen Wandel zu unterstützen, hochwertige Arbeitsplätze zu schaffen und zur sozialen Aufwärtskonvergenz beizutragen;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{FR}</w:t>
      </w:r>
      <w:r w:rsidRPr="004E16CD">
        <w:t>fr</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136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Carla Tavares, Jonás Fernández</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1</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1.</w:t>
            </w:r>
            <w:r w:rsidRPr="004E16CD">
              <w:tab/>
              <w:t xml:space="preserve">fordert eine allgemeine Mobilisierung aller Finanzmittel und verfügbaren Instrumente, um </w:t>
            </w:r>
            <w:r w:rsidRPr="004E16CD">
              <w:rPr>
                <w:b/>
                <w:i/>
              </w:rPr>
              <w:t xml:space="preserve">in einem Umfeld geopolitischer Instabilität und internationaler Spannungen </w:t>
            </w:r>
            <w:r w:rsidRPr="004E16CD">
              <w:t>die Sicherheit und die industrielle und technologische Souveränität der EU zu stärken, den grünen Wandel zu unterstützen, hochwertige Arbeitsplätze zu schaffen und zur sozialen Aufwärtskonvergenz beizutragen;</w:t>
            </w:r>
          </w:p>
        </w:tc>
        <w:tc>
          <w:tcPr>
            <w:tcW w:w="4876" w:type="dxa"/>
            <w:tcBorders>
              <w:top w:val="nil"/>
              <w:left w:val="nil"/>
              <w:bottom w:val="nil"/>
              <w:right w:val="nil"/>
            </w:tcBorders>
          </w:tcPr>
          <w:p w:rsidR="004E16CD" w:rsidRPr="004E16CD" w:rsidRDefault="004E16CD" w:rsidP="00241723">
            <w:pPr>
              <w:pStyle w:val="Normal6a"/>
            </w:pPr>
            <w:r w:rsidRPr="004E16CD">
              <w:t>1.</w:t>
            </w:r>
            <w:r w:rsidRPr="004E16CD">
              <w:tab/>
              <w:t>fordert eine allgemeine Mobilisierung aller Finanzmittel und verfügbaren Instrumente, um die Sicherheit und die industrielle und technologische Souveränität der EU zu stärken</w:t>
            </w:r>
            <w:r w:rsidRPr="004E16CD">
              <w:rPr>
                <w:b/>
                <w:i/>
              </w:rPr>
              <w:t>, einschließlich der Stärkung der Widerstandsfähigkeit und des Schutzes kritischer Infrastrukturen, darunter Strom-, Wasser- und Kommunikationssysteme, um die Europäer und EU-Unternehmen zu schützen und die Auswirkungen von Stromausfällen und anderen größeren Störungen abzumildern</w:t>
            </w:r>
            <w:r w:rsidRPr="004E16CD">
              <w:t>, den grünen Wandel zu unterstützen, hochwertige Arbeitsplätze zu schaffen und zur sozialen Aufwärtskonvergenz beizutragen;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137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Christophe Gomart</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1</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1.</w:t>
            </w:r>
            <w:r w:rsidRPr="004E16CD">
              <w:tab/>
              <w:t>fordert eine allgemeine Mobilisierung aller Finanzmittel und verfügbaren Instrumente, um in einem Umfeld geopolitischer Instabilität und internationaler Spannungen die Sicherheit und die industrielle und technologische Souveränität der EU zu stärken, den grünen Wandel zu unterstützen, hochwertige Arbeitsplätze zu schaffen und zur sozialen Aufwärtskonvergenz beizutragen;</w:t>
            </w:r>
          </w:p>
        </w:tc>
        <w:tc>
          <w:tcPr>
            <w:tcW w:w="4876" w:type="dxa"/>
            <w:tcBorders>
              <w:top w:val="nil"/>
              <w:left w:val="nil"/>
              <w:bottom w:val="nil"/>
              <w:right w:val="nil"/>
            </w:tcBorders>
          </w:tcPr>
          <w:p w:rsidR="004E16CD" w:rsidRPr="004E16CD" w:rsidRDefault="004E16CD" w:rsidP="00241723">
            <w:pPr>
              <w:pStyle w:val="Normal6a"/>
            </w:pPr>
            <w:r w:rsidRPr="004E16CD">
              <w:t>1.</w:t>
            </w:r>
            <w:r w:rsidRPr="004E16CD">
              <w:tab/>
              <w:t xml:space="preserve">fordert eine allgemeine Mobilisierung aller Finanzmittel und verfügbaren Instrumente, um in einem Umfeld geopolitischer Instabilität und internationaler Spannungen die Sicherheit und die industrielle und technologische Souveränität der EU zu stärken, den grünen Wandel zu unterstützen, hochwertige Arbeitsplätze zu schaffen und zur sozialen Aufwärtskonvergenz beizutragen; </w:t>
            </w:r>
            <w:r w:rsidRPr="004E16CD">
              <w:rPr>
                <w:b/>
                <w:i/>
              </w:rPr>
              <w:t>stellt in diesem Zusammenhang fest, dass Verbriefungen – bei denen das Risiko auf die Anleger verteilt wird, die am besten in der Lage sind, es zu tragen – einen starken Hebel darstellen, um die Kapazitäten privater Investoren zur Finanzierung der strategischen Prioritäten der EU zu erhöhen.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{FR}</w:t>
      </w:r>
      <w:r w:rsidRPr="004E16CD">
        <w:t>fr</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138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Regina Doherty</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1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1a.</w:t>
            </w:r>
            <w:r w:rsidRPr="004E16CD">
              <w:tab/>
            </w:r>
            <w:r w:rsidRPr="004E16CD">
              <w:rPr>
                <w:b/>
                <w:i/>
              </w:rPr>
              <w:t>betont, dass die Wettbewerbsfähigkeit keine Herausforderung ist, die allein durch neue Gelder gelöst werden kann; betont, dass die EU dem relativen Rückgang nicht allein durch Ausgaben beikommen kann; fordert die Kommission und alle Mitgliedstaaten auf, Maßnahmen zu ergreifen und Rechts- und Verwaltungsreformen durchzuführen, die die Wettbewerbsfähigkeit steigern, Innovation und Dynamik fördern, die Bürokratie straffen, die Kosten und den Verwaltungsaufwand für Innovatoren verringern, die Berichterstattungspflichten vereinfachen, ein investitionsfreundliches Klima in Europa schaffen, die Handelsmöglichkeiten mit Drittländern verbessern, gegen Überregulierung vorgehen und die Verwaltungszusammenarbeit zwischen den Mitgliedstaaten verbessern; lehnt jeden Schritt hin zu einem verstärkten Protektionismus innerhalb der EU ab; begrüßt die von der Kommission gesetzte Priorität, die Belastung der Unternehmen durch gesetzliche Berichterstattungspflichten um 25 % und für KMU um 35 % zu verringern; fordert, dass diese Priorität in allen Sektoren umgesetzt wird;</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139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1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1a.</w:t>
            </w:r>
            <w:r w:rsidRPr="004E16CD">
              <w:tab/>
            </w:r>
            <w:r w:rsidRPr="004E16CD">
              <w:rPr>
                <w:b/>
                <w:i/>
              </w:rPr>
              <w:t>erachtet es als äußerst wichtig, das Vertrauen in das Bankensystem zu stärken, für Finanzstabilität zu sorgen und einen effizienten Binnenmarkt zu fördern, was grundlegende Ziele der EU ist; weist darauf hin, dass die Vollendung der Bankenunion eine notwendige Voraussetzung für die Verwirklichung dieser Ziele ist, da sie nicht nur den Schutz der Sparer verbessert, sondern auch ein sichereres und berechenbareres Umfeld für Investitionen schafft, was für die Ankurbelung des Wirtschaftswachstums von wesentlicher Bedeutung ist; teilt die Auffassung, dass ein konvergentes System der Bankenunion dazu beitragen wird, die Marktfragmentierung zu verringern, die Kapitalallokation zu verbessern und die globale Wettbewerbsfähigkeit der Union zu stärken; erkennt an, dass die Vollendung der Bankenunion eine strategische Priorität bei der Vertiefung der Wirtschafts- und Währungsunion sein muss;</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140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Enikő Győri, Pierre Pimpie, Jorge Martín Frías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1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1a.</w:t>
            </w:r>
            <w:r w:rsidRPr="004E16CD">
              <w:tab/>
            </w:r>
            <w:r w:rsidRPr="004E16CD">
              <w:rPr>
                <w:b/>
                <w:i/>
              </w:rPr>
              <w:t>fordert angesichts des Verwaltungsaufwands, der europäische Unternehmen, insbesondere KMU und Start-up-Unternehmen, erdrückt, eine Überarbeitung der Agenda für den grünen Wandel; bedauert in diesem Zusammenhang, dass die Kommission die CSRD- und die CSDDD-Richtlinie trotz ihrer negativen wirtschaftlichen Auswirkungen im Zusammenhang mit dem Omnibus-Vorschlag nicht aufgehoben hat; fordert die beiden gesetzgebenden Organe auf, den Verwaltungsaufwand während der Verhandlungen über den „Inhaltsvorschlag“ des Omnibus-Pakets erheblich zu verringern;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141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Enikő Győri, Pierre Pimpie, Jorge Martín Frías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1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1b.</w:t>
            </w:r>
            <w:r w:rsidRPr="004E16CD">
              <w:tab/>
            </w:r>
            <w:r w:rsidRPr="004E16CD">
              <w:rPr>
                <w:b/>
                <w:i/>
              </w:rPr>
              <w:t>fordert die Kommission auf, weitere Vorschläge zur Verringerung des Verwaltungsaufwands vorzulegen, um die verfügbaren Finanzmittel der EU-Unternehmen zu erhöhen; bekräftigt, dass unbedingt ein wirklich unternehmens- und investitionsfreundliches Umfeld geschaffen werden muss;</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142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Rasmus Andresen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2</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2.</w:t>
            </w:r>
            <w:r w:rsidRPr="004E16CD">
              <w:tab/>
              <w:t>begrüßt die erneute Debatte über die Notwendigkeit, die Produktivität der EU wiederherzustellen, die durch den Draghi- und den Letta-Bericht verstärkt wurde;</w:t>
            </w:r>
          </w:p>
        </w:tc>
        <w:tc>
          <w:tcPr>
            <w:tcW w:w="4876" w:type="dxa"/>
            <w:tcBorders>
              <w:top w:val="nil"/>
              <w:left w:val="nil"/>
              <w:bottom w:val="nil"/>
              <w:right w:val="nil"/>
            </w:tcBorders>
          </w:tcPr>
          <w:p w:rsidR="004E16CD" w:rsidRPr="004E16CD" w:rsidRDefault="004E16CD" w:rsidP="00241723">
            <w:pPr>
              <w:pStyle w:val="Normal6a"/>
            </w:pPr>
            <w:r w:rsidRPr="004E16CD">
              <w:t>2.</w:t>
            </w:r>
            <w:r w:rsidRPr="004E16CD">
              <w:tab/>
              <w:t xml:space="preserve">begrüßt die erneute Debatte über die Notwendigkeit, die Produktivität der EU wiederherzustellen, die durch den Draghi- und den Letta-Bericht verstärkt wurde; </w:t>
            </w:r>
            <w:r w:rsidRPr="004E16CD">
              <w:rPr>
                <w:b/>
                <w:i/>
              </w:rPr>
              <w:t>weist darauf hin, dass Produktivitätsgewinne hauptsächlich durch Investitionen in innovative Tätigkeiten erzielt werden könnten; erkennt an, dass der Aufbau einer nachhaltigen Wirtschaft einen wichtigen Wettbewerbsvorteil der EU-Wirtschaft und den Eckpfeiler der wirtschaftlichen Souveränität der EU darstellt; ist der festen Überzeugung, dass die Entwicklung eines soliden und plausiblen Rahmens für ein nachhaltiges Finanzwesen von entscheidender Bedeutung ist, wenn es darum geht, Investitionen im Einklang mit den langfristigen Zielen der EU zu lenken und internationale Investoren anzuziehen;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143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Regina Doherty</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2</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2.</w:t>
            </w:r>
            <w:r w:rsidRPr="004E16CD">
              <w:tab/>
              <w:t xml:space="preserve">begrüßt die erneute Debatte über die Notwendigkeit, die </w:t>
            </w:r>
            <w:r w:rsidRPr="004E16CD">
              <w:rPr>
                <w:b/>
                <w:i/>
              </w:rPr>
              <w:t>Produktivität</w:t>
            </w:r>
            <w:r w:rsidRPr="004E16CD">
              <w:t xml:space="preserve"> der EU </w:t>
            </w:r>
            <w:r w:rsidRPr="004E16CD">
              <w:rPr>
                <w:b/>
                <w:i/>
              </w:rPr>
              <w:t>wiederherzustellen</w:t>
            </w:r>
            <w:r w:rsidRPr="004E16CD">
              <w:t>, die durch den Draghi- und den Letta-Bericht verstärkt wurde;</w:t>
            </w:r>
          </w:p>
        </w:tc>
        <w:tc>
          <w:tcPr>
            <w:tcW w:w="4876" w:type="dxa"/>
            <w:tcBorders>
              <w:top w:val="nil"/>
              <w:left w:val="nil"/>
              <w:bottom w:val="nil"/>
              <w:right w:val="nil"/>
            </w:tcBorders>
          </w:tcPr>
          <w:p w:rsidR="004E16CD" w:rsidRPr="004E16CD" w:rsidRDefault="004E16CD" w:rsidP="00241723">
            <w:pPr>
              <w:pStyle w:val="Normal6a"/>
            </w:pPr>
            <w:r w:rsidRPr="004E16CD">
              <w:t>2.</w:t>
            </w:r>
            <w:r w:rsidRPr="004E16CD">
              <w:tab/>
            </w:r>
            <w:r w:rsidRPr="004E16CD">
              <w:rPr>
                <w:b/>
                <w:i/>
              </w:rPr>
              <w:t>betont, dass zu viel Kapital in der EU nicht produktiv genutzt wird; betont, dass Unternehmen, insbesondere KMU, nicht in der Lage sind, die bestehenden Kapitalmärkte in Europa in vollem Umfang für Finanzierungen und Investitionen zu nutzen;</w:t>
            </w:r>
            <w:r w:rsidRPr="004E16CD">
              <w:t xml:space="preserve"> begrüßt die erneute Debatte über die Notwendigkeit, die </w:t>
            </w:r>
            <w:r w:rsidRPr="004E16CD">
              <w:rPr>
                <w:b/>
                <w:i/>
              </w:rPr>
              <w:t>Wettbewerbsfähigkeit</w:t>
            </w:r>
            <w:r w:rsidRPr="004E16CD">
              <w:t xml:space="preserve"> der EU </w:t>
            </w:r>
            <w:r w:rsidRPr="004E16CD">
              <w:rPr>
                <w:b/>
                <w:i/>
              </w:rPr>
              <w:t>zu verbessern</w:t>
            </w:r>
            <w:r w:rsidRPr="004E16CD">
              <w:t>, die durch den Draghi- und den Letta-Bericht verstärkt wurde;</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144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Michalis Hadjipantela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2</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2.</w:t>
            </w:r>
            <w:r w:rsidRPr="004E16CD">
              <w:tab/>
              <w:t xml:space="preserve">begrüßt die erneute Debatte über die Notwendigkeit, die </w:t>
            </w:r>
            <w:r w:rsidRPr="004E16CD">
              <w:rPr>
                <w:b/>
                <w:i/>
              </w:rPr>
              <w:t>Produktivität</w:t>
            </w:r>
            <w:r w:rsidRPr="004E16CD">
              <w:t xml:space="preserve"> der EU wiederherzustellen, </w:t>
            </w:r>
            <w:r w:rsidRPr="004E16CD">
              <w:rPr>
                <w:b/>
                <w:i/>
              </w:rPr>
              <w:t>die</w:t>
            </w:r>
            <w:r w:rsidRPr="004E16CD">
              <w:t xml:space="preserve"> durch den Draghi- und den Letta-Bericht </w:t>
            </w:r>
            <w:r w:rsidRPr="004E16CD">
              <w:rPr>
                <w:b/>
                <w:i/>
              </w:rPr>
              <w:t>verstärkt wurde</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2.</w:t>
            </w:r>
            <w:r w:rsidRPr="004E16CD">
              <w:tab/>
              <w:t xml:space="preserve">begrüßt die erneute Debatte über die </w:t>
            </w:r>
            <w:r w:rsidRPr="004E16CD">
              <w:rPr>
                <w:b/>
                <w:i/>
              </w:rPr>
              <w:t xml:space="preserve">dringende </w:t>
            </w:r>
            <w:r w:rsidRPr="004E16CD">
              <w:t xml:space="preserve">Notwendigkeit, die </w:t>
            </w:r>
            <w:r w:rsidRPr="004E16CD">
              <w:rPr>
                <w:b/>
                <w:i/>
              </w:rPr>
              <w:t>Wettbewerbsfähigkeit und das Wirtschaftswachstum</w:t>
            </w:r>
            <w:r w:rsidRPr="004E16CD">
              <w:t xml:space="preserve"> der EU wiederherzustellen</w:t>
            </w:r>
            <w:r w:rsidRPr="004E16CD">
              <w:rPr>
                <w:b/>
                <w:i/>
              </w:rPr>
              <w:t xml:space="preserve"> und zu stärken</w:t>
            </w:r>
            <w:r w:rsidRPr="004E16CD">
              <w:t xml:space="preserve">, </w:t>
            </w:r>
            <w:r w:rsidRPr="004E16CD">
              <w:rPr>
                <w:b/>
                <w:i/>
              </w:rPr>
              <w:t>wie sie</w:t>
            </w:r>
            <w:r w:rsidRPr="004E16CD">
              <w:t xml:space="preserve"> durch den Draghi- und den Letta-Bericht </w:t>
            </w:r>
            <w:r w:rsidRPr="004E16CD">
              <w:rPr>
                <w:b/>
                <w:i/>
              </w:rPr>
              <w:t>angeregt wurde, die entscheidende Impulse für strategische Investitionen und Strukturreformen in der gesamten Europäischen Union geben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145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Sirpa Pietikäinen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2</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2.</w:t>
            </w:r>
            <w:r w:rsidRPr="004E16CD">
              <w:tab/>
              <w:t>begrüßt die erneute Debatte über die Notwendigkeit, die Produktivität der EU wiederherzustellen, die durch den Draghi- und den Letta-Bericht verstärkt wurde;</w:t>
            </w:r>
          </w:p>
        </w:tc>
        <w:tc>
          <w:tcPr>
            <w:tcW w:w="4876" w:type="dxa"/>
            <w:tcBorders>
              <w:top w:val="nil"/>
              <w:left w:val="nil"/>
              <w:bottom w:val="nil"/>
              <w:right w:val="nil"/>
            </w:tcBorders>
          </w:tcPr>
          <w:p w:rsidR="004E16CD" w:rsidRPr="004E16CD" w:rsidRDefault="004E16CD" w:rsidP="00241723">
            <w:pPr>
              <w:pStyle w:val="Normal6a"/>
            </w:pPr>
            <w:r w:rsidRPr="004E16CD">
              <w:t>2.</w:t>
            </w:r>
            <w:r w:rsidRPr="004E16CD">
              <w:tab/>
              <w:t xml:space="preserve">begrüßt die erneute Debatte über die Notwendigkeit, die Produktivität der EU </w:t>
            </w:r>
            <w:r w:rsidRPr="004E16CD">
              <w:rPr>
                <w:b/>
                <w:i/>
              </w:rPr>
              <w:t xml:space="preserve">auf sozial und ökologisch nachhaltige Weise </w:t>
            </w:r>
            <w:r w:rsidRPr="004E16CD">
              <w:t>wiederherzustellen, die durch den Draghi- und den Letta-Bericht verstärkt wurde;</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146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2</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2.</w:t>
            </w:r>
            <w:r w:rsidRPr="004E16CD">
              <w:tab/>
              <w:t xml:space="preserve">begrüßt die erneute Debatte über die Notwendigkeit, </w:t>
            </w:r>
            <w:r w:rsidRPr="004E16CD">
              <w:rPr>
                <w:b/>
                <w:i/>
              </w:rPr>
              <w:t>die Produktivität</w:t>
            </w:r>
            <w:r w:rsidRPr="004E16CD">
              <w:t xml:space="preserve"> der EU wiederherzustellen, die durch den Draghi- und den Letta-Bericht verstärkt wurde;</w:t>
            </w:r>
          </w:p>
        </w:tc>
        <w:tc>
          <w:tcPr>
            <w:tcW w:w="4876" w:type="dxa"/>
            <w:tcBorders>
              <w:top w:val="nil"/>
              <w:left w:val="nil"/>
              <w:bottom w:val="nil"/>
              <w:right w:val="nil"/>
            </w:tcBorders>
          </w:tcPr>
          <w:p w:rsidR="004E16CD" w:rsidRPr="004E16CD" w:rsidRDefault="004E16CD" w:rsidP="00241723">
            <w:pPr>
              <w:pStyle w:val="Normal6a"/>
            </w:pPr>
            <w:r w:rsidRPr="004E16CD">
              <w:t>2.</w:t>
            </w:r>
            <w:r w:rsidRPr="004E16CD">
              <w:tab/>
              <w:t xml:space="preserve">begrüßt die erneute Debatte über die Notwendigkeit, </w:t>
            </w:r>
            <w:r w:rsidRPr="004E16CD">
              <w:rPr>
                <w:b/>
                <w:i/>
              </w:rPr>
              <w:t>das Produktivitätswachstum und damit das Wirtschaftswachstum</w:t>
            </w:r>
            <w:r w:rsidRPr="004E16CD">
              <w:t xml:space="preserve"> der EU wiederherzustellen, die durch den Draghi- und den Letta-Bericht verstärkt wurde;</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147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2</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2.</w:t>
            </w:r>
            <w:r w:rsidRPr="004E16CD">
              <w:tab/>
              <w:t>begrüßt die erneute Debatte über die Notwendigkeit, die Produktivität der EU wiederherzustellen, die durch den Draghi- und den Letta-Bericht verstärkt wurde;</w:t>
            </w:r>
          </w:p>
        </w:tc>
        <w:tc>
          <w:tcPr>
            <w:tcW w:w="4876" w:type="dxa"/>
            <w:tcBorders>
              <w:top w:val="nil"/>
              <w:left w:val="nil"/>
              <w:bottom w:val="nil"/>
              <w:right w:val="nil"/>
            </w:tcBorders>
          </w:tcPr>
          <w:p w:rsidR="004E16CD" w:rsidRPr="004E16CD" w:rsidRDefault="004E16CD" w:rsidP="00241723">
            <w:pPr>
              <w:pStyle w:val="Normal6a"/>
            </w:pPr>
            <w:r w:rsidRPr="004E16CD">
              <w:t>2.</w:t>
            </w:r>
            <w:r w:rsidRPr="004E16CD">
              <w:tab/>
              <w:t xml:space="preserve">begrüßt die erneute Debatte über die Notwendigkeit, die </w:t>
            </w:r>
            <w:r w:rsidRPr="004E16CD">
              <w:rPr>
                <w:b/>
                <w:i/>
              </w:rPr>
              <w:t xml:space="preserve">Wettbewerbsfähigkeit und </w:t>
            </w:r>
            <w:r w:rsidRPr="004E16CD">
              <w:t>Produktivität der EU wiederherzustellen, die durch den Draghi- und den Letta-Bericht verstärkt wurde;</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148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Christophe Gomart</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2</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2.</w:t>
            </w:r>
            <w:r w:rsidRPr="004E16CD">
              <w:tab/>
              <w:t xml:space="preserve">begrüßt die erneute Debatte über die Notwendigkeit, die Produktivität </w:t>
            </w:r>
            <w:r w:rsidRPr="004E16CD">
              <w:rPr>
                <w:b/>
                <w:i/>
              </w:rPr>
              <w:t>der EU wiederherzustellen, die</w:t>
            </w:r>
            <w:r w:rsidRPr="004E16CD">
              <w:t xml:space="preserve"> </w:t>
            </w:r>
            <w:r w:rsidRPr="004E16CD">
              <w:rPr>
                <w:b/>
                <w:i/>
              </w:rPr>
              <w:t>durch den Draghi- und den Letta-Bericht verstärkt wurde</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2.</w:t>
            </w:r>
            <w:r w:rsidRPr="004E16CD">
              <w:tab/>
              <w:t xml:space="preserve">begrüßt die </w:t>
            </w:r>
            <w:r w:rsidRPr="004E16CD">
              <w:rPr>
                <w:b/>
                <w:i/>
              </w:rPr>
              <w:t xml:space="preserve">durch den Draghi- und den Letta-Bericht angeregte </w:t>
            </w:r>
            <w:r w:rsidRPr="004E16CD">
              <w:t xml:space="preserve">erneute Debatte über die Notwendigkeit, die Produktivität </w:t>
            </w:r>
            <w:r w:rsidRPr="004E16CD">
              <w:rPr>
                <w:b/>
                <w:i/>
              </w:rPr>
              <w:t>und die</w:t>
            </w:r>
            <w:r w:rsidRPr="004E16CD">
              <w:t xml:space="preserve"> </w:t>
            </w:r>
            <w:r w:rsidRPr="004E16CD">
              <w:rPr>
                <w:b/>
                <w:i/>
              </w:rPr>
              <w:t>Wettbewerbsfähigkeit der EU wiederherzustellen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{FR}</w:t>
      </w:r>
      <w:r w:rsidRPr="004E16CD">
        <w:t>fr</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149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Arba Kokalari</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2</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2.</w:t>
            </w:r>
            <w:r w:rsidRPr="004E16CD">
              <w:tab/>
              <w:t>begrüßt die erneute Debatte über die Notwendigkeit, die Produktivität der EU wiederherzustellen, die durch den Draghi- und den Letta-Bericht verstärkt wurde;</w:t>
            </w:r>
          </w:p>
        </w:tc>
        <w:tc>
          <w:tcPr>
            <w:tcW w:w="4876" w:type="dxa"/>
            <w:tcBorders>
              <w:top w:val="nil"/>
              <w:left w:val="nil"/>
              <w:bottom w:val="nil"/>
              <w:right w:val="nil"/>
            </w:tcBorders>
          </w:tcPr>
          <w:p w:rsidR="004E16CD" w:rsidRPr="004E16CD" w:rsidRDefault="004E16CD" w:rsidP="00241723">
            <w:pPr>
              <w:pStyle w:val="Normal6a"/>
            </w:pPr>
            <w:r w:rsidRPr="004E16CD">
              <w:t>2.</w:t>
            </w:r>
            <w:r w:rsidRPr="004E16CD">
              <w:tab/>
              <w:t xml:space="preserve">begrüßt die erneute Debatte über die Notwendigkeit, die Produktivität </w:t>
            </w:r>
            <w:r w:rsidRPr="004E16CD">
              <w:rPr>
                <w:b/>
                <w:i/>
              </w:rPr>
              <w:t xml:space="preserve">und Wettbewerbsfähigkeit </w:t>
            </w:r>
            <w:r w:rsidRPr="004E16CD">
              <w:t>der EU wiederherzustellen, die durch den Draghi- und den Letta-Bericht verstärkt wurde;</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150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2</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2.</w:t>
            </w:r>
            <w:r w:rsidRPr="004E16CD">
              <w:tab/>
              <w:t>begrüßt die erneute Debatte über die Notwendigkeit, die Produktivität der EU wiederherzustellen, die durch den Draghi- und den Letta-Bericht verstärkt wurde;</w:t>
            </w:r>
          </w:p>
        </w:tc>
        <w:tc>
          <w:tcPr>
            <w:tcW w:w="4876" w:type="dxa"/>
            <w:tcBorders>
              <w:top w:val="nil"/>
              <w:left w:val="nil"/>
              <w:bottom w:val="nil"/>
              <w:right w:val="nil"/>
            </w:tcBorders>
          </w:tcPr>
          <w:p w:rsidR="004E16CD" w:rsidRPr="004E16CD" w:rsidRDefault="004E16CD" w:rsidP="00241723">
            <w:pPr>
              <w:pStyle w:val="Normal6a"/>
            </w:pPr>
            <w:r w:rsidRPr="004E16CD">
              <w:t>2.</w:t>
            </w:r>
            <w:r w:rsidRPr="004E16CD">
              <w:tab/>
              <w:t xml:space="preserve">begrüßt die erneute Debatte über die Notwendigkeit, die Produktivität der EU wiederherzustellen, die durch den Draghi- und den Letta-Bericht verstärkt wurde; </w:t>
            </w:r>
            <w:r w:rsidRPr="004E16CD">
              <w:rPr>
                <w:b/>
                <w:i/>
              </w:rPr>
              <w:t>teilt die Auffassung, dass Europa aufgrund der Überregulierung und des starken staatlichen Eingreifens, die die Märkte verzerrt und der Verbreitung neuer Unternehmen und dem Wachstum bestehender Unternehmen entgegengewirkt haben, hinter seine Konkurrenten zurückgefallen ist;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151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Fernando Navarrete Rojas, 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2</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2.</w:t>
            </w:r>
            <w:r w:rsidRPr="004E16CD">
              <w:tab/>
              <w:t>begrüßt die erneute Debatte über die Notwendigkeit, die Produktivität der EU wiederherzustellen, die durch den Draghi- und den Letta-Bericht verstärkt wurde;</w:t>
            </w:r>
          </w:p>
        </w:tc>
        <w:tc>
          <w:tcPr>
            <w:tcW w:w="4876" w:type="dxa"/>
            <w:tcBorders>
              <w:top w:val="nil"/>
              <w:left w:val="nil"/>
              <w:bottom w:val="nil"/>
              <w:right w:val="nil"/>
            </w:tcBorders>
          </w:tcPr>
          <w:p w:rsidR="004E16CD" w:rsidRPr="004E16CD" w:rsidRDefault="004E16CD" w:rsidP="00241723">
            <w:pPr>
              <w:pStyle w:val="Normal6a"/>
            </w:pPr>
            <w:r w:rsidRPr="004E16CD">
              <w:t>2.</w:t>
            </w:r>
            <w:r w:rsidRPr="004E16CD">
              <w:tab/>
              <w:t xml:space="preserve">begrüßt die erneute Debatte über die Notwendigkeit, die Produktivität der EU wiederherzustellen, die durch den Draghi- und den Letta-Bericht verstärkt wurde; </w:t>
            </w:r>
            <w:r w:rsidRPr="004E16CD">
              <w:rPr>
                <w:b/>
                <w:i/>
              </w:rPr>
              <w:t>betont, dass Europa zurückbleibt und die Gefahr besteht, dass die Region bedeutungslos wird, wenn keine weiteren Maßnahmen ergriffen werden;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152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Auke Zijlstra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2</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2.</w:t>
            </w:r>
            <w:r w:rsidRPr="004E16CD">
              <w:tab/>
              <w:t>begrüßt die erneute Debatte über die Notwendigkeit, die Produktivität der EU wiederherzustellen, die durch den Draghi- und den Letta-Bericht verstärkt wurde;</w:t>
            </w:r>
          </w:p>
        </w:tc>
        <w:tc>
          <w:tcPr>
            <w:tcW w:w="4876" w:type="dxa"/>
            <w:tcBorders>
              <w:top w:val="nil"/>
              <w:left w:val="nil"/>
              <w:bottom w:val="nil"/>
              <w:right w:val="nil"/>
            </w:tcBorders>
          </w:tcPr>
          <w:p w:rsidR="004E16CD" w:rsidRPr="004E16CD" w:rsidRDefault="004E16CD" w:rsidP="00241723">
            <w:pPr>
              <w:pStyle w:val="Normal6a"/>
            </w:pPr>
            <w:r w:rsidRPr="004E16CD">
              <w:t>2.</w:t>
            </w:r>
            <w:r w:rsidRPr="004E16CD">
              <w:tab/>
              <w:t xml:space="preserve">begrüßt die erneute Debatte über die Notwendigkeit, die Produktivität der EU wiederherzustellen, die durch den Draghi- und den Letta-Bericht verstärkt wurde; </w:t>
            </w:r>
            <w:r w:rsidRPr="004E16CD">
              <w:rPr>
                <w:b/>
                <w:i/>
              </w:rPr>
              <w:t>weist darauf hin, dass „Wiederherstellung der Produktivität“ voraussetzt, dass die europäische produktive Wirtschaft zuvor, d. h. vor dem Binnenmarkt und der einheitlichen Währung, wettbewerbsfähig war;</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153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Kinga Kollár, 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2</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2.</w:t>
            </w:r>
            <w:r w:rsidRPr="004E16CD">
              <w:tab/>
              <w:t>begrüßt die erneute Debatte über die Notwendigkeit, die Produktivität der EU wiederherzustellen, die durch den Draghi- und den Letta-Bericht verstärkt wurde;</w:t>
            </w:r>
          </w:p>
        </w:tc>
        <w:tc>
          <w:tcPr>
            <w:tcW w:w="4876" w:type="dxa"/>
            <w:tcBorders>
              <w:top w:val="nil"/>
              <w:left w:val="nil"/>
              <w:bottom w:val="nil"/>
              <w:right w:val="nil"/>
            </w:tcBorders>
          </w:tcPr>
          <w:p w:rsidR="004E16CD" w:rsidRPr="004E16CD" w:rsidRDefault="004E16CD" w:rsidP="00241723">
            <w:pPr>
              <w:pStyle w:val="Normal6a"/>
            </w:pPr>
            <w:r w:rsidRPr="004E16CD">
              <w:t>2.</w:t>
            </w:r>
            <w:r w:rsidRPr="004E16CD">
              <w:tab/>
              <w:t xml:space="preserve">begrüßt die erneute Debatte über die Notwendigkeit, die Produktivität der EU wiederherzustellen, die durch den Draghi- und den Letta-Bericht verstärkt wurde; </w:t>
            </w:r>
            <w:r w:rsidRPr="004E16CD">
              <w:rPr>
                <w:b/>
                <w:i/>
              </w:rPr>
              <w:t>weist darauf hin, dass Wettbewerb Produktivität, Investitionen und Innovation anregt;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154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2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2a.</w:t>
            </w:r>
            <w:r w:rsidRPr="004E16CD">
              <w:tab/>
            </w:r>
            <w:r w:rsidRPr="004E16CD">
              <w:rPr>
                <w:b/>
                <w:i/>
              </w:rPr>
              <w:t>betont, dass Vereinfachung und Verringerung des bürokratischen Aufwands ein Schlüsselelement für die Verbesserung der Wettbewerbsfähigkeit der Union sind; begrüßt das Engagement der Kommission für dieses Ziel und die ersten diesbezüglichen Vorschläge wie das Omnibus-Paket zur Nachhaltigkeit;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155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2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2b.</w:t>
            </w:r>
            <w:r w:rsidRPr="004E16CD">
              <w:tab/>
            </w:r>
            <w:r w:rsidRPr="004E16CD">
              <w:rPr>
                <w:b/>
                <w:i/>
              </w:rPr>
              <w:t>weist darauf hin, dass insbesondere die Anzahl und Komplexität der Maßnahmen der Stufen 2 und 3 zu einem wesentlichen Faktor für den Verwaltungsaufwand im System der Rechtsvorschriften der Union für Finanzdienstleistungen geworden sind; fordert die Kommission und die Europäischen Aufsichtsbehörden auf, zu bewerten, wie die Zahl und Komplexität der anstehenden delegierten Rechtsakte, Durchführungsrechtsakte, Fragen und Antworten und Leitlinien verringert werden kann; betont, dass sich die Europäischen Aufsichtsbehörden strikt an das vom europäischen Gesetzgeber erteilte Mandat halten sollten;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156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3</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3.</w:t>
            </w:r>
            <w:r w:rsidRPr="004E16CD">
              <w:tab/>
              <w:t xml:space="preserve">sieht diese Berichte als Weckruf für europäische und nationale Entscheidungsträger sowie als </w:t>
            </w:r>
            <w:r w:rsidRPr="004E16CD">
              <w:rPr>
                <w:b/>
                <w:i/>
              </w:rPr>
              <w:t>Ausgangspunkt</w:t>
            </w:r>
            <w:r w:rsidRPr="004E16CD">
              <w:t xml:space="preserve"> für Maßnahmen zur Förderung </w:t>
            </w:r>
            <w:r w:rsidRPr="004E16CD">
              <w:rPr>
                <w:b/>
                <w:i/>
              </w:rPr>
              <w:t>sowohl privater als auch öffentlicher Investitionen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3.</w:t>
            </w:r>
            <w:r w:rsidRPr="004E16CD">
              <w:tab/>
              <w:t xml:space="preserve">sieht diese Berichte als Weckruf für europäische und nationale Entscheidungsträger sowie als </w:t>
            </w:r>
            <w:r w:rsidRPr="004E16CD">
              <w:rPr>
                <w:b/>
                <w:i/>
              </w:rPr>
              <w:t>Wendepunkt</w:t>
            </w:r>
            <w:r w:rsidRPr="004E16CD">
              <w:t xml:space="preserve"> für Maßnahmen zur Förderung </w:t>
            </w:r>
            <w:r w:rsidRPr="004E16CD">
              <w:rPr>
                <w:b/>
                <w:i/>
              </w:rPr>
              <w:t>privater Investitionen;</w:t>
            </w:r>
            <w:r w:rsidRPr="004E16CD">
              <w:t xml:space="preserve"> </w:t>
            </w:r>
            <w:r w:rsidRPr="004E16CD">
              <w:rPr>
                <w:b/>
                <w:i/>
              </w:rPr>
              <w:t>weist darauf hin, dass die Bemühungen der Europäischen Union zur Vollendung der Kapitalmarktunion seit 2015 kein endgültiges Ergebnis gebracht haben; fordert alle Parteien auf, Anstrengungen zu unternehmen, um die Spar- und Investitionsunion so bald wie möglich zu verwirklichen;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157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Eero Heinäluoma, Evelyn Regner, Niels Fuglsang, Claire Fita, Carla Tavares,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3</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3.</w:t>
            </w:r>
            <w:r w:rsidRPr="004E16CD">
              <w:tab/>
              <w:t xml:space="preserve">sieht diese Berichte als </w:t>
            </w:r>
            <w:r w:rsidRPr="004E16CD">
              <w:rPr>
                <w:b/>
                <w:i/>
              </w:rPr>
              <w:t>Weckruf</w:t>
            </w:r>
            <w:r w:rsidRPr="004E16CD">
              <w:t xml:space="preserve"> für europäische und nationale Entscheidungsträger sowie als Ausgangspunkt für Maßnahmen zur Förderung sowohl privater als auch öffentlicher Investitionen;</w:t>
            </w:r>
          </w:p>
        </w:tc>
        <w:tc>
          <w:tcPr>
            <w:tcW w:w="4876" w:type="dxa"/>
            <w:tcBorders>
              <w:top w:val="nil"/>
              <w:left w:val="nil"/>
              <w:bottom w:val="nil"/>
              <w:right w:val="nil"/>
            </w:tcBorders>
          </w:tcPr>
          <w:p w:rsidR="004E16CD" w:rsidRPr="004E16CD" w:rsidRDefault="004E16CD" w:rsidP="00241723">
            <w:pPr>
              <w:pStyle w:val="Normal6a"/>
            </w:pPr>
            <w:r w:rsidRPr="004E16CD">
              <w:t>3.</w:t>
            </w:r>
            <w:r w:rsidRPr="004E16CD">
              <w:tab/>
              <w:t xml:space="preserve">sieht diese Berichte als </w:t>
            </w:r>
            <w:r w:rsidRPr="004E16CD">
              <w:rPr>
                <w:b/>
                <w:i/>
              </w:rPr>
              <w:t>einen der zahlreichen Weckrufe</w:t>
            </w:r>
            <w:r w:rsidRPr="004E16CD">
              <w:t xml:space="preserve"> für europäische und nationale Entscheidungsträger sowie als Ausgangspunkt für Maßnahmen zur Förderung sowohl privater als auch öffentlicher Investitionen</w:t>
            </w:r>
            <w:r w:rsidRPr="004E16CD">
              <w:rPr>
                <w:b/>
                <w:i/>
              </w:rPr>
              <w:t xml:space="preserve"> und insbesondere für die Sektoren Digitales und Grüne Technologien, die im Wandel begriffene Automobilbranche und Schwerindustrien wie Stahl und Chemie</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158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Sirpa Pietikäinen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3</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3.</w:t>
            </w:r>
            <w:r w:rsidRPr="004E16CD">
              <w:tab/>
              <w:t>sieht diese Berichte als Weckruf für europäische und nationale Entscheidungsträger sowie als Ausgangspunkt für Maßnahmen zur Förderung sowohl privater als auch öffentlicher Investitionen;</w:t>
            </w:r>
          </w:p>
        </w:tc>
        <w:tc>
          <w:tcPr>
            <w:tcW w:w="4876" w:type="dxa"/>
            <w:tcBorders>
              <w:top w:val="nil"/>
              <w:left w:val="nil"/>
              <w:bottom w:val="nil"/>
              <w:right w:val="nil"/>
            </w:tcBorders>
          </w:tcPr>
          <w:p w:rsidR="004E16CD" w:rsidRPr="004E16CD" w:rsidRDefault="004E16CD" w:rsidP="00241723">
            <w:pPr>
              <w:pStyle w:val="Normal6a"/>
            </w:pPr>
            <w:r w:rsidRPr="004E16CD">
              <w:t>3.</w:t>
            </w:r>
            <w:r w:rsidRPr="004E16CD">
              <w:tab/>
              <w:t xml:space="preserve">sieht diese Berichte als Weckruf für europäische und nationale Entscheidungsträger sowie als Ausgangspunkt für Maßnahmen zur Förderung sowohl privater als auch öffentlicher </w:t>
            </w:r>
            <w:r w:rsidRPr="004E16CD">
              <w:rPr>
                <w:b/>
                <w:i/>
              </w:rPr>
              <w:t xml:space="preserve">nachhaltiger </w:t>
            </w:r>
            <w:r w:rsidRPr="004E16CD">
              <w:t>Investitionen;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159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Kinga Kollár, 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3</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3.</w:t>
            </w:r>
            <w:r w:rsidRPr="004E16CD">
              <w:tab/>
              <w:t>sieht diese Berichte als Weckruf für europäische und nationale Entscheidungsträger sowie als Ausgangspunkt für Maßnahmen zur Förderung sowohl privater als auch öffentlicher Investitionen;</w:t>
            </w:r>
          </w:p>
        </w:tc>
        <w:tc>
          <w:tcPr>
            <w:tcW w:w="4876" w:type="dxa"/>
            <w:tcBorders>
              <w:top w:val="nil"/>
              <w:left w:val="nil"/>
              <w:bottom w:val="nil"/>
              <w:right w:val="nil"/>
            </w:tcBorders>
          </w:tcPr>
          <w:p w:rsidR="004E16CD" w:rsidRPr="004E16CD" w:rsidRDefault="004E16CD" w:rsidP="00241723">
            <w:pPr>
              <w:pStyle w:val="Normal6a"/>
            </w:pPr>
            <w:r w:rsidRPr="004E16CD">
              <w:t>3.</w:t>
            </w:r>
            <w:r w:rsidRPr="004E16CD">
              <w:tab/>
              <w:t xml:space="preserve">sieht diese Berichte als </w:t>
            </w:r>
            <w:r w:rsidRPr="004E16CD">
              <w:rPr>
                <w:b/>
                <w:i/>
              </w:rPr>
              <w:t xml:space="preserve">ultimativen </w:t>
            </w:r>
            <w:r w:rsidRPr="004E16CD">
              <w:t>Weckruf für europäische und nationale Entscheidungsträger sowie als Ausgangspunkt für Maßnahmen zur Förderung sowohl privater als auch öffentlicher Investitionen;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160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Auke Zijlstra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3</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3.</w:t>
            </w:r>
            <w:r w:rsidRPr="004E16CD">
              <w:tab/>
              <w:t xml:space="preserve">sieht diese Berichte als Weckruf für europäische und nationale Entscheidungsträger sowie als Ausgangspunkt für Maßnahmen zur Förderung </w:t>
            </w:r>
            <w:r w:rsidRPr="004E16CD">
              <w:rPr>
                <w:b/>
                <w:i/>
              </w:rPr>
              <w:t>sowohl privater als auch öffentlicher</w:t>
            </w:r>
            <w:r w:rsidRPr="004E16CD">
              <w:t xml:space="preserve"> Investitionen;</w:t>
            </w:r>
          </w:p>
        </w:tc>
        <w:tc>
          <w:tcPr>
            <w:tcW w:w="4876" w:type="dxa"/>
            <w:tcBorders>
              <w:top w:val="nil"/>
              <w:left w:val="nil"/>
              <w:bottom w:val="nil"/>
              <w:right w:val="nil"/>
            </w:tcBorders>
          </w:tcPr>
          <w:p w:rsidR="004E16CD" w:rsidRPr="004E16CD" w:rsidRDefault="004E16CD" w:rsidP="00241723">
            <w:pPr>
              <w:pStyle w:val="Normal6a"/>
            </w:pPr>
            <w:r w:rsidRPr="004E16CD">
              <w:t>3.</w:t>
            </w:r>
            <w:r w:rsidRPr="004E16CD">
              <w:tab/>
              <w:t xml:space="preserve">sieht diese Berichte als Weckruf für europäische und nationale Entscheidungsträger sowie als Ausgangspunkt für Maßnahmen zur Förderung </w:t>
            </w:r>
            <w:r w:rsidRPr="004E16CD">
              <w:rPr>
                <w:b/>
                <w:i/>
              </w:rPr>
              <w:t>von</w:t>
            </w:r>
            <w:r w:rsidRPr="004E16CD">
              <w:t xml:space="preserve"> Investitionen;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161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Eero Heinäluoma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3</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3.</w:t>
            </w:r>
            <w:r w:rsidRPr="004E16CD">
              <w:tab/>
              <w:t>sieht diese Berichte als Weckruf für europäische und nationale Entscheidungsträger sowie als Ausgangspunkt für Maßnahmen zur Förderung sowohl privater als auch öffentlicher Investitionen;</w:t>
            </w:r>
          </w:p>
        </w:tc>
        <w:tc>
          <w:tcPr>
            <w:tcW w:w="4876" w:type="dxa"/>
            <w:tcBorders>
              <w:top w:val="nil"/>
              <w:left w:val="nil"/>
              <w:bottom w:val="nil"/>
              <w:right w:val="nil"/>
            </w:tcBorders>
          </w:tcPr>
          <w:p w:rsidR="004E16CD" w:rsidRPr="004E16CD" w:rsidRDefault="004E16CD" w:rsidP="00241723">
            <w:pPr>
              <w:pStyle w:val="Normal6a"/>
            </w:pPr>
            <w:r w:rsidRPr="004E16CD">
              <w:t>3.</w:t>
            </w:r>
            <w:r w:rsidRPr="004E16CD">
              <w:tab/>
              <w:t>sieht diese Berichte als Weckruf für europäische und nationale Entscheidungsträger sowie als Ausgangspunkt für Maßnahmen zur Förderung sowohl privater als auch öffentlicher Investitionen;</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stellt fest, dass die EbAV in ganz Europa fast 40 % ihres Vermögens für Investmentfonds bereitstellen, von denen nur 33 % in Fonds fließen, die in erster Linie auf Kapitalbeteiligungen ausgerichtet sind;</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bedauert, dass nur etwa 30 % der Investitionen dieser Investmentfonds in der EU getätigt werden, hauptsächlich in den Niederlanden, Deutschland, Luxemburg und Frankreich, während die Investitionen in den USA 46 % der Gesamtinvestitionen ausmachen;</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ist besorgt darüber, dass die Kaimaninseln den drittgrößten Anteil der nicht europäischen indirekten Investitionen der EbAV anziehen</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(EIOPA-Bericht „IORPS in focus“(EbAV im Mittelpunkt) 2024, 11.2.2025);</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fordert die Kommission auf, legislative Maßnahmen vorzuschlagen, um ein höheres Engagement der EbAV gegenüber Beteiligungsinvestitionen in der EU zu fördern; </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162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Regina Doherty</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3</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3.</w:t>
            </w:r>
            <w:r w:rsidRPr="004E16CD">
              <w:tab/>
              <w:t>sieht diese Berichte als Weckruf für europäische und nationale Entscheidungsträger sowie als Ausgangspunkt für Maßnahmen zur Förderung sowohl privater als auch öffentlicher Investitionen;</w:t>
            </w:r>
          </w:p>
        </w:tc>
        <w:tc>
          <w:tcPr>
            <w:tcW w:w="4876" w:type="dxa"/>
            <w:tcBorders>
              <w:top w:val="nil"/>
              <w:left w:val="nil"/>
              <w:bottom w:val="nil"/>
              <w:right w:val="nil"/>
            </w:tcBorders>
          </w:tcPr>
          <w:p w:rsidR="004E16CD" w:rsidRPr="004E16CD" w:rsidRDefault="004E16CD" w:rsidP="00241723">
            <w:pPr>
              <w:pStyle w:val="Normal6a"/>
            </w:pPr>
            <w:r w:rsidRPr="004E16CD">
              <w:t>3.</w:t>
            </w:r>
            <w:r w:rsidRPr="004E16CD">
              <w:tab/>
              <w:t xml:space="preserve">sieht diese Berichte als Weckruf für europäische und nationale Entscheidungsträger sowie als Ausgangspunkt für Maßnahmen zur Förderung sowohl privater als auch öffentlicher Investitionen; </w:t>
            </w:r>
            <w:r w:rsidRPr="004E16CD">
              <w:rPr>
                <w:b/>
                <w:i/>
              </w:rPr>
              <w:t>nimmt die Arbeit zur Kenntnis, die im Hinblick auf eine Kapitalmarktunion bisher geleistet wurde; weist darauf hin, dass diese Arbeit nun beschleunigt werden muss; </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0"/>
        <w:keepNext/>
      </w:pPr>
      <w:r w:rsidRPr="004E16CD">
        <w:rPr>
          <w:rStyle w:val="HideTWBExt"/>
          <w:b w:val="0"/>
          <w:lang w:eastAsia="en-US"/>
        </w:rPr>
        <w:t>&lt;Amend&gt;</w:t>
      </w:r>
      <w:r w:rsidRPr="004E16CD">
        <w:t>Änderungsantrag</w:t>
      </w:r>
      <w:r w:rsidRPr="004E16CD">
        <w:tab/>
      </w:r>
      <w:r w:rsidRPr="004E16CD">
        <w:tab/>
      </w:r>
      <w:r w:rsidRPr="004E16CD">
        <w:rPr>
          <w:rStyle w:val="HideTWBExt"/>
          <w:b w:val="0"/>
          <w:lang w:eastAsia="en-US"/>
        </w:rPr>
        <w:t>&lt;NumAm&gt;</w:t>
      </w:r>
      <w:r w:rsidRPr="004E16CD">
        <w:t>163</w:t>
      </w:r>
      <w:r w:rsidRPr="004E16CD">
        <w:rPr>
          <w:rStyle w:val="HideTWBExt"/>
          <w:b w:val="0"/>
          <w:lang w:eastAsia="en-US"/>
        </w:rPr>
        <w:t>&lt;/NumAm&gt;</w:t>
      </w:r>
    </w:p>
    <w:p w:rsidR="004E16CD" w:rsidRPr="004E16CD" w:rsidRDefault="004E16CD" w:rsidP="004E16CD">
      <w:pPr>
        <w:pStyle w:val="NormalBold"/>
      </w:pPr>
      <w:r w:rsidRPr="004E16CD">
        <w:rPr>
          <w:rStyle w:val="HideTWBExt"/>
          <w:b w:val="0"/>
        </w:rPr>
        <w:t>&lt;RepeatBlock-By&gt;&lt;Members&gt;</w:t>
      </w:r>
      <w:r w:rsidRPr="004E16CD">
        <w:t>Danuše Nerudová</w:t>
      </w:r>
      <w:r w:rsidRPr="004E16CD">
        <w:rPr>
          <w:rStyle w:val="HideTWBExt"/>
          <w:b w:val="0"/>
        </w:rPr>
        <w:t>&lt;/Members&gt;</w:t>
      </w:r>
    </w:p>
    <w:p w:rsidR="004E16CD" w:rsidRPr="004E16CD" w:rsidRDefault="004E16CD" w:rsidP="004E16CD">
      <w:r w:rsidRPr="004E16CD">
        <w:rPr>
          <w:rStyle w:val="HideTWBExt"/>
        </w:rPr>
        <w:t>&lt;/RepeatBlock-By&gt;</w:t>
      </w:r>
    </w:p>
    <w:p w:rsidR="004E16CD" w:rsidRPr="004E16CD" w:rsidRDefault="004E16CD" w:rsidP="004E16CD">
      <w:pPr>
        <w:pStyle w:val="NormalBold"/>
        <w:keepNext/>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3</w:t>
      </w:r>
      <w:r w:rsidRPr="004E16C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16CD" w:rsidRPr="004E16CD" w:rsidTr="00241723">
        <w:trPr>
          <w:jc w:val="center"/>
        </w:trPr>
        <w:tc>
          <w:tcPr>
            <w:tcW w:w="9752" w:type="dxa"/>
            <w:gridSpan w:val="2"/>
          </w:tcPr>
          <w:p w:rsidR="004E16CD" w:rsidRPr="004E16CD" w:rsidRDefault="004E16CD" w:rsidP="00241723">
            <w:pPr>
              <w:keepNext/>
            </w:pPr>
          </w:p>
        </w:tc>
      </w:tr>
      <w:tr w:rsidR="004E16CD" w:rsidRPr="004E16CD" w:rsidTr="00241723">
        <w:trPr>
          <w:jc w:val="center"/>
        </w:trPr>
        <w:tc>
          <w:tcPr>
            <w:tcW w:w="4876" w:type="dxa"/>
          </w:tcPr>
          <w:p w:rsidR="004E16CD" w:rsidRPr="004E16CD" w:rsidRDefault="004E16CD" w:rsidP="00241723">
            <w:pPr>
              <w:pStyle w:val="ColumnHeading"/>
              <w:keepNext/>
            </w:pPr>
            <w:r w:rsidRPr="004E16CD">
              <w:t>Entschließungsantrag</w:t>
            </w:r>
          </w:p>
        </w:tc>
        <w:tc>
          <w:tcPr>
            <w:tcW w:w="4876" w:type="dxa"/>
          </w:tcPr>
          <w:p w:rsidR="004E16CD" w:rsidRPr="004E16CD" w:rsidRDefault="004E16CD" w:rsidP="00241723">
            <w:pPr>
              <w:pStyle w:val="ColumnHeading"/>
              <w:keepNext/>
            </w:pPr>
            <w:r w:rsidRPr="004E16CD">
              <w:t>Geänderter Text</w:t>
            </w:r>
          </w:p>
        </w:tc>
      </w:tr>
      <w:tr w:rsidR="004E16CD" w:rsidRPr="004E16CD" w:rsidTr="00241723">
        <w:trPr>
          <w:jc w:val="center"/>
        </w:trPr>
        <w:tc>
          <w:tcPr>
            <w:tcW w:w="4876" w:type="dxa"/>
          </w:tcPr>
          <w:p w:rsidR="004E16CD" w:rsidRPr="004E16CD" w:rsidRDefault="004E16CD" w:rsidP="00241723">
            <w:pPr>
              <w:pStyle w:val="Normal6"/>
            </w:pPr>
            <w:r w:rsidRPr="004E16CD">
              <w:t>3.</w:t>
            </w:r>
            <w:r w:rsidRPr="004E16CD">
              <w:tab/>
              <w:t>sieht diese Berichte als Weckruf für europäische und nationale Entscheidungsträger sowie als Ausgangspunkt für Maßnahmen zur Förderung sowohl privater als auch öffentlicher Investitionen;</w:t>
            </w:r>
          </w:p>
        </w:tc>
        <w:tc>
          <w:tcPr>
            <w:tcW w:w="4876" w:type="dxa"/>
          </w:tcPr>
          <w:p w:rsidR="004E16CD" w:rsidRPr="004E16CD" w:rsidRDefault="004E16CD" w:rsidP="00241723">
            <w:pPr>
              <w:pStyle w:val="Normal6"/>
              <w:rPr>
                <w:szCs w:val="24"/>
              </w:rPr>
            </w:pPr>
            <w:r w:rsidRPr="004E16CD">
              <w:t>3.</w:t>
            </w:r>
            <w:r w:rsidRPr="004E16CD">
              <w:tab/>
              <w:t>sieht diese Berichte als Weckruf für europäische und nationale Entscheidungsträger sowie als Ausgangspunkt für Maßnahmen zur Förderung sowohl privater als auch öffentlicher Investitionen</w:t>
            </w:r>
            <w:r w:rsidRPr="004E16CD">
              <w:rPr>
                <w:b/>
                <w:i/>
              </w:rPr>
              <w:t xml:space="preserve"> sowie dafür, die Unterstützung der EU für öffentlich-private Partnerschaften aufzustocken</w:t>
            </w:r>
            <w:r w:rsidRPr="004E16CD">
              <w:t xml:space="preserve">; </w:t>
            </w:r>
            <w:r w:rsidRPr="004E16CD">
              <w:rPr>
                <w:b/>
                <w:i/>
              </w:rPr>
              <w:t>betont, dass öffentliche Investitionen bei der Mobilisierung privater Investitionen eine entscheidende Rolle spielen; ist der Ansicht, dass Finanzierungsinstrumente und Haushaltsgarantien eine wirksame Nutzung von Ressourcen darstellen, um äußerst wichtige politische Ziele der EU zu voranzubringen; bekräftigt, dass gut konzipierte Haushaltsgarantien und Finanzierungsinstrumente, wenn sie auf Markterfordernissen beruhen, eine äußerst effiziente Nutzung der begrenzten EU-Haushaltsmittel darstellen, um die Risiken von Investitionen zu verringern und privates Kapital zu mobilisieren;</w:t>
            </w:r>
          </w:p>
        </w:tc>
      </w:tr>
    </w:tbl>
    <w:p w:rsidR="004E16CD" w:rsidRPr="004E16CD" w:rsidRDefault="004E16CD" w:rsidP="004E16CD">
      <w:pPr>
        <w:pStyle w:val="Olang"/>
        <w:rPr>
          <w:sz w:val="24"/>
          <w:szCs w:val="24"/>
        </w:rPr>
      </w:pPr>
      <w:r w:rsidRPr="004E16CD">
        <w:rPr>
          <w:sz w:val="24"/>
          <w:szCs w:val="24"/>
        </w:rPr>
        <w:t xml:space="preserve">Or. </w:t>
      </w:r>
      <w:r w:rsidRPr="004E16CD">
        <w:rPr>
          <w:rStyle w:val="HideTWBExt"/>
        </w:rPr>
        <w:t>&lt;Original&gt;</w:t>
      </w:r>
      <w:r w:rsidRPr="004E16CD">
        <w:rPr>
          <w:rStyle w:val="HideTWBInt"/>
        </w:rPr>
        <w:t>{EN}</w:t>
      </w:r>
      <w:r w:rsidRPr="004E16CD">
        <w:rPr>
          <w:sz w:val="24"/>
          <w:szCs w:val="24"/>
        </w:rPr>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164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Rasmus Andresen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3</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3.</w:t>
            </w:r>
            <w:r w:rsidRPr="004E16CD">
              <w:tab/>
              <w:t>sieht diese Berichte als Weckruf für europäische und nationale Entscheidungsträger sowie als Ausgangspunkt für Maßnahmen zur Förderung sowohl privater als auch öffentlicher Investitionen;</w:t>
            </w:r>
          </w:p>
        </w:tc>
        <w:tc>
          <w:tcPr>
            <w:tcW w:w="4876" w:type="dxa"/>
            <w:tcBorders>
              <w:top w:val="nil"/>
              <w:left w:val="nil"/>
              <w:bottom w:val="nil"/>
              <w:right w:val="nil"/>
            </w:tcBorders>
          </w:tcPr>
          <w:p w:rsidR="004E16CD" w:rsidRPr="004E16CD" w:rsidRDefault="004E16CD" w:rsidP="00241723">
            <w:pPr>
              <w:pStyle w:val="Normal6a"/>
            </w:pPr>
            <w:r w:rsidRPr="004E16CD">
              <w:t>3.</w:t>
            </w:r>
            <w:r w:rsidRPr="004E16CD">
              <w:tab/>
              <w:t xml:space="preserve">sieht diese Berichte als Weckruf für europäische und nationale Entscheidungsträger sowie als Ausgangspunkt für Maßnahmen zur Förderung sowohl privater als auch öffentlicher Investitionen; </w:t>
            </w:r>
            <w:r w:rsidRPr="004E16CD">
              <w:rPr>
                <w:b/>
                <w:i/>
              </w:rPr>
              <w:t>begrüßt, dass die Kommission anerkennt, dass öffentliche Finanzmittel mobilisiert werden müssen, um Innovationen in der EU zu unterstützen;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165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Engin Eroglu</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3</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3.</w:t>
            </w:r>
            <w:r w:rsidRPr="004E16CD">
              <w:tab/>
              <w:t>sieht diese Berichte als Weckruf für europäische und nationale Entscheidungsträger sowie als Ausgangspunkt für Maßnahmen zur Förderung sowohl privater als auch öffentlicher Investitionen;</w:t>
            </w:r>
          </w:p>
        </w:tc>
        <w:tc>
          <w:tcPr>
            <w:tcW w:w="4876" w:type="dxa"/>
            <w:tcBorders>
              <w:top w:val="nil"/>
              <w:left w:val="nil"/>
              <w:bottom w:val="nil"/>
              <w:right w:val="nil"/>
            </w:tcBorders>
          </w:tcPr>
          <w:p w:rsidR="004E16CD" w:rsidRPr="004E16CD" w:rsidRDefault="004E16CD" w:rsidP="00241723">
            <w:pPr>
              <w:pStyle w:val="Normal6a"/>
            </w:pPr>
            <w:r w:rsidRPr="004E16CD">
              <w:t>3.</w:t>
            </w:r>
            <w:r w:rsidRPr="004E16CD">
              <w:tab/>
              <w:t xml:space="preserve">sieht diese Berichte als Weckruf für europäische und nationale Entscheidungsträger sowie als Ausgangspunkt für Maßnahmen zur Förderung sowohl privater als auch öffentlicher Investitionen; </w:t>
            </w:r>
            <w:r w:rsidRPr="004E16CD">
              <w:rPr>
                <w:b/>
                <w:i/>
              </w:rPr>
              <w:t>sowie als Weckruf für einen echten Bürokratieabbau in dem Sektor und ernsthafte Staatsreformen für solide EU-Haushalte;</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{DE}</w:t>
      </w:r>
      <w:r w:rsidRPr="004E16CD">
        <w:t>de</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166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Fernando Navarrete Rojas, 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3</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3.</w:t>
            </w:r>
            <w:r w:rsidRPr="004E16CD">
              <w:tab/>
              <w:t>sieht diese Berichte als Weckruf für europäische und nationale Entscheidungsträger sowie als Ausgangspunkt für Maßnahmen zur Förderung sowohl privater als auch öffentlicher Investitionen;</w:t>
            </w:r>
          </w:p>
        </w:tc>
        <w:tc>
          <w:tcPr>
            <w:tcW w:w="4876" w:type="dxa"/>
            <w:tcBorders>
              <w:top w:val="nil"/>
              <w:left w:val="nil"/>
              <w:bottom w:val="nil"/>
              <w:right w:val="nil"/>
            </w:tcBorders>
          </w:tcPr>
          <w:p w:rsidR="004E16CD" w:rsidRPr="004E16CD" w:rsidRDefault="004E16CD" w:rsidP="00241723">
            <w:pPr>
              <w:pStyle w:val="Normal6a"/>
            </w:pPr>
            <w:r w:rsidRPr="004E16CD">
              <w:t>3.</w:t>
            </w:r>
            <w:r w:rsidRPr="004E16CD">
              <w:tab/>
              <w:t xml:space="preserve">sieht diese Berichte als Weckruf für europäische und nationale Entscheidungsträger sowie als Ausgangspunkt für Maßnahmen zur Förderung sowohl privater als auch öffentlicher Investitionen; </w:t>
            </w:r>
            <w:r w:rsidRPr="004E16CD">
              <w:rPr>
                <w:b/>
                <w:i/>
              </w:rPr>
              <w:t>fordert die Mitgliedstaaten auf, sich den Weckruf des Draghi- und des Letta-Berichtes zu Herzen zu nehmen;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167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Rasmus Andresen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3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3a.</w:t>
            </w:r>
            <w:r w:rsidRPr="004E16CD">
              <w:tab/>
            </w:r>
            <w:r w:rsidRPr="004E16CD">
              <w:rPr>
                <w:b/>
                <w:i/>
              </w:rPr>
              <w:t>weist darauf hin, dass das Ziel, 3 % des BIP für Forschung und Innovation auszugeben, noch lange nicht erreicht ist; fordert die Kommission und die Mitgliedstaaten auf, für ausreichende Finanzmittel und Instrumente zu sorgen, um dieses Ziel zu erreichen, und hochwertige Projekte während des gesamten Innovationszyklus, von der Grundlagenforschung bis zur Demonstration und Markteinführung, zu finanzieren; betont, dass Kontinuität und langfristige Investitionen sowie ein eigener Forschungs- und Innnovationshaushalt notwendig sind, um die weltweite Führungsposition Europas zu festigen;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168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René Repasi, Evelyn Regner, Niels Fuglsang, Claire Fita, Thomas Bajada,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3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3a.</w:t>
            </w:r>
            <w:r w:rsidRPr="004E16CD">
              <w:tab/>
            </w:r>
            <w:r w:rsidRPr="004E16CD">
              <w:rPr>
                <w:b/>
                <w:i/>
              </w:rPr>
              <w:t>nimmt mit Besorgnis die Risiken von negativen Schocks für das Wirtschaftswachstum</w:t>
            </w:r>
            <w:r w:rsidRPr="004E16CD">
              <w:rPr>
                <w:b/>
                <w:i/>
                <w:vertAlign w:val="superscript"/>
              </w:rPr>
              <w:t>1a</w:t>
            </w:r>
            <w:r w:rsidRPr="004E16CD">
              <w:rPr>
                <w:b/>
                <w:i/>
              </w:rPr>
              <w:t xml:space="preserve"> und der anhaltenden Turbulenzen auf den Finanzmärkten zur Kenntnis, die den Wohlstand der europäischen Bürgerinnen und Bürger, Arbeitnehmer und Unternehmen gefährden könnten, wie soziale Ungleichheiten, eskalierende Handelsspannungen, der Klimawandel, die Zunahme von Umweltgefahren und ein fragmentierter Binnenmarkt;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vertAlign w:val="superscript"/>
              </w:rPr>
              <w:t>1a</w:t>
            </w:r>
            <w:r w:rsidRPr="004E16CD">
              <w:t xml:space="preserve"> </w:t>
            </w:r>
            <w:r w:rsidRPr="004E16CD">
              <w:rPr>
                <w:b/>
                <w:i/>
              </w:rPr>
              <w:t>IWF, World Economic Outlook, April 2025.</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169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3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3a.</w:t>
            </w:r>
            <w:r w:rsidRPr="004E16CD">
              <w:tab/>
            </w:r>
            <w:r w:rsidRPr="004E16CD">
              <w:rPr>
                <w:b/>
                <w:i/>
              </w:rPr>
              <w:t>weist darauf hin, dass die Kommission im September 2015 ihren ersten Aktionsplan zur Schaffung einer Kapitalmarktunion angenommen hat; bedauert, dass bezüglich der Integration der EU-Kapitalmärkte seitdem nur begrenzte Fortschritte erzielt wurden;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170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Eero Heinäluoma, Evelyn Regner, Niels Fuglsang, Claire Fita, Carla Tavares,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3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3b.</w:t>
            </w:r>
            <w:r w:rsidRPr="004E16CD">
              <w:tab/>
            </w:r>
            <w:r w:rsidRPr="004E16CD">
              <w:rPr>
                <w:b/>
                <w:i/>
              </w:rPr>
              <w:t>betont jedoch, dass die EU dank ihres soliden Regelungsrahmens ihre Widerstandsfähigkeit unter Beweis gestellt und sich als Region der Stabilität positioniert hat; ist der Ansicht, dass diese Stabilität zu einem echten komparativen Vorteil und Wettbewerbsvorteil werden könnte; hebt den untrennbaren Zusammenhang zwischen Rechtsstaatlichkeit und nachhaltigem Wirtschaftswachstum hervor; empfiehlt dem Rat, die Annahme der verbleibenden Rechtsvorschriften zu beschleunigen, um seinen Rahmen für die Finanzstabilität zu sichern und die Bankenunion zu vollenden;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171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3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3b.</w:t>
            </w:r>
            <w:r w:rsidRPr="004E16CD">
              <w:tab/>
            </w:r>
            <w:r w:rsidRPr="004E16CD">
              <w:rPr>
                <w:b/>
                <w:i/>
              </w:rPr>
              <w:t>begrüßt die Annahme der Mitteilung der Kommission mit dem Titel „Spar- und Investitionsunion – Eine Strategie zur Förderung von Wohlstand und wirtschaftlicher Wettbewerbsfähigkeit in der EU“, in der verschiedene politische Initiativen dargelegt werden und die darauf abzielt, die Finanzmärkte der EU zu integrieren und Ersparnisse wirksam in Investitionen zu lenken;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172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3 c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3c.</w:t>
            </w:r>
            <w:r w:rsidRPr="004E16CD">
              <w:tab/>
            </w:r>
            <w:r w:rsidRPr="004E16CD">
              <w:rPr>
                <w:b/>
                <w:i/>
              </w:rPr>
              <w:t>weist darauf hin, dass die mangelnden Fortschritte bei der Integration der EU-Finanzmärkte häufig auf die Vorbehalte der EU-Mitgliedstaaten zurückzuführen sind; fordert die Mitgliedstaaten auf, die bestehende Dynamik zu nutzen und mit dem Parlament zusammenzuarbeiten, um die Integration der EU-Finanzmärkte spürbar voranzubringen;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173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Evelyn Regner, Niels Fuglsang, Claire Fita, Carla Tavares, Thomas Bajada,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3 c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3c.</w:t>
            </w:r>
            <w:r w:rsidRPr="004E16CD">
              <w:tab/>
            </w:r>
            <w:r w:rsidRPr="004E16CD">
              <w:rPr>
                <w:b/>
                <w:i/>
              </w:rPr>
              <w:t>fordert die Kommission nachdrücklich auf, Vorschläge vorzulegen, die darauf abzielen, zusätzliches Kapital zu mobilisieren, und gleichzeitig Finanzmittel bereitzustellen, um die in Artikel 3 des Vertrags über die Europäische Union festgelegten Ziele zu erreichen;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174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Evelyn Regner, Niels Fuglsang, Claire Fita, Carla Tavares,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3 d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3d.</w:t>
            </w:r>
            <w:r w:rsidRPr="004E16CD">
              <w:tab/>
            </w:r>
            <w:r w:rsidRPr="004E16CD">
              <w:rPr>
                <w:b/>
                <w:i/>
              </w:rPr>
              <w:t>fordert nachdrücklich, dass dringend Maßnahmen ergriffen, die Entscheidungsfindung beschleunigt, Verzögerungen bei der Umsetzung verringert und Entscheidungen über staatliche Beihilfen und Subventionen beschleunigt werden müssen;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175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Evelyn Regner, Niels Fuglsang, Claire Fita, Carla Tavares, Thomas Bajada,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3 e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3e.</w:t>
            </w:r>
            <w:r w:rsidRPr="004E16CD">
              <w:tab/>
            </w:r>
            <w:r w:rsidRPr="004E16CD">
              <w:rPr>
                <w:b/>
                <w:i/>
              </w:rPr>
              <w:t>ist der Ansicht, dass die Union ihre Kapitalmarktunion voranbringen muss, um Investitionen des Privatsektors zu mobilisieren; betont, dass die Unterstützung des öffentlichen Sektors erforderlich sein wird, um die zusätzlichen Investitionen zu tätigen, die jedes Jahr mindestens erforderlich sind, um wieder für einen nachhaltigen und innovativen Industriesektor zu sorgen und den Wohlstand der Union zu festigen; betont, dass eine Steigerung der Produktivität auch einen größeren haushaltspolitischen Spielraum schaffen würde und dass öffentliche Investitionen eine antizyklische Politik auslösen können, durch die Innovation, nachhaltiges inklusives Wachstum und die Schaffung von Arbeitsplätzen gefördert werden;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176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Marco Falcone, Fulvio Martusciello</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4</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4.</w:t>
            </w:r>
            <w:r w:rsidRPr="004E16CD">
              <w:tab/>
              <w:t xml:space="preserve">bedauert, dass viele Unternehmer mit Sitz in der EU </w:t>
            </w:r>
            <w:r w:rsidRPr="004E16CD">
              <w:rPr>
                <w:b/>
                <w:i/>
              </w:rPr>
              <w:t>einen Umzug</w:t>
            </w:r>
            <w:r w:rsidRPr="004E16CD">
              <w:t xml:space="preserve"> für notwendig erachten, um leichter Zugang zu Finanzmitteln und Ressourcen zu erhalten; </w:t>
            </w:r>
            <w:r w:rsidRPr="004E16CD">
              <w:rPr>
                <w:b/>
                <w:i/>
              </w:rPr>
              <w:t>bedauert</w:t>
            </w:r>
            <w:r w:rsidRPr="004E16CD">
              <w:t xml:space="preserve">, dass </w:t>
            </w:r>
            <w:r w:rsidRPr="004E16CD">
              <w:rPr>
                <w:b/>
                <w:i/>
              </w:rPr>
              <w:t>sie sich an Risikokapitalgeber außerhalb</w:t>
            </w:r>
            <w:r w:rsidRPr="004E16CD">
              <w:t xml:space="preserve"> der </w:t>
            </w:r>
            <w:r w:rsidRPr="004E16CD">
              <w:rPr>
                <w:b/>
                <w:i/>
              </w:rPr>
              <w:t>EU wenden</w:t>
            </w:r>
            <w:r w:rsidRPr="004E16CD">
              <w:t xml:space="preserve"> und </w:t>
            </w:r>
            <w:r w:rsidRPr="004E16CD">
              <w:rPr>
                <w:b/>
                <w:i/>
              </w:rPr>
              <w:t>auf ausländischen Märkten expandieren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4.</w:t>
            </w:r>
            <w:r w:rsidRPr="004E16CD">
              <w:tab/>
              <w:t xml:space="preserve">bedauert, dass viele Unternehmer mit Sitz in der EU </w:t>
            </w:r>
            <w:r w:rsidRPr="004E16CD">
              <w:rPr>
                <w:b/>
                <w:i/>
              </w:rPr>
              <w:t>eine Sitzverlagerung</w:t>
            </w:r>
            <w:r w:rsidRPr="004E16CD">
              <w:t xml:space="preserve"> für notwendig erachten, um leichter Zugang zu Finanzmitteln und Ressourcen zu erhalten; </w:t>
            </w:r>
            <w:r w:rsidRPr="004E16CD">
              <w:rPr>
                <w:b/>
                <w:i/>
              </w:rPr>
              <w:t>fordert die Kommission und die Mitgliedstaaten auf, sich verstärkt darum zu bemühen, Hindernisse und Hemmnisse zu beseitigen, die den Binnenmarkt fragmentieren und europäische Unternehmen davon abhalten, in der Union zu verbleiben, insbesondere solche, die mit einem unverhältnismäßigen Verwaltungsaufwand, ungleichen Steuersystemen zwischen den Mitgliedstaaten, nachteiligen Umweltauflagen, übermäßig langen Fristen für den Erhalt von Genehmigungen und Lizenzen und Schwierigkeiten beim Zugang zu Finanzmitteln zusammenhängen;</w:t>
            </w:r>
            <w:r w:rsidRPr="004E16CD">
              <w:t xml:space="preserve"> </w:t>
            </w:r>
            <w:r w:rsidRPr="004E16CD">
              <w:rPr>
                <w:b/>
                <w:i/>
              </w:rPr>
              <w:t>betont, dass diese Probleme zum Verlust der Wettbewerbsfähigkeit der europäischen Industrie beitragen und viele Unternehmen dazu anregen, ihren Sitz in Drittländer mit geringeren rechtlichen Zwängen und geringeren Kosten zu verlagern;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{IT}</w:t>
      </w:r>
      <w:r w:rsidRPr="004E16CD">
        <w:t>it</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177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Pierre Pimpie</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4</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4.</w:t>
            </w:r>
            <w:r w:rsidRPr="004E16CD">
              <w:tab/>
              <w:t xml:space="preserve">bedauert, dass viele Unternehmer mit Sitz in der EU </w:t>
            </w:r>
            <w:r w:rsidRPr="004E16CD">
              <w:rPr>
                <w:b/>
                <w:i/>
              </w:rPr>
              <w:t>einen Umzug</w:t>
            </w:r>
            <w:r w:rsidRPr="004E16CD">
              <w:t xml:space="preserve"> für notwendig erachten, um leichter Zugang zu Finanzmitteln und Ressourcen zu erhalten; </w:t>
            </w:r>
            <w:r w:rsidRPr="004E16CD">
              <w:rPr>
                <w:b/>
                <w:i/>
              </w:rPr>
              <w:t>bedauert</w:t>
            </w:r>
            <w:r w:rsidRPr="004E16CD">
              <w:t xml:space="preserve">, dass </w:t>
            </w:r>
            <w:r w:rsidRPr="004E16CD">
              <w:rPr>
                <w:b/>
                <w:i/>
              </w:rPr>
              <w:t>sie sich an Risikokapitalgeber außerhalb der EU wenden und</w:t>
            </w:r>
            <w:r w:rsidRPr="004E16CD">
              <w:t xml:space="preserve"> auf </w:t>
            </w:r>
            <w:r w:rsidRPr="004E16CD">
              <w:rPr>
                <w:b/>
                <w:i/>
              </w:rPr>
              <w:t>ausländischen Märkten expandieren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4.</w:t>
            </w:r>
            <w:r w:rsidRPr="004E16CD">
              <w:tab/>
              <w:t xml:space="preserve">bedauert, dass viele Unternehmer mit Sitz in der EU </w:t>
            </w:r>
            <w:r w:rsidRPr="004E16CD">
              <w:rPr>
                <w:b/>
                <w:i/>
              </w:rPr>
              <w:t>eine Sitzverlagerung</w:t>
            </w:r>
            <w:r w:rsidRPr="004E16CD">
              <w:t xml:space="preserve"> für notwendig erachten, um leichter Zugang zu Finanzmitteln und Ressourcen zu erhalten; </w:t>
            </w:r>
            <w:r w:rsidRPr="004E16CD">
              <w:rPr>
                <w:b/>
                <w:i/>
              </w:rPr>
              <w:t>stellt fest</w:t>
            </w:r>
            <w:r w:rsidRPr="004E16CD">
              <w:t xml:space="preserve">, dass </w:t>
            </w:r>
            <w:r w:rsidRPr="004E16CD">
              <w:rPr>
                <w:b/>
                <w:i/>
              </w:rPr>
              <w:t>der europäische Markt Unternehmenswachstum und den Zugang zu Kapital nicht ausreichend unterstützt; besteht jedoch darauf, dass die Bewältigung dieses Problems nicht</w:t>
            </w:r>
            <w:r w:rsidRPr="004E16CD">
              <w:t xml:space="preserve"> auf </w:t>
            </w:r>
            <w:r w:rsidRPr="004E16CD">
              <w:rPr>
                <w:b/>
                <w:i/>
              </w:rPr>
              <w:t>Kosten der Anlagesicherheit der Anleger gehen sollte</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178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Regina Doherty</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4</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4.</w:t>
            </w:r>
            <w:r w:rsidRPr="004E16CD">
              <w:tab/>
              <w:t xml:space="preserve">bedauert, dass viele Unternehmer mit Sitz in der EU </w:t>
            </w:r>
            <w:r w:rsidRPr="004E16CD">
              <w:rPr>
                <w:b/>
                <w:i/>
              </w:rPr>
              <w:t>einen Umzug für notwendig erachten</w:t>
            </w:r>
            <w:r w:rsidRPr="004E16CD">
              <w:t xml:space="preserve">, um leichter Zugang zu Finanzmitteln und Ressourcen zu erhalten; </w:t>
            </w:r>
            <w:r w:rsidRPr="004E16CD">
              <w:rPr>
                <w:b/>
                <w:i/>
              </w:rPr>
              <w:t>bedauert</w:t>
            </w:r>
            <w:r w:rsidRPr="004E16CD">
              <w:t xml:space="preserve">, </w:t>
            </w:r>
            <w:r w:rsidRPr="004E16CD">
              <w:rPr>
                <w:b/>
                <w:i/>
              </w:rPr>
              <w:t>dass sie sich an Risikokapitalgeber außerhalb der EU wenden</w:t>
            </w:r>
            <w:r w:rsidRPr="004E16CD">
              <w:t xml:space="preserve"> und </w:t>
            </w:r>
            <w:r w:rsidRPr="004E16CD">
              <w:rPr>
                <w:b/>
                <w:i/>
              </w:rPr>
              <w:t>auf ausländischen Märkten expandieren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4.</w:t>
            </w:r>
            <w:r w:rsidRPr="004E16CD">
              <w:tab/>
              <w:t xml:space="preserve">bedauert, dass viele Unternehmer mit Sitz in der EU </w:t>
            </w:r>
            <w:r w:rsidRPr="004E16CD">
              <w:rPr>
                <w:b/>
                <w:i/>
              </w:rPr>
              <w:t>zu einer Sitzverlagerung gezwungen sind</w:t>
            </w:r>
            <w:r w:rsidRPr="004E16CD">
              <w:t xml:space="preserve">, um </w:t>
            </w:r>
            <w:r w:rsidRPr="004E16CD">
              <w:rPr>
                <w:b/>
                <w:i/>
              </w:rPr>
              <w:t xml:space="preserve">ihre Unternehmen auszubauen und </w:t>
            </w:r>
            <w:r w:rsidRPr="004E16CD">
              <w:t xml:space="preserve">leichter Zugang zu Finanzmitteln und Ressourcen zu erhalten; </w:t>
            </w:r>
            <w:r w:rsidRPr="004E16CD">
              <w:rPr>
                <w:b/>
                <w:i/>
              </w:rPr>
              <w:t>betont daher</w:t>
            </w:r>
            <w:r w:rsidRPr="004E16CD">
              <w:t xml:space="preserve">, </w:t>
            </w:r>
            <w:r w:rsidRPr="004E16CD">
              <w:rPr>
                <w:b/>
                <w:i/>
              </w:rPr>
              <w:t>wie wichtig es ist, ein starkes Ökosystem für Risikokapital</w:t>
            </w:r>
            <w:r w:rsidRPr="004E16CD">
              <w:t xml:space="preserve"> und </w:t>
            </w:r>
            <w:r w:rsidRPr="004E16CD">
              <w:rPr>
                <w:b/>
                <w:i/>
              </w:rPr>
              <w:t>Investitionen in der EU zu entwickeln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179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Auke Zijlstra, Enikő Győri</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4</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4.</w:t>
            </w:r>
            <w:r w:rsidRPr="004E16CD">
              <w:tab/>
            </w:r>
            <w:r w:rsidRPr="004E16CD">
              <w:rPr>
                <w:b/>
                <w:i/>
              </w:rPr>
              <w:t>bedauert</w:t>
            </w:r>
            <w:r w:rsidRPr="004E16CD">
              <w:t xml:space="preserve">, dass viele Unternehmer mit Sitz in der EU </w:t>
            </w:r>
            <w:r w:rsidRPr="004E16CD">
              <w:rPr>
                <w:b/>
                <w:i/>
              </w:rPr>
              <w:t>einen Umzug für notwendig erachten</w:t>
            </w:r>
            <w:r w:rsidRPr="004E16CD">
              <w:t>, um leichter Zugang zu Finanzmitteln und Ressourcen zu erhalten;</w:t>
            </w:r>
            <w:r w:rsidRPr="004E16CD">
              <w:rPr>
                <w:b/>
                <w:i/>
              </w:rPr>
              <w:t xml:space="preserve"> bedauert</w:t>
            </w:r>
            <w:r w:rsidRPr="004E16CD">
              <w:t>, dass sie sich an Risikokapitalgeber außerhalb der EU wenden und auf ausländischen Märkten expandieren;</w:t>
            </w:r>
          </w:p>
        </w:tc>
        <w:tc>
          <w:tcPr>
            <w:tcW w:w="4876" w:type="dxa"/>
            <w:tcBorders>
              <w:top w:val="nil"/>
              <w:left w:val="nil"/>
              <w:bottom w:val="nil"/>
              <w:right w:val="nil"/>
            </w:tcBorders>
          </w:tcPr>
          <w:p w:rsidR="004E16CD" w:rsidRPr="004E16CD" w:rsidRDefault="004E16CD" w:rsidP="00241723">
            <w:pPr>
              <w:pStyle w:val="Normal6a"/>
            </w:pPr>
            <w:r w:rsidRPr="004E16CD">
              <w:t>4.</w:t>
            </w:r>
            <w:r w:rsidRPr="004E16CD">
              <w:tab/>
            </w:r>
            <w:r w:rsidRPr="004E16CD">
              <w:rPr>
                <w:b/>
                <w:i/>
              </w:rPr>
              <w:t>stellt fest</w:t>
            </w:r>
            <w:r w:rsidRPr="004E16CD">
              <w:t xml:space="preserve">, dass viele Unternehmer mit Sitz in der EU </w:t>
            </w:r>
            <w:r w:rsidRPr="004E16CD">
              <w:rPr>
                <w:b/>
                <w:i/>
              </w:rPr>
              <w:t>ihren Sitz verlagern</w:t>
            </w:r>
            <w:r w:rsidRPr="004E16CD">
              <w:t>, um leichter Zugang zu Finanzmitteln</w:t>
            </w:r>
            <w:r w:rsidRPr="004E16CD">
              <w:rPr>
                <w:b/>
                <w:i/>
              </w:rPr>
              <w:t>, hochqualifizierten Arbeitskräften</w:t>
            </w:r>
            <w:r w:rsidRPr="004E16CD">
              <w:t xml:space="preserve"> und Ressourcen zu erhalten</w:t>
            </w:r>
            <w:r w:rsidRPr="004E16CD">
              <w:rPr>
                <w:b/>
                <w:i/>
              </w:rPr>
              <w:t xml:space="preserve"> und undurchsichtigen Vorschriften zu entgehen, die Investitionen und die Expansion von Unternehmen verhindern</w:t>
            </w:r>
            <w:r w:rsidRPr="004E16CD">
              <w:t>;</w:t>
            </w:r>
            <w:r w:rsidRPr="004E16CD">
              <w:rPr>
                <w:b/>
                <w:i/>
              </w:rPr>
              <w:t xml:space="preserve"> stellt fest</w:t>
            </w:r>
            <w:r w:rsidRPr="004E16CD">
              <w:t>, dass sie sich an Risikokapitalgeber außerhalb der EU wenden und auf ausländischen Märkten expandieren</w:t>
            </w:r>
            <w:r w:rsidRPr="004E16CD">
              <w:rPr>
                <w:b/>
                <w:i/>
              </w:rPr>
              <w:t>, wo Investitionen und Expansion begrüßt und nicht missbilligt werden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180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4</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4.</w:t>
            </w:r>
            <w:r w:rsidRPr="004E16CD">
              <w:tab/>
              <w:t xml:space="preserve">bedauert, dass viele Unternehmer mit Sitz in der EU </w:t>
            </w:r>
            <w:r w:rsidRPr="004E16CD">
              <w:rPr>
                <w:b/>
                <w:i/>
              </w:rPr>
              <w:t>einen Umzug für notwendig erachten</w:t>
            </w:r>
            <w:r w:rsidRPr="004E16CD">
              <w:t>, um</w:t>
            </w:r>
            <w:r w:rsidRPr="004E16CD">
              <w:rPr>
                <w:b/>
                <w:i/>
              </w:rPr>
              <w:t xml:space="preserve"> leichter</w:t>
            </w:r>
            <w:r w:rsidRPr="004E16CD">
              <w:t xml:space="preserve"> Zugang zu Finanzmitteln und Ressourcen zu erhalten; bedauert, dass sie sich an Risikokapitalgeber außerhalb der EU wenden und auf ausländischen Märkten expandieren;</w:t>
            </w:r>
          </w:p>
        </w:tc>
        <w:tc>
          <w:tcPr>
            <w:tcW w:w="4876" w:type="dxa"/>
            <w:tcBorders>
              <w:top w:val="nil"/>
              <w:left w:val="nil"/>
              <w:bottom w:val="nil"/>
              <w:right w:val="nil"/>
            </w:tcBorders>
          </w:tcPr>
          <w:p w:rsidR="004E16CD" w:rsidRPr="004E16CD" w:rsidRDefault="004E16CD" w:rsidP="00241723">
            <w:pPr>
              <w:pStyle w:val="Normal6a"/>
            </w:pPr>
            <w:r w:rsidRPr="004E16CD">
              <w:t>4.</w:t>
            </w:r>
            <w:r w:rsidRPr="004E16CD">
              <w:tab/>
              <w:t xml:space="preserve">bedauert, dass viele Unternehmer mit Sitz in der EU </w:t>
            </w:r>
            <w:r w:rsidRPr="004E16CD">
              <w:rPr>
                <w:b/>
                <w:i/>
              </w:rPr>
              <w:t>ihren Sitz verlagern müssen</w:t>
            </w:r>
            <w:r w:rsidRPr="004E16CD">
              <w:t>, um Zugang zu Finanzmitteln und Ressourcen zu erhalten; bedauert, dass sie sich an Risikokapitalgeber außerhalb der EU wenden und auf ausländischen Märkten expandieren</w:t>
            </w:r>
            <w:r w:rsidRPr="004E16CD">
              <w:rPr>
                <w:b/>
                <w:i/>
              </w:rPr>
              <w:t>, da die EU-Märkte ihren Anforderungen nicht gerecht werden können;</w:t>
            </w:r>
            <w:r w:rsidRPr="004E16CD">
              <w:t xml:space="preserve"> </w:t>
            </w:r>
            <w:r w:rsidRPr="004E16CD">
              <w:rPr>
                <w:b/>
                <w:i/>
              </w:rPr>
              <w:t>fordert die Entwicklung von Wagnis- und Risikokapital für Unternehmen, um Investitionen auf den EU-Märkten zu erhalten;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181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Arba Kokalari</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4</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4.</w:t>
            </w:r>
            <w:r w:rsidRPr="004E16CD">
              <w:tab/>
              <w:t xml:space="preserve">bedauert, dass viele Unternehmer mit Sitz in der EU </w:t>
            </w:r>
            <w:r w:rsidRPr="004E16CD">
              <w:rPr>
                <w:b/>
                <w:i/>
              </w:rPr>
              <w:t>einen Umzug</w:t>
            </w:r>
            <w:r w:rsidRPr="004E16CD">
              <w:t xml:space="preserve"> für notwendig erachten, um leichter Zugang zu Finanzmitteln und Ressourcen zu erhalten</w:t>
            </w:r>
            <w:r w:rsidRPr="004E16CD">
              <w:rPr>
                <w:b/>
                <w:i/>
              </w:rPr>
              <w:t>; bedauert</w:t>
            </w:r>
            <w:r w:rsidRPr="004E16CD">
              <w:t>, dass sie sich an Risikokapitalgeber außerhalb der EU wenden und auf ausländischen Märkten expandieren;</w:t>
            </w:r>
          </w:p>
        </w:tc>
        <w:tc>
          <w:tcPr>
            <w:tcW w:w="4876" w:type="dxa"/>
            <w:tcBorders>
              <w:top w:val="nil"/>
              <w:left w:val="nil"/>
              <w:bottom w:val="nil"/>
              <w:right w:val="nil"/>
            </w:tcBorders>
          </w:tcPr>
          <w:p w:rsidR="004E16CD" w:rsidRPr="004E16CD" w:rsidRDefault="004E16CD" w:rsidP="00241723">
            <w:pPr>
              <w:pStyle w:val="Normal6a"/>
            </w:pPr>
            <w:r w:rsidRPr="004E16CD">
              <w:t>4.</w:t>
            </w:r>
            <w:r w:rsidRPr="004E16CD">
              <w:tab/>
              <w:t xml:space="preserve">bedauert, dass viele Unternehmer mit Sitz in der EU </w:t>
            </w:r>
            <w:r w:rsidRPr="004E16CD">
              <w:rPr>
                <w:b/>
                <w:i/>
              </w:rPr>
              <w:t>eine Sitzverlagerung</w:t>
            </w:r>
            <w:r w:rsidRPr="004E16CD">
              <w:t xml:space="preserve"> für notwendig erachten, um leichter Zugang zu Finanzmitteln und Ressourcen zu erhalten, </w:t>
            </w:r>
            <w:r w:rsidRPr="004E16CD">
              <w:rPr>
                <w:b/>
                <w:i/>
              </w:rPr>
              <w:t xml:space="preserve">und </w:t>
            </w:r>
            <w:r w:rsidRPr="004E16CD">
              <w:t xml:space="preserve">dass sie sich an Risikokapitalgeber außerhalb der EU wenden und auf ausländischen Märkten expandieren; </w:t>
            </w:r>
            <w:r w:rsidRPr="004E16CD">
              <w:rPr>
                <w:b/>
                <w:i/>
              </w:rPr>
              <w:t>betont, dass die Priorität darin bestehen muss, die Ursachen von Sitzverlagerungen zu verstehen und zu bekämpfen, indem ein wettbewerbsfähigerer und attraktiverer Binnenmarkt gefördert wird, Unternehmern mit Sitz in der EU das notwendige Umfeld für Wachstum und Expansion in der Union geboten wird und ein regulatorisches Umfeld sichergestellt wird, das nicht übermäßig belastend oder restriktiv ist;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182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Giovanni Crosetto, Denis Nesci, Francesco Ventola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4</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4.</w:t>
            </w:r>
            <w:r w:rsidRPr="004E16CD">
              <w:tab/>
              <w:t xml:space="preserve">bedauert, dass viele Unternehmer mit Sitz in der EU </w:t>
            </w:r>
            <w:r w:rsidRPr="004E16CD">
              <w:rPr>
                <w:b/>
                <w:i/>
              </w:rPr>
              <w:t>einen Umzug</w:t>
            </w:r>
            <w:r w:rsidRPr="004E16CD">
              <w:t xml:space="preserve"> für notwendig erachten, um leichter Zugang zu Finanzmitteln und Ressourcen zu erhalten; </w:t>
            </w:r>
            <w:r w:rsidRPr="004E16CD">
              <w:rPr>
                <w:b/>
                <w:i/>
              </w:rPr>
              <w:t>bedauert</w:t>
            </w:r>
            <w:r w:rsidRPr="004E16CD">
              <w:t>, dass sie sich an Risikokapitalgeber außerhalb der EU wenden und auf ausländischen Märkten expandieren;</w:t>
            </w:r>
          </w:p>
        </w:tc>
        <w:tc>
          <w:tcPr>
            <w:tcW w:w="4876" w:type="dxa"/>
            <w:tcBorders>
              <w:top w:val="nil"/>
              <w:left w:val="nil"/>
              <w:bottom w:val="nil"/>
              <w:right w:val="nil"/>
            </w:tcBorders>
          </w:tcPr>
          <w:p w:rsidR="004E16CD" w:rsidRPr="004E16CD" w:rsidRDefault="004E16CD" w:rsidP="00241723">
            <w:pPr>
              <w:pStyle w:val="Normal6a"/>
            </w:pPr>
            <w:r w:rsidRPr="004E16CD">
              <w:t>4.</w:t>
            </w:r>
            <w:r w:rsidRPr="004E16CD">
              <w:tab/>
              <w:t xml:space="preserve">bedauert, dass viele Unternehmer mit Sitz in der EU </w:t>
            </w:r>
            <w:r w:rsidRPr="004E16CD">
              <w:rPr>
                <w:b/>
                <w:i/>
              </w:rPr>
              <w:t>eine Sitzverlagerung</w:t>
            </w:r>
            <w:r w:rsidRPr="004E16CD">
              <w:t xml:space="preserve"> für notwendig erachten, um leichter Zugang zu Finanzmitteln und Ressourcen zu erhalten; </w:t>
            </w:r>
            <w:r w:rsidRPr="004E16CD">
              <w:rPr>
                <w:b/>
                <w:i/>
              </w:rPr>
              <w:t>stellt mit Besorgnis fest</w:t>
            </w:r>
            <w:r w:rsidRPr="004E16CD">
              <w:t>, dass sie sich an Risikokapitalgeber außerhalb der EU wenden und auf ausländischen Märkten expandieren</w:t>
            </w:r>
            <w:r w:rsidRPr="004E16CD">
              <w:rPr>
                <w:b/>
                <w:i/>
              </w:rPr>
              <w:t>, und betont, dass die EU-Organe ein im Hinblick auf Innovation und Wachstum attraktiveres und günstigeres Umfeld fördern müssen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183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Lídia Pereira, 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4</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4.</w:t>
            </w:r>
            <w:r w:rsidRPr="004E16CD">
              <w:tab/>
            </w:r>
            <w:r w:rsidRPr="004E16CD">
              <w:rPr>
                <w:b/>
                <w:i/>
              </w:rPr>
              <w:t>bedauert</w:t>
            </w:r>
            <w:r w:rsidRPr="004E16CD">
              <w:t xml:space="preserve">, dass viele Unternehmer mit Sitz in der EU </w:t>
            </w:r>
            <w:r w:rsidRPr="004E16CD">
              <w:rPr>
                <w:b/>
                <w:i/>
              </w:rPr>
              <w:t>einen Umzug</w:t>
            </w:r>
            <w:r w:rsidRPr="004E16CD">
              <w:t xml:space="preserve"> für notwendig erachten, um leichter Zugang zu Finanzmitteln und Ressourcen zu erhalten; </w:t>
            </w:r>
            <w:r w:rsidRPr="004E16CD">
              <w:rPr>
                <w:b/>
                <w:i/>
              </w:rPr>
              <w:t>bedauert</w:t>
            </w:r>
            <w:r w:rsidRPr="004E16CD">
              <w:t>, dass sie sich an Risikokapitalgeber außerhalb der EU wenden und auf ausländischen Märkten expandieren;</w:t>
            </w:r>
          </w:p>
        </w:tc>
        <w:tc>
          <w:tcPr>
            <w:tcW w:w="4876" w:type="dxa"/>
            <w:tcBorders>
              <w:top w:val="nil"/>
              <w:left w:val="nil"/>
              <w:bottom w:val="nil"/>
              <w:right w:val="nil"/>
            </w:tcBorders>
          </w:tcPr>
          <w:p w:rsidR="004E16CD" w:rsidRPr="004E16CD" w:rsidRDefault="004E16CD" w:rsidP="00241723">
            <w:pPr>
              <w:pStyle w:val="Normal6a"/>
            </w:pPr>
            <w:r w:rsidRPr="004E16CD">
              <w:t>4.</w:t>
            </w:r>
            <w:r w:rsidRPr="004E16CD">
              <w:tab/>
            </w:r>
            <w:r w:rsidRPr="004E16CD">
              <w:rPr>
                <w:b/>
                <w:i/>
              </w:rPr>
              <w:t>nimmt zur Kenntnis</w:t>
            </w:r>
            <w:r w:rsidRPr="004E16CD">
              <w:t xml:space="preserve">, dass viele Unternehmer mit Sitz in der EU </w:t>
            </w:r>
            <w:r w:rsidRPr="004E16CD">
              <w:rPr>
                <w:b/>
                <w:i/>
              </w:rPr>
              <w:t>eine Sitzverlagerung</w:t>
            </w:r>
            <w:r w:rsidRPr="004E16CD">
              <w:t xml:space="preserve"> für notwendig erachten, um leichter Zugang zu Finanzmitteln und Ressourcen zu erhalten; </w:t>
            </w:r>
            <w:r w:rsidRPr="004E16CD">
              <w:rPr>
                <w:b/>
                <w:i/>
              </w:rPr>
              <w:t>stellt besorgt fest</w:t>
            </w:r>
            <w:r w:rsidRPr="004E16CD">
              <w:t>, dass sie sich</w:t>
            </w:r>
            <w:r w:rsidRPr="004E16CD">
              <w:rPr>
                <w:b/>
                <w:i/>
              </w:rPr>
              <w:t xml:space="preserve"> üblicherweise</w:t>
            </w:r>
            <w:r w:rsidRPr="004E16CD">
              <w:t xml:space="preserve"> an Risikokapitalgeber außerhalb der EU wenden und auf ausländischen Märkten expandieren</w:t>
            </w:r>
            <w:r w:rsidRPr="004E16CD">
              <w:rPr>
                <w:b/>
                <w:i/>
              </w:rPr>
              <w:t>, hauptsächlich aufgrund von Unzulänglichkeiten und Ineffizienzen auf den europäischen Kapitalmärkten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184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Pascal Canfin, Stéphanie Yon-Courtin, Gilles Boyer, Billy Kelleher, Anouk Van Brug</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4</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4.</w:t>
            </w:r>
            <w:r w:rsidRPr="004E16CD">
              <w:tab/>
              <w:t xml:space="preserve">bedauert, dass viele Unternehmer mit Sitz in der EU </w:t>
            </w:r>
            <w:r w:rsidRPr="004E16CD">
              <w:rPr>
                <w:b/>
                <w:i/>
              </w:rPr>
              <w:t>einen Umzug</w:t>
            </w:r>
            <w:r w:rsidRPr="004E16CD">
              <w:t xml:space="preserve"> für notwendig erachten, um leichter Zugang zu Finanzmitteln und Ressourcen zu erhalten; bedauert, dass </w:t>
            </w:r>
            <w:r w:rsidRPr="004E16CD">
              <w:rPr>
                <w:b/>
                <w:i/>
              </w:rPr>
              <w:t>sie sich</w:t>
            </w:r>
            <w:r w:rsidRPr="004E16CD">
              <w:t xml:space="preserve"> an </w:t>
            </w:r>
            <w:r w:rsidRPr="004E16CD">
              <w:rPr>
                <w:b/>
                <w:i/>
              </w:rPr>
              <w:t>Risikokapitalgeber außerhalb</w:t>
            </w:r>
            <w:r w:rsidRPr="004E16CD">
              <w:t xml:space="preserve"> der EU </w:t>
            </w:r>
            <w:r w:rsidRPr="004E16CD">
              <w:rPr>
                <w:b/>
                <w:i/>
              </w:rPr>
              <w:t>wenden</w:t>
            </w:r>
            <w:r w:rsidRPr="004E16CD">
              <w:t xml:space="preserve"> und auf ausländischen Märkten expandieren;</w:t>
            </w:r>
          </w:p>
        </w:tc>
        <w:tc>
          <w:tcPr>
            <w:tcW w:w="4876" w:type="dxa"/>
            <w:tcBorders>
              <w:top w:val="nil"/>
              <w:left w:val="nil"/>
              <w:bottom w:val="nil"/>
              <w:right w:val="nil"/>
            </w:tcBorders>
          </w:tcPr>
          <w:p w:rsidR="004E16CD" w:rsidRPr="004E16CD" w:rsidRDefault="004E16CD" w:rsidP="00241723">
            <w:pPr>
              <w:pStyle w:val="Normal6a"/>
            </w:pPr>
            <w:r w:rsidRPr="004E16CD">
              <w:t>4.</w:t>
            </w:r>
            <w:r w:rsidRPr="004E16CD">
              <w:tab/>
              <w:t xml:space="preserve">bedauert, dass viele Unternehmer mit Sitz in der EU </w:t>
            </w:r>
            <w:r w:rsidRPr="004E16CD">
              <w:rPr>
                <w:b/>
                <w:i/>
              </w:rPr>
              <w:t>eine Sitzverlagerung</w:t>
            </w:r>
            <w:r w:rsidRPr="004E16CD">
              <w:t xml:space="preserve"> für notwendig erachten, um leichter Zugang zu Finanzmitteln und Ressourcen zu erhalten; bedauert, dass </w:t>
            </w:r>
            <w:r w:rsidRPr="004E16CD">
              <w:rPr>
                <w:b/>
                <w:i/>
              </w:rPr>
              <w:t>der Mangel</w:t>
            </w:r>
            <w:r w:rsidRPr="004E16CD">
              <w:t xml:space="preserve"> an </w:t>
            </w:r>
            <w:r w:rsidRPr="004E16CD">
              <w:rPr>
                <w:b/>
                <w:i/>
              </w:rPr>
              <w:t>groß angelegten Risikokapitalfonds und finanziell tragfähigen Ausstiegsmöglichkeiten in</w:t>
            </w:r>
            <w:r w:rsidRPr="004E16CD">
              <w:t xml:space="preserve"> der EU </w:t>
            </w:r>
            <w:r w:rsidRPr="004E16CD">
              <w:rPr>
                <w:b/>
                <w:i/>
              </w:rPr>
              <w:t>sie dazu veranlasst, mit ausländischen Investitionen</w:t>
            </w:r>
            <w:r w:rsidRPr="004E16CD">
              <w:t xml:space="preserve"> und auf ausländischen Märkten</w:t>
            </w:r>
            <w:r w:rsidRPr="004E16CD">
              <w:rPr>
                <w:b/>
                <w:i/>
              </w:rPr>
              <w:t xml:space="preserve"> zu</w:t>
            </w:r>
            <w:r w:rsidRPr="004E16CD">
              <w:t xml:space="preserve"> expandieren;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185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Johan Van Overtveldt</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4</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4.</w:t>
            </w:r>
            <w:r w:rsidRPr="004E16CD">
              <w:tab/>
              <w:t xml:space="preserve">bedauert, dass viele Unternehmer mit Sitz in der EU </w:t>
            </w:r>
            <w:r w:rsidRPr="004E16CD">
              <w:rPr>
                <w:b/>
                <w:i/>
              </w:rPr>
              <w:t>einen Umzug</w:t>
            </w:r>
            <w:r w:rsidRPr="004E16CD">
              <w:t xml:space="preserve"> für notwendig erachten, um leichter Zugang zu Finanzmitteln und Ressourcen zu erhalten; </w:t>
            </w:r>
            <w:r w:rsidRPr="004E16CD">
              <w:rPr>
                <w:b/>
                <w:i/>
              </w:rPr>
              <w:t>bedauert</w:t>
            </w:r>
            <w:r w:rsidRPr="004E16CD">
              <w:t>, dass sie sich an Risikokapitalgeber außerhalb der EU wenden und auf ausländischen Märkten expandieren;</w:t>
            </w:r>
          </w:p>
        </w:tc>
        <w:tc>
          <w:tcPr>
            <w:tcW w:w="4876" w:type="dxa"/>
            <w:tcBorders>
              <w:top w:val="nil"/>
              <w:left w:val="nil"/>
              <w:bottom w:val="nil"/>
              <w:right w:val="nil"/>
            </w:tcBorders>
          </w:tcPr>
          <w:p w:rsidR="004E16CD" w:rsidRPr="004E16CD" w:rsidRDefault="004E16CD" w:rsidP="00241723">
            <w:pPr>
              <w:pStyle w:val="Normal6a"/>
            </w:pPr>
            <w:r w:rsidRPr="004E16CD">
              <w:t>4.</w:t>
            </w:r>
            <w:r w:rsidRPr="004E16CD">
              <w:tab/>
              <w:t xml:space="preserve">bedauert, dass viele Unternehmer mit Sitz in der EU </w:t>
            </w:r>
            <w:r w:rsidRPr="004E16CD">
              <w:rPr>
                <w:b/>
                <w:i/>
              </w:rPr>
              <w:t>eine Sitzverlagerung</w:t>
            </w:r>
            <w:r w:rsidRPr="004E16CD">
              <w:t xml:space="preserve"> für notwendig erachten, um leichter Zugang zu Finanzmitteln und Ressourcen zu erhalten; </w:t>
            </w:r>
            <w:r w:rsidRPr="004E16CD">
              <w:rPr>
                <w:b/>
                <w:i/>
              </w:rPr>
              <w:t>betont</w:t>
            </w:r>
            <w:r w:rsidRPr="004E16CD">
              <w:t>, dass sie sich an Risikokapitalgeber außerhalb der EU wenden und auf ausländischen Märkten expandieren</w:t>
            </w:r>
            <w:r w:rsidRPr="004E16CD">
              <w:rPr>
                <w:b/>
                <w:i/>
              </w:rPr>
              <w:t>, weil es in der EU keine integrierte Kapitalmarktunion gibt</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186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Fernando Navarrete Rojas, 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4</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4.</w:t>
            </w:r>
            <w:r w:rsidRPr="004E16CD">
              <w:tab/>
              <w:t xml:space="preserve">bedauert, dass viele Unternehmer mit Sitz in der EU </w:t>
            </w:r>
            <w:r w:rsidRPr="004E16CD">
              <w:rPr>
                <w:b/>
                <w:i/>
              </w:rPr>
              <w:t>einen Umzug</w:t>
            </w:r>
            <w:r w:rsidRPr="004E16CD">
              <w:t xml:space="preserve"> für notwendig erachten, um leichter Zugang zu Finanzmitteln und Ressourcen zu erhalten; bedauert, dass </w:t>
            </w:r>
            <w:r w:rsidRPr="004E16CD">
              <w:rPr>
                <w:b/>
                <w:i/>
              </w:rPr>
              <w:t>sie sich an Risikokapitalgeber außerhalb</w:t>
            </w:r>
            <w:r w:rsidRPr="004E16CD">
              <w:t xml:space="preserve"> der EU </w:t>
            </w:r>
            <w:r w:rsidRPr="004E16CD">
              <w:rPr>
                <w:b/>
                <w:i/>
              </w:rPr>
              <w:t>wenden</w:t>
            </w:r>
            <w:r w:rsidRPr="004E16CD">
              <w:t xml:space="preserve"> und </w:t>
            </w:r>
            <w:r w:rsidRPr="004E16CD">
              <w:rPr>
                <w:b/>
                <w:i/>
              </w:rPr>
              <w:t>auf ausländischen Märkten expandieren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4.</w:t>
            </w:r>
            <w:r w:rsidRPr="004E16CD">
              <w:tab/>
              <w:t xml:space="preserve">bedauert, dass viele Unternehmer mit Sitz in der EU </w:t>
            </w:r>
            <w:r w:rsidRPr="004E16CD">
              <w:rPr>
                <w:b/>
                <w:i/>
              </w:rPr>
              <w:t>eine Sitzverlagerung</w:t>
            </w:r>
            <w:r w:rsidRPr="004E16CD">
              <w:t xml:space="preserve"> für notwendig erachten, um leichter Zugang zu Finanzmitteln und Ressourcen zu erhalten; </w:t>
            </w:r>
            <w:r w:rsidRPr="004E16CD">
              <w:rPr>
                <w:b/>
                <w:i/>
              </w:rPr>
              <w:t>bedauert, dass das derzeitige Regulierungs- und Finanzökosystem der EU noch keinen ausreichend tiefen, zugänglichen und diversifizierten Rahmen bietet, um den Finanzierungsbedarf wachsender Unternehmen zu decken;</w:t>
            </w:r>
            <w:r w:rsidRPr="004E16CD">
              <w:t xml:space="preserve"> bedauert, dass </w:t>
            </w:r>
            <w:r w:rsidRPr="004E16CD">
              <w:rPr>
                <w:b/>
                <w:i/>
              </w:rPr>
              <w:t>dieser strukturelle Mangel viele in</w:t>
            </w:r>
            <w:r w:rsidRPr="004E16CD">
              <w:t xml:space="preserve"> der EU </w:t>
            </w:r>
            <w:r w:rsidRPr="004E16CD">
              <w:rPr>
                <w:b/>
                <w:i/>
              </w:rPr>
              <w:t>ansässige Unternehmer dazu zwingt, Risikokapital</w:t>
            </w:r>
            <w:r w:rsidRPr="004E16CD">
              <w:t xml:space="preserve"> und </w:t>
            </w:r>
            <w:r w:rsidRPr="004E16CD">
              <w:rPr>
                <w:b/>
                <w:i/>
              </w:rPr>
              <w:t>Expansionsmöglichkeiten in Drittländern zu suchen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187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Michalis Hadjipantela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4</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4.</w:t>
            </w:r>
            <w:r w:rsidRPr="004E16CD">
              <w:tab/>
              <w:t xml:space="preserve">bedauert, dass viele Unternehmer mit Sitz in der EU </w:t>
            </w:r>
            <w:r w:rsidRPr="004E16CD">
              <w:rPr>
                <w:b/>
                <w:i/>
              </w:rPr>
              <w:t>einen Umzug</w:t>
            </w:r>
            <w:r w:rsidRPr="004E16CD">
              <w:t xml:space="preserve"> für notwendig erachten, um leichter Zugang zu Finanzmitteln und Ressourcen zu erhalten; bedauert</w:t>
            </w:r>
            <w:r w:rsidRPr="004E16CD">
              <w:rPr>
                <w:b/>
                <w:i/>
              </w:rPr>
              <w:t>, dass sie sich an Risikokapitalgeber außerhalb</w:t>
            </w:r>
            <w:r w:rsidRPr="004E16CD">
              <w:t xml:space="preserve"> der </w:t>
            </w:r>
            <w:r w:rsidRPr="004E16CD">
              <w:rPr>
                <w:b/>
                <w:i/>
              </w:rPr>
              <w:t>EU wenden</w:t>
            </w:r>
            <w:r w:rsidRPr="004E16CD">
              <w:t xml:space="preserve"> und </w:t>
            </w:r>
            <w:r w:rsidRPr="004E16CD">
              <w:rPr>
                <w:b/>
                <w:i/>
              </w:rPr>
              <w:t>auf ausländischen Märkten expandieren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4.</w:t>
            </w:r>
            <w:r w:rsidRPr="004E16CD">
              <w:tab/>
              <w:t>bedauert, dass viele Unternehmer mit Sitz in der EU eine Sitzverlagerung für notwendig erachten, um leichter Zugang zu Finanzmitteln und Ressourcen zu erhalten; bedauert</w:t>
            </w:r>
            <w:r w:rsidRPr="004E16CD">
              <w:rPr>
                <w:b/>
                <w:i/>
              </w:rPr>
              <w:t xml:space="preserve"> die unzureichende Verfügbarkeit von Risikokapitalgebern in</w:t>
            </w:r>
            <w:r w:rsidRPr="004E16CD">
              <w:t xml:space="preserve"> der </w:t>
            </w:r>
            <w:r w:rsidRPr="004E16CD">
              <w:rPr>
                <w:b/>
                <w:i/>
              </w:rPr>
              <w:t>Union, fordert sofortige</w:t>
            </w:r>
            <w:r w:rsidRPr="004E16CD">
              <w:t xml:space="preserve"> und </w:t>
            </w:r>
            <w:r w:rsidRPr="004E16CD">
              <w:rPr>
                <w:b/>
                <w:i/>
              </w:rPr>
              <w:t>konkrete Anstrengungen zur Schaffung eines robusten und zugänglichen Risikokapital-Ökosystems und hebt die Fähigkeit der Union zu nachhaltiger Innovation und Wirtschaftswachstum hervor</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188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Eero Heinäluoma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4</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4.</w:t>
            </w:r>
            <w:r w:rsidRPr="004E16CD">
              <w:tab/>
              <w:t xml:space="preserve">bedauert, dass viele Unternehmer mit Sitz in der EU </w:t>
            </w:r>
            <w:r w:rsidRPr="004E16CD">
              <w:rPr>
                <w:b/>
                <w:i/>
              </w:rPr>
              <w:t>einen Umzug</w:t>
            </w:r>
            <w:r w:rsidRPr="004E16CD">
              <w:t xml:space="preserve"> für notwendig erachten, um leichter Zugang zu Finanzmitteln und Ressourcen zu erhalten; bedauert, dass sie sich an Risikokapitalgeber außerhalb der EU wenden und auf ausländischen Märkten expandieren;</w:t>
            </w:r>
          </w:p>
        </w:tc>
        <w:tc>
          <w:tcPr>
            <w:tcW w:w="4876" w:type="dxa"/>
            <w:tcBorders>
              <w:top w:val="nil"/>
              <w:left w:val="nil"/>
              <w:bottom w:val="nil"/>
              <w:right w:val="nil"/>
            </w:tcBorders>
          </w:tcPr>
          <w:p w:rsidR="004E16CD" w:rsidRPr="004E16CD" w:rsidRDefault="004E16CD" w:rsidP="00241723">
            <w:pPr>
              <w:pStyle w:val="Normal6a"/>
            </w:pPr>
            <w:r w:rsidRPr="004E16CD">
              <w:t>4.</w:t>
            </w:r>
            <w:r w:rsidRPr="004E16CD">
              <w:tab/>
              <w:t xml:space="preserve">bedauert, dass viele Unternehmer mit Sitz in der EU </w:t>
            </w:r>
            <w:r w:rsidRPr="004E16CD">
              <w:rPr>
                <w:b/>
                <w:i/>
              </w:rPr>
              <w:t>eine Sitzverlagerung</w:t>
            </w:r>
            <w:r w:rsidRPr="004E16CD">
              <w:t xml:space="preserve"> für notwendig erachten, um leichter Zugang zu Finanzmitteln und Ressourcen zu erhalten; bedauert, dass sie sich an Risikokapitalgeber außerhalb der EU wenden und auf ausländischen Märkten expandieren</w:t>
            </w:r>
            <w:r w:rsidRPr="004E16CD">
              <w:rPr>
                <w:b/>
                <w:i/>
              </w:rPr>
              <w:t>, während die EU jährlich mehr Start-up-Unternehmen hervorbringt als die USA und die Rendite von Risikokapitalinvestitionen in der EU etwa 6 % höher ist (https://www.ceps.eu/its-finally-time-to-leverage-pension-funds-to-foster-eu-productivity-and-benefit-pensioners/)</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189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Rasmus Andresen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4</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4.</w:t>
            </w:r>
            <w:r w:rsidRPr="004E16CD">
              <w:tab/>
              <w:t xml:space="preserve">bedauert, dass viele Unternehmer mit Sitz in der EU </w:t>
            </w:r>
            <w:r w:rsidRPr="004E16CD">
              <w:rPr>
                <w:b/>
                <w:i/>
              </w:rPr>
              <w:t>einen Umzug</w:t>
            </w:r>
            <w:r w:rsidRPr="004E16CD">
              <w:t xml:space="preserve"> für notwendig erachten, um leichter Zugang zu Finanzmitteln und Ressourcen zu erhalten; bedauert, dass sie sich an Risikokapitalgeber außerhalb der EU wenden und auf ausländischen Märkten expandieren;</w:t>
            </w:r>
          </w:p>
        </w:tc>
        <w:tc>
          <w:tcPr>
            <w:tcW w:w="4876" w:type="dxa"/>
            <w:tcBorders>
              <w:top w:val="nil"/>
              <w:left w:val="nil"/>
              <w:bottom w:val="nil"/>
              <w:right w:val="nil"/>
            </w:tcBorders>
          </w:tcPr>
          <w:p w:rsidR="004E16CD" w:rsidRPr="004E16CD" w:rsidRDefault="004E16CD" w:rsidP="00241723">
            <w:pPr>
              <w:pStyle w:val="Normal6a"/>
            </w:pPr>
            <w:r w:rsidRPr="004E16CD">
              <w:t>4.</w:t>
            </w:r>
            <w:r w:rsidRPr="004E16CD">
              <w:tab/>
              <w:t xml:space="preserve">bedauert, dass viele Unternehmer mit Sitz in der EU </w:t>
            </w:r>
            <w:r w:rsidRPr="004E16CD">
              <w:rPr>
                <w:b/>
                <w:i/>
              </w:rPr>
              <w:t>eine Sitzverlagerung</w:t>
            </w:r>
            <w:r w:rsidRPr="004E16CD">
              <w:t xml:space="preserve"> für notwendig erachten, um leichter Zugang zu Finanzmitteln und Ressourcen zu erhalten; bedauert, dass sie sich an Risikokapitalgeber außerhalb der EU wenden und auf ausländischen Märkten expandieren; </w:t>
            </w:r>
            <w:r w:rsidRPr="004E16CD">
              <w:rPr>
                <w:b/>
                <w:i/>
              </w:rPr>
              <w:t>stimmt den Berichten von Draghi und Letta zu, dass die EU ihre Risikokapitalmärkte weiterentwickeln sollte; betont jedoch, dass die öffentliche Unterstützung für Risikokapitalmärkte ausschließlich auf Projekte ausgerichtet sein sollte, die mit den Zielen des Grünen Deals in Einklang stehen und positive soziale Auswirkungen haben;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190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4</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4.</w:t>
            </w:r>
            <w:r w:rsidRPr="004E16CD">
              <w:tab/>
              <w:t xml:space="preserve">bedauert, dass viele Unternehmer mit Sitz in der EU </w:t>
            </w:r>
            <w:r w:rsidRPr="004E16CD">
              <w:rPr>
                <w:b/>
                <w:i/>
              </w:rPr>
              <w:t>einen Umzug</w:t>
            </w:r>
            <w:r w:rsidRPr="004E16CD">
              <w:t xml:space="preserve"> für notwendig erachten, um leichter Zugang zu Finanzmitteln und Ressourcen zu erhalten; bedauert, dass sie sich an Risikokapitalgeber außerhalb der EU wenden und auf ausländischen Märkten expandieren;</w:t>
            </w:r>
          </w:p>
        </w:tc>
        <w:tc>
          <w:tcPr>
            <w:tcW w:w="4876" w:type="dxa"/>
            <w:tcBorders>
              <w:top w:val="nil"/>
              <w:left w:val="nil"/>
              <w:bottom w:val="nil"/>
              <w:right w:val="nil"/>
            </w:tcBorders>
          </w:tcPr>
          <w:p w:rsidR="004E16CD" w:rsidRPr="004E16CD" w:rsidRDefault="004E16CD" w:rsidP="00241723">
            <w:pPr>
              <w:pStyle w:val="Normal6a"/>
            </w:pPr>
            <w:r w:rsidRPr="004E16CD">
              <w:t>4.</w:t>
            </w:r>
            <w:r w:rsidRPr="004E16CD">
              <w:tab/>
              <w:t xml:space="preserve">bedauert, dass viele Unternehmer mit Sitz in der EU </w:t>
            </w:r>
            <w:r w:rsidRPr="004E16CD">
              <w:rPr>
                <w:b/>
                <w:i/>
              </w:rPr>
              <w:t>eine Sitzverlagerung in Länder und Gebiete außerhalb der EU</w:t>
            </w:r>
            <w:r w:rsidRPr="004E16CD">
              <w:t xml:space="preserve"> für notwendig erachten, um leichter Zugang zu Finanzmitteln und Ressourcen zu erhalten; bedauert, dass sie sich an Risikokapitalgeber außerhalb der EU wenden und auf ausländischen Märkten expandieren; </w:t>
            </w:r>
            <w:r w:rsidRPr="004E16CD">
              <w:rPr>
                <w:b/>
                <w:i/>
              </w:rPr>
              <w:t>stellt fest, dass solche Entscheidungen auf einen allgemeinen Mangel an Wettbewerbsfähigkeit des europäischen Finanzierungsökosystems, insbesondere in der Expansionsphase, hindeuten, der angegangen werden muss; </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191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Evelyn Regner, Niels Fuglsang, Claire Fita, Carla Tavares, Thomas Bajada,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4</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4.</w:t>
            </w:r>
            <w:r w:rsidRPr="004E16CD">
              <w:tab/>
              <w:t>bedauert, dass viele Unternehmer mit Sitz in der EU einen Umzug für notwendig erachten, um leichter Zugang zu Finanzmitteln und Ressourcen zu erhalten; bedauert, dass sie sich an Risikokapitalgeber außerhalb der EU wenden und auf ausländischen Märkten expandieren;</w:t>
            </w:r>
          </w:p>
        </w:tc>
        <w:tc>
          <w:tcPr>
            <w:tcW w:w="4876" w:type="dxa"/>
            <w:tcBorders>
              <w:top w:val="nil"/>
              <w:left w:val="nil"/>
              <w:bottom w:val="nil"/>
              <w:right w:val="nil"/>
            </w:tcBorders>
          </w:tcPr>
          <w:p w:rsidR="004E16CD" w:rsidRPr="004E16CD" w:rsidRDefault="004E16CD" w:rsidP="00241723">
            <w:pPr>
              <w:pStyle w:val="Normal6a"/>
            </w:pPr>
            <w:r w:rsidRPr="004E16CD">
              <w:t>4.</w:t>
            </w:r>
            <w:r w:rsidRPr="004E16CD">
              <w:tab/>
              <w:t xml:space="preserve">bedauert, dass viele Unternehmer mit Sitz in der EU </w:t>
            </w:r>
            <w:r w:rsidRPr="004E16CD">
              <w:rPr>
                <w:b/>
                <w:i/>
              </w:rPr>
              <w:t>eine Sitzverlagerung</w:t>
            </w:r>
            <w:r w:rsidRPr="004E16CD">
              <w:t xml:space="preserve"> für notwendig erachten, um leichter Zugang zu Finanzmitteln und Ressourcen zu erhalten; bedauert, dass sie sich an Risikokapitalgeber außerhalb der EU wenden und auf ausländischen Märkten expandieren; </w:t>
            </w:r>
            <w:r w:rsidRPr="004E16CD">
              <w:rPr>
                <w:b/>
                <w:i/>
              </w:rPr>
              <w:t>begrüßt die kürzlich erfolgte Annahme des Rechtsakts zur Börsennotierung, der es Unternehmen jeder Größe, einschließlich KMU, erleichtern wird, an europäischen Börsen notiert zu werden;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192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Sirpa Pietikäinen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4</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4.</w:t>
            </w:r>
            <w:r w:rsidRPr="004E16CD">
              <w:tab/>
              <w:t xml:space="preserve">bedauert, dass viele Unternehmer mit Sitz in der EU </w:t>
            </w:r>
            <w:r w:rsidRPr="004E16CD">
              <w:rPr>
                <w:b/>
                <w:i/>
              </w:rPr>
              <w:t>einen Umzug</w:t>
            </w:r>
            <w:r w:rsidRPr="004E16CD">
              <w:t xml:space="preserve"> für notwendig erachten, um leichter Zugang zu Finanzmitteln und Ressourcen zu erhalten; bedauert, dass sie sich an Risikokapitalgeber außerhalb der EU wenden und auf ausländischen Märkten expandieren;</w:t>
            </w:r>
          </w:p>
        </w:tc>
        <w:tc>
          <w:tcPr>
            <w:tcW w:w="4876" w:type="dxa"/>
            <w:tcBorders>
              <w:top w:val="nil"/>
              <w:left w:val="nil"/>
              <w:bottom w:val="nil"/>
              <w:right w:val="nil"/>
            </w:tcBorders>
          </w:tcPr>
          <w:p w:rsidR="004E16CD" w:rsidRPr="004E16CD" w:rsidRDefault="004E16CD" w:rsidP="00241723">
            <w:pPr>
              <w:pStyle w:val="Normal6a"/>
            </w:pPr>
            <w:r w:rsidRPr="004E16CD">
              <w:t>4.</w:t>
            </w:r>
            <w:r w:rsidRPr="004E16CD">
              <w:tab/>
              <w:t xml:space="preserve">bedauert, dass viele Unternehmer mit Sitz in der EU </w:t>
            </w:r>
            <w:r w:rsidRPr="004E16CD">
              <w:rPr>
                <w:b/>
                <w:i/>
              </w:rPr>
              <w:t>eine Sitzverlagerung</w:t>
            </w:r>
            <w:r w:rsidRPr="004E16CD">
              <w:t xml:space="preserve"> für notwendig erachten, um leichter Zugang zu Finanzmitteln und Ressourcen zu erhalten; bedauert, dass sie sich an Risikokapitalgeber außerhalb der EU wenden und auf ausländischen Märkten expandieren;</w:t>
            </w:r>
            <w:r w:rsidRPr="004E16CD">
              <w:rPr>
                <w:b/>
                <w:i/>
              </w:rPr>
              <w:t> fordert daher, das mehr Aufmerksamkeit darauf gerichtet wird, die Bildung und das Funktionieren ausreichend großer europäischer Wachstums- und Buyout-Fonds zu ermöglichen;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193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4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4a.</w:t>
            </w:r>
            <w:r w:rsidRPr="004E16CD">
              <w:tab/>
            </w:r>
            <w:r w:rsidRPr="004E16CD">
              <w:rPr>
                <w:b/>
                <w:i/>
              </w:rPr>
              <w:t>bedauert, dass das niedrige Niveau der Finanzbildung in vielen Mitgliedstaaten der Europäischen Union eine erhebliche Herausforderung für die wirtschaftliche Autonomie der Bürger und die Entwicklung einer starken und wettbewerbsfähigen Wirtschaft darstellt; weist darauf hin, dass eine unzureichende Finanzbildung die Fähigkeit der Bevölkerung beeinträchtigt, fundierte Entscheidungen über Sparen, Investitionen und die Ruhestandsplanung zu treffen, und dass die Bürgerinnen und Bürger dadurch auch in ihrer Fähigkeit behindert werden, Regierungen zur Rechenschaft zu ziehen; bekräftigt, dass diese mangelnde Finanzbildung nicht nur das wirtschaftliche Wohlergehen des Einzelnen gefährdet, sondern auch die aktive Beteiligung an den Kapitalmärkten einschränkt und die Entwicklung einer Investitionskultur behindert, die für das Wirtschaftswachstum von entscheidender Bedeutung ist; begrüßt den Vorschlag der Kommission für eine neue Strategie und fordert, dass diese ehrgeizig genug ist, um das Bildungsniveau in ganz Europa deutlich zu verbessern und einen dauerhaften Wandel sicherzustellen; spricht sich dafür aus, dass dringend Maßnahmen ergriffen werden, um eine leichter zugängliche und gerechtere Finanzbildung in der gesamten EU unter Achtung der nationalen Zuständigkeiten zu fördern;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194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4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4a.</w:t>
            </w:r>
            <w:r w:rsidRPr="004E16CD">
              <w:tab/>
            </w:r>
            <w:r w:rsidRPr="004E16CD">
              <w:rPr>
                <w:b/>
                <w:i/>
              </w:rPr>
              <w:t>betont, dass die europäischen Finanzmärkte sowohl für Emittenten als auch für Anleger attraktiv und leicht zugänglich sein müssen; betont, dass dies sowohl für den Primär- als auch für den Sekundärmarkt gilt; betont, dass die Entscheidung für eine Notierung an einem geregelten Markt häufig mit erheblichen zusätzlichen Anforderungen für Unternehmen einhergeht, unter anderem zum Schutz der Anleger; stellt fest, dass solche Anforderungen als Nachteil des Börsengangs wahrgenommen werden können; fordert die Kommission auf, die Verwaltungs- und Befolgungskosten börsennotierter Unternehmen kontinuierlich zu überwachen, um sie insbesondere für kleine und mittlere Unternehmen zu senken; begrüßt den kürzlich angenommenen Rechtsakt zur Börsennotierung als ersten Schritt in dieser Hinsicht; fordert eine pragmatische Umsetzung des Rechtsakts zur Börsennotierung und fordert die Kommission auf, weiter auf dieser Initiative aufzubauen;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195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4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4b.</w:t>
            </w:r>
            <w:r w:rsidRPr="004E16CD">
              <w:tab/>
            </w:r>
            <w:r w:rsidRPr="004E16CD">
              <w:rPr>
                <w:b/>
                <w:i/>
              </w:rPr>
              <w:t>hebt hervor, dass es insbesondere für börsennotierte KMU eine Herausforderung darstellt, eine ausreichende Verfügbarkeit von Finanzanalysen sicherzustellen; weist darauf hin, dass die Entflechtung der Analysekosten von den Gebühren für die Ausführung des Handels im Rahmen der MiFID II dieses Problem verschärft haben könnte; begrüßt, dass diese Anforderung später durch den Rechtsakt zur Börsennotierung gelockert wurde; fordert die Kommission und die ESMA auf, die Entwicklung von Trends bei der Aktienanalyse, insbesondere für KMU, weiter zu überwachen;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196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4 c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4c.</w:t>
            </w:r>
            <w:r w:rsidRPr="004E16CD">
              <w:tab/>
            </w:r>
            <w:r w:rsidRPr="004E16CD">
              <w:rPr>
                <w:b/>
                <w:i/>
              </w:rPr>
              <w:t>weist auf die Bedeutung von KMU-Wachstumsmärkten hin, die kleineren Unternehmen dabei helfen, an die Börse zu gehen; fordert die Kommission auf, die KMU-Wachstumsmärkte zu stärken, unter anderem durch die Einführung gestraffter Anforderungen für Notierungen an diesen Märkten;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197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Giovanni Crosetto, Denis Nesci, Francesco Ventola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5.</w:t>
            </w:r>
            <w:r w:rsidRPr="004E16CD">
              <w:tab/>
            </w:r>
            <w:r w:rsidRPr="004E16CD">
              <w:rPr>
                <w:b/>
                <w:i/>
              </w:rPr>
              <w:t>betont, dass öffentliche Mittel gezielt dafür verwendet werden sollten</w:t>
            </w:r>
            <w:r w:rsidRPr="004E16CD">
              <w:t xml:space="preserve">, </w:t>
            </w:r>
            <w:r w:rsidRPr="004E16CD">
              <w:rPr>
                <w:b/>
                <w:i/>
              </w:rPr>
              <w:t>die Nachhaltigkeit und Zugänglichkeit öffentlicher Dienstleistungen und Infrastrukturen sicherzustellen und</w:t>
            </w:r>
            <w:r w:rsidRPr="004E16CD">
              <w:t xml:space="preserve"> gleichzeitig </w:t>
            </w:r>
            <w:r w:rsidRPr="004E16CD">
              <w:rPr>
                <w:b/>
                <w:i/>
              </w:rPr>
              <w:t>private Investitionen in innovative und saubere Industrien unter genau festgelegten Bedingungen zu mobilisieren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5.</w:t>
            </w:r>
            <w:r w:rsidRPr="004E16CD">
              <w:tab/>
            </w:r>
            <w:r w:rsidRPr="004E16CD">
              <w:rPr>
                <w:b/>
                <w:i/>
              </w:rPr>
              <w:t>unterstützt einen marktorientierten Wachstumsansatz, indem ein ordnungspolitisches Umfeld gefördert wird</w:t>
            </w:r>
            <w:r w:rsidRPr="004E16CD">
              <w:t xml:space="preserve">, </w:t>
            </w:r>
            <w:r w:rsidRPr="004E16CD">
              <w:rPr>
                <w:b/>
                <w:i/>
              </w:rPr>
              <w:t>das Innovationen im Privatsektor ermöglicht, während</w:t>
            </w:r>
            <w:r w:rsidRPr="004E16CD">
              <w:t xml:space="preserve"> gleichzeitig </w:t>
            </w:r>
            <w:r w:rsidRPr="004E16CD">
              <w:rPr>
                <w:b/>
                <w:i/>
              </w:rPr>
              <w:t>dafür gesorgt wird, dass grundlegende öffentliche Dienstleistungen und Infrastrukturen effizient aufrechterhalten werden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198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Fernando Navarrete Rojas, 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5.</w:t>
            </w:r>
            <w:r w:rsidRPr="004E16CD">
              <w:tab/>
              <w:t xml:space="preserve">betont, dass öffentliche Mittel </w:t>
            </w:r>
            <w:r w:rsidRPr="004E16CD">
              <w:rPr>
                <w:b/>
                <w:i/>
              </w:rPr>
              <w:t>gezielt dafür verwendet</w:t>
            </w:r>
            <w:r w:rsidRPr="004E16CD">
              <w:t xml:space="preserve"> werden sollten, die </w:t>
            </w:r>
            <w:r w:rsidRPr="004E16CD">
              <w:rPr>
                <w:b/>
                <w:i/>
              </w:rPr>
              <w:t>Nachhaltigkeit und Zugänglichkeit</w:t>
            </w:r>
            <w:r w:rsidRPr="004E16CD">
              <w:t xml:space="preserve"> öffentlicher </w:t>
            </w:r>
            <w:r w:rsidRPr="004E16CD">
              <w:rPr>
                <w:b/>
                <w:i/>
              </w:rPr>
              <w:t>Dienstleistungen</w:t>
            </w:r>
            <w:r w:rsidRPr="004E16CD">
              <w:t xml:space="preserve"> und </w:t>
            </w:r>
            <w:r w:rsidRPr="004E16CD">
              <w:rPr>
                <w:b/>
                <w:i/>
              </w:rPr>
              <w:t>Infrastrukturen sicherzustellen</w:t>
            </w:r>
            <w:r w:rsidRPr="004E16CD">
              <w:t xml:space="preserve"> und gleichzeitig private Investitionen </w:t>
            </w:r>
            <w:r w:rsidRPr="004E16CD">
              <w:rPr>
                <w:b/>
                <w:i/>
              </w:rPr>
              <w:t>in innovative</w:t>
            </w:r>
            <w:r w:rsidRPr="004E16CD">
              <w:t xml:space="preserve"> und </w:t>
            </w:r>
            <w:r w:rsidRPr="004E16CD">
              <w:rPr>
                <w:b/>
                <w:i/>
              </w:rPr>
              <w:t>saubere Industrien unter genau festgelegten Bedingungen</w:t>
            </w:r>
            <w:r w:rsidRPr="004E16CD">
              <w:t xml:space="preserve"> zu </w:t>
            </w:r>
            <w:r w:rsidRPr="004E16CD">
              <w:rPr>
                <w:b/>
                <w:i/>
              </w:rPr>
              <w:t>mobilisieren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5.</w:t>
            </w:r>
            <w:r w:rsidRPr="004E16CD">
              <w:tab/>
              <w:t xml:space="preserve">betont, dass öffentliche Mittel </w:t>
            </w:r>
            <w:r w:rsidRPr="004E16CD">
              <w:rPr>
                <w:b/>
                <w:i/>
              </w:rPr>
              <w:t>so eingesetzt</w:t>
            </w:r>
            <w:r w:rsidRPr="004E16CD">
              <w:t xml:space="preserve"> werden sollten, </w:t>
            </w:r>
            <w:r w:rsidRPr="004E16CD">
              <w:rPr>
                <w:b/>
                <w:i/>
              </w:rPr>
              <w:t xml:space="preserve">dass Einsparungen für </w:t>
            </w:r>
            <w:r w:rsidRPr="004E16CD">
              <w:t xml:space="preserve">die </w:t>
            </w:r>
            <w:r w:rsidRPr="004E16CD">
              <w:rPr>
                <w:b/>
                <w:i/>
              </w:rPr>
              <w:t>europäischen Steuerzahler erzielt werden, insbesondere indem der Bereitstellung europäischer</w:t>
            </w:r>
            <w:r w:rsidRPr="004E16CD">
              <w:t xml:space="preserve"> öffentlicher </w:t>
            </w:r>
            <w:r w:rsidRPr="004E16CD">
              <w:rPr>
                <w:b/>
                <w:i/>
              </w:rPr>
              <w:t>Güter in Bereichen Vorrang eingeräumt wird, in denen Maßnahmen auf EU-Ebene mehr Effizienz</w:t>
            </w:r>
            <w:r w:rsidRPr="004E16CD">
              <w:t xml:space="preserve"> und </w:t>
            </w:r>
            <w:r w:rsidRPr="004E16CD">
              <w:rPr>
                <w:b/>
                <w:i/>
              </w:rPr>
              <w:t>Skaleneffekte ermöglichen,</w:t>
            </w:r>
            <w:r w:rsidRPr="004E16CD">
              <w:t xml:space="preserve"> und gleichzeitig </w:t>
            </w:r>
            <w:r w:rsidRPr="004E16CD">
              <w:rPr>
                <w:b/>
                <w:i/>
              </w:rPr>
              <w:t xml:space="preserve">als Katalysator für </w:t>
            </w:r>
            <w:r w:rsidRPr="004E16CD">
              <w:t xml:space="preserve">private Investitionen </w:t>
            </w:r>
            <w:r w:rsidRPr="004E16CD">
              <w:rPr>
                <w:b/>
                <w:i/>
              </w:rPr>
              <w:t>dienen sollten, um die Wettbewerbsfähigkeit</w:t>
            </w:r>
            <w:r w:rsidRPr="004E16CD">
              <w:t xml:space="preserve"> und </w:t>
            </w:r>
            <w:r w:rsidRPr="004E16CD">
              <w:rPr>
                <w:b/>
                <w:i/>
              </w:rPr>
              <w:t>Produktivität der EU zu steigern und die Innovationslücke</w:t>
            </w:r>
            <w:r w:rsidRPr="004E16CD">
              <w:t xml:space="preserve"> zu </w:t>
            </w:r>
            <w:r w:rsidRPr="004E16CD">
              <w:rPr>
                <w:b/>
                <w:i/>
              </w:rPr>
              <w:t>schließen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199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5.</w:t>
            </w:r>
            <w:r w:rsidRPr="004E16CD">
              <w:tab/>
              <w:t xml:space="preserve">betont, dass </w:t>
            </w:r>
            <w:r w:rsidRPr="004E16CD">
              <w:rPr>
                <w:b/>
                <w:i/>
              </w:rPr>
              <w:t>öffentliche Mittel gezielt dafür verwendet werden sollten</w:t>
            </w:r>
            <w:r w:rsidRPr="004E16CD">
              <w:t xml:space="preserve">, </w:t>
            </w:r>
            <w:r w:rsidRPr="004E16CD">
              <w:rPr>
                <w:b/>
                <w:i/>
              </w:rPr>
              <w:t>die Nachhaltigkeit und Zugänglichkeit öffentlicher Dienstleistungen und Infrastrukturen sicherzustellen und gleichzeitig private</w:t>
            </w:r>
            <w:r w:rsidRPr="004E16CD">
              <w:t xml:space="preserve"> Investitionen </w:t>
            </w:r>
            <w:r w:rsidRPr="004E16CD">
              <w:rPr>
                <w:b/>
                <w:i/>
              </w:rPr>
              <w:t>in innovative und saubere Industrien unter genau festgelegten Bedingungen zu mobilisieren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5.</w:t>
            </w:r>
            <w:r w:rsidRPr="004E16CD">
              <w:tab/>
              <w:t xml:space="preserve">betont, dass </w:t>
            </w:r>
            <w:r w:rsidRPr="004E16CD">
              <w:rPr>
                <w:b/>
                <w:i/>
              </w:rPr>
              <w:t>bei öffentlichen Mitteln der Schwerpunkt darauf liegen sollte</w:t>
            </w:r>
            <w:r w:rsidRPr="004E16CD">
              <w:t xml:space="preserve">, </w:t>
            </w:r>
            <w:r w:rsidRPr="004E16CD">
              <w:rPr>
                <w:b/>
                <w:i/>
              </w:rPr>
              <w:t>welche Rolle sie bei der Mobilisierung privater</w:t>
            </w:r>
            <w:r w:rsidRPr="004E16CD">
              <w:t xml:space="preserve"> Investitionen </w:t>
            </w:r>
            <w:r w:rsidRPr="004E16CD">
              <w:rPr>
                <w:b/>
                <w:i/>
              </w:rPr>
              <w:t>spielen können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0"/>
        <w:keepNext/>
      </w:pPr>
      <w:r w:rsidRPr="004E16CD">
        <w:rPr>
          <w:rStyle w:val="HideTWBExt"/>
          <w:b w:val="0"/>
          <w:lang w:eastAsia="en-US"/>
        </w:rPr>
        <w:t>&lt;Amend&gt;</w:t>
      </w:r>
      <w:r w:rsidRPr="004E16CD">
        <w:t>Änderungsantrag</w:t>
      </w:r>
      <w:r w:rsidRPr="004E16CD">
        <w:tab/>
      </w:r>
      <w:r w:rsidRPr="004E16CD">
        <w:tab/>
      </w:r>
      <w:r w:rsidRPr="004E16CD">
        <w:rPr>
          <w:rStyle w:val="HideTWBExt"/>
          <w:b w:val="0"/>
          <w:lang w:eastAsia="en-US"/>
        </w:rPr>
        <w:t>&lt;NumAm&gt;</w:t>
      </w:r>
      <w:r w:rsidRPr="004E16CD">
        <w:t>200</w:t>
      </w:r>
      <w:r w:rsidRPr="004E16CD">
        <w:rPr>
          <w:rStyle w:val="HideTWBExt"/>
          <w:b w:val="0"/>
          <w:lang w:eastAsia="en-US"/>
        </w:rPr>
        <w:t>&lt;/NumAm&gt;</w:t>
      </w:r>
    </w:p>
    <w:p w:rsidR="004E16CD" w:rsidRPr="004E16CD" w:rsidRDefault="004E16CD" w:rsidP="004E16CD">
      <w:pPr>
        <w:pStyle w:val="NormalBold"/>
      </w:pPr>
      <w:r w:rsidRPr="004E16CD">
        <w:rPr>
          <w:rStyle w:val="HideTWBExt"/>
          <w:b w:val="0"/>
        </w:rPr>
        <w:t>&lt;RepeatBlock-By&gt;&lt;Members&gt;</w:t>
      </w:r>
      <w:r w:rsidRPr="004E16CD">
        <w:t>Danuše Nerudová</w:t>
      </w:r>
      <w:r w:rsidRPr="004E16CD">
        <w:rPr>
          <w:rStyle w:val="HideTWBExt"/>
          <w:b w:val="0"/>
        </w:rPr>
        <w:t>&lt;/Members&gt;</w:t>
      </w:r>
    </w:p>
    <w:p w:rsidR="004E16CD" w:rsidRPr="004E16CD" w:rsidRDefault="004E16CD" w:rsidP="004E16CD">
      <w:r w:rsidRPr="004E16CD">
        <w:rPr>
          <w:rStyle w:val="HideTWBExt"/>
        </w:rPr>
        <w:t>&lt;/RepeatBlock-By&gt;</w:t>
      </w:r>
    </w:p>
    <w:p w:rsidR="004E16CD" w:rsidRPr="004E16CD" w:rsidRDefault="004E16CD" w:rsidP="004E16CD">
      <w:pPr>
        <w:pStyle w:val="NormalBold"/>
        <w:keepNext/>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w:t>
      </w:r>
      <w:r w:rsidRPr="004E16C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16CD" w:rsidRPr="004E16CD" w:rsidTr="00241723">
        <w:trPr>
          <w:jc w:val="center"/>
        </w:trPr>
        <w:tc>
          <w:tcPr>
            <w:tcW w:w="9752" w:type="dxa"/>
            <w:gridSpan w:val="2"/>
          </w:tcPr>
          <w:p w:rsidR="004E16CD" w:rsidRPr="004E16CD" w:rsidRDefault="004E16CD" w:rsidP="00241723">
            <w:pPr>
              <w:keepNext/>
            </w:pPr>
          </w:p>
        </w:tc>
      </w:tr>
      <w:tr w:rsidR="004E16CD" w:rsidRPr="004E16CD" w:rsidTr="00241723">
        <w:trPr>
          <w:jc w:val="center"/>
        </w:trPr>
        <w:tc>
          <w:tcPr>
            <w:tcW w:w="4876" w:type="dxa"/>
          </w:tcPr>
          <w:p w:rsidR="004E16CD" w:rsidRPr="004E16CD" w:rsidRDefault="004E16CD" w:rsidP="00241723">
            <w:pPr>
              <w:pStyle w:val="ColumnHeading"/>
              <w:keepNext/>
            </w:pPr>
            <w:r w:rsidRPr="004E16CD">
              <w:t>Entschließungsantrag</w:t>
            </w:r>
          </w:p>
        </w:tc>
        <w:tc>
          <w:tcPr>
            <w:tcW w:w="4876" w:type="dxa"/>
          </w:tcPr>
          <w:p w:rsidR="004E16CD" w:rsidRPr="004E16CD" w:rsidRDefault="004E16CD" w:rsidP="00241723">
            <w:pPr>
              <w:pStyle w:val="ColumnHeading"/>
              <w:keepNext/>
            </w:pPr>
            <w:r w:rsidRPr="004E16CD">
              <w:t>Geänderter Text</w:t>
            </w:r>
          </w:p>
        </w:tc>
      </w:tr>
      <w:tr w:rsidR="004E16CD" w:rsidRPr="004E16CD" w:rsidTr="00241723">
        <w:trPr>
          <w:jc w:val="center"/>
        </w:trPr>
        <w:tc>
          <w:tcPr>
            <w:tcW w:w="4876" w:type="dxa"/>
          </w:tcPr>
          <w:p w:rsidR="004E16CD" w:rsidRPr="004E16CD" w:rsidRDefault="004E16CD" w:rsidP="00241723">
            <w:pPr>
              <w:pStyle w:val="Normal6"/>
            </w:pPr>
            <w:r w:rsidRPr="004E16CD">
              <w:t>5.</w:t>
            </w:r>
            <w:r w:rsidRPr="004E16CD">
              <w:tab/>
              <w:t>betont, dass öffentliche Mittel gezielt dafür verwendet werden sollten, die Nachhaltigkeit und Zugänglichkeit öffentlicher Dienstleistungen und Infrastrukturen sicherzustellen und gleichzeitig private Investitionen in innovative und saubere Industrien unter genau festgelegten Bedingungen zu mobilisieren;</w:t>
            </w:r>
          </w:p>
        </w:tc>
        <w:tc>
          <w:tcPr>
            <w:tcW w:w="4876" w:type="dxa"/>
          </w:tcPr>
          <w:p w:rsidR="004E16CD" w:rsidRPr="004E16CD" w:rsidRDefault="004E16CD" w:rsidP="00241723">
            <w:pPr>
              <w:pStyle w:val="Normal6"/>
              <w:rPr>
                <w:szCs w:val="24"/>
              </w:rPr>
            </w:pPr>
            <w:r w:rsidRPr="004E16CD">
              <w:t>5.</w:t>
            </w:r>
            <w:r w:rsidRPr="004E16CD">
              <w:tab/>
              <w:t xml:space="preserve">betont, dass öffentliche Mittel gezielt </w:t>
            </w:r>
            <w:r w:rsidRPr="004E16CD">
              <w:rPr>
                <w:b/>
                <w:i/>
              </w:rPr>
              <w:t xml:space="preserve">für europäische öffentliche Güter und Mehrwert und </w:t>
            </w:r>
            <w:r w:rsidRPr="004E16CD">
              <w:t>dafür verwendet werden sollten, die Nachhaltigkeit und Zugänglichkeit öffentlicher Dienstleistungen und Infrastrukturen sicherzustellen und gleichzeitig private Investitionen in innovative und saubere Industrien unter genau festgelegten Bedingungen zu mobilisieren;</w:t>
            </w:r>
          </w:p>
        </w:tc>
      </w:tr>
    </w:tbl>
    <w:p w:rsidR="004E16CD" w:rsidRPr="004E16CD" w:rsidRDefault="004E16CD" w:rsidP="004E16CD">
      <w:pPr>
        <w:pStyle w:val="Olang"/>
        <w:rPr>
          <w:sz w:val="24"/>
          <w:szCs w:val="24"/>
        </w:rPr>
      </w:pPr>
      <w:r w:rsidRPr="004E16CD">
        <w:rPr>
          <w:sz w:val="24"/>
          <w:szCs w:val="24"/>
        </w:rPr>
        <w:t xml:space="preserve">Or. </w:t>
      </w:r>
      <w:r w:rsidRPr="004E16CD">
        <w:rPr>
          <w:rStyle w:val="HideTWBExt"/>
        </w:rPr>
        <w:t>&lt;Original&gt;</w:t>
      </w:r>
      <w:r w:rsidRPr="004E16CD">
        <w:rPr>
          <w:rStyle w:val="HideTWBInt"/>
        </w:rPr>
        <w:t>{EN}</w:t>
      </w:r>
      <w:r w:rsidRPr="004E16CD">
        <w:rPr>
          <w:sz w:val="24"/>
          <w:szCs w:val="24"/>
        </w:rPr>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201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Pierre Pimpie, Enikő Győri</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5.</w:t>
            </w:r>
            <w:r w:rsidRPr="004E16CD">
              <w:tab/>
              <w:t xml:space="preserve">betont, dass öffentliche Mittel </w:t>
            </w:r>
            <w:r w:rsidRPr="004E16CD">
              <w:rPr>
                <w:b/>
                <w:i/>
              </w:rPr>
              <w:t>gezielt dafür verwendet</w:t>
            </w:r>
            <w:r w:rsidRPr="004E16CD">
              <w:t xml:space="preserve"> werden sollten, die Nachhaltigkeit </w:t>
            </w:r>
            <w:r w:rsidRPr="004E16CD">
              <w:rPr>
                <w:b/>
                <w:i/>
              </w:rPr>
              <w:t>und</w:t>
            </w:r>
            <w:r w:rsidRPr="004E16CD">
              <w:t xml:space="preserve"> Zugänglichkeit öffentlicher Dienstleistungen und Infrastrukturen </w:t>
            </w:r>
            <w:r w:rsidRPr="004E16CD">
              <w:rPr>
                <w:b/>
                <w:i/>
              </w:rPr>
              <w:t>sicherzustellen</w:t>
            </w:r>
            <w:r w:rsidRPr="004E16CD">
              <w:t xml:space="preserve"> und gleichzeitig private Investitionen in </w:t>
            </w:r>
            <w:r w:rsidRPr="004E16CD">
              <w:rPr>
                <w:b/>
                <w:i/>
              </w:rPr>
              <w:t>innovative</w:t>
            </w:r>
            <w:r w:rsidRPr="004E16CD">
              <w:t xml:space="preserve"> und </w:t>
            </w:r>
            <w:r w:rsidRPr="004E16CD">
              <w:rPr>
                <w:b/>
                <w:i/>
              </w:rPr>
              <w:t>saubere Industrien unter genau festgelegten Bedingungen zu mobilisieren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5.</w:t>
            </w:r>
            <w:r w:rsidRPr="004E16CD">
              <w:tab/>
              <w:t xml:space="preserve">betont, dass öffentliche Mittel </w:t>
            </w:r>
            <w:r w:rsidRPr="004E16CD">
              <w:rPr>
                <w:b/>
                <w:i/>
              </w:rPr>
              <w:t>in ausgewogener Weise zugewiesen</w:t>
            </w:r>
            <w:r w:rsidRPr="004E16CD">
              <w:t xml:space="preserve"> werden sollten, </w:t>
            </w:r>
            <w:r w:rsidRPr="004E16CD">
              <w:rPr>
                <w:b/>
                <w:i/>
              </w:rPr>
              <w:t xml:space="preserve">sodass sowohl </w:t>
            </w:r>
            <w:r w:rsidRPr="004E16CD">
              <w:t xml:space="preserve">die Nachhaltigkeit </w:t>
            </w:r>
            <w:r w:rsidRPr="004E16CD">
              <w:rPr>
                <w:b/>
                <w:i/>
              </w:rPr>
              <w:t>als auch die</w:t>
            </w:r>
            <w:r w:rsidRPr="004E16CD">
              <w:t xml:space="preserve"> Zugänglichkeit öffentlicher Dienstleistungen und Infrastrukturen </w:t>
            </w:r>
            <w:r w:rsidRPr="004E16CD">
              <w:rPr>
                <w:b/>
                <w:i/>
              </w:rPr>
              <w:t>sichergestellt wird</w:t>
            </w:r>
            <w:r w:rsidRPr="004E16CD">
              <w:t xml:space="preserve"> und gleichzeitig private Investitionen in </w:t>
            </w:r>
            <w:r w:rsidRPr="004E16CD">
              <w:rPr>
                <w:b/>
                <w:i/>
              </w:rPr>
              <w:t>Schlüsselindustrien, einschließlich innovativer und strategischer Sektoren, in einer Weise gefördert werden, die den wirtschaftlichen Besonderheiten</w:t>
            </w:r>
            <w:r w:rsidRPr="004E16CD">
              <w:t xml:space="preserve"> und </w:t>
            </w:r>
            <w:r w:rsidRPr="004E16CD">
              <w:rPr>
                <w:b/>
                <w:i/>
              </w:rPr>
              <w:t>den sektorspezifischen Prioritäten jedes Mitgliedstaats in vollem Umfang Rechnung trägt</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202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Regina Doherty</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5.</w:t>
            </w:r>
            <w:r w:rsidRPr="004E16CD">
              <w:tab/>
              <w:t>betont, dass öffentliche Mittel gezielt dafür verwendet werden sollten, die Nachhaltigkeit und Zugänglichkeit öffentlicher Dienstleistungen und Infrastrukturen sicherzustellen und gleichzeitig private Investitionen in innovative und saubere Industrien unter genau festgelegten Bedingungen zu mobilisieren;</w:t>
            </w:r>
          </w:p>
        </w:tc>
        <w:tc>
          <w:tcPr>
            <w:tcW w:w="4876" w:type="dxa"/>
            <w:tcBorders>
              <w:top w:val="nil"/>
              <w:left w:val="nil"/>
              <w:bottom w:val="nil"/>
              <w:right w:val="nil"/>
            </w:tcBorders>
          </w:tcPr>
          <w:p w:rsidR="004E16CD" w:rsidRPr="004E16CD" w:rsidRDefault="004E16CD" w:rsidP="00241723">
            <w:pPr>
              <w:pStyle w:val="Normal6a"/>
            </w:pPr>
            <w:r w:rsidRPr="004E16CD">
              <w:t>5.</w:t>
            </w:r>
            <w:r w:rsidRPr="004E16CD">
              <w:tab/>
              <w:t xml:space="preserve">betont, dass öffentliche Mittel gezielt </w:t>
            </w:r>
            <w:r w:rsidRPr="004E16CD">
              <w:rPr>
                <w:b/>
                <w:i/>
              </w:rPr>
              <w:t xml:space="preserve">für Investitionen, Wirtschaftswachstum und das Erzielen eines guten Kosten-Nutzen-Verhältnisses und </w:t>
            </w:r>
            <w:r w:rsidRPr="004E16CD">
              <w:t>dafür verwendet werden sollten, die Nachhaltigkeit und Zugänglichkeit öffentlicher Dienstleistungen und Infrastrukturen sicherzustellen und gleichzeitig private Investitionen in innovative und saubere Industrien unter genau festgelegten Bedingungen zu mobilisieren;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203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Fernand Kartheiser, Geadis Geadi, Kristoffer Storm, Nora Junco García, Diego Solier, Adrian-George Axinia, Georgiana Teodorescu</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5.</w:t>
            </w:r>
            <w:r w:rsidRPr="004E16CD">
              <w:tab/>
              <w:t xml:space="preserve">betont, dass öffentliche Mittel gezielt dafür verwendet werden sollten, die Nachhaltigkeit und Zugänglichkeit öffentlicher Dienstleistungen und Infrastrukturen sicherzustellen und gleichzeitig </w:t>
            </w:r>
            <w:r w:rsidRPr="004E16CD">
              <w:rPr>
                <w:b/>
                <w:i/>
              </w:rPr>
              <w:t xml:space="preserve">private </w:t>
            </w:r>
            <w:r w:rsidRPr="004E16CD">
              <w:t>Investitionen in innovative</w:t>
            </w:r>
            <w:r w:rsidRPr="004E16CD">
              <w:rPr>
                <w:b/>
                <w:i/>
              </w:rPr>
              <w:t xml:space="preserve"> und saubere</w:t>
            </w:r>
            <w:r w:rsidRPr="004E16CD">
              <w:t xml:space="preserve"> Industrien unter genau festgelegten Bedingungen zu mobilisieren;</w:t>
            </w:r>
          </w:p>
        </w:tc>
        <w:tc>
          <w:tcPr>
            <w:tcW w:w="4876" w:type="dxa"/>
            <w:tcBorders>
              <w:top w:val="nil"/>
              <w:left w:val="nil"/>
              <w:bottom w:val="nil"/>
              <w:right w:val="nil"/>
            </w:tcBorders>
          </w:tcPr>
          <w:p w:rsidR="004E16CD" w:rsidRPr="004E16CD" w:rsidRDefault="004E16CD" w:rsidP="00241723">
            <w:pPr>
              <w:pStyle w:val="Normal6a"/>
            </w:pPr>
            <w:r w:rsidRPr="004E16CD">
              <w:t>5.</w:t>
            </w:r>
            <w:r w:rsidRPr="004E16CD">
              <w:tab/>
              <w:t>betont, dass öffentliche Mittel gezielt dafür verwendet werden sollten, die Nachhaltigkeit und Zugänglichkeit öffentlicher Dienstleistungen und Infrastrukturen sicherzustellen und gleichzeitig Investitionen in innovative Industrien unter genau festgelegten Bedingungen zu mobilisieren;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204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Thomas Bajada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5.</w:t>
            </w:r>
            <w:r w:rsidRPr="004E16CD">
              <w:tab/>
              <w:t>betont, dass öffentliche Mittel gezielt dafür verwendet werden sollten, die Nachhaltigkeit und Zugänglichkeit öffentlicher Dienstleistungen und Infrastrukturen sicherzustellen und gleichzeitig private Investitionen in innovative und saubere Industrien unter genau festgelegten Bedingungen zu mobilisieren;</w:t>
            </w:r>
          </w:p>
        </w:tc>
        <w:tc>
          <w:tcPr>
            <w:tcW w:w="4876" w:type="dxa"/>
            <w:tcBorders>
              <w:top w:val="nil"/>
              <w:left w:val="nil"/>
              <w:bottom w:val="nil"/>
              <w:right w:val="nil"/>
            </w:tcBorders>
          </w:tcPr>
          <w:p w:rsidR="004E16CD" w:rsidRPr="004E16CD" w:rsidRDefault="004E16CD" w:rsidP="00241723">
            <w:pPr>
              <w:pStyle w:val="Normal6a"/>
            </w:pPr>
            <w:r w:rsidRPr="004E16CD">
              <w:t>5.</w:t>
            </w:r>
            <w:r w:rsidRPr="004E16CD">
              <w:tab/>
              <w:t xml:space="preserve">betont, dass öffentliche Mittel gezielt dafür verwendet werden sollten, </w:t>
            </w:r>
            <w:r w:rsidRPr="004E16CD">
              <w:rPr>
                <w:b/>
                <w:i/>
              </w:rPr>
              <w:t xml:space="preserve">das Wohlergehen der Bürgerinnen und Bürger der EU zu verbessern und daher </w:t>
            </w:r>
            <w:r w:rsidRPr="004E16CD">
              <w:t>die Nachhaltigkeit und Zugänglichkeit öffentlicher Dienstleistungen und Infrastrukturen</w:t>
            </w:r>
            <w:r w:rsidRPr="004E16CD">
              <w:rPr>
                <w:b/>
                <w:i/>
              </w:rPr>
              <w:t>, insbesondere im Zusammenhang mit Dienstleistungen von allgemeinem Interesse,</w:t>
            </w:r>
            <w:r w:rsidRPr="004E16CD">
              <w:t xml:space="preserve"> sicherzustellen und gleichzeitig private Investitionen in innovative und saubere Industrien unter genau festgelegten Bedingungen zu mobilisieren;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205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Evelyn Regner, Niels Fuglsang, Claire Fita, Carla Tavares, Thomas Bajada,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5.</w:t>
            </w:r>
            <w:r w:rsidRPr="004E16CD">
              <w:tab/>
              <w:t>betont, dass öffentliche Mittel gezielt dafür verwendet werden sollten, die Nachhaltigkeit und Zugänglichkeit öffentlicher Dienstleistungen und Infrastrukturen sicherzustellen und gleichzeitig private Investitionen in innovative und saubere Industrien unter genau festgelegten Bedingungen zu mobilisieren;</w:t>
            </w:r>
          </w:p>
        </w:tc>
        <w:tc>
          <w:tcPr>
            <w:tcW w:w="4876" w:type="dxa"/>
            <w:tcBorders>
              <w:top w:val="nil"/>
              <w:left w:val="nil"/>
              <w:bottom w:val="nil"/>
              <w:right w:val="nil"/>
            </w:tcBorders>
          </w:tcPr>
          <w:p w:rsidR="004E16CD" w:rsidRPr="004E16CD" w:rsidRDefault="004E16CD" w:rsidP="00241723">
            <w:pPr>
              <w:pStyle w:val="Normal6a"/>
            </w:pPr>
            <w:r w:rsidRPr="004E16CD">
              <w:t>5.</w:t>
            </w:r>
            <w:r w:rsidRPr="004E16CD">
              <w:tab/>
              <w:t xml:space="preserve">betont, dass öffentliche Mittel gezielt dafür verwendet werden sollten, die Nachhaltigkeit und Zugänglichkeit öffentlicher Dienstleistungen und Infrastrukturen sicherzustellen und gleichzeitig private Investitionen in innovative und saubere Industrien unter genau festgelegten </w:t>
            </w:r>
            <w:r w:rsidRPr="004E16CD">
              <w:rPr>
                <w:b/>
                <w:i/>
              </w:rPr>
              <w:t xml:space="preserve">sozialen und ökologischen </w:t>
            </w:r>
            <w:r w:rsidRPr="004E16CD">
              <w:t>Bedingungen zu mobilisieren;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206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Lídia Pereira, 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5.</w:t>
            </w:r>
            <w:r w:rsidRPr="004E16CD">
              <w:tab/>
              <w:t>betont, dass öffentliche Mittel gezielt dafür verwendet werden sollten, die Nachhaltigkeit und Zugänglichkeit öffentlicher Dienstleistungen und Infrastrukturen sicherzustellen und gleichzeitig private Investitionen in innovative und saubere Industrien unter genau festgelegten Bedingungen zu mobilisieren;</w:t>
            </w:r>
          </w:p>
        </w:tc>
        <w:tc>
          <w:tcPr>
            <w:tcW w:w="4876" w:type="dxa"/>
            <w:tcBorders>
              <w:top w:val="nil"/>
              <w:left w:val="nil"/>
              <w:bottom w:val="nil"/>
              <w:right w:val="nil"/>
            </w:tcBorders>
          </w:tcPr>
          <w:p w:rsidR="004E16CD" w:rsidRPr="004E16CD" w:rsidRDefault="004E16CD" w:rsidP="00241723">
            <w:pPr>
              <w:pStyle w:val="Normal6a"/>
            </w:pPr>
            <w:r w:rsidRPr="004E16CD">
              <w:t>5.</w:t>
            </w:r>
            <w:r w:rsidRPr="004E16CD">
              <w:tab/>
              <w:t xml:space="preserve">betont, dass öffentliche Mittel gezielt dafür verwendet werden sollten, die </w:t>
            </w:r>
            <w:r w:rsidRPr="004E16CD">
              <w:rPr>
                <w:b/>
                <w:i/>
              </w:rPr>
              <w:t xml:space="preserve">Qualität, Effizienz, </w:t>
            </w:r>
            <w:r w:rsidRPr="004E16CD">
              <w:t>Nachhaltigkeit und Zugänglichkeit öffentlicher Dienstleistungen und Infrastrukturen sicherzustellen und gleichzeitig private Investitionen in innovative und saubere Industrien unter genau festgelegten Bedingungen zu mobilisieren;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207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Sirpa Pietikäinen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5.</w:t>
            </w:r>
            <w:r w:rsidRPr="004E16CD">
              <w:tab/>
              <w:t>betont, dass öffentliche Mittel gezielt dafür verwendet werden sollten, die Nachhaltigkeit und Zugänglichkeit öffentlicher Dienstleistungen und Infrastrukturen sicherzustellen und gleichzeitig private Investitionen in innovative und saubere Industrien unter genau festgelegten Bedingungen zu mobilisieren;</w:t>
            </w:r>
          </w:p>
        </w:tc>
        <w:tc>
          <w:tcPr>
            <w:tcW w:w="4876" w:type="dxa"/>
            <w:tcBorders>
              <w:top w:val="nil"/>
              <w:left w:val="nil"/>
              <w:bottom w:val="nil"/>
              <w:right w:val="nil"/>
            </w:tcBorders>
          </w:tcPr>
          <w:p w:rsidR="004E16CD" w:rsidRPr="004E16CD" w:rsidRDefault="004E16CD" w:rsidP="00241723">
            <w:pPr>
              <w:pStyle w:val="Normal6a"/>
            </w:pPr>
            <w:r w:rsidRPr="004E16CD">
              <w:t>5.</w:t>
            </w:r>
            <w:r w:rsidRPr="004E16CD">
              <w:tab/>
              <w:t xml:space="preserve">betont, dass öffentliche Mittel gezielt dafür verwendet werden sollten, die Nachhaltigkeit und Zugänglichkeit öffentlicher Dienstleistungen und Infrastrukturen sicherzustellen und gleichzeitig private Investitionen in innovative und saubere </w:t>
            </w:r>
            <w:r w:rsidRPr="004E16CD">
              <w:rPr>
                <w:b/>
                <w:i/>
              </w:rPr>
              <w:t xml:space="preserve">Technologien und </w:t>
            </w:r>
            <w:r w:rsidRPr="004E16CD">
              <w:t>Industrien unter genau festgelegten Bedingungen zu mobilisieren;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208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5a.</w:t>
            </w:r>
            <w:r w:rsidRPr="004E16CD">
              <w:tab/>
            </w:r>
            <w:r w:rsidRPr="004E16CD">
              <w:rPr>
                <w:b/>
                <w:i/>
              </w:rPr>
              <w:t>ist der Ansicht, dass Familien die wichtigste Säule für die Erhaltung des sozialen Gefüges und des Wohlergehens in Europa sind; weist darauf hin, dass Personen, die für Kinder oder pflegebedürftige Angehörige verantwortlich sind, einen unverhältnismäßig großen Teil der Last aus den aufeinanderfolgenden Wirtschaftskrisen der letzten 15 Jahre getragen haben; teilt die Auffassung, dass Familien, damit sie gedeihen, ihre Zukunft aufbauen und ihre Verantwortung mit Vertrauen übernehmen können, echte Möglichkeiten haben müssen, Ersparnisse zu generieren und Vermögen anzusammeln; erachtet in diesem Sinne die Entwicklung vertiefter, zugänglicher und effizienter Kapitalmärkte für wichtig, die Anlagen von Kleinanlegern erleichtern, diese schützen und die Vermittlung von Finanzwissen fördern; unterstützt den Zugang der privaten Haushalte zu den Finanzmärkten als Priorität bei der Gestaltung der Strategie für die Spar- und Investitionsunion;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209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Regina Doherty</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5a.</w:t>
            </w:r>
            <w:r w:rsidRPr="004E16CD">
              <w:tab/>
            </w:r>
            <w:r w:rsidRPr="004E16CD">
              <w:rPr>
                <w:b/>
                <w:i/>
              </w:rPr>
              <w:t>erachtet die Vereinfachung der Rechtsvorschriften für sehr wichtig, um die Wettbewerbsfähigkeit zu steigern; betont, dass übermäßig komplexe und belastende Vorschriften Investitionen behindern, den Wohlstand verringern, die Lebenshaltungskosten erhöhen und den Lebensstandard senken; fordert, dass der Schwerpunkt weiterhin auf die Verbesserung des Regelungsumfelds in der EU gelegt wird, um Investitionen und Dynamik zu fördern und für mehr Sicherheit zu sorgen; fordert die Mitgliedstaaten auf, Überregulierung zu verringern und anzugehen, um Wettbewerbsfähigkeit, Vereinfachung und Investitionen zu fördern, unter anderem durch den Abbau der Komplexität der Rechtsvorschriften, die den Wettbewerb im Binnenmarkt verzerren, die Kosten in verschiedenen Branchen erhöhen und grenzüberschreitende Investitionen und Privatinvestitionen behindern;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210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Jussi Saramo, Pasquale Tridico, Gaetano Pedulla', Manon Aubry</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5a.</w:t>
            </w:r>
            <w:r w:rsidRPr="004E16CD">
              <w:tab/>
            </w:r>
            <w:r w:rsidRPr="004E16CD">
              <w:rPr>
                <w:b/>
                <w:i/>
              </w:rPr>
              <w:t>erkennt an, dass die Kapitalmärkte nicht den gesamten Investitionsbedarf Europas decken können; betont, dass öffentliche Investitionen im Mittelpunkt des ökologischen und digitalen Wandels stehen müssen und dass die Rolle öffentlicher Investitionen nicht auf die Verringerung des Risikos privater Investitionen reduziert werden sollte; stellt daher fest, dass die Architektur der öffentlichen Finanzierung der EU neu gestaltet werden muss, und fordert die Einrichtung eines EU-Investitionsfonds als Teil des nächsten MFR;</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211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Johan Van Overtveldt</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5a.</w:t>
            </w:r>
            <w:r w:rsidRPr="004E16CD">
              <w:tab/>
            </w:r>
            <w:r w:rsidRPr="004E16CD">
              <w:rPr>
                <w:b/>
                <w:i/>
              </w:rPr>
              <w:t>betont, dass es bei der Schließung der Investitionslücke nicht nur darum geht, große Finanzvolumina zu mobilisieren, sondern auch darum, sicherzustellen, dass die EU in der Lage ist, Mittel in produktive Investitionen zu lenken; betont, dass institutionelle Kapazitäten, regulatorische Klarheit und Projektqualität für die wirksame Nutzung von öffentlichem und privatem Kapital von entscheidender Bedeutung sind;</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212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Sirpa Pietikäinen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5a.</w:t>
            </w:r>
            <w:r w:rsidRPr="004E16CD">
              <w:tab/>
            </w:r>
            <w:r w:rsidRPr="004E16CD">
              <w:rPr>
                <w:b/>
                <w:i/>
              </w:rPr>
              <w:t>fordert, die Dynamik für die Schaffung eines neuen europäischen Modells nachhaltiger Wettbewerbsfähigkeit zu nutzen, das auf der Verwirklichung einer echten Kreislaufwirtschaft und Ressourcenunabhängigkeit beruht, einschließlich einer robusteren Messung der Wettbewerbsfähigkeit und des Wachstums über das Bruttoinlandsprodukt hinaus und ihrer Einbeziehung in das Europäische Semester und den Haushalt;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213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Eero Heinäluoma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 a (neu)</w:t>
      </w:r>
      <w:r w:rsidRPr="004E16CD">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5a. ist der Ansicht, dass die EU-Leitlinien für staatliche Beihilfen im Bankensektor einer neuen Bewertung bedürfen, um die Wettbewerbsunterschiede besser zu beseitigen und die Marktdisziplin zu stärken;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214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Giovanni Crosetto, Denis Nesci, Francesco Ventola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5a.</w:t>
            </w:r>
            <w:r w:rsidRPr="004E16CD">
              <w:tab/>
            </w:r>
            <w:r w:rsidRPr="004E16CD">
              <w:rPr>
                <w:b/>
                <w:i/>
              </w:rPr>
              <w:t>betont, dass jede regulatorische oder legislative Initiative auf einer gründlichen Bewertung ihrer Kosten und ihres Nutzens beruhen sollte; betont, dass eine strenge Analyse von wesentlicher Bedeutung ist, um sicherzustellen, dass Wachstum, Innovation und Wettbewerbsfähigkeit durch neue Maßnahmen wirksam unterstützt werden, ohne dass ein übermäßiger Verwaltungs- oder Befolgungsaufwand entsteht;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215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Anouk Van Brug, Billy Kelleher, Engin Eroglu, Stéphanie Yon-Courtin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5a.</w:t>
            </w:r>
            <w:r w:rsidRPr="004E16CD">
              <w:tab/>
            </w:r>
            <w:r w:rsidRPr="004E16CD">
              <w:rPr>
                <w:b/>
                <w:i/>
              </w:rPr>
              <w:t>betont, dass das Geschäftsklima der EU für Unternehmen und Investoren sehr attraktiv sein sollte und es ihnen ermöglichen sollte, innovative Geschäftsszenarien in einem günstigen Regelungsumfeld zu entwickeln; bekräftigt seine seit Langem bestehende Forderung, den kumulativen Verwaltungsaufwand in dieser Hinsicht zu verringern, insbesondere für KMU;</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216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Fabio De Masi</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5a.</w:t>
            </w:r>
            <w:r w:rsidRPr="004E16CD">
              <w:tab/>
            </w:r>
            <w:r w:rsidRPr="004E16CD">
              <w:rPr>
                <w:b/>
                <w:i/>
              </w:rPr>
              <w:t>betont, dass die Volkswirtschaften der EU-Mitgliedstaaten trotz der Vertiefung des Binnenmarkts aufgrund unterschiedlicher Sprachregelungen und Rechtssysteme (z. B. Insolvenzgesetze) durch eine größere Vielfalt und damit eine geringere Größe im Vergleich zur US-Wirtschaft gekennzeichnet sind;</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217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Gilles Boyer, Stéphanie Yon-Courtin, Pascal Canfin, Billy Kelleher, Anouk Van Brug</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5a.</w:t>
            </w:r>
            <w:r w:rsidRPr="004E16CD">
              <w:tab/>
            </w:r>
            <w:r w:rsidRPr="004E16CD">
              <w:rPr>
                <w:b/>
                <w:i/>
              </w:rPr>
              <w:t>hebt die Bedeutung der Akteure, Bürgerinnen und Bürger, Unternehmen und Finanzbranchen der EU für den Erfolg der Europäischen Spar- und Investitionsunion hervor; weist darauf hin, dass sie von entscheidender Bedeutung sein werden, um die Beteiligung von Kleinanlegern in der EU und die Finanzierung der EU-Wirtschaft miteinander in Einklang zu bringen, die zwei Aspekte des gleichen Ziels sind;</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218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Lídia Pereira, 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5a.</w:t>
            </w:r>
            <w:r w:rsidRPr="004E16CD">
              <w:tab/>
            </w:r>
            <w:r w:rsidRPr="004E16CD">
              <w:rPr>
                <w:b/>
                <w:i/>
              </w:rPr>
              <w:t>betont die Bedeutung einer ambitionierten, messbaren und entschlossenen EU-Strategie zur Förderung der Finanzkompetenz in Europa, mit der unsere Bürgerinnen und Bürger in die Lage versetzt werden, ihre Ersparnisse besser zu schützen und zu mobilisieren und auf einem attraktiveren Kapitalmarkt aufzubauen;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219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Irene Tinagli</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5a.</w:t>
            </w:r>
            <w:r w:rsidRPr="004E16CD">
              <w:tab/>
            </w:r>
            <w:r w:rsidRPr="004E16CD">
              <w:rPr>
                <w:b/>
                <w:i/>
              </w:rPr>
              <w:t>betont, dass der Mangel an erschwinglichem, angemessenem und sozialem Wohnraum – insbesondere in Gebieten mit hoher Nachfrage – zu einem strukturellen Engpass für die Mobilität und Produktivität der Arbeitskräfte geworden ist, was die Wettbewerbsfähigkeit in der Union untergräbt;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220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Ralf Seekatz</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5a.</w:t>
            </w:r>
            <w:r w:rsidRPr="004E16CD">
              <w:tab/>
            </w:r>
            <w:r w:rsidRPr="004E16CD">
              <w:rPr>
                <w:b/>
                <w:i/>
              </w:rPr>
              <w:t>betont, dass weitere Investitionen in kritische Infrastrukturen durch eine verstärkte Nutzung öffentlich-privater Partnerschaften angestoßen werden könnten; fordert die Kommission auf, eine Empfehlung an die Mitgliedstaaten zu solchen Partnerschaften abzugeben;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221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Rasmus Andresen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5a.</w:t>
            </w:r>
            <w:r w:rsidRPr="004E16CD">
              <w:tab/>
            </w:r>
            <w:r w:rsidRPr="004E16CD">
              <w:rPr>
                <w:b/>
                <w:i/>
              </w:rPr>
              <w:t>weist darauf hin, dass frühere Finanzkrisen die unmittelbaren Folgen zu nachsichtiger Vorschriften waren; weist erneut darauf hin, dass die früheren Finanzkrisen langfristige wirtschaftliche Auswirkungen auf Wachstum, Produktivität und soziale Inklusion hatte; betont, dass ein wirksamer und umfassender Regelungsrahmen, der durch solide Verbraucherschutzmechanismen unterstützt wird, eine wesentliche Triebkraft für die Wettbewerbsfähigkeit des Bankensektors der EU ist und von wesentlicher Bedeutung ist, um eine stärkere Beteiligung von Privatkunden an den Kapitalmärkten der EU zu fördern; weist darauf hin, dass aus einer Reihe von Studien des Basler Ausschusses für Bankenaufsicht (BCBS) hervorgeht, dass die Basel-III-Reformen auch in den schwierigen Jahren nach der Krise den europäischen Banken geholfen haben, ihre Volkswirtschaften zu unterstützen; ist der Ansicht, dass es von entscheidender Bedeutung ist, für einen angemessenen Schutz von Kleinanlegern zu sorgen und die bestehenden Interessenkonflikte von Finanzberatern anzugehen, um das Vertrauen der Bürgerinnen und Bürger der Union in die Finanzmärkte wiederherzustellen und dadurch ein transparenteres, gerechteres und wettbewerbsfähigeres Marktumfeld zu fördern, das allen Interessenträgern zugutekommt; begrüßt Initiativen zur Förderung der finanziellen Teilhabe und zur Gewährleistung des Zugangs von Kleinanlegern zu grundlegenden Finanzprodukten;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222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Evelyn Regner, Niels Fuglsang, Claire Fita, Carla Tavares, Thomas Bajada,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5a.</w:t>
            </w:r>
            <w:r w:rsidRPr="004E16CD">
              <w:tab/>
            </w:r>
            <w:r w:rsidRPr="004E16CD">
              <w:rPr>
                <w:b/>
                <w:i/>
              </w:rPr>
              <w:t>begrüßt das Ziel, das die Kommission sich selbst gesetzt hat, eine „Investitionskommission“ zu sein und die für den ökologischen, digitalen und sozialen Wandel erforderlichen Finanzmittel freizusetzen sowie öffentliche Investitionen zu maximieren, privates Kapital zu mobilisieren und das Risiko zu verringern;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223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Kinga Kollár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5a.</w:t>
            </w:r>
            <w:r w:rsidRPr="004E16CD">
              <w:tab/>
            </w:r>
            <w:r w:rsidRPr="004E16CD">
              <w:rPr>
                <w:b/>
                <w:i/>
              </w:rPr>
              <w:t>betont, dass Innovationen beschleunigt und neue Wachstumsmotoren gefunden werden müssen, die hohen Energiepreise gesenkt werden müssen und gleichzeitig die Dekarbonisierung und der Übergang zu einer Kreislaufwirtschaft fortgesetzt werden müssen;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224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Irene Tinagli</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5b.</w:t>
            </w:r>
            <w:r w:rsidRPr="004E16CD">
              <w:tab/>
            </w:r>
            <w:r w:rsidRPr="004E16CD">
              <w:rPr>
                <w:b/>
                <w:i/>
              </w:rPr>
              <w:t>fordert die Kommission und die Mitgliedstaaten auf, die Dimension der Wohnungspolitik im Rahmen des Europäischen Semesters und anderer Instrumente der makroökonomischen Koordinierung zu stärken und als Voraussetzung für die Stärkung der Wettbewerbsfähigkeit der Union Investitionen und Reformen zur Verbesserung der Verfügbarkeit von erschwinglichem und sozialem Wohnraum, insbesondere in Bereichen mit hoher Nachfrage, zu mobilisieren;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225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Johan Van Overtveldt</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5b.</w:t>
            </w:r>
            <w:r w:rsidRPr="004E16CD">
              <w:tab/>
            </w:r>
            <w:r w:rsidRPr="004E16CD">
              <w:rPr>
                <w:b/>
                <w:i/>
              </w:rPr>
              <w:t>betont, dass viele Reformen, die erforderlich sind, um die Investitionslücke zu schließen, keine finanziellen Ressourcen erfordern, sondern politische Entschlossenheit, diese Reformen umzusetzen;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226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Regina Doherty</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5b.</w:t>
            </w:r>
            <w:r w:rsidRPr="004E16CD">
              <w:tab/>
            </w:r>
            <w:r w:rsidRPr="004E16CD">
              <w:rPr>
                <w:b/>
                <w:i/>
              </w:rPr>
              <w:t>fordert Reformen, mit denen es kleinen Unternehmen erleichtert wird, sich EU-weit, auch auf elektronischem Wege, für Mehrwertsteuerzwecke registrieren zu lassen;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227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Rasmus Andresen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5b.</w:t>
            </w:r>
            <w:r w:rsidRPr="004E16CD">
              <w:tab/>
            </w:r>
            <w:r w:rsidRPr="004E16CD">
              <w:rPr>
                <w:b/>
                <w:i/>
              </w:rPr>
              <w:t>nimmt die Feststellung der EIOPA zur Kenntnis, dass die Renditen von Versicherungsanlageprodukten im Zeitraum 2020-2023 die Inflation nicht übertroffen haben, was bedeutet, dass die Sparer in der EU real Vermögen verloren haben; bedauert, dass die Sparer in der EU aufgrund der höheren Gebühren, mit denen sie im Vergleich zu denen in anderen Ländern konfrontiert sind, keine Renditen erhalten, die ihren Risiken angemessen sind; ist besorgt darüber, dass das derzeitige Vertriebsmodell Kleinanlegern einen Anreiz bietet, in unproduktive Vermögenswerte wie Kryptowerte zu investieren; fordert die Kommission auf, entschlossene Maßnahmen zu ergreifen, um das EU-Vertriebsmodell für Finanzprodukte zu reformieren; ist nach wie vor der Ansicht, dass ein Anreizverbot der beste Weg ist, dieses Problem anzugehen;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228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Regina Doherty</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 c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5c.</w:t>
            </w:r>
            <w:r w:rsidRPr="004E16CD">
              <w:tab/>
            </w:r>
            <w:r w:rsidRPr="004E16CD">
              <w:rPr>
                <w:b/>
                <w:i/>
              </w:rPr>
              <w:t>fordert die Kommission nachdrücklich auf, den Aufsichtsrahmen für Wertpapierfirmen im Rahmen der Richtlinie und der Verordnung über die Beaufsichtigung von Wertpapierfirmen zu überprüfen, um sicherzustellen, dass er verhältnismäßig und zweckmäßig ist; betont, dass Wertpapierfirmen, die als Market-Maker fungieren, wichtige Marktliquidität bereitstellen; bekräftigt, dass Beschränkungen, die die Bereitstellung von Liquidität durch Wertpapierfirmen unangemessen einschränken oder kleinere Firmen vom Markteintritt abhalten könnten, durch Gesetzesänderungen angegangen werden sollten; </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229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Irene Tinagli</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 c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5c.</w:t>
            </w:r>
            <w:r w:rsidRPr="004E16CD">
              <w:tab/>
            </w:r>
            <w:r w:rsidRPr="004E16CD">
              <w:rPr>
                <w:b/>
                <w:i/>
              </w:rPr>
              <w:t>fordert, dass der europäische Wohlfahrtsstaat gestärkt wird, einschließlich eines universellen Zugangs zu hochwertigen öffentlichen Dienstleistungen, Wohnraum, Mobilität und Kinderbetreuung, um den sozialen Zusammenhalt während des Übergangs zu einer stärker digitalisierten und umweltfreundlicheren Wirtschaft sicherzustellen;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230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Rasmus Andresen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 c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5c.</w:t>
            </w:r>
            <w:r w:rsidRPr="004E16CD">
              <w:tab/>
            </w:r>
            <w:r w:rsidRPr="004E16CD">
              <w:rPr>
                <w:b/>
                <w:i/>
              </w:rPr>
              <w:t>stellt fest, dass der EU-Finanzsektor den jüngsten wirtschaftlichen und finanziellen Schocks, die durch die Aggression Russlands gegen die Ukraine oder die Beschlüsse der Trump-Regierung bezüglich der Einführung einseitiger Zölle ausgelöst wurden, standgehalten hat; betont, dass die Robustheit des Finanzsektors ein Schlüsselelement seiner Wettbewerbsfähigkeit ist; betont in diesem Zusammenhang, dass die Reformen nach der Finanzkrise beibehalten und abgeschlossen werden sollten; betont, dass nur durch eine vollständige Umsetzung der Baseler Standards sichergestellt würde, dass die Banken in der EU finanziell solide sind; stellt fest, dass im Jahr 2024 ein höherer Anteil des Vermögensportfolios von Versicherern aus Unternehmensanleihen und Aktien besteht als 2017; betont, dass dies zeigt, dass Solvabilität 2, ein solider Aufsichtsrahmen, die Investitionen von Versicherern in die Realwirtschaft nicht behindert, sondern vielmehr gefördert hat; ist der Ansicht, dass beim Abschluss der Solvabilität-2-Überprüfung die aufsichtsrechtliche Solidität des Rahmens gewahrt werden muss;</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231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Rasmus Andresen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5 d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5d.</w:t>
            </w:r>
            <w:r w:rsidRPr="004E16CD">
              <w:tab/>
            </w:r>
            <w:r w:rsidRPr="004E16CD">
              <w:rPr>
                <w:b/>
                <w:i/>
              </w:rPr>
              <w:t>weist darauf hin, dass die Vollendung der Bankenunion ein wichtiges Merkmal der Spar- und Investitionsunion ist; ist der Ansicht, dass die Überprüfung des Rahmens für das Krisenmanagement und die Einlagensicherung (CMDI) nur ein notwendiger Schritt in diese Richtung ist; weist darauf hin, dass der ECON-Ausschuss des Europäischen Parlaments im April 2024 seinen Standpunkt zum Vorschlag der Kommission zur Einrichtung eines europäischen Einlagenversicherungssystems (EDIS) angenommen hat; weist darauf hin, dass das europäische Einlagenversicherungssystem allen Einlegern unabhängig von ihrem Sitz in der Bankenunion ein gleiches Sicherheitsniveau bieten, die Verbindung zwischen Banken und Staaten entflechten und erheblich zur Integration des Bankensektors beitragen würde; setzt sich weiterhin uneingeschränkt für die Vollendung der Bankenunion, einschließlich eines vollwertigen EDIS, ein;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232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Zwischenüberschrift 2</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 xml:space="preserve">Mobilisierung privater Investitionen und </w:t>
            </w:r>
            <w:r w:rsidRPr="004E16CD">
              <w:rPr>
                <w:b/>
                <w:i/>
              </w:rPr>
              <w:t>Erleichterung des Zugangs</w:t>
            </w:r>
            <w:r w:rsidRPr="004E16CD">
              <w:t xml:space="preserve"> zu Finanzmitteln</w:t>
            </w:r>
          </w:p>
        </w:tc>
        <w:tc>
          <w:tcPr>
            <w:tcW w:w="4876" w:type="dxa"/>
            <w:tcBorders>
              <w:top w:val="nil"/>
              <w:left w:val="nil"/>
              <w:bottom w:val="nil"/>
              <w:right w:val="nil"/>
            </w:tcBorders>
          </w:tcPr>
          <w:p w:rsidR="004E16CD" w:rsidRPr="004E16CD" w:rsidRDefault="004E16CD" w:rsidP="00241723">
            <w:pPr>
              <w:pStyle w:val="Normal6a"/>
            </w:pPr>
            <w:r w:rsidRPr="004E16CD">
              <w:t xml:space="preserve">Mobilisierung privater Investitionen und </w:t>
            </w:r>
            <w:r w:rsidRPr="004E16CD">
              <w:rPr>
                <w:b/>
                <w:i/>
              </w:rPr>
              <w:t>Anreize für den Zugang</w:t>
            </w:r>
            <w:r w:rsidRPr="004E16CD">
              <w:t xml:space="preserve"> zu Finanzmitteln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233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Zwischenüberschrift 2</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Mobilisierung privater Investitionen und Erleichterung des Zugangs zu Finanzmitteln</w:t>
            </w:r>
          </w:p>
        </w:tc>
        <w:tc>
          <w:tcPr>
            <w:tcW w:w="4876" w:type="dxa"/>
            <w:tcBorders>
              <w:top w:val="nil"/>
              <w:left w:val="nil"/>
              <w:bottom w:val="nil"/>
              <w:right w:val="nil"/>
            </w:tcBorders>
          </w:tcPr>
          <w:p w:rsidR="004E16CD" w:rsidRPr="004E16CD" w:rsidRDefault="004E16CD" w:rsidP="00241723">
            <w:pPr>
              <w:pStyle w:val="Normal6a"/>
            </w:pPr>
            <w:r w:rsidRPr="004E16CD">
              <w:t>Mobilisierung privater Investitionen und Erleichterung des Zugangs zu Finanzmitteln</w:t>
            </w:r>
            <w:r w:rsidRPr="004E16CD">
              <w:rPr>
                <w:b/>
                <w:i/>
              </w:rPr>
              <w:t xml:space="preserve"> durch Entwicklung einer Spar- und Investitionsunion: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234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Stéphanie Yon-Courtin, Gilles Boyer, Pascal Canfin, Billy Kelleher, Anouk Van Brug</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6.</w:t>
            </w:r>
            <w:r w:rsidRPr="004E16CD">
              <w:tab/>
              <w:t xml:space="preserve">ist der Ansicht, dass die </w:t>
            </w:r>
            <w:r w:rsidRPr="004E16CD">
              <w:rPr>
                <w:b/>
                <w:i/>
              </w:rPr>
              <w:t>Attraktivität</w:t>
            </w:r>
            <w:r w:rsidRPr="004E16CD">
              <w:t xml:space="preserve"> der </w:t>
            </w:r>
            <w:r w:rsidRPr="004E16CD">
              <w:rPr>
                <w:b/>
                <w:i/>
              </w:rPr>
              <w:t>EU-Kapitalmärkte durch</w:t>
            </w:r>
            <w:r w:rsidRPr="004E16CD">
              <w:t xml:space="preserve"> eine weitere </w:t>
            </w:r>
            <w:r w:rsidRPr="004E16CD">
              <w:rPr>
                <w:b/>
                <w:i/>
              </w:rPr>
              <w:t>Integration des Binnenmarkts und die Schaffung wirtschaftlicher</w:t>
            </w:r>
            <w:r w:rsidRPr="004E16CD">
              <w:t xml:space="preserve"> Chancen für private </w:t>
            </w:r>
            <w:r w:rsidRPr="004E16CD">
              <w:rPr>
                <w:b/>
                <w:i/>
              </w:rPr>
              <w:t>Investitionen</w:t>
            </w:r>
            <w:r w:rsidRPr="004E16CD">
              <w:t xml:space="preserve">, die </w:t>
            </w:r>
            <w:r w:rsidRPr="004E16CD">
              <w:rPr>
                <w:b/>
                <w:i/>
              </w:rPr>
              <w:t>höhere</w:t>
            </w:r>
            <w:r w:rsidRPr="004E16CD">
              <w:t xml:space="preserve"> Renditen </w:t>
            </w:r>
            <w:r w:rsidRPr="004E16CD">
              <w:rPr>
                <w:b/>
                <w:i/>
              </w:rPr>
              <w:t>ermöglichen würden</w:t>
            </w:r>
            <w:r w:rsidRPr="004E16CD">
              <w:t xml:space="preserve">, </w:t>
            </w:r>
            <w:r w:rsidRPr="004E16CD">
              <w:rPr>
                <w:b/>
                <w:i/>
              </w:rPr>
              <w:t>gesteigert</w:t>
            </w:r>
            <w:r w:rsidRPr="004E16CD">
              <w:t xml:space="preserve"> wird; fordert die Kommission und die Mitgliedstaaten auf, Lösungen – sowohl legislativer als auch nichtlegislativer Art – zu entwickeln, um die Schaffung eines EU-weiten Kapitalmarkts zu unterstützen, der über eine ausreichende Größe, Liquidität, Tiefe und Transparenz verfügt, um Anleger sowohl mit Sitz in der EU als auch in Drittstaaten anzuziehen;</w:t>
            </w:r>
          </w:p>
        </w:tc>
        <w:tc>
          <w:tcPr>
            <w:tcW w:w="4876" w:type="dxa"/>
            <w:tcBorders>
              <w:top w:val="nil"/>
              <w:left w:val="nil"/>
              <w:bottom w:val="nil"/>
              <w:right w:val="nil"/>
            </w:tcBorders>
          </w:tcPr>
          <w:p w:rsidR="004E16CD" w:rsidRPr="004E16CD" w:rsidRDefault="004E16CD" w:rsidP="00241723">
            <w:pPr>
              <w:pStyle w:val="Normal6a"/>
            </w:pPr>
            <w:r w:rsidRPr="004E16CD">
              <w:t>6.</w:t>
            </w:r>
            <w:r w:rsidRPr="004E16CD">
              <w:tab/>
            </w:r>
            <w:r w:rsidRPr="004E16CD">
              <w:rPr>
                <w:b/>
                <w:i/>
              </w:rPr>
              <w:t>erkennt an, dass eines der größten Hindernisse für den Aufbau der Spar- und Investitionsunion nach wie vor die Fragmentierung der EU-Finanzmärkte ist;</w:t>
            </w:r>
            <w:r w:rsidRPr="004E16CD">
              <w:t xml:space="preserve"> ist der Ansicht, dass die </w:t>
            </w:r>
            <w:r w:rsidRPr="004E16CD">
              <w:rPr>
                <w:b/>
                <w:i/>
              </w:rPr>
              <w:t>Schaffung eines attraktiven und wettbewerbsfähigen EU-Kapitalmarkts unter anderem eine weitere Integration</w:t>
            </w:r>
            <w:r w:rsidRPr="004E16CD">
              <w:t xml:space="preserve"> der </w:t>
            </w:r>
            <w:r w:rsidRPr="004E16CD">
              <w:rPr>
                <w:b/>
                <w:i/>
              </w:rPr>
              <w:t>nationalen Kapitalmärkte,</w:t>
            </w:r>
            <w:r w:rsidRPr="004E16CD">
              <w:t xml:space="preserve"> eine weitere </w:t>
            </w:r>
            <w:r w:rsidRPr="004E16CD">
              <w:rPr>
                <w:b/>
                <w:i/>
              </w:rPr>
              <w:t>Harmonisierung in bestimmten Politikbereichen, einen kohärenteren Ansatz für Aufsichtspraktiken, aber auch bessere wirtschaftliche</w:t>
            </w:r>
            <w:r w:rsidRPr="004E16CD">
              <w:t xml:space="preserve"> Chancen für private </w:t>
            </w:r>
            <w:r w:rsidRPr="004E16CD">
              <w:rPr>
                <w:b/>
                <w:i/>
              </w:rPr>
              <w:t>Investoren</w:t>
            </w:r>
            <w:r w:rsidRPr="004E16CD">
              <w:t xml:space="preserve">, die </w:t>
            </w:r>
            <w:r w:rsidRPr="004E16CD">
              <w:rPr>
                <w:b/>
                <w:i/>
              </w:rPr>
              <w:t>gute</w:t>
            </w:r>
            <w:r w:rsidRPr="004E16CD">
              <w:t xml:space="preserve"> Renditen </w:t>
            </w:r>
            <w:r w:rsidRPr="004E16CD">
              <w:rPr>
                <w:b/>
                <w:i/>
              </w:rPr>
              <w:t>bieten</w:t>
            </w:r>
            <w:r w:rsidRPr="004E16CD">
              <w:t xml:space="preserve">, </w:t>
            </w:r>
            <w:r w:rsidRPr="004E16CD">
              <w:rPr>
                <w:b/>
                <w:i/>
              </w:rPr>
              <w:t>erfordern</w:t>
            </w:r>
            <w:r w:rsidRPr="004E16CD">
              <w:t xml:space="preserve"> wird; fordert die Kommission und die Mitgliedstaaten auf, Lösungen – sowohl legislativer als auch nichtlegislativer Art – zu entwickeln, um die Schaffung eines EU-weiten Kapitalmarkts zu unterstützen, der über eine ausreichende Größe, Liquidität, Tiefe und Transparenz verfügt, um Anleger</w:t>
            </w:r>
            <w:r w:rsidRPr="004E16CD">
              <w:rPr>
                <w:b/>
                <w:i/>
              </w:rPr>
              <w:t xml:space="preserve"> und Unternehmen</w:t>
            </w:r>
            <w:r w:rsidRPr="004E16CD">
              <w:t xml:space="preserve"> sowohl mit Sitz in der EU als auch in Drittstaaten anzuziehen;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235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Auke Zijlstra, Enikő Győri</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6.</w:t>
            </w:r>
            <w:r w:rsidRPr="004E16CD">
              <w:tab/>
              <w:t xml:space="preserve">ist der Ansicht, dass die Attraktivität der EU-Kapitalmärkte durch eine weitere </w:t>
            </w:r>
            <w:r w:rsidRPr="004E16CD">
              <w:rPr>
                <w:b/>
                <w:i/>
              </w:rPr>
              <w:t>Integration</w:t>
            </w:r>
            <w:r w:rsidRPr="004E16CD">
              <w:t xml:space="preserve"> des Binnenmarkts und die Schaffung wirtschaftlicher </w:t>
            </w:r>
            <w:r w:rsidRPr="004E16CD">
              <w:rPr>
                <w:b/>
                <w:i/>
              </w:rPr>
              <w:t>Chancen</w:t>
            </w:r>
            <w:r w:rsidRPr="004E16CD">
              <w:t xml:space="preserve"> für private Investitionen, die höhere Renditen ermöglichen </w:t>
            </w:r>
            <w:r w:rsidRPr="004E16CD">
              <w:rPr>
                <w:b/>
                <w:i/>
              </w:rPr>
              <w:t>würden</w:t>
            </w:r>
            <w:r w:rsidRPr="004E16CD">
              <w:t>, gesteigert wird; fordert die Kommission und die Mitgliedstaaten auf, Lösungen – sowohl legislativer als auch nichtlegislativer Art – zu entwickeln, um die Schaffung eines EU-weiten Kapitalmarkts zu unterstützen, der über eine ausreichende Größe, Liquidität, Tiefe und Transparenz verfügt, um Anleger sowohl mit Sitz in der EU als auch in Drittstaaten anzuziehen;</w:t>
            </w:r>
          </w:p>
        </w:tc>
        <w:tc>
          <w:tcPr>
            <w:tcW w:w="4876" w:type="dxa"/>
            <w:tcBorders>
              <w:top w:val="nil"/>
              <w:left w:val="nil"/>
              <w:bottom w:val="nil"/>
              <w:right w:val="nil"/>
            </w:tcBorders>
          </w:tcPr>
          <w:p w:rsidR="004E16CD" w:rsidRPr="004E16CD" w:rsidRDefault="004E16CD" w:rsidP="00241723">
            <w:pPr>
              <w:pStyle w:val="Normal6a"/>
            </w:pPr>
            <w:r w:rsidRPr="004E16CD">
              <w:t>6.</w:t>
            </w:r>
            <w:r w:rsidRPr="004E16CD">
              <w:tab/>
              <w:t xml:space="preserve">ist der Ansicht, dass die Attraktivität der EU-Kapitalmärkte durch eine weitere </w:t>
            </w:r>
            <w:r w:rsidRPr="004E16CD">
              <w:rPr>
                <w:b/>
                <w:i/>
              </w:rPr>
              <w:t>Vertiefung</w:t>
            </w:r>
            <w:r w:rsidRPr="004E16CD">
              <w:t xml:space="preserve"> des Binnenmarkts und die Schaffung wirtschaftlicher </w:t>
            </w:r>
            <w:r w:rsidRPr="004E16CD">
              <w:rPr>
                <w:b/>
                <w:i/>
              </w:rPr>
              <w:t>Möglichkeiten</w:t>
            </w:r>
            <w:r w:rsidRPr="004E16CD">
              <w:t xml:space="preserve"> für private Investitionen</w:t>
            </w:r>
            <w:r w:rsidRPr="004E16CD">
              <w:rPr>
                <w:b/>
                <w:i/>
              </w:rPr>
              <w:t xml:space="preserve"> sowie durch eine gezielte</w:t>
            </w:r>
            <w:r w:rsidRPr="004E16CD">
              <w:t xml:space="preserve">, </w:t>
            </w:r>
            <w:r w:rsidRPr="004E16CD">
              <w:rPr>
                <w:b/>
                <w:i/>
              </w:rPr>
              <w:t xml:space="preserve">aber ambitionierte Deregulierung, beispielsweise durch </w:t>
            </w:r>
            <w:r w:rsidRPr="004E16CD">
              <w:t xml:space="preserve">die </w:t>
            </w:r>
            <w:r w:rsidRPr="004E16CD">
              <w:rPr>
                <w:b/>
                <w:i/>
              </w:rPr>
              <w:t xml:space="preserve">Aufhebung der CSRD und der CSDDD, was eine Senkung der Befolgungskosten und </w:t>
            </w:r>
            <w:r w:rsidRPr="004E16CD">
              <w:t xml:space="preserve">höhere Renditen ermöglichen </w:t>
            </w:r>
            <w:r w:rsidRPr="004E16CD">
              <w:rPr>
                <w:b/>
                <w:i/>
              </w:rPr>
              <w:t>würde</w:t>
            </w:r>
            <w:r w:rsidRPr="004E16CD">
              <w:t>, gesteigert wird;</w:t>
            </w:r>
            <w:r w:rsidRPr="004E16CD">
              <w:rPr>
                <w:b/>
                <w:i/>
              </w:rPr>
              <w:t xml:space="preserve"> betont, dass wirtschaftliche Chancen nicht durch einen Gesetzgeber geschaffen werden können, sondern durch Unternehmertum; betont, dass ein Gesetzgeber nur ein Regelungsumfeld schaffen kann, das dem Unternehmertum förderlich ist;</w:t>
            </w:r>
            <w:r w:rsidRPr="004E16CD">
              <w:t xml:space="preserve"> fordert die Kommission und die Mitgliedstaaten auf, Lösungen – sowohl legislativer als auch nichtlegislativer Art</w:t>
            </w:r>
            <w:r w:rsidRPr="004E16CD">
              <w:rPr>
                <w:b/>
                <w:i/>
              </w:rPr>
              <w:t>, einschließlich Deregulierung</w:t>
            </w:r>
            <w:r w:rsidRPr="004E16CD">
              <w:t xml:space="preserve"> – zu entwickeln, um die Schaffung eines EU-weiten Kapitalmarkts zu unterstützen, der über eine ausreichende Größe, Liquidität, Tiefe und Transparenz verfügt, um Anleger sowohl mit Sitz in der EU als auch in Drittstaaten anzuziehen</w:t>
            </w:r>
            <w:r w:rsidRPr="004E16CD">
              <w:rPr>
                <w:b/>
                <w:i/>
              </w:rPr>
              <w:t>, wobei die Notwendigkeit einer angemessenen Überprüfung ausländischer Direktinvestitionen unberührt bleibt</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236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Eero Heinäluoma, Evelyn Regner, Niels Fuglsang, Claire Fita, Carla Tavares,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6a.</w:t>
            </w:r>
            <w:r w:rsidRPr="004E16CD">
              <w:tab/>
            </w:r>
            <w:r w:rsidRPr="004E16CD">
              <w:rPr>
                <w:b/>
                <w:i/>
              </w:rPr>
              <w:t>stellt fest, dass die europäischen Kapitalmärkte derzeit nach wie vor stark fragmentiert sind, wobei die europäischen Investmentfonds im Vergleich zu US-Fonds fast siebenmal kleiner sind</w:t>
            </w:r>
            <w:r w:rsidRPr="004E16CD">
              <w:rPr>
                <w:b/>
                <w:i/>
                <w:vertAlign w:val="superscript"/>
              </w:rPr>
              <w:t>1a</w:t>
            </w:r>
            <w:r w:rsidRPr="004E16CD">
              <w:rPr>
                <w:b/>
                <w:i/>
              </w:rPr>
              <w:t>; ist der Ansicht, dass dies der Wettbewerbsfähigkeit des Investmentfondssektors der EU gegenüber seinen globalen Wettbewerbern schadet, da die Größe des Fonds ein entscheidender Faktor für die Kosten ist, die Endanlegern in Rechnung gestellt werden; ist der Ansicht, dass ein stärker integrierter grenzüberschreitender Fondsmarkt in der EU im Laufe der Zeit zu einer Vergrößerung der Fonds und zu Effizienzgewinnen führen könnte, die, wenn sie an Kleinanleger weitergegeben würden, dazu beitragen könnten, die Kosten zu senken und den Endanlegern ein besseres Preis-Leistungs-Verhältnis zu bieten;</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vertAlign w:val="superscript"/>
              </w:rPr>
              <w:t>1a</w:t>
            </w:r>
            <w:r w:rsidRPr="004E16CD">
              <w:t xml:space="preserve"> </w:t>
            </w:r>
            <w:r w:rsidRPr="004E16CD">
              <w:rPr>
                <w:b/>
                <w:i/>
              </w:rPr>
              <w:t>Noyer-Bericht, S. 62 https://www.tresor.economie.gouv.fr/Articles/e3283a8f-69de-46c2-9b8a-4b8836394798/files/6b8593b5-ca31-45a3-b61c-11c95cf0fc4b</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237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6.</w:t>
            </w:r>
            <w:r w:rsidRPr="004E16CD">
              <w:tab/>
              <w:t xml:space="preserve">ist der Ansicht, dass die Attraktivität der EU-Kapitalmärkte durch eine weitere Integration des Binnenmarkts und die Schaffung wirtschaftlicher Chancen für private Investitionen, die höhere Renditen ermöglichen würden, gesteigert wird; fordert die Kommission und die Mitgliedstaaten auf, </w:t>
            </w:r>
            <w:r w:rsidRPr="004E16CD">
              <w:rPr>
                <w:b/>
                <w:i/>
              </w:rPr>
              <w:t>Lösungen – sowohl legislativer als auch nichtlegislativer Art –</w:t>
            </w:r>
            <w:r w:rsidRPr="004E16CD">
              <w:t xml:space="preserve"> zu entwickeln, um die Schaffung eines EU-weiten Kapitalmarkts zu unterstützen, der über eine ausreichende Größe, Liquidität, Tiefe und Transparenz verfügt, um Anleger sowohl mit Sitz in der EU als auch in Drittstaaten anzuziehen;</w:t>
            </w:r>
          </w:p>
        </w:tc>
        <w:tc>
          <w:tcPr>
            <w:tcW w:w="4876" w:type="dxa"/>
            <w:tcBorders>
              <w:top w:val="nil"/>
              <w:left w:val="nil"/>
              <w:bottom w:val="nil"/>
              <w:right w:val="nil"/>
            </w:tcBorders>
          </w:tcPr>
          <w:p w:rsidR="004E16CD" w:rsidRPr="004E16CD" w:rsidRDefault="004E16CD" w:rsidP="00241723">
            <w:pPr>
              <w:pStyle w:val="Normal6a"/>
            </w:pPr>
            <w:r w:rsidRPr="004E16CD">
              <w:t>6.</w:t>
            </w:r>
            <w:r w:rsidRPr="004E16CD">
              <w:tab/>
              <w:t xml:space="preserve">ist der Ansicht, dass die Attraktivität der EU-Kapitalmärkte durch eine weitere Integration des Binnenmarkts und die Schaffung wirtschaftlicher Chancen für private Investitionen, die höhere Renditen </w:t>
            </w:r>
            <w:r w:rsidRPr="004E16CD">
              <w:rPr>
                <w:b/>
                <w:i/>
              </w:rPr>
              <w:t xml:space="preserve">für Bürgerinnen und Bürger und Unternehmen </w:t>
            </w:r>
            <w:r w:rsidRPr="004E16CD">
              <w:t xml:space="preserve">ermöglichen würden, gesteigert wird; fordert die Kommission und die Mitgliedstaaten auf, </w:t>
            </w:r>
            <w:r w:rsidRPr="004E16CD">
              <w:rPr>
                <w:b/>
                <w:i/>
              </w:rPr>
              <w:t>legislative Lösungen</w:t>
            </w:r>
            <w:r w:rsidRPr="004E16CD">
              <w:t xml:space="preserve"> zu entwickeln, um die Schaffung eines EU-weiten Kapitalmarkts zu unterstützen, der über eine ausreichende Größe, Liquidität, Tiefe und Transparenz verfügt, um Anleger sowohl mit Sitz in der EU als auch in Drittstaaten anzuziehen;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238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Kinga Kollár, 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6.</w:t>
            </w:r>
            <w:r w:rsidRPr="004E16CD">
              <w:tab/>
              <w:t xml:space="preserve">ist der Ansicht, dass die Attraktivität der EU-Kapitalmärkte durch eine weitere Integration des Binnenmarkts und die Schaffung </w:t>
            </w:r>
            <w:r w:rsidRPr="004E16CD">
              <w:rPr>
                <w:b/>
                <w:i/>
              </w:rPr>
              <w:t>wirtschaftlicher</w:t>
            </w:r>
            <w:r w:rsidRPr="004E16CD">
              <w:t xml:space="preserve"> Chancen für private Investitionen, die höhere Renditen ermöglichen würden, gesteigert wird; fordert die Kommission und die Mitgliedstaaten auf, Lösungen – sowohl legislativer als auch nichtlegislativer Art – zu entwickeln, um die Schaffung eines EU-weiten Kapitalmarkts zu unterstützen, der über eine ausreichende Größe, Liquidität, Tiefe und Transparenz verfügt, um Anleger sowohl mit Sitz in der EU als auch in Drittstaaten anzuziehen;</w:t>
            </w:r>
          </w:p>
        </w:tc>
        <w:tc>
          <w:tcPr>
            <w:tcW w:w="4876" w:type="dxa"/>
            <w:tcBorders>
              <w:top w:val="nil"/>
              <w:left w:val="nil"/>
              <w:bottom w:val="nil"/>
              <w:right w:val="nil"/>
            </w:tcBorders>
          </w:tcPr>
          <w:p w:rsidR="004E16CD" w:rsidRPr="004E16CD" w:rsidRDefault="004E16CD" w:rsidP="00241723">
            <w:pPr>
              <w:pStyle w:val="Normal6a"/>
            </w:pPr>
            <w:r w:rsidRPr="004E16CD">
              <w:t>6.</w:t>
            </w:r>
            <w:r w:rsidRPr="004E16CD">
              <w:tab/>
              <w:t xml:space="preserve">ist der Ansicht, dass die Attraktivität der EU-Kapitalmärkte durch eine weitere Integration des Binnenmarkts und die Schaffung </w:t>
            </w:r>
            <w:r w:rsidRPr="004E16CD">
              <w:rPr>
                <w:b/>
                <w:i/>
              </w:rPr>
              <w:t>eines Regelungsumfelds, das die Wettbewerbsfähigkeit von EU-Unternehmen und wirtschaftliche</w:t>
            </w:r>
            <w:r w:rsidRPr="004E16CD">
              <w:t xml:space="preserve"> Chancen für private Investitionen</w:t>
            </w:r>
            <w:r w:rsidRPr="004E16CD">
              <w:rPr>
                <w:b/>
                <w:i/>
              </w:rPr>
              <w:t xml:space="preserve"> fördert</w:t>
            </w:r>
            <w:r w:rsidRPr="004E16CD">
              <w:t xml:space="preserve">, die höhere Renditen ermöglichen würden, gesteigert wird; fordert die Kommission und die Mitgliedstaaten auf, Lösungen – sowohl legislativer als auch nichtlegislativer Art – zu entwickeln, um die Schaffung eines EU-weiten Kapitalmarkts zu unterstützen, der über eine ausreichende Größe, Liquidität, Tiefe und Transparenz verfügt, um Anleger sowohl mit Sitz in der EU als auch in Drittstaaten anzuziehen; </w:t>
            </w:r>
            <w:r w:rsidRPr="004E16CD">
              <w:rPr>
                <w:b/>
                <w:i/>
              </w:rPr>
              <w:t>weist in diesem Zusammenhang darauf hin, wie wichtig eine wirksame Koordinierung zwischen den Mitgliedstaaten, zwischen Finanzierungsinstrumenten und politikbereichsübergreifend ist;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239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Christophe Gomart</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6.</w:t>
            </w:r>
            <w:r w:rsidRPr="004E16CD">
              <w:tab/>
              <w:t>ist der Ansicht, dass die Attraktivität der EU-Kapitalmärkte durch eine weitere Integration des Binnenmarkts und die Schaffung wirtschaftlicher Chancen für private Investitionen, die höhere Renditen ermöglichen würden, gesteigert wird; fordert die Kommission und die Mitgliedstaaten auf, Lösungen – sowohl legislativer als auch nichtlegislativer Art – zu entwickeln, um die Schaffung eines EU-weiten Kapitalmarkts zu unterstützen, der über eine ausreichende Größe, Liquidität, Tiefe und Transparenz verfügt, um Anleger sowohl mit Sitz in der EU als auch in Drittstaaten anzuziehen;</w:t>
            </w:r>
          </w:p>
        </w:tc>
        <w:tc>
          <w:tcPr>
            <w:tcW w:w="4876" w:type="dxa"/>
            <w:tcBorders>
              <w:top w:val="nil"/>
              <w:left w:val="nil"/>
              <w:bottom w:val="nil"/>
              <w:right w:val="nil"/>
            </w:tcBorders>
          </w:tcPr>
          <w:p w:rsidR="004E16CD" w:rsidRPr="004E16CD" w:rsidRDefault="004E16CD" w:rsidP="00241723">
            <w:pPr>
              <w:pStyle w:val="Normal6a"/>
            </w:pPr>
            <w:r w:rsidRPr="004E16CD">
              <w:t>6.</w:t>
            </w:r>
            <w:r w:rsidRPr="004E16CD">
              <w:tab/>
              <w:t>ist der Ansicht, dass die Attraktivität der EU-Kapitalmärkte durch eine weitere Integration des Binnenmarkts</w:t>
            </w:r>
            <w:r w:rsidRPr="004E16CD">
              <w:rPr>
                <w:b/>
                <w:i/>
              </w:rPr>
              <w:t>, die Vereinfachung des entsprechenden Rechtsrahmens</w:t>
            </w:r>
            <w:r w:rsidRPr="004E16CD">
              <w:t xml:space="preserve"> und die Schaffung wirtschaftlicher Chancen für private Investitionen, die höhere Renditen ermöglichen würden, gesteigert wird; fordert die Kommission und die Mitgliedstaaten auf, Lösungen – sowohl legislativer als auch nichtlegislativer Art – zu entwickeln, um die Schaffung eines EU-weiten Kapitalmarkts zu unterstützen, der über eine ausreichende Größe, Liquidität, Tiefe und Transparenz verfügt, um Anleger sowohl mit Sitz in der EU als auch in Drittstaaten anzuziehen;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{FR}</w:t>
      </w:r>
      <w:r w:rsidRPr="004E16CD">
        <w:t>fr</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240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Giovanni Crosetto, Denis Nesci, Francesco Ventola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6.</w:t>
            </w:r>
            <w:r w:rsidRPr="004E16CD">
              <w:tab/>
              <w:t>ist der Ansicht, dass die Attraktivität der EU-Kapitalmärkte durch eine weitere Integration des Binnenmarkts und die Schaffung wirtschaftlicher Chancen für private Investitionen, die höhere Renditen ermöglichen würden, gesteigert wird; fordert die Kommission und die Mitgliedstaaten auf, Lösungen – sowohl legislativer als auch nichtlegislativer Art – zu entwickeln, um die Schaffung eines EU-weiten Kapitalmarkts zu unterstützen, der über eine ausreichende Größe, Liquidität, Tiefe und Transparenz verfügt, um Anleger sowohl mit Sitz in der EU als auch in Drittstaaten anzuziehen;</w:t>
            </w:r>
          </w:p>
        </w:tc>
        <w:tc>
          <w:tcPr>
            <w:tcW w:w="4876" w:type="dxa"/>
            <w:tcBorders>
              <w:top w:val="nil"/>
              <w:left w:val="nil"/>
              <w:bottom w:val="nil"/>
              <w:right w:val="nil"/>
            </w:tcBorders>
          </w:tcPr>
          <w:p w:rsidR="004E16CD" w:rsidRPr="004E16CD" w:rsidRDefault="004E16CD" w:rsidP="00241723">
            <w:pPr>
              <w:pStyle w:val="Normal6a"/>
            </w:pPr>
            <w:r w:rsidRPr="004E16CD">
              <w:t>6.</w:t>
            </w:r>
            <w:r w:rsidRPr="004E16CD">
              <w:tab/>
              <w:t>ist der Ansicht, dass die Attraktivität der EU-Kapitalmärkte durch eine weitere Integration des Binnenmarkts und die Schaffung wirtschaftlicher Chancen für private Investitionen, die höhere Renditen ermöglichen würden, gesteigert wird;</w:t>
            </w:r>
            <w:r w:rsidRPr="004E16CD">
              <w:rPr>
                <w:b/>
                <w:i/>
              </w:rPr>
              <w:t xml:space="preserve"> betont, dass die Integration der Kapitalmärkte eine notwendige Säule der Investitionsstrategie der Union ist, die durch gut konzipierte steuerliche Anreize ergänzt werden sollte, um die Wirkung zu maximieren;</w:t>
            </w:r>
            <w:r w:rsidRPr="004E16CD">
              <w:t xml:space="preserve"> fordert die Kommission und die Mitgliedstaaten auf, Lösungen – sowohl legislativer als auch nichtlegislativer Art – zu entwickeln, um die Schaffung eines EU-weiten Kapitalmarkts zu unterstützen, der über eine ausreichende Größe, Liquidität, Tiefe und Transparenz verfügt, um Anleger sowohl mit Sitz in der EU als auch in Drittstaaten anzuziehen;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241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Arba Kokalari</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6.</w:t>
            </w:r>
            <w:r w:rsidRPr="004E16CD">
              <w:tab/>
              <w:t>ist der Ansicht, dass die Attraktivität der EU-Kapitalmärkte durch eine weitere Integration des Binnenmarkts und die Schaffung wirtschaftlicher Chancen für private Investitionen, die höhere Renditen ermöglichen würden, gesteigert wird; fordert die Kommission und die Mitgliedstaaten auf, Lösungen – sowohl legislativer als auch nichtlegislativer Art – zu entwickeln, um die Schaffung eines EU-weiten Kapitalmarkts zu unterstützen, der über eine ausreichende Größe, Liquidität, Tiefe und Transparenz verfügt, um Anleger sowohl mit Sitz in der EU als auch in Drittstaaten anzuziehen;</w:t>
            </w:r>
          </w:p>
        </w:tc>
        <w:tc>
          <w:tcPr>
            <w:tcW w:w="4876" w:type="dxa"/>
            <w:tcBorders>
              <w:top w:val="nil"/>
              <w:left w:val="nil"/>
              <w:bottom w:val="nil"/>
              <w:right w:val="nil"/>
            </w:tcBorders>
          </w:tcPr>
          <w:p w:rsidR="004E16CD" w:rsidRPr="004E16CD" w:rsidRDefault="004E16CD" w:rsidP="00241723">
            <w:pPr>
              <w:pStyle w:val="Normal6a"/>
            </w:pPr>
            <w:r w:rsidRPr="004E16CD">
              <w:t>6.</w:t>
            </w:r>
            <w:r w:rsidRPr="004E16CD">
              <w:tab/>
              <w:t>ist der Ansicht, dass die Attraktivität der EU-Kapitalmärkte durch eine weitere Integration des Binnenmarkts</w:t>
            </w:r>
            <w:r w:rsidRPr="004E16CD">
              <w:rPr>
                <w:b/>
                <w:i/>
              </w:rPr>
              <w:t>, die Vereinfachung des Regelungsrahmens</w:t>
            </w:r>
            <w:r w:rsidRPr="004E16CD">
              <w:t xml:space="preserve"> und die Schaffung wirtschaftlicher Chancen für private Investitionen, die höhere Renditen ermöglichen würden, gesteigert wird; fordert die Kommission und die Mitgliedstaaten auf, Lösungen – sowohl legislativer als auch nichtlegislativer Art – zu entwickeln</w:t>
            </w:r>
            <w:r w:rsidRPr="004E16CD">
              <w:rPr>
                <w:b/>
                <w:i/>
              </w:rPr>
              <w:t>, die auf den bereits gut entwickelnden und funktionierenden Kapitalmärkten in gewissen Mitgliedstaaten aufbauen</w:t>
            </w:r>
            <w:r w:rsidRPr="004E16CD">
              <w:t>, um die Schaffung eines EU-weiten Kapitalmarkts zu unterstützen, der über eine ausreichende Größe, Liquidität, Tiefe und Transparenz verfügt, um Anleger sowohl mit Sitz in der EU als auch in Drittstaaten anzuziehen;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242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Fernando Navarrete Rojas, 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6.</w:t>
            </w:r>
            <w:r w:rsidRPr="004E16CD">
              <w:tab/>
              <w:t>ist der Ansicht, dass die Attraktivität der EU-Kapitalmärkte durch eine weitere Integration des Binnenmarkts und die Schaffung wirtschaftlicher Chancen für private Investitionen, die höhere Renditen ermöglichen würden, gesteigert wird; fordert die Kommission und die Mitgliedstaaten auf, Lösungen – sowohl legislativer als auch nichtlegislativer Art – zu entwickeln, um die Schaffung eines EU-weiten Kapitalmarkts zu unterstützen, der über eine ausreichende Größe, Liquidität, Tiefe und Transparenz verfügt, um Anleger sowohl mit Sitz in der EU als auch in Drittstaaten anzuziehen;</w:t>
            </w:r>
          </w:p>
        </w:tc>
        <w:tc>
          <w:tcPr>
            <w:tcW w:w="4876" w:type="dxa"/>
            <w:tcBorders>
              <w:top w:val="nil"/>
              <w:left w:val="nil"/>
              <w:bottom w:val="nil"/>
              <w:right w:val="nil"/>
            </w:tcBorders>
          </w:tcPr>
          <w:p w:rsidR="004E16CD" w:rsidRPr="004E16CD" w:rsidRDefault="004E16CD" w:rsidP="00241723">
            <w:pPr>
              <w:pStyle w:val="Normal6a"/>
            </w:pPr>
            <w:r w:rsidRPr="004E16CD">
              <w:t>6.</w:t>
            </w:r>
            <w:r w:rsidRPr="004E16CD">
              <w:tab/>
              <w:t xml:space="preserve">ist der Ansicht, dass die Attraktivität der EU-Kapitalmärkte durch eine weitere Integration des Binnenmarkts und die Schaffung wirtschaftlicher Chancen für private Investitionen, die höhere Renditen ermöglichen würden, gesteigert wird; fordert die Kommission und die Mitgliedstaaten auf, Lösungen – sowohl legislativer als auch nichtlegislativer Art – zu entwickeln, um die Schaffung eines EU-weiten </w:t>
            </w:r>
            <w:r w:rsidRPr="004E16CD">
              <w:rPr>
                <w:b/>
                <w:i/>
              </w:rPr>
              <w:t xml:space="preserve">und integrierten </w:t>
            </w:r>
            <w:r w:rsidRPr="004E16CD">
              <w:t xml:space="preserve">Kapitalmarkts zu unterstützen, der über eine ausreichende Größe, Liquidität, Tiefe und Transparenz verfügt, um Anleger sowohl mit Sitz in der EU als auch in Drittstaaten anzuziehen; </w:t>
            </w:r>
            <w:r w:rsidRPr="004E16CD">
              <w:rPr>
                <w:b/>
                <w:i/>
              </w:rPr>
              <w:t>weist darauf hin, dass die Aussicht auf höhere Anlagerenditen ein wichtiger Anreiz für die Beteiligung von Kleinanlegern an den Kapitalmärkten ist;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243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Eero Heinäluoma, Evelyn Regner, Niels Fuglsang, Claire Fita, Carla Tavares, Thomas Bajada,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6.</w:t>
            </w:r>
            <w:r w:rsidRPr="004E16CD">
              <w:tab/>
              <w:t>ist der Ansicht, dass die Attraktivität der EU-Kapitalmärkte durch eine weitere Integration des Binnenmarkts und die Schaffung wirtschaftlicher Chancen für private Investitionen, die höhere Renditen ermöglichen würden, gesteigert wird; fordert die Kommission und die Mitgliedstaaten auf, Lösungen – sowohl legislativer als auch nichtlegislativer Art – zu entwickeln, um die Schaffung eines EU-weiten Kapitalmarkts zu unterstützen, der über eine ausreichende Größe, Liquidität, Tiefe und Transparenz verfügt, um Anleger sowohl mit Sitz in der EU als auch in Drittstaaten anzuziehen;</w:t>
            </w:r>
          </w:p>
        </w:tc>
        <w:tc>
          <w:tcPr>
            <w:tcW w:w="4876" w:type="dxa"/>
            <w:tcBorders>
              <w:top w:val="nil"/>
              <w:left w:val="nil"/>
              <w:bottom w:val="nil"/>
              <w:right w:val="nil"/>
            </w:tcBorders>
          </w:tcPr>
          <w:p w:rsidR="004E16CD" w:rsidRPr="004E16CD" w:rsidRDefault="004E16CD" w:rsidP="00241723">
            <w:pPr>
              <w:pStyle w:val="Normal6a"/>
            </w:pPr>
            <w:r w:rsidRPr="004E16CD">
              <w:t>6.</w:t>
            </w:r>
            <w:r w:rsidRPr="004E16CD">
              <w:tab/>
              <w:t>ist der Ansicht, dass die Attraktivität der EU-Kapitalmärkte durch eine weitere Integration des Binnenmarkts und die Schaffung wirtschaftlicher Chancen für private Investitionen, die höhere Renditen ermöglichen würden, gesteigert wird;</w:t>
            </w:r>
            <w:r w:rsidRPr="004E16CD">
              <w:rPr>
                <w:b/>
                <w:i/>
              </w:rPr>
              <w:t xml:space="preserve"> betont jedoch, dass die Renditen durch die hohen Kosten, die mit Investitionen an den europäischen Finanzmärkten verbunden sind, untergraben werden;</w:t>
            </w:r>
            <w:r w:rsidRPr="004E16CD">
              <w:t xml:space="preserve"> fordert die Kommission und die Mitgliedstaaten auf, Lösungen – sowohl legislativer als auch nichtlegislativer Art – zu entwickeln, um die Schaffung eines EU-weiten Kapitalmarkts zu unterstützen, der über eine ausreichende Größe, Liquidität, Tiefe und Transparenz verfügt, um Anleger sowohl mit Sitz in der EU als auch in Drittstaaten anzuziehen;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244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Sirpa Pietikäinen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6.</w:t>
            </w:r>
            <w:r w:rsidRPr="004E16CD">
              <w:tab/>
              <w:t>ist der Ansicht, dass die Attraktivität der EU-Kapitalmärkte durch eine weitere Integration des Binnenmarkts und die Schaffung wirtschaftlicher Chancen für private Investitionen, die höhere Renditen ermöglichen würden, gesteigert wird; fordert die Kommission und die Mitgliedstaaten auf, Lösungen – sowohl legislativer als auch nichtlegislativer Art – zu entwickeln, um die Schaffung eines EU-weiten Kapitalmarkts zu unterstützen, der über eine ausreichende Größe, Liquidität, Tiefe und Transparenz verfügt, um Anleger sowohl mit Sitz in der EU als auch in Drittstaaten anzuziehen;</w:t>
            </w:r>
          </w:p>
        </w:tc>
        <w:tc>
          <w:tcPr>
            <w:tcW w:w="4876" w:type="dxa"/>
            <w:tcBorders>
              <w:top w:val="nil"/>
              <w:left w:val="nil"/>
              <w:bottom w:val="nil"/>
              <w:right w:val="nil"/>
            </w:tcBorders>
          </w:tcPr>
          <w:p w:rsidR="004E16CD" w:rsidRPr="004E16CD" w:rsidRDefault="004E16CD" w:rsidP="00241723">
            <w:pPr>
              <w:pStyle w:val="Normal6a"/>
            </w:pPr>
            <w:r w:rsidRPr="004E16CD">
              <w:t>6.</w:t>
            </w:r>
            <w:r w:rsidRPr="004E16CD">
              <w:tab/>
              <w:t xml:space="preserve">ist der Ansicht, dass die Attraktivität der EU-Kapitalmärkte durch eine weitere Integration des Binnenmarkts und die Schaffung wirtschaftlicher Chancen für private Investitionen, die höhere Renditen ermöglichen würden, gesteigert wird; fordert die Kommission und die Mitgliedstaaten auf, Lösungen – sowohl legislativer als auch nichtlegislativer Art – zu entwickeln, um die Schaffung eines EU-weiten Kapitalmarkts zu unterstützen, der über eine ausreichende Größe, Liquidität, Tiefe und Transparenz verfügt, um Anleger sowohl mit Sitz in der EU als auch in Drittstaaten anzuziehen; </w:t>
            </w:r>
            <w:r w:rsidRPr="004E16CD">
              <w:rPr>
                <w:b/>
                <w:i/>
              </w:rPr>
              <w:t>fordert die Kommission nachdrücklich auf, das derzeitige Handelsumfeld zu vereinfachen und einen fairen Wettbewerb zwischen multilateralen und bilateralen Handelsplätzen zu fördern, um eine stärkere Aktivität an transparenten Märkten zu fördern; fordert ferner eine Überprüfung des MiFID-II/MiFIR-Rahmens, um die Transparenz im bilateralen Handel zu verbessern und die zunehmende Verlagerung hin zu solchen Handelsplätzen anzugehen, die die Preisbildung, die Widerstandsfähigkeit der Märkte und die Fairness für Emittenten und Anleger untergraben könnte;</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245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Rasmus Andresen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6.</w:t>
            </w:r>
            <w:r w:rsidRPr="004E16CD">
              <w:tab/>
              <w:t>ist der Ansicht, dass die Attraktivität der EU-Kapitalmärkte durch eine weitere Integration des Binnenmarkts und die Schaffung wirtschaftlicher Chancen für private Investitionen, die höhere Renditen ermöglichen würden, gesteigert wird; fordert die Kommission und die Mitgliedstaaten auf, Lösungen – sowohl legislativer als auch nichtlegislativer Art – zu entwickeln, um die Schaffung eines EU-weiten Kapitalmarkts zu unterstützen, der über eine ausreichende Größe, Liquidität, Tiefe und Transparenz verfügt, um Anleger sowohl mit Sitz in der EU als auch in Drittstaaten anzuziehen;</w:t>
            </w:r>
          </w:p>
        </w:tc>
        <w:tc>
          <w:tcPr>
            <w:tcW w:w="4876" w:type="dxa"/>
            <w:tcBorders>
              <w:top w:val="nil"/>
              <w:left w:val="nil"/>
              <w:bottom w:val="nil"/>
              <w:right w:val="nil"/>
            </w:tcBorders>
          </w:tcPr>
          <w:p w:rsidR="004E16CD" w:rsidRPr="004E16CD" w:rsidRDefault="004E16CD" w:rsidP="00241723">
            <w:pPr>
              <w:pStyle w:val="Normal6a"/>
            </w:pPr>
            <w:r w:rsidRPr="004E16CD">
              <w:t>6.</w:t>
            </w:r>
            <w:r w:rsidRPr="004E16CD">
              <w:tab/>
              <w:t>ist der Ansicht, dass die Attraktivität der EU-Kapitalmärkte durch eine weitere Integration des Binnenmarkts und die Schaffung wirtschaftlicher Chancen für private Investitionen, die höhere Renditen ermöglichen würden, gesteigert wird; fordert die Kommission und die Mitgliedstaaten auf, Lösungen – sowohl legislativer als auch nichtlegislativer Art – zu entwickeln, um die Schaffung eines EU-weiten Kapitalmarkts zu unterstützen, der über eine ausreichende Größe, Liquidität, Tiefe und Transparenz verfügt, um Anleger sowohl mit Sitz in der EU als auch in Drittstaaten anzuziehen</w:t>
            </w:r>
            <w:r w:rsidRPr="004E16CD">
              <w:rPr>
                <w:b/>
                <w:i/>
              </w:rPr>
              <w:t>, wobei gleichzeitig der Verbraucherschutz sichergestellt und die Finanzstabilität gewahrt werden muss</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246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Ľudovít Ódor, Anouk Van Brug, Billy Kelleher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6.</w:t>
            </w:r>
            <w:r w:rsidRPr="004E16CD">
              <w:tab/>
              <w:t>ist der Ansicht, dass die Attraktivität der EU-Kapitalmärkte durch eine weitere Integration des Binnenmarkts und die Schaffung wirtschaftlicher Chancen für private Investitionen, die höhere Renditen ermöglichen würden, gesteigert wird; fordert die Kommission und die Mitgliedstaaten auf, Lösungen – sowohl legislativer als auch nichtlegislativer Art – zu entwickeln, um die Schaffung eines EU-weiten Kapitalmarkts zu unterstützen, der über eine ausreichende Größe, Liquidität, Tiefe und Transparenz verfügt, um Anleger sowohl mit Sitz in der EU als auch in Drittstaaten anzuziehen;</w:t>
            </w:r>
          </w:p>
        </w:tc>
        <w:tc>
          <w:tcPr>
            <w:tcW w:w="4876" w:type="dxa"/>
            <w:tcBorders>
              <w:top w:val="nil"/>
              <w:left w:val="nil"/>
              <w:bottom w:val="nil"/>
              <w:right w:val="nil"/>
            </w:tcBorders>
          </w:tcPr>
          <w:p w:rsidR="004E16CD" w:rsidRPr="004E16CD" w:rsidRDefault="004E16CD" w:rsidP="00241723">
            <w:pPr>
              <w:pStyle w:val="Normal6a"/>
            </w:pPr>
            <w:r w:rsidRPr="004E16CD">
              <w:t>6.</w:t>
            </w:r>
            <w:r w:rsidRPr="004E16CD">
              <w:tab/>
              <w:t xml:space="preserve">ist der Ansicht, dass die Attraktivität der EU-Kapitalmärkte durch eine weitere Integration des Binnenmarkts und die Schaffung wirtschaftlicher Chancen für private Investitionen, die höhere Renditen ermöglichen würden, gesteigert wird; fordert die Kommission und die Mitgliedstaaten auf, Lösungen – sowohl legislativer als auch nichtlegislativer Art – zu entwickeln, um die Schaffung eines EU-weiten Kapitalmarkts zu unterstützen, der über eine ausreichende Größe, Liquidität, Tiefe und Transparenz verfügt, um Anleger sowohl mit Sitz in der EU als auch in Drittstaaten anzuziehen; </w:t>
            </w:r>
            <w:r w:rsidRPr="004E16CD">
              <w:rPr>
                <w:b/>
                <w:i/>
              </w:rPr>
              <w:t>betont in diesem Zusammenhang, dass die Kapitalmarktunion ohne die Vollendung der Bankenunion nicht möglich wäre;</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247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6.</w:t>
            </w:r>
            <w:r w:rsidRPr="004E16CD">
              <w:tab/>
              <w:t xml:space="preserve">ist der Ansicht, dass die Attraktivität der EU-Kapitalmärkte durch eine weitere Integration des Binnenmarkts und die Schaffung wirtschaftlicher Chancen für private Investitionen, die </w:t>
            </w:r>
            <w:r w:rsidRPr="004E16CD">
              <w:rPr>
                <w:b/>
                <w:i/>
              </w:rPr>
              <w:t>höhere</w:t>
            </w:r>
            <w:r w:rsidRPr="004E16CD">
              <w:t xml:space="preserve"> Renditen ermöglichen würden, gesteigert wird; fordert die Kommission und die Mitgliedstaaten auf, Lösungen – sowohl legislativer als auch nichtlegislativer Art – zu entwickeln, um die Schaffung eines EU-weiten Kapitalmarkts zu unterstützen, der über eine ausreichende Größe, Liquidität, Tiefe und Transparenz verfügt, um Anleger sowohl mit Sitz in der EU als auch in Drittstaaten anzuziehen;</w:t>
            </w:r>
          </w:p>
        </w:tc>
        <w:tc>
          <w:tcPr>
            <w:tcW w:w="4876" w:type="dxa"/>
            <w:tcBorders>
              <w:top w:val="nil"/>
              <w:left w:val="nil"/>
              <w:bottom w:val="nil"/>
              <w:right w:val="nil"/>
            </w:tcBorders>
          </w:tcPr>
          <w:p w:rsidR="004E16CD" w:rsidRPr="004E16CD" w:rsidRDefault="004E16CD" w:rsidP="00241723">
            <w:pPr>
              <w:pStyle w:val="Normal6a"/>
            </w:pPr>
            <w:r w:rsidRPr="004E16CD">
              <w:t>6.</w:t>
            </w:r>
            <w:r w:rsidRPr="004E16CD">
              <w:tab/>
              <w:t xml:space="preserve">ist der Ansicht, dass die Attraktivität der EU-Kapitalmärkte durch eine weitere Integration des Binnenmarkts und die Schaffung wirtschaftlicher Chancen für private Investitionen, die </w:t>
            </w:r>
            <w:r w:rsidRPr="004E16CD">
              <w:rPr>
                <w:b/>
                <w:i/>
              </w:rPr>
              <w:t>geringere Finanzierungskosten, eine Verringerung von Reibung und letztendlich attraktivere</w:t>
            </w:r>
            <w:r w:rsidRPr="004E16CD">
              <w:t xml:space="preserve"> Renditen ermöglichen würden, gesteigert wird; fordert die Kommission und</w:t>
            </w:r>
            <w:r w:rsidRPr="004E16CD">
              <w:rPr>
                <w:b/>
                <w:i/>
              </w:rPr>
              <w:t xml:space="preserve"> insbesondere</w:t>
            </w:r>
            <w:r w:rsidRPr="004E16CD">
              <w:t xml:space="preserve"> die Mitgliedstaaten auf, Lösungen – sowohl legislativer als auch nichtlegislativer Art – zu entwickeln, um die Schaffung eines EU-weiten Kapitalmarkts zu unterstützen, der über eine ausreichende Größe, Liquidität, Tiefe und Transparenz verfügt, um Anleger sowohl mit Sitz in der EU als auch in Drittstaaten anzuziehen;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248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Fabio De Masi</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6a.</w:t>
            </w:r>
            <w:r w:rsidRPr="004E16CD">
              <w:tab/>
            </w:r>
            <w:r w:rsidRPr="004E16CD">
              <w:rPr>
                <w:b/>
                <w:i/>
              </w:rPr>
              <w:t>stellt fest, dass Bankkredite in der Regel weniger volatil sind als kurzfristige Kapitalströme und nach wie vor eine wichtige Quelle der Unternehmensfinanzierung darstellen, da die Banken ein besseres Verständnis der regionalen Märkte und Geschäftsmodelle haben und die Kapitalmärkte unter verstärktem Herdenverhalten und Informationsasymmetrien leiden; weist darauf hin, dass die Kapitalmarktunion zwar die Produktivität auf den europäischen Finanzmärkten durch eine verbesserte Zuweisung steigern und die Finanzierung von größeren Investitionen ermöglichen kann, die Größen- und Verbundvorteile erfordern, wie Investitionen in KI, dass jedoch nicht davon ausgegangen werden kann, dass sie die Nachfrage nach privaten Investitionen erheblich erhöht, und sie für KMU oft zu kostspielig ist; weist darauf hin, dass die Regierungen dazu die öffentlichen Investitionen erhöhen und dadurch private Investitionen mobilisieren müssten;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249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Arba Kokalari</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6a.</w:t>
            </w:r>
            <w:r w:rsidRPr="004E16CD">
              <w:tab/>
            </w:r>
            <w:r w:rsidRPr="004E16CD">
              <w:rPr>
                <w:b/>
                <w:i/>
              </w:rPr>
              <w:t>stellt fest, dass im Draghi-Bericht die Unterentwicklung der vorfinanzierten öffentlichen, betrieblichen und privaten Rentensysteme in den EU-Mitgliedstaaten als wesentlicher Faktor genannt wird, der die Entwicklung der Kapitalmärkte einschränkt; betont, dass vorfinanzierte Rentensysteme, bei denen festgelegte Beiträge auf den Kapitalmärkten angelegt und nicht über umlagefinanzierte Systeme ausgezahlt werden, von entscheidender Bedeutung sind, um langfristige Investitionen in die Realwirtschaft zu lenken; unterstützt die Sozialpartner in allen EU-Mitgliedstaaten bei der Entwicklung betrieblicher Altersversorgungssysteme; erkennt die Vorteile höherer Zuweisungen an Aktien und Investmentfonds durch Versicherer und betriebliche Pensionsfonds an, sofern diese finanziell solide sind;</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250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Pascal Canfin, Stéphanie Yon-Courtin, Gilles Boyer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6a.</w:t>
            </w:r>
            <w:r w:rsidRPr="004E16CD">
              <w:tab/>
            </w:r>
            <w:r w:rsidRPr="004E16CD">
              <w:rPr>
                <w:b/>
                <w:i/>
              </w:rPr>
              <w:t>fordert die Kommission auf, im Rahmen der Lösungen zur Steigerung der Investitionen in Europa ein neues Instrument für private Investitionen zu schaffen, dessen Risiken durch die EU-Garantie abgeschwächt werden, um Finanzmittel für eine massive Dekarbonisierung und Wettbewerbsfähigkeit in Europa freizusetzen; betont, dass dieses Instrument private Mittel aus Renten, Versicherungen und Ersparnissen durch Investment-Grade-Anleihen mobilisieren würde, deren Risiken durch eine öffentliche Garantie der EU abgeschwächt werden, und dass es über Unterfonds betrieben würde, die Instrumente für Beteiligungskapital und Wachstumskapital und Garantieinstrumente für Projektfinanzierungen in der Frühphase abdecken;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251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Kinga Kollár, 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6a.</w:t>
            </w:r>
            <w:r w:rsidRPr="004E16CD">
              <w:tab/>
            </w:r>
            <w:r w:rsidRPr="004E16CD">
              <w:rPr>
                <w:b/>
                <w:i/>
              </w:rPr>
              <w:t>ist der Ansicht, dass die Kapitalmarktunion den Verbrauchern und KMU zugutekommen wird, indem sie renditestarke Investitionsmöglichkeiten in der Realwirtschaft bietet, und schließlich den Risikokapitalmarkt ankurbeln wird, indem sie den Zugang zu diversifizierten Finanzierungsquellen verbessert; ist der Ansicht, dass die Finanzierung europäischer Scale-ups mit europäischem Kapital eine Priorität sein sollte, wie die Initiative „European Tech Champions“ (ETCI) zeigt, die im Februar 2023 zur Finanzierung vielversprechender europäischer Technologieunternehmen ins Leben gerufen wurde;</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252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6a.</w:t>
            </w:r>
            <w:r w:rsidRPr="004E16CD">
              <w:tab/>
            </w:r>
            <w:r w:rsidRPr="004E16CD">
              <w:rPr>
                <w:b/>
                <w:i/>
              </w:rPr>
              <w:t>weist darauf hin, dass Größe, Tiefe und Liquidität der Kapitalmärkte von Mitgliedstaat zu Mitgliedstaat sehr unterschiedlich sind, wobei einige Mitgliedstaaten wesentlich erfolgreicher waren, wenn es darum ging, attraktive Primär- und Sekundärmärkte für Unternehmen zu schaffen und die Bürgerinnen und Bürger zu Investitionen in diese Märkte zu bewegen; fordert die Kommission auf, bewährte Verfahren zu ermitteln und diese in das Projekt der Spar- und Investitionsunion zu integrieren;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253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6a.</w:t>
            </w:r>
            <w:r w:rsidRPr="004E16CD">
              <w:tab/>
            </w:r>
            <w:r w:rsidRPr="004E16CD">
              <w:rPr>
                <w:b/>
                <w:i/>
              </w:rPr>
              <w:t>fordert die Kommission nachdrücklich auf, den derzeitigen Regulierungsrahmen der MiFID II/MiFIR neu zu bewerten, um die Komplexität der Handelslandschaft zu verringern, die Transparenz im bilateralen Handel zu erhöhen und für gleiche Wettbewerbsbedingungen zwischen multilateralen und bilateralen Handelsplätzen zu sorgen, wodurch letztlich ein verstärkter Handel an transparenten Märkten gefördert wird, was Emittenten, Anlegern, einer effizienten Preisbildung und der Widerstandsfähigkeit der EU-Kapitalmärkte zugutekommt;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254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Irene Tinagli</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6a.</w:t>
            </w:r>
            <w:r w:rsidRPr="004E16CD">
              <w:tab/>
            </w:r>
            <w:r w:rsidRPr="004E16CD">
              <w:rPr>
                <w:b/>
                <w:i/>
              </w:rPr>
              <w:t>betont, dass die Finanzierungslücke bei Innovationen in der Europäischen Union nicht allein durch eine Harmonisierung der Rechtsvorschriften oder Verbesserungen bei der Finanzaufsicht geschlossen werden kann; weist darauf hin, dass Kapital weiterhin in Märkte außerhalb der Union fließt, auf denen die Kosten häufig noch höher sind, was auf tiefere strukturelle Probleme innerhalb des Investitionsökosystems der EU hindeutet, die angegangen werden müssen;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255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Anouk Van Brug, Billy Kelleher, Engin Eroglu, Stéphanie Yon-Courtin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6a.</w:t>
            </w:r>
            <w:r w:rsidRPr="004E16CD">
              <w:tab/>
            </w:r>
            <w:r w:rsidRPr="004E16CD">
              <w:rPr>
                <w:b/>
                <w:i/>
              </w:rPr>
              <w:t>ist der Ansicht, dass privates Kapital von entscheidender Bedeutung sein wird, um die von Draghi ermittelte Investitionslücke auf möglichst effiziente Weise zu schließen; fordert die Kommission auf, ambitionierte und konstruktive Vorschläge zur vollständigen Integration der europäischen Kapitalmärkte und zur Beseitigung interner Hindernisse für den freien Kapitalverkehr in der gesamten EU vorzulegen;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256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Regina Doherty</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6a.</w:t>
            </w:r>
            <w:r w:rsidRPr="004E16CD">
              <w:tab/>
            </w:r>
            <w:r w:rsidRPr="004E16CD">
              <w:rPr>
                <w:b/>
                <w:i/>
              </w:rPr>
              <w:t>betont, wie wichtig ein verbesserter Zugang zu aktuellen Preisbildungs- und Produktinformationen für Kleinanleger sowie Möglichkeiten für maßgeschneiderte Angebote sind; fordert Maßnahmen, um diese Informationen leichter zugänglich zu machen; betont die Bedeutung von Finanzwissen und fordert spezifische Maßnahmen zur Förderung des Finanzwissens;</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257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Ralf Seekatz</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6a.</w:t>
            </w:r>
            <w:r w:rsidRPr="004E16CD">
              <w:tab/>
            </w:r>
            <w:r w:rsidRPr="004E16CD">
              <w:rPr>
                <w:b/>
                <w:i/>
              </w:rPr>
              <w:t>begrüßt die Absicht der Kommission in ihrer Mitteilung über die Spar- und Investitionsunion, die Verbriefungsmärkte durch einen Legislativvorschlag zur Anpassung der Aufsichtsanforderungen für Banken und Versicherer zu stärken, da die Kapitalausstattung der Banken in der EU bereits ausreichend ist und mit der Eigenmitteluntergrenze der Eigenmittelverordnung noch steigen wird;</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258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Enikő Győri, Pierre Pimpie, Jorge Martín Frías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6a.</w:t>
            </w:r>
            <w:r w:rsidRPr="004E16CD">
              <w:tab/>
            </w:r>
            <w:r w:rsidRPr="004E16CD">
              <w:rPr>
                <w:b/>
                <w:i/>
              </w:rPr>
              <w:t>betont in diesem Zusammenhang, dass ein solcher integrierter Kapitalmarkt allen Mitgliedstaaten gleiche Möglichkeiten bieten muss, unabhängig von ihrer Größe und der Entwicklung ihrer Kapitalmärkte;</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259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Ralf Seekatz</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6b.</w:t>
            </w:r>
            <w:r w:rsidRPr="004E16CD">
              <w:tab/>
            </w:r>
            <w:r w:rsidRPr="004E16CD">
              <w:rPr>
                <w:b/>
                <w:i/>
              </w:rPr>
              <w:t>fordert die Einführung einer EU-weiten Indexfamilie, um die Sichtbarkeit, Vergleichbarkeit und Transparenz börsennotierter Unternehmen in der EU zu verbessern und gleichzeitig die Marktintegrität zu stärken; ist der Ansicht, dass diese Indexfamilie auf dem konsolidierten Datenticker beruhen, alle börsennotierten Aktien in der EU abdecken und Teilindizes für einzelne Länder, Regionen und Sektoren ermöglichen sollte, um den unterschiedlichen Bedürfnissen von Anlegern, Emittenten und deren Börsen gerecht zu werden; ist ferner der Ansicht, dass die Entwicklung und Verwaltung der Indizes sowie ihre Verwendung durch die Marktteilnehmer kosteneffizient sein müssen, um die Belastung der Marktteilnehmer so gering wie möglich zu halten und positive Zweitrundeneffekte, wie z. B. verstärkte Börsennotierungen und neue Finanzprodukte, zu maximieren;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260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Irene Tinagli</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6b.</w:t>
            </w:r>
            <w:r w:rsidRPr="004E16CD">
              <w:tab/>
            </w:r>
            <w:r w:rsidRPr="004E16CD">
              <w:rPr>
                <w:b/>
                <w:i/>
              </w:rPr>
              <w:t>betont, dass die zentrale Herausforderung nicht nur in der Bereitstellung von Investitionskapital liegt, sondern auch in der begrenzten Fähigkeit der europäischen Wirtschaft, solches Kapital für risikoreiche und rentable Innovationen einzusetzen; ist der Ansicht, dass dies einen makroökonomischen Policy-Mix widerspiegelt, der nicht auf langfristiges Wachstum ausgerichtet ist, sowie einen Binnenmarkt – insbesondere für Dienstleistungen –, der nach wie vor fragmentiert ist und keine strategische Ausrichtung aufweist;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261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6b.</w:t>
            </w:r>
            <w:r w:rsidRPr="004E16CD">
              <w:tab/>
            </w:r>
            <w:r w:rsidRPr="004E16CD">
              <w:rPr>
                <w:b/>
                <w:i/>
              </w:rPr>
              <w:t>weist darauf hin, dass Liquidität, Tiefe, Transparenz und wirksame Preisbildung wesentliche Merkmale wettbewerbsfähiger Finanzmärkte sind; stellt fest, dass die Handelslandschaft der EU nach wie vor fragmentiert ist, auch in Bezug auf verschiedene Arten von Handelsplätzen; fordert die Kommission auf, transparente multilaterale Handelsplätze zu stärken und für gleiche Wettbewerbsbedingungen mit bilateralen Handelsplätzen zu sorgen;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262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Kinga Kollár, 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6b.</w:t>
            </w:r>
            <w:r w:rsidRPr="004E16CD">
              <w:tab/>
            </w:r>
            <w:r w:rsidRPr="004E16CD">
              <w:rPr>
                <w:b/>
                <w:i/>
              </w:rPr>
              <w:t>fordert nachdrücklich, dass der Schwerpunkt stärker auf die Finanzkompetenz gelegt wird, da das Verständnis der Bürgerinnen und Bürger der EU für die jeweiligen Anlageprodukte verbessert werden sollte; ist der Ansicht, dass die Stärkung der Finanzkompetenz und des Vertrauens von wesentlicher Bedeutung ist, um eine erfolgreiche Kapitalmarktunion zu schaffen und private Investitionen zu mobilisieren;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263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Evelyn Regner, Niels Fuglsang, Claire Fita, Carla Tavares,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6b.</w:t>
            </w:r>
            <w:r w:rsidRPr="004E16CD">
              <w:tab/>
            </w:r>
            <w:r w:rsidRPr="004E16CD">
              <w:rPr>
                <w:b/>
                <w:i/>
              </w:rPr>
              <w:t>weist darauf hin, dass die Kapitalmarktunion ein Mittel zur Verwirklichung der Ziele der Union und kein Selbstzweck ist; fordert die Kommission auf, die Bedeutung wirtschaftlicher Chancen in ihren Vorschlägen zur Wiederbelebung des europäischen Produktionsgefüges zu berücksichtigen;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264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Irene Tinagli</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6 c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6c.</w:t>
            </w:r>
            <w:r w:rsidRPr="004E16CD">
              <w:tab/>
            </w:r>
            <w:r w:rsidRPr="004E16CD">
              <w:rPr>
                <w:b/>
                <w:i/>
              </w:rPr>
              <w:t>fordert eine erneuerte europäische Industriestrategie, in der die Harmonisierung der Rechtsvorschriften mit einer aktiven nachfrageseitigen Politik verbunden wird, die es Unternehmen ermöglicht, im Bereich neu entstehender Technologien zu expandieren, innovativ zu sein und weltweit im Wettbewerb zu bestehen, und gleichzeitig das Engagement der Union für fairen Wettbewerb und soziale und ökologische Nachhaltigkeit erhalten bleibt;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265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Enikő Győri, Pierre Pimpie, Jorge Martín Frías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rPr>
                <w:b/>
                <w:i/>
              </w:rPr>
              <w:t>7.</w:t>
            </w:r>
            <w:r w:rsidRPr="004E16CD">
              <w:tab/>
            </w:r>
            <w:r w:rsidRPr="004E16CD">
              <w:rPr>
                <w:b/>
                <w:i/>
              </w:rPr>
              <w:t>befürwortet die Integration institutioneller Rahmen und Marktstrukturen; wiederholt seine Forderung, der ESMA direkte Aufsichtsbefugnisse über europaweite Marktinfrastrukturen zu übertragen;</w:t>
            </w:r>
          </w:p>
        </w:tc>
        <w:tc>
          <w:tcPr>
            <w:tcW w:w="4876" w:type="dxa"/>
            <w:tcBorders>
              <w:top w:val="nil"/>
              <w:left w:val="nil"/>
              <w:bottom w:val="nil"/>
              <w:right w:val="nil"/>
            </w:tcBorders>
          </w:tcPr>
          <w:p w:rsidR="004E16CD" w:rsidRPr="004E16CD" w:rsidRDefault="004E16CD" w:rsidP="00241723">
            <w:pPr>
              <w:pStyle w:val="Normal6a"/>
            </w:pPr>
            <w:r w:rsidRPr="004E16CD">
              <w:rPr>
                <w:b/>
                <w:i/>
              </w:rPr>
              <w:t>entfällt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266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Auke Zijlstra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rPr>
                <w:b/>
                <w:i/>
              </w:rPr>
              <w:t>7.</w:t>
            </w:r>
            <w:r w:rsidRPr="004E16CD">
              <w:tab/>
            </w:r>
            <w:r w:rsidRPr="004E16CD">
              <w:rPr>
                <w:b/>
                <w:i/>
              </w:rPr>
              <w:t>befürwortet die Integration institutioneller Rahmen und Marktstrukturen; wiederholt seine Forderung, der ESMA direkte Aufsichtsbefugnisse über europaweite Marktinfrastrukturen zu übertragen;</w:t>
            </w:r>
          </w:p>
        </w:tc>
        <w:tc>
          <w:tcPr>
            <w:tcW w:w="4876" w:type="dxa"/>
            <w:tcBorders>
              <w:top w:val="nil"/>
              <w:left w:val="nil"/>
              <w:bottom w:val="nil"/>
              <w:right w:val="nil"/>
            </w:tcBorders>
          </w:tcPr>
          <w:p w:rsidR="004E16CD" w:rsidRPr="004E16CD" w:rsidRDefault="004E16CD" w:rsidP="00241723">
            <w:pPr>
              <w:pStyle w:val="Normal6a"/>
            </w:pPr>
            <w:r w:rsidRPr="004E16CD">
              <w:rPr>
                <w:b/>
                <w:i/>
              </w:rPr>
              <w:t>entfällt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267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Fernand Kartheiser, Kristoffer Storm, Nora Junco García, Diego Solier, Geadis Geadi</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rPr>
                <w:b/>
                <w:i/>
              </w:rPr>
              <w:t>7.</w:t>
            </w:r>
            <w:r w:rsidRPr="004E16CD">
              <w:tab/>
            </w:r>
            <w:r w:rsidRPr="004E16CD">
              <w:rPr>
                <w:b/>
                <w:i/>
              </w:rPr>
              <w:t>befürwortet die Integration institutioneller Rahmen und Marktstrukturen; wiederholt seine Forderung, der ESMA direkte Aufsichtsbefugnisse über europaweite Marktinfrastrukturen zu übertragen;</w:t>
            </w:r>
          </w:p>
        </w:tc>
        <w:tc>
          <w:tcPr>
            <w:tcW w:w="4876" w:type="dxa"/>
            <w:tcBorders>
              <w:top w:val="nil"/>
              <w:left w:val="nil"/>
              <w:bottom w:val="nil"/>
              <w:right w:val="nil"/>
            </w:tcBorders>
          </w:tcPr>
          <w:p w:rsidR="004E16CD" w:rsidRPr="004E16CD" w:rsidRDefault="004E16CD" w:rsidP="00241723">
            <w:pPr>
              <w:pStyle w:val="Normal6a"/>
            </w:pPr>
            <w:r w:rsidRPr="004E16CD">
              <w:rPr>
                <w:b/>
                <w:i/>
              </w:rPr>
              <w:t>entfällt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268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Pierre Pimpie</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7.</w:t>
            </w:r>
            <w:r w:rsidRPr="004E16CD">
              <w:tab/>
            </w:r>
            <w:r w:rsidRPr="004E16CD">
              <w:rPr>
                <w:b/>
                <w:i/>
              </w:rPr>
              <w:t>befürwortet</w:t>
            </w:r>
            <w:r w:rsidRPr="004E16CD">
              <w:t xml:space="preserve"> die </w:t>
            </w:r>
            <w:r w:rsidRPr="004E16CD">
              <w:rPr>
                <w:b/>
                <w:i/>
              </w:rPr>
              <w:t>Integration institutioneller Rahmen und Marktstrukturen; wiederholt seine Forderung</w:t>
            </w:r>
            <w:r w:rsidRPr="004E16CD">
              <w:t xml:space="preserve">, </w:t>
            </w:r>
            <w:r w:rsidRPr="004E16CD">
              <w:rPr>
                <w:b/>
                <w:i/>
              </w:rPr>
              <w:t>der ESMA direkte</w:t>
            </w:r>
            <w:r w:rsidRPr="004E16CD">
              <w:t xml:space="preserve"> Aufsichtsbefugnisse über europaweite Marktinfrastrukturen </w:t>
            </w:r>
            <w:r w:rsidRPr="004E16CD">
              <w:rPr>
                <w:b/>
                <w:i/>
              </w:rPr>
              <w:t>zu übertragen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7.</w:t>
            </w:r>
            <w:r w:rsidRPr="004E16CD">
              <w:tab/>
            </w:r>
            <w:r w:rsidRPr="004E16CD">
              <w:rPr>
                <w:b/>
                <w:i/>
              </w:rPr>
              <w:t>unterstützt</w:t>
            </w:r>
            <w:r w:rsidRPr="004E16CD">
              <w:t xml:space="preserve"> die </w:t>
            </w:r>
            <w:r w:rsidRPr="004E16CD">
              <w:rPr>
                <w:b/>
                <w:i/>
              </w:rPr>
              <w:t>Bemühungen, die Effizienz der Finanzmärkte durch eine verstärkte Zusammenarbeit zwischen den Mitgliedstaaten zu verbessern, und betont</w:t>
            </w:r>
            <w:r w:rsidRPr="004E16CD">
              <w:t xml:space="preserve">, </w:t>
            </w:r>
            <w:r w:rsidRPr="004E16CD">
              <w:rPr>
                <w:b/>
                <w:i/>
              </w:rPr>
              <w:t>dass bei jeder Weiterentwicklung der</w:t>
            </w:r>
            <w:r w:rsidRPr="004E16CD">
              <w:t xml:space="preserve"> Aufsichtsbefugnisse über europaweite Marktinfrastrukturen </w:t>
            </w:r>
            <w:r w:rsidRPr="004E16CD">
              <w:rPr>
                <w:b/>
                <w:i/>
              </w:rPr>
              <w:t>das Subsidiaritätsprinzip uneingeschränkt geachtet werden sollte</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269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Johan Van Overtveldt</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7.</w:t>
            </w:r>
            <w:r w:rsidRPr="004E16CD">
              <w:tab/>
              <w:t xml:space="preserve">befürwortet die Integration institutioneller Rahmen und Marktstrukturen; </w:t>
            </w:r>
            <w:r w:rsidRPr="004E16CD">
              <w:rPr>
                <w:b/>
                <w:i/>
              </w:rPr>
              <w:t>wiederholt seine Forderung, der ESMA direkte Aufsichtsbefugnisse über europaweite Marktinfrastrukturen zu übertragen;</w:t>
            </w:r>
          </w:p>
        </w:tc>
        <w:tc>
          <w:tcPr>
            <w:tcW w:w="4876" w:type="dxa"/>
            <w:tcBorders>
              <w:top w:val="nil"/>
              <w:left w:val="nil"/>
              <w:bottom w:val="nil"/>
              <w:right w:val="nil"/>
            </w:tcBorders>
          </w:tcPr>
          <w:p w:rsidR="004E16CD" w:rsidRPr="004E16CD" w:rsidRDefault="004E16CD" w:rsidP="00241723">
            <w:pPr>
              <w:pStyle w:val="Normal6a"/>
            </w:pPr>
            <w:r w:rsidRPr="004E16CD">
              <w:t>7.</w:t>
            </w:r>
            <w:r w:rsidRPr="004E16CD">
              <w:tab/>
              <w:t>befürwortet die Integration institutioneller Rahmen und Marktstrukturen; </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270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7.</w:t>
            </w:r>
            <w:r w:rsidRPr="004E16CD">
              <w:tab/>
              <w:t>befürwortet die Integration institutioneller Rahmen und Marktstrukturen;</w:t>
            </w:r>
            <w:r w:rsidRPr="004E16CD">
              <w:rPr>
                <w:b/>
                <w:i/>
              </w:rPr>
              <w:t xml:space="preserve"> wiederholt seine Forderung</w:t>
            </w:r>
            <w:r w:rsidRPr="004E16CD">
              <w:t xml:space="preserve">, </w:t>
            </w:r>
            <w:r w:rsidRPr="004E16CD">
              <w:rPr>
                <w:b/>
                <w:i/>
              </w:rPr>
              <w:t>der ESMA</w:t>
            </w:r>
            <w:r w:rsidRPr="004E16CD">
              <w:t xml:space="preserve"> direkte Aufsichtsbefugnisse </w:t>
            </w:r>
            <w:r w:rsidRPr="004E16CD">
              <w:rPr>
                <w:b/>
                <w:i/>
              </w:rPr>
              <w:t>über europaweite Marktinfrastrukturen zu übertragen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7.</w:t>
            </w:r>
            <w:r w:rsidRPr="004E16CD">
              <w:tab/>
              <w:t>befürwortet die Integration institutioneller Rahmen und Marktstrukturen</w:t>
            </w:r>
            <w:r w:rsidRPr="004E16CD">
              <w:rPr>
                <w:b/>
                <w:i/>
              </w:rPr>
              <w:t xml:space="preserve"> da, wo es starke Argumente für einen europäischen Mehrwert gibt</w:t>
            </w:r>
            <w:r w:rsidRPr="004E16CD">
              <w:t>;</w:t>
            </w:r>
            <w:r w:rsidRPr="004E16CD">
              <w:rPr>
                <w:b/>
                <w:i/>
              </w:rPr>
              <w:t xml:space="preserve"> fordert die Kommission auf</w:t>
            </w:r>
            <w:r w:rsidRPr="004E16CD">
              <w:t xml:space="preserve">, </w:t>
            </w:r>
            <w:r w:rsidRPr="004E16CD">
              <w:rPr>
                <w:b/>
                <w:i/>
              </w:rPr>
              <w:t>zu prüfen, wo</w:t>
            </w:r>
            <w:r w:rsidRPr="004E16CD">
              <w:t xml:space="preserve"> direkte Aufsichtsbefugnisse </w:t>
            </w:r>
            <w:r w:rsidRPr="004E16CD">
              <w:rPr>
                <w:b/>
                <w:i/>
              </w:rPr>
              <w:t>der ESMA einen solchen Mehrwert auf europäischer Ebene erbringen könnten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271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Rasmus Andresen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7.</w:t>
            </w:r>
            <w:r w:rsidRPr="004E16CD">
              <w:tab/>
            </w:r>
            <w:r w:rsidRPr="004E16CD">
              <w:rPr>
                <w:b/>
                <w:i/>
              </w:rPr>
              <w:t>befürwortet</w:t>
            </w:r>
            <w:r w:rsidRPr="004E16CD">
              <w:t xml:space="preserve"> die </w:t>
            </w:r>
            <w:r w:rsidRPr="004E16CD">
              <w:rPr>
                <w:b/>
                <w:i/>
              </w:rPr>
              <w:t>Integration institutioneller Rahmen</w:t>
            </w:r>
            <w:r w:rsidRPr="004E16CD">
              <w:t xml:space="preserve"> und </w:t>
            </w:r>
            <w:r w:rsidRPr="004E16CD">
              <w:rPr>
                <w:b/>
                <w:i/>
              </w:rPr>
              <w:t>Marktstrukturen</w:t>
            </w:r>
            <w:r w:rsidRPr="004E16CD">
              <w:t>; wiederholt seine Forderung, der ESMA direkte Aufsichtsbefugnisse über europaweite Marktinfrastrukturen zu übertragen;</w:t>
            </w:r>
          </w:p>
        </w:tc>
        <w:tc>
          <w:tcPr>
            <w:tcW w:w="4876" w:type="dxa"/>
            <w:tcBorders>
              <w:top w:val="nil"/>
              <w:left w:val="nil"/>
              <w:bottom w:val="nil"/>
              <w:right w:val="nil"/>
            </w:tcBorders>
          </w:tcPr>
          <w:p w:rsidR="004E16CD" w:rsidRPr="004E16CD" w:rsidRDefault="004E16CD" w:rsidP="00241723">
            <w:pPr>
              <w:pStyle w:val="Normal6a"/>
            </w:pPr>
            <w:r w:rsidRPr="004E16CD">
              <w:t>7.</w:t>
            </w:r>
            <w:r w:rsidRPr="004E16CD">
              <w:tab/>
            </w:r>
            <w:r w:rsidRPr="004E16CD">
              <w:rPr>
                <w:b/>
                <w:i/>
              </w:rPr>
              <w:t>weist darauf hin, dass die ESMA bereits über direkte Aufsichtsbefugnisse über mehrere Finanzunternehmen verfügt, wie etwa Ratingagenturen, Transaktionsregister oder Tier-2-CCP mit Sitz außerhalb der EU; ist der Ansicht, dass ein stärker europäisierter Aufsichtsrahmen erheblich zur Integration</w:t>
            </w:r>
            <w:r w:rsidRPr="004E16CD">
              <w:t xml:space="preserve"> und </w:t>
            </w:r>
            <w:r w:rsidRPr="004E16CD">
              <w:rPr>
                <w:b/>
                <w:i/>
              </w:rPr>
              <w:t>Vertiefung der EU-Kapitalmärkte beitragen würde; ist der Ansicht, dass ein gestaffelter Ansatz verfolgt werden könnte, um dieses Ziel zu erreichen</w:t>
            </w:r>
            <w:r w:rsidRPr="004E16CD">
              <w:t>; wiederholt seine Forderung, der ESMA</w:t>
            </w:r>
            <w:r w:rsidRPr="004E16CD">
              <w:rPr>
                <w:b/>
                <w:i/>
              </w:rPr>
              <w:t xml:space="preserve"> zuerst</w:t>
            </w:r>
            <w:r w:rsidRPr="004E16CD">
              <w:t xml:space="preserve"> direkte Aufsichtsbefugnisse über europaweite Marktinfrastrukturen zu übertragen; </w:t>
            </w:r>
            <w:r w:rsidRPr="004E16CD">
              <w:rPr>
                <w:b/>
                <w:i/>
              </w:rPr>
              <w:t>schlägt vor, dass die ESMA auch zu einem Datenknotenpunkt werden könnte, wo die Meldungen von Einrichtungen, die Meldepflichten gemäß der MiFiR und der EMIR unterliegen, zentralisiert werden; fordert die Kommission auf, die Modalitäten zu prüfen, nach denen der ESMA in einer zweiten Phase weitere Aufsichtsbefugnisse für zusätzliche Einrichtungen wie Handelsplätze, Investmentfonds oder große Vermögensverwalter übertragen werden könnten;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272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Regina Doherty, Martine Kemp, Michalis Hadjipantela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7.</w:t>
            </w:r>
            <w:r w:rsidRPr="004E16CD">
              <w:tab/>
            </w:r>
            <w:r w:rsidRPr="004E16CD">
              <w:rPr>
                <w:b/>
                <w:i/>
              </w:rPr>
              <w:t>befürwortet</w:t>
            </w:r>
            <w:r w:rsidRPr="004E16CD">
              <w:t xml:space="preserve"> die </w:t>
            </w:r>
            <w:r w:rsidRPr="004E16CD">
              <w:rPr>
                <w:b/>
                <w:i/>
              </w:rPr>
              <w:t>Integration institutioneller Rahmen</w:t>
            </w:r>
            <w:r w:rsidRPr="004E16CD">
              <w:t xml:space="preserve"> und </w:t>
            </w:r>
            <w:r w:rsidRPr="004E16CD">
              <w:rPr>
                <w:b/>
                <w:i/>
              </w:rPr>
              <w:t>Marktstrukturen</w:t>
            </w:r>
            <w:r w:rsidRPr="004E16CD">
              <w:t>;</w:t>
            </w:r>
            <w:r w:rsidRPr="004E16CD">
              <w:rPr>
                <w:b/>
                <w:i/>
              </w:rPr>
              <w:t xml:space="preserve"> wiederholt seine Forderung</w:t>
            </w:r>
            <w:r w:rsidRPr="004E16CD">
              <w:t xml:space="preserve">, </w:t>
            </w:r>
            <w:r w:rsidRPr="004E16CD">
              <w:rPr>
                <w:b/>
                <w:i/>
              </w:rPr>
              <w:t>der ESMA direkte Aufsichtsbefugnisse über europaweite Marktinfrastrukturen zu übertragen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7.</w:t>
            </w:r>
            <w:r w:rsidRPr="004E16CD">
              <w:tab/>
            </w:r>
            <w:r w:rsidRPr="004E16CD">
              <w:rPr>
                <w:b/>
                <w:i/>
              </w:rPr>
              <w:t>unterstützt eine stärkere Zusammenarbeit zwischen der ESMA und den nationalen Aufsichtsbehörden auf der Grundlage der Gleichheit und betont, wie wichtig eine gerechte und ausgewogene Verteilung der Aufsichtsbefugnisse ist, wobei</w:t>
            </w:r>
            <w:r w:rsidRPr="004E16CD">
              <w:t xml:space="preserve"> die </w:t>
            </w:r>
            <w:r w:rsidRPr="004E16CD">
              <w:rPr>
                <w:b/>
                <w:i/>
              </w:rPr>
              <w:t>nationalen Besonderheiten und das Subsidiaritätsprinzip berücksichtigt werden müssen;</w:t>
            </w:r>
            <w:r w:rsidRPr="004E16CD">
              <w:t xml:space="preserve"> </w:t>
            </w:r>
            <w:r w:rsidRPr="004E16CD">
              <w:rPr>
                <w:b/>
                <w:i/>
              </w:rPr>
              <w:t>hebt die entscheidende Rolle der nationalen Aufsichtsbehörden hervor, einschließlich des Werts ihres vorhandenen institutionellen Wissens sowie ihrer bestehenden Aufsichtskapazitäten und ihres Fachwissens, wodurch sie am besten in der Lage sind, die lokalen Gegebenheiten zu verstehen; betont, dass eine verstärkte aufsichtliche Konvergenz am besten durch eine verstärkte Zusammenarbeit auf der Grundlage von Gleichheit und gemeinsamen Zielen erreicht werden kann, wodurch der Austausch bewährter Verfahren erleichtert und die Überregulierung verringert würde und die vorhandenen Ressourcen optimal genutzt würden; fordert einen Vorschlag zur Förderung einer solchen verstärkten Zusammenarbeit zwischen den nationalen Aufsichtsbehörden und der ESMA;</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273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7.</w:t>
            </w:r>
            <w:r w:rsidRPr="004E16CD">
              <w:tab/>
              <w:t xml:space="preserve">befürwortet die Integration institutioneller Rahmen und Marktstrukturen; </w:t>
            </w:r>
            <w:r w:rsidRPr="004E16CD">
              <w:rPr>
                <w:b/>
                <w:i/>
              </w:rPr>
              <w:t>wiederholt seine Forderung</w:t>
            </w:r>
            <w:r w:rsidRPr="004E16CD">
              <w:t xml:space="preserve">, der </w:t>
            </w:r>
            <w:r w:rsidRPr="004E16CD">
              <w:rPr>
                <w:b/>
                <w:i/>
              </w:rPr>
              <w:t>ESMA direkte Aufsichtsbefugnisse über europaweite Marktinfrastrukturen</w:t>
            </w:r>
            <w:r w:rsidRPr="004E16CD">
              <w:t xml:space="preserve"> zu </w:t>
            </w:r>
            <w:r w:rsidRPr="004E16CD">
              <w:rPr>
                <w:b/>
                <w:i/>
              </w:rPr>
              <w:t>übertragen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7.</w:t>
            </w:r>
            <w:r w:rsidRPr="004E16CD">
              <w:tab/>
              <w:t xml:space="preserve">befürwortet die </w:t>
            </w:r>
            <w:r w:rsidRPr="004E16CD">
              <w:rPr>
                <w:b/>
                <w:i/>
              </w:rPr>
              <w:t xml:space="preserve">weitergehende </w:t>
            </w:r>
            <w:r w:rsidRPr="004E16CD">
              <w:t xml:space="preserve">Integration institutioneller Rahmen und Marktstrukturen; </w:t>
            </w:r>
            <w:r w:rsidRPr="004E16CD">
              <w:rPr>
                <w:b/>
                <w:i/>
              </w:rPr>
              <w:t>fordert die europäischen Aufsichtsbehörden auf</w:t>
            </w:r>
            <w:r w:rsidRPr="004E16CD">
              <w:t xml:space="preserve">, </w:t>
            </w:r>
            <w:r w:rsidRPr="004E16CD">
              <w:rPr>
                <w:b/>
                <w:i/>
              </w:rPr>
              <w:t xml:space="preserve">die Konvergenz ihrer Verfahren zu stärken, um die Integration </w:t>
            </w:r>
            <w:r w:rsidRPr="004E16CD">
              <w:t xml:space="preserve">der </w:t>
            </w:r>
            <w:r w:rsidRPr="004E16CD">
              <w:rPr>
                <w:b/>
                <w:i/>
              </w:rPr>
              <w:t>Kapitalmärkte voranzubringen; schlägt vor, dass die Europäischen Aufsichtsbehörden verstärkt auf ihre Konvergenzinstrumente zurückgreifen, um unterschiedliche Praktiken</w:t>
            </w:r>
            <w:r w:rsidRPr="004E16CD">
              <w:t xml:space="preserve"> zu </w:t>
            </w:r>
            <w:r w:rsidRPr="004E16CD">
              <w:rPr>
                <w:b/>
                <w:i/>
              </w:rPr>
              <w:t>ermitteln und anzugehen, die der Marktentwicklung im Wege stehen;</w:t>
            </w:r>
            <w:r w:rsidRPr="004E16CD">
              <w:t xml:space="preserve"> </w:t>
            </w:r>
            <w:r w:rsidRPr="004E16CD">
              <w:rPr>
                <w:b/>
                <w:i/>
              </w:rPr>
              <w:t>fordert, dass den nationalen Behörden der Zugang zu technischem Fachwissen und operativer Unterstützung durch die europäischen Behörden erleichtert wird, wodurch eine kohärentere, wirksamere und verhältnismäßigere Aufsicht in der gesamten Union gefördert wird, ohne dass die Zuständigkeiten zentralisiert werden müssen;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274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Fernando Navarrete Rojas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7.</w:t>
            </w:r>
            <w:r w:rsidRPr="004E16CD">
              <w:tab/>
              <w:t xml:space="preserve">befürwortet die Integration institutioneller Rahmen und Marktstrukturen; wiederholt seine Forderung, der ESMA direkte Aufsichtsbefugnisse </w:t>
            </w:r>
            <w:r w:rsidRPr="004E16CD">
              <w:rPr>
                <w:b/>
                <w:i/>
              </w:rPr>
              <w:t>über europaweite</w:t>
            </w:r>
            <w:r w:rsidRPr="004E16CD">
              <w:t xml:space="preserve"> Marktinfrastrukturen zu übertragen;</w:t>
            </w:r>
          </w:p>
        </w:tc>
        <w:tc>
          <w:tcPr>
            <w:tcW w:w="4876" w:type="dxa"/>
            <w:tcBorders>
              <w:top w:val="nil"/>
              <w:left w:val="nil"/>
              <w:bottom w:val="nil"/>
              <w:right w:val="nil"/>
            </w:tcBorders>
          </w:tcPr>
          <w:p w:rsidR="004E16CD" w:rsidRPr="004E16CD" w:rsidRDefault="004E16CD" w:rsidP="00241723">
            <w:pPr>
              <w:pStyle w:val="Normal6a"/>
            </w:pPr>
            <w:r w:rsidRPr="004E16CD">
              <w:t>7.</w:t>
            </w:r>
            <w:r w:rsidRPr="004E16CD">
              <w:tab/>
              <w:t xml:space="preserve">befürwortet die Integration institutioneller Rahmen und Marktstrukturen; wiederholt seine Forderung, </w:t>
            </w:r>
            <w:r w:rsidRPr="004E16CD">
              <w:rPr>
                <w:b/>
                <w:i/>
              </w:rPr>
              <w:t xml:space="preserve">den Prozess der aufsichtlichen Konvergenz über europaweite Marktinfrastrukturen unter Leitung </w:t>
            </w:r>
            <w:r w:rsidRPr="004E16CD">
              <w:t xml:space="preserve">der ESMA </w:t>
            </w:r>
            <w:r w:rsidRPr="004E16CD">
              <w:rPr>
                <w:b/>
                <w:i/>
              </w:rPr>
              <w:t>zu fördern, um die Effizienz der Aufsichtslandschaft und die Zusammenarbeit mit den zuständigen nationalen Behörden zu verbessern;</w:t>
            </w:r>
            <w:r w:rsidRPr="004E16CD">
              <w:t xml:space="preserve"> </w:t>
            </w:r>
            <w:r w:rsidRPr="004E16CD">
              <w:rPr>
                <w:b/>
                <w:i/>
              </w:rPr>
              <w:t>fordert die Mitgliedstaaten auf, weitere Maßnahmen zu ergreifen, um sich zu verpflichten, der ESMA mehr direkte Aufsichtsbefugnisse in Bezug auf Anbieter von Krypto-Dienstleistungen, Marktinfrastrukturen und grenzüberschreitende Finanzunternehmen zu übertragen;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275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Dirk Gotink</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7.</w:t>
            </w:r>
            <w:r w:rsidRPr="004E16CD">
              <w:tab/>
              <w:t>befürwortet die Integration institutioneller Rahmen und Marktstrukturen; wiederholt seine Forderung, der ESMA direkte Aufsichtsbefugnisse über europaweite Marktinfrastrukturen zu übertragen;</w:t>
            </w:r>
          </w:p>
        </w:tc>
        <w:tc>
          <w:tcPr>
            <w:tcW w:w="4876" w:type="dxa"/>
            <w:tcBorders>
              <w:top w:val="nil"/>
              <w:left w:val="nil"/>
              <w:bottom w:val="nil"/>
              <w:right w:val="nil"/>
            </w:tcBorders>
          </w:tcPr>
          <w:p w:rsidR="004E16CD" w:rsidRPr="004E16CD" w:rsidRDefault="004E16CD" w:rsidP="00241723">
            <w:pPr>
              <w:pStyle w:val="Normal6a"/>
            </w:pPr>
            <w:r w:rsidRPr="004E16CD">
              <w:t>7.</w:t>
            </w:r>
            <w:r w:rsidRPr="004E16CD">
              <w:tab/>
              <w:t xml:space="preserve">befürwortet die Integration institutioneller Rahmen und Marktstrukturen; wiederholt seine Forderung, der ESMA direkte Aufsichtsbefugnisse über </w:t>
            </w:r>
            <w:r w:rsidRPr="004E16CD">
              <w:rPr>
                <w:b/>
                <w:i/>
              </w:rPr>
              <w:t xml:space="preserve">bedeutende </w:t>
            </w:r>
            <w:r w:rsidRPr="004E16CD">
              <w:t xml:space="preserve">europaweite Marktinfrastrukturen </w:t>
            </w:r>
            <w:r w:rsidRPr="004E16CD">
              <w:rPr>
                <w:b/>
                <w:i/>
              </w:rPr>
              <w:t xml:space="preserve">und Einrichtungen </w:t>
            </w:r>
            <w:r w:rsidRPr="004E16CD">
              <w:t>zu übertragen</w:t>
            </w:r>
            <w:r w:rsidRPr="004E16CD">
              <w:rPr>
                <w:b/>
                <w:i/>
              </w:rPr>
              <w:t xml:space="preserve"> und gleichzeitig kleinere und national ausgerichtete Unternehmen unter nationaler Aufsicht zu belassen, wobei nach Möglichkeit für eine Harmonisierung zwischen den nationalen Rahmen zu sorgen ist</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276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Pascal Canfin, Stéphanie Yon-Courtin, Gilles Boyer, Anouk Van Brug</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7.</w:t>
            </w:r>
            <w:r w:rsidRPr="004E16CD">
              <w:tab/>
              <w:t>befürwortet die Integration institutioneller Rahmen und Marktstrukturen; wiederholt seine Forderung, der ESMA direkte Aufsichtsbefugnisse über europaweite Marktinfrastrukturen zu übertragen;</w:t>
            </w:r>
          </w:p>
        </w:tc>
        <w:tc>
          <w:tcPr>
            <w:tcW w:w="4876" w:type="dxa"/>
            <w:tcBorders>
              <w:top w:val="nil"/>
              <w:left w:val="nil"/>
              <w:bottom w:val="nil"/>
              <w:right w:val="nil"/>
            </w:tcBorders>
          </w:tcPr>
          <w:p w:rsidR="004E16CD" w:rsidRPr="004E16CD" w:rsidRDefault="004E16CD" w:rsidP="00241723">
            <w:pPr>
              <w:pStyle w:val="Normal6a"/>
            </w:pPr>
            <w:r w:rsidRPr="004E16CD">
              <w:t>7.</w:t>
            </w:r>
            <w:r w:rsidRPr="004E16CD">
              <w:tab/>
              <w:t>befürwortet die Integration institutioneller Rahmen und Marktstrukturen; wiederholt seine Forderung, der ESMA direkte Aufsichtsbefugnisse über europaweite Marktinfrastrukturen zu übertragen</w:t>
            </w:r>
            <w:r w:rsidRPr="004E16CD">
              <w:rPr>
                <w:b/>
                <w:i/>
              </w:rPr>
              <w:t>, um die Wettbewerbsfähigkeit der europäischen Börsen zu verbessern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277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Eero Heinäluoma, Evelyn Regner, Niels Fuglsang, Claire Fita, Carla Tavares,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7.</w:t>
            </w:r>
            <w:r w:rsidRPr="004E16CD">
              <w:tab/>
              <w:t>befürwortet die Integration institutioneller Rahmen und Marktstrukturen; wiederholt seine Forderung, der ESMA direkte Aufsichtsbefugnisse über europaweite Marktinfrastrukturen zu übertragen;</w:t>
            </w:r>
          </w:p>
        </w:tc>
        <w:tc>
          <w:tcPr>
            <w:tcW w:w="4876" w:type="dxa"/>
            <w:tcBorders>
              <w:top w:val="nil"/>
              <w:left w:val="nil"/>
              <w:bottom w:val="nil"/>
              <w:right w:val="nil"/>
            </w:tcBorders>
          </w:tcPr>
          <w:p w:rsidR="004E16CD" w:rsidRPr="004E16CD" w:rsidRDefault="004E16CD" w:rsidP="00241723">
            <w:pPr>
              <w:pStyle w:val="Normal6a"/>
            </w:pPr>
            <w:r w:rsidRPr="004E16CD">
              <w:t>7.</w:t>
            </w:r>
            <w:r w:rsidRPr="004E16CD">
              <w:tab/>
              <w:t>befürwortet die Integration institutioneller Rahmen und Marktstrukturen; wiederholt seine Forderung, der ESMA direkte Aufsichtsbefugnisse über europaweite Marktinfrastrukturen</w:t>
            </w:r>
            <w:r w:rsidRPr="004E16CD">
              <w:rPr>
                <w:b/>
                <w:i/>
              </w:rPr>
              <w:t>, einschließlich großer Börsen, zentraler Gegenparteien und Wertpapierverwahrstellen, grenzüberschreitende Vermögensverwaltungsgruppen, Anbieter von Krypto-Dienstleistungen und für alle neuen Produkte und Dienstleistungen</w:t>
            </w:r>
            <w:r w:rsidRPr="004E16CD">
              <w:t xml:space="preserve"> zu übertragen; </w:t>
            </w:r>
            <w:r w:rsidRPr="004E16CD">
              <w:rPr>
                <w:b/>
                <w:i/>
              </w:rPr>
              <w:t>ist der Ansicht, dass die Governance der ESMA überarbeitet werden sollte, um die Effizienz und Unabhängigkeit der Entscheidungen der ESMA zu gewährleisten; unterstützt den Vorschlag aus dem Draghi-Bericht, der ESMA eine stärker europäisch organisierte Governance-Struktur nach dem Vorbild der Europäischen Zentralbank (EZB) zu gewähren und eine enge Zusammenarbeit mit den nationalen Aufsichtsbehörden auf der Grundlage des Modells des einheitlichen Aufsichtsmechanismus aufzubauen;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278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Christophe Gomart</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7.</w:t>
            </w:r>
            <w:r w:rsidRPr="004E16CD">
              <w:tab/>
              <w:t>befürwortet die Integration institutioneller Rahmen und Marktstrukturen; wiederholt seine Forderung, der ESMA direkte Aufsichtsbefugnisse über europaweite Marktinfrastrukturen zu übertragen;</w:t>
            </w:r>
          </w:p>
        </w:tc>
        <w:tc>
          <w:tcPr>
            <w:tcW w:w="4876" w:type="dxa"/>
            <w:tcBorders>
              <w:top w:val="nil"/>
              <w:left w:val="nil"/>
              <w:bottom w:val="nil"/>
              <w:right w:val="nil"/>
            </w:tcBorders>
          </w:tcPr>
          <w:p w:rsidR="004E16CD" w:rsidRPr="004E16CD" w:rsidRDefault="004E16CD" w:rsidP="00241723">
            <w:pPr>
              <w:pStyle w:val="Normal6a"/>
            </w:pPr>
            <w:r w:rsidRPr="004E16CD">
              <w:t>7.</w:t>
            </w:r>
            <w:r w:rsidRPr="004E16CD">
              <w:tab/>
              <w:t xml:space="preserve">befürwortet die Integration institutioneller Rahmen und Marktstrukturen; wiederholt seine Forderung, der ESMA direkte Aufsichtsbefugnisse über europaweite Marktinfrastrukturen zu übertragen; </w:t>
            </w:r>
            <w:r w:rsidRPr="004E16CD">
              <w:rPr>
                <w:b/>
                <w:i/>
              </w:rPr>
              <w:t>fordert, dass die Wettbewerbsfähigkeit zu einem festen Bestandteil des EU-Gesetzgebungsverfahrens (auch auf der Ebene der ESMA) gemacht wird;</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{FR}</w:t>
      </w:r>
      <w:r w:rsidRPr="004E16CD">
        <w:t>fr</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279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Anouk Van Brug, Engin Eroglu, Stéphanie Yon-Courtin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7.</w:t>
            </w:r>
            <w:r w:rsidRPr="004E16CD">
              <w:tab/>
              <w:t>befürwortet die Integration institutioneller Rahmen und Marktstrukturen; wiederholt seine Forderung, der ESMA direkte Aufsichtsbefugnisse über europaweite Marktinfrastrukturen zu übertragen;</w:t>
            </w:r>
          </w:p>
        </w:tc>
        <w:tc>
          <w:tcPr>
            <w:tcW w:w="4876" w:type="dxa"/>
            <w:tcBorders>
              <w:top w:val="nil"/>
              <w:left w:val="nil"/>
              <w:bottom w:val="nil"/>
              <w:right w:val="nil"/>
            </w:tcBorders>
          </w:tcPr>
          <w:p w:rsidR="004E16CD" w:rsidRPr="004E16CD" w:rsidRDefault="004E16CD" w:rsidP="00241723">
            <w:pPr>
              <w:pStyle w:val="Normal6a"/>
            </w:pPr>
            <w:r w:rsidRPr="004E16CD">
              <w:t>7.</w:t>
            </w:r>
            <w:r w:rsidRPr="004E16CD">
              <w:tab/>
              <w:t xml:space="preserve">befürwortet die Integration institutioneller Rahmen und Marktstrukturen; wiederholt seine Forderung, der ESMA direkte Aufsichtsbefugnisse über europaweite Marktinfrastrukturen zu übertragen; </w:t>
            </w:r>
            <w:r w:rsidRPr="004E16CD">
              <w:rPr>
                <w:b/>
                <w:i/>
              </w:rPr>
              <w:t>ist der Ansicht, dass eine harmonisierte und zentralisierte Aufsicht auf den europäischen Kapitalmärkten die Marktteilnehmer einem einheitlichen Regelwerk unterwerfen und einen echten Binnenmarkt für europäisches Kapital fördern würde;</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280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Rasmus Andresen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7a.</w:t>
            </w:r>
            <w:r w:rsidRPr="004E16CD">
              <w:tab/>
            </w:r>
            <w:r w:rsidRPr="004E16CD">
              <w:rPr>
                <w:b/>
                <w:i/>
              </w:rPr>
              <w:t>ist davon überzeugt, dass eine tiefgreifende Reform der Governance der ESMA angezeigt ist, bevor ihre Aufsichtsbefugnisse ausgeweitet werden; ist der Ansicht, dass die überarbeitete Governance der ESMA auf den Governance-Regelungen des einheitlichen Aufsichtsmechanismus (SSM) oder der kürzlich eingerichteten Behörde zur Bekämpfung der Geldwäsche (AMLA) beruhen könnte; betont, dass sämtliche Aufsichtsentscheidungen von einem Exekutivorgan getroffen werden sollten, das sich aus völlig unabhängigen Mitgliedern zusammensetzt, um jegliche nationale Voreingenommenheit zu verhindern; ist der Ansicht, dass ein lokaler Anker für die Wirksamkeit der Aufsicht und den Erhalt des Fachwissens der nationalen Behörden von wesentlicher Bedeutung ist; hält die Einrichtung gemeinsamer Aufsichtsteams (Joint Supervisory Teams – JST) nach dem Vorbild des bestehenden SSM oder der künftigen AMLA, die sich aus Bediensteten der EU und der zuständigen nationalen Behörden zusammensetzen, für ein gutes Modell;</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281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Eero Heinäluoma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 a (neu)</w:t>
      </w:r>
      <w:r w:rsidRPr="004E16CD">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7a. fordert die Kommission angesichts der erhöhten Risiken des Kryptosektors auf, die MICA-Verordnung rasch zu überprüfen und der ESMA direkte Aufsichtsbefugnisse über Anbieter von Krypto-Dienstleistungen ab einer bestimmten Größe zu übertragen;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282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7a.</w:t>
            </w:r>
            <w:r w:rsidRPr="004E16CD">
              <w:tab/>
            </w:r>
            <w:r w:rsidRPr="004E16CD">
              <w:rPr>
                <w:b/>
                <w:i/>
              </w:rPr>
              <w:t>weist darauf hin, dass ein Grund für die Fragmentierung der Aufsichtsergebnisse die Praxis der nationalen Aufsichtsbehörden ist, zusätzlich zu den europäischen Vorschriften weitere nationale Verpflichtungen einzuführen, was häufig als „Überregulierung“ bezeichnet wird; fordert die Kommission und die Europäischen Aufsichtsbehörden auf, sich mit solchen Überschreitungen der Befugnisse durch die nationalen Behörden zu befassen, um zu einheitlicheren Aufsichtsergebnissen in der gesamten Union zu gelangen;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283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Gilles Boyer, Stéphanie Yon-Courtin, Pascal Canfin, Billy Kelleher, Anouk Van Brug</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7a.</w:t>
            </w:r>
            <w:r w:rsidRPr="004E16CD">
              <w:tab/>
            </w:r>
            <w:r w:rsidRPr="004E16CD">
              <w:rPr>
                <w:b/>
                <w:i/>
              </w:rPr>
              <w:t>betont, dass Verbriefungen eine wichtige Rolle dabei spielen können, die Finanzierung von Investitionen zu erleichtern, alternative Finanzierungsquellen für europäische Unternehmen zu schaffen, um ihr Wachstum zu fördern, die Wettbewerbsfähigkeit Europas zu steigern und tiefe und dynamische europäische Kapitalmärkte zu schaffen;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284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Enikő Győri, Pierre Pimpie, Jorge Martín Frías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7a.</w:t>
            </w:r>
            <w:r w:rsidRPr="004E16CD">
              <w:tab/>
            </w:r>
            <w:r w:rsidRPr="004E16CD">
              <w:rPr>
                <w:b/>
                <w:i/>
              </w:rPr>
              <w:t>ist davon überzeugt, dass auf dem EU-Kapitalmarkt Synergieeffekte zwischen den nationalen institutionellen Rahmen geschaffen und Hindernisse beseitigt werden müssen, die den grenzüberschreitenden Investitionsfluss derzeit behindern, statt die institutionellen Rahmen, insbesondere die Aufsichtsrahmen und -befugnisse zu zentralisieren;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285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Eero Heinäluoma, Evelyn Regner, Niels Fuglsang, Claire Fita, Carla Tavares,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7a.</w:t>
            </w:r>
            <w:r w:rsidRPr="004E16CD">
              <w:tab/>
            </w:r>
            <w:r w:rsidRPr="004E16CD">
              <w:rPr>
                <w:b/>
                <w:i/>
              </w:rPr>
              <w:t>ist der Ansicht, dass die Europäischen Aufsichtsbehörden (ESA) angemessen finanziert werden sollten, damit sie ihren Aufgaben nachkommen können, unter anderem, indem sie von Finanzinstituten und Finanzmarktteilnehmern von beaufsichtigten Unternehmen Gebühren erheben können;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286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Eero Heinäluoma, Evelyn Regner, Niels Fuglsang, Claire Fita, Carla Tavares,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7b.</w:t>
            </w:r>
            <w:r w:rsidRPr="004E16CD">
              <w:tab/>
            </w:r>
            <w:r w:rsidRPr="004E16CD">
              <w:rPr>
                <w:b/>
                <w:i/>
              </w:rPr>
              <w:t>betont, dass es wichtig ist, dass die EZB im Einklang mit ihren Zuständigkeiten gemäß dem AEUV und der SIPS-Verordnung eine starke Rolle bei der Überwachung systemrelevanter Marktinfrastrukturen spielt; ist der Ansicht, dass die EZB aktiv dazu beitragen sollte, die Interoperabilität, Widerstandsfähigkeit und Integration EU-weiter Handels- und Nachhandelssysteme zu verbessern, insbesondere durch ihre Aufsicht über Plattformen wie Target-2-Securities;</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287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Enikő Győri, Pierre Pimpie, Jorge Martín Frías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7b.</w:t>
            </w:r>
            <w:r w:rsidRPr="004E16CD">
              <w:tab/>
            </w:r>
            <w:r w:rsidRPr="004E16CD">
              <w:rPr>
                <w:b/>
                <w:i/>
              </w:rPr>
              <w:t>ist der Ansicht, dass ein starker, attraktiverer und besser funktionierender europäischer Kapitalmarkt die Vielfalt der nationalen Kapitalmärkte in vollem Umfang nutzen muss; betont in diesem Zusammenhang, dass sich Pauschallösungen bereits als unwirksam erwiesen haben;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288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Gilles Boyer, Stéphanie Yon-Courtin, Pascal Canfin, Billy Kelleher, Anouk Van Brug</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7b.</w:t>
            </w:r>
            <w:r w:rsidRPr="004E16CD">
              <w:tab/>
            </w:r>
            <w:r w:rsidRPr="004E16CD">
              <w:rPr>
                <w:b/>
                <w:i/>
              </w:rPr>
              <w:t>weist darauf hin, dass die Wertentwicklung europäischer verbriefter Produkte in den letzten 40 Jahren mindestens so gut war wie die anderer festverzinslicher Anlageklassen</w:t>
            </w:r>
            <w:r w:rsidRPr="004E16CD">
              <w:rPr>
                <w:b/>
                <w:i/>
                <w:vertAlign w:val="superscript"/>
              </w:rPr>
              <w:t>1a</w:t>
            </w:r>
            <w:r w:rsidRPr="004E16CD">
              <w:rPr>
                <w:b/>
                <w:i/>
              </w:rPr>
              <w:t xml:space="preserve"> und dass sie eine Reihe von Risikooptionen bieten;</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rPr>
              <w:t>_________________</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tc>
        <w:tc>
          <w:tcPr>
            <w:tcW w:w="4876" w:type="dxa"/>
            <w:tcBorders>
              <w:top w:val="nil"/>
              <w:left w:val="nil"/>
              <w:bottom w:val="nil"/>
              <w:right w:val="nil"/>
            </w:tcBorders>
          </w:tcPr>
          <w:p w:rsidR="004E16CD" w:rsidRPr="004E16CD" w:rsidRDefault="004E16CD" w:rsidP="00241723">
            <w:pPr>
              <w:pStyle w:val="Normal6a"/>
            </w:pPr>
            <w:r w:rsidRPr="004E16CD">
              <w:rPr>
                <w:b/>
                <w:i/>
                <w:vertAlign w:val="superscript"/>
              </w:rPr>
              <w:t>1a</w:t>
            </w:r>
            <w:r w:rsidRPr="004E16CD">
              <w:t xml:space="preserve"> </w:t>
            </w:r>
            <w:r w:rsidRPr="004E16CD">
              <w:rPr>
                <w:b/>
                <w:i/>
              </w:rPr>
              <w:t xml:space="preserve">https://www.afme.eu/Portals/0/DispatchFeaturedImages/EU%20Securitisation%20back%20on%20track%205%20point%20plan.pdf </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289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Rasmus Andresen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7b.</w:t>
            </w:r>
            <w:r w:rsidRPr="004E16CD">
              <w:tab/>
            </w:r>
            <w:r w:rsidRPr="004E16CD">
              <w:rPr>
                <w:b/>
                <w:i/>
              </w:rPr>
              <w:t>fordert die Kommission auf, zu prüfen, ob und unter welchen Bedingungen eine stärker integrierte Aufsichtsarchitektur auch in anderen Sektoren wie Versicherungen und Pensionsfonds umgesetzt werden sollte;</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290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7b.</w:t>
            </w:r>
            <w:r w:rsidRPr="004E16CD">
              <w:tab/>
            </w:r>
            <w:r w:rsidRPr="004E16CD">
              <w:rPr>
                <w:b/>
                <w:i/>
              </w:rPr>
              <w:t>weist darauf hin, dass jede Ausweitung der Befugnisse der Europäischen Aufsichtsbehörden mit einer entsprechenden Erhöhung ihrer Rechenschaftspflicht einhergehen sollte;</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291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Rasmus Andresen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 c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7c.</w:t>
            </w:r>
            <w:r w:rsidRPr="004E16CD">
              <w:tab/>
            </w:r>
            <w:r w:rsidRPr="004E16CD">
              <w:rPr>
                <w:b/>
                <w:i/>
              </w:rPr>
              <w:t>nimmt die Schlussfolgerung aus den Berichten von Draghi, Letta und Noyer zur Kenntnis, dass die Marktinfrastrukturlandschaft der EU nach wie vor fragmentiert ist, insbesondere im Vergleich zur US-Marktlandschaft; weist darauf hin, dass die Marktkonsolidierung ein marktgesteuerter Prozess ist; warnt vor dem Risiko der Entstehung von systemrelevanten Einrichtungen („too big to fail“); betont, dass der Übergang zu einer einzigen Aufsichtsbehörde für EU-Marktinfrastrukturen die Marktkonsolidierung wahrscheinlich erleichtern würde; betont, dass die fehlende Harmonisierung der nationalen Rechtsvorschriften das Haupthindernis für die Konsolidierung des Marktinfrastruktursektors ist;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292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 c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7c.</w:t>
            </w:r>
            <w:r w:rsidRPr="004E16CD">
              <w:tab/>
            </w:r>
            <w:r w:rsidRPr="004E16CD">
              <w:rPr>
                <w:b/>
                <w:i/>
              </w:rPr>
              <w:t>betont, dass der Verwaltungsaufwand und die Befolgungskosten, die in einem grenzüberschreitenden Kontext anfallen, bereits durch eine bessere Koordinierung und Zusammenarbeit der nationalen Aufsichtsbehörden, z. B. im Bereich des Datenaustauschs, angegangen werden könnten; fordert die Kommission und die Europäischen Aufsichtsbehörden auf, zu einem System der „einmaligen Berichterstattung“ überzugehen; hält das zentrale europäische Zugangsportal in dieser Hinsicht für eine wichtige Initiative und fordert seine zeitnahe Umsetzung;</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293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Gilles Boyer, Stéphanie Yon-Courtin, Pascal Canfin, Billy Kelleher, Anouk Van Brug</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 c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7c.</w:t>
            </w:r>
            <w:r w:rsidRPr="004E16CD">
              <w:tab/>
            </w:r>
            <w:r w:rsidRPr="004E16CD">
              <w:rPr>
                <w:b/>
                <w:i/>
              </w:rPr>
              <w:t>betont, dass die Entwicklung des europäischen Verbriefungsmarkts dazu beitragen könnte, dass sich die Wirtschaft der Union dem dringenden Bedarf entsprechend weiterentwickelt – weg von der Situation, dass sie sich bei der Finanzierung in erster Linie auf die Bilanzen der Banken stützt, hin zu einer Wirtschaft, in der das Potenzial der Kapitalmärkte voll ausgeschöpft wird;</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294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Enikő Győri, Pierre Pimpie, Jorge Martín Frías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 c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7c.</w:t>
            </w:r>
            <w:r w:rsidRPr="004E16CD">
              <w:tab/>
            </w:r>
            <w:r w:rsidRPr="004E16CD">
              <w:rPr>
                <w:b/>
                <w:i/>
              </w:rPr>
              <w:t>ist der Ansicht, dass künftige Kapitalmarktreformen auf dem Bottom-up-Ansatz beruhen müssen und dabei den bewährten Verfahren und Besonderheiten der Mitgliedstaaten Rechnung getragen werden muss;</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295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Gilles Boyer, Stéphanie Yon-Courtin, Pascal Canfin, Billy Kelleher, Anouk Van Brug</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 d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7d.</w:t>
            </w:r>
            <w:r w:rsidRPr="004E16CD">
              <w:tab/>
            </w:r>
            <w:r w:rsidRPr="004E16CD">
              <w:rPr>
                <w:b/>
                <w:i/>
              </w:rPr>
              <w:t>weist erneut auf die Brücke hin, die Verbriefungen zwischen Kreditvergabe und Kapitalmärkten schlagen, indem Anleger Zugang zu verschiedenen Arten von Risikopositionen, Renditen und Sektoren erhalten; ist der Ansicht, dass Verbriefungen ein vielseitiges Instrument darstellen, das eine Diversifizierung der Finanzierungsquellen und damit des finanziellen Engagements ermöglicht und die Widerstandsfähigkeit innerhalb der EU durch eine Diversifizierung der privaten Risikoteilung zwischen Banken, Versicherern und anderen Anlegern aktiv stärkt;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296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Gilles Boyer, Stéphanie Yon-Courtin, Pascal Canfin, Billy Kelleher, Anouk Van Brug</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 e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7e.</w:t>
            </w:r>
            <w:r w:rsidRPr="004E16CD">
              <w:tab/>
            </w:r>
            <w:r w:rsidRPr="004E16CD">
              <w:rPr>
                <w:b/>
                <w:i/>
              </w:rPr>
              <w:t>fordert die Kommission auf, im zweiten Quartal 2025 eine ambitionierte und ganzheitliche Überarbeitung des Verbriefungsrahmens zu veröffentlichen, die sich an den jüngsten Schlussfolgerungen des Europäischen Rates, den Erklärungen der Eurogruppe, der EZB und der EIOPA sowie dem jüngsten Bericht des Gemeinsamen Ausschusses der ESA orientiert, und sich dabei insbesondere auf die Überprüfung spezifischer Aufsichtsanforderungen, Sorgfaltspflichten, Berichtspflichten in Bezug auf bestimmte Arten von Vermögenswerten, die Kohärenz einfacher transparenter und standardisierter Kriterien sowie das Aufsichtsverfahren konzentriert, um sicherzustellen, dass Verbriefungen bei der Finanzierung des künftigen Wachstums in Europa eine entscheidende Rolle spielen können;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297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Gilles Boyer, Stéphanie Yon-Courtin, Pascal Canfin, Billy Kelleher, Anouk Van Brug</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 f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7f.</w:t>
            </w:r>
            <w:r w:rsidRPr="004E16CD">
              <w:tab/>
            </w:r>
            <w:r w:rsidRPr="004E16CD">
              <w:rPr>
                <w:b/>
                <w:i/>
              </w:rPr>
              <w:t>weist darauf hin, dass Verbriefungen wiederbelebt werden können, ohne die Finanzstabilität zu gefährden, indem die nach 2008 eingeführten grundlegenden Schutzvorkehrungen unverändert beibehalten werden; Verbot der Wiederverbriefung, Verbot von Verbriefungen ohne Risikoselbstbehalt, strenge Aufsicht über Ratingagenturen;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298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Gilles Boyer, Stéphanie Yon-Courtin, Pascal Canfin, Billy Kelleher, Anouk Van Brug</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7 g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7g.</w:t>
            </w:r>
            <w:r w:rsidRPr="004E16CD">
              <w:tab/>
            </w:r>
            <w:r w:rsidRPr="004E16CD">
              <w:rPr>
                <w:b/>
                <w:i/>
              </w:rPr>
              <w:t>fordert die Kommission auf, die Möglichkeit zu prüfen, eine gemeinsame europäische Verbriefungsplattform zu schaffen, um Produkte zu standardisieren und mehr Anleger für den Markt zu gewinnen, einschließlich kleinerer Banken, die derzeit keinen Zugang zu dieser Finanzierungsmethode haben;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299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Ralf Seekatz</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8</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rPr>
                <w:b/>
                <w:i/>
              </w:rPr>
              <w:t>8.</w:t>
            </w:r>
            <w:r w:rsidRPr="004E16CD">
              <w:tab/>
            </w:r>
            <w:r w:rsidRPr="004E16CD">
              <w:rPr>
                <w:b/>
                <w:i/>
              </w:rPr>
              <w:t>fordert die Kommission nachdrücklich auf, Vorschläge zu erarbeiten, um Clearing-Tätigkeiten auf angemessene Weise in die EU zurückzuholen;</w:t>
            </w:r>
          </w:p>
        </w:tc>
        <w:tc>
          <w:tcPr>
            <w:tcW w:w="4876" w:type="dxa"/>
            <w:tcBorders>
              <w:top w:val="nil"/>
              <w:left w:val="nil"/>
              <w:bottom w:val="nil"/>
              <w:right w:val="nil"/>
            </w:tcBorders>
          </w:tcPr>
          <w:p w:rsidR="004E16CD" w:rsidRPr="004E16CD" w:rsidRDefault="004E16CD" w:rsidP="00241723">
            <w:pPr>
              <w:pStyle w:val="Normal6a"/>
            </w:pPr>
            <w:r w:rsidRPr="004E16CD">
              <w:rPr>
                <w:b/>
                <w:i/>
              </w:rPr>
              <w:t>entfällt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300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Arba Kokalari</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8</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rPr>
                <w:b/>
                <w:i/>
              </w:rPr>
              <w:t>8.</w:t>
            </w:r>
            <w:r w:rsidRPr="004E16CD">
              <w:tab/>
            </w:r>
            <w:r w:rsidRPr="004E16CD">
              <w:rPr>
                <w:b/>
                <w:i/>
              </w:rPr>
              <w:t>fordert die Kommission nachdrücklich auf, Vorschläge zu erarbeiten, um Clearing-Tätigkeiten auf angemessene Weise in die EU zurückzuholen;</w:t>
            </w:r>
          </w:p>
        </w:tc>
        <w:tc>
          <w:tcPr>
            <w:tcW w:w="4876" w:type="dxa"/>
            <w:tcBorders>
              <w:top w:val="nil"/>
              <w:left w:val="nil"/>
              <w:bottom w:val="nil"/>
              <w:right w:val="nil"/>
            </w:tcBorders>
          </w:tcPr>
          <w:p w:rsidR="004E16CD" w:rsidRPr="004E16CD" w:rsidRDefault="004E16CD" w:rsidP="00241723">
            <w:pPr>
              <w:pStyle w:val="Normal6a"/>
            </w:pPr>
            <w:r w:rsidRPr="004E16CD">
              <w:rPr>
                <w:b/>
                <w:i/>
              </w:rPr>
              <w:t>entfällt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301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Johan Van Overtveldt</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8</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rPr>
                <w:b/>
                <w:i/>
              </w:rPr>
              <w:t>8.</w:t>
            </w:r>
            <w:r w:rsidRPr="004E16CD">
              <w:tab/>
            </w:r>
            <w:r w:rsidRPr="004E16CD">
              <w:rPr>
                <w:b/>
                <w:i/>
              </w:rPr>
              <w:t>fordert die Kommission nachdrücklich auf, Vorschläge zu erarbeiten, um Clearing-Tätigkeiten auf angemessene Weise in die EU zurückzuholen;</w:t>
            </w:r>
          </w:p>
        </w:tc>
        <w:tc>
          <w:tcPr>
            <w:tcW w:w="4876" w:type="dxa"/>
            <w:tcBorders>
              <w:top w:val="nil"/>
              <w:left w:val="nil"/>
              <w:bottom w:val="nil"/>
              <w:right w:val="nil"/>
            </w:tcBorders>
          </w:tcPr>
          <w:p w:rsidR="004E16CD" w:rsidRPr="004E16CD" w:rsidRDefault="004E16CD" w:rsidP="00241723">
            <w:pPr>
              <w:pStyle w:val="Normal6a"/>
            </w:pPr>
            <w:r w:rsidRPr="004E16CD">
              <w:rPr>
                <w:b/>
                <w:i/>
              </w:rPr>
              <w:t>entfällt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302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Fernando Navarrete Rojas, 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8</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8.</w:t>
            </w:r>
            <w:r w:rsidRPr="004E16CD">
              <w:tab/>
              <w:t xml:space="preserve">fordert die Kommission nachdrücklich auf, </w:t>
            </w:r>
            <w:r w:rsidRPr="004E16CD">
              <w:rPr>
                <w:b/>
                <w:i/>
              </w:rPr>
              <w:t>Vorschläge</w:t>
            </w:r>
            <w:r w:rsidRPr="004E16CD">
              <w:t xml:space="preserve"> zu </w:t>
            </w:r>
            <w:r w:rsidRPr="004E16CD">
              <w:rPr>
                <w:b/>
                <w:i/>
              </w:rPr>
              <w:t>erarbeiten</w:t>
            </w:r>
            <w:r w:rsidRPr="004E16CD">
              <w:t xml:space="preserve">, um Clearing-Tätigkeiten auf </w:t>
            </w:r>
            <w:r w:rsidRPr="004E16CD">
              <w:rPr>
                <w:b/>
                <w:i/>
              </w:rPr>
              <w:t>angemessene Weise</w:t>
            </w:r>
            <w:r w:rsidRPr="004E16CD">
              <w:t xml:space="preserve"> in die EU </w:t>
            </w:r>
            <w:r w:rsidRPr="004E16CD">
              <w:rPr>
                <w:b/>
                <w:i/>
              </w:rPr>
              <w:t>zurückzuholen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8.</w:t>
            </w:r>
            <w:r w:rsidRPr="004E16CD">
              <w:tab/>
              <w:t xml:space="preserve">fordert die Kommission nachdrücklich auf, </w:t>
            </w:r>
            <w:r w:rsidRPr="004E16CD">
              <w:rPr>
                <w:b/>
                <w:i/>
              </w:rPr>
              <w:t>die EMIR 3.0 auf reibungslose und verhältnismäßige Weise umzusetzen und dabei bestehende Instrumente und geeignete Anreize</w:t>
            </w:r>
            <w:r w:rsidRPr="004E16CD">
              <w:t xml:space="preserve"> zu </w:t>
            </w:r>
            <w:r w:rsidRPr="004E16CD">
              <w:rPr>
                <w:b/>
                <w:i/>
              </w:rPr>
              <w:t>nutzen</w:t>
            </w:r>
            <w:r w:rsidRPr="004E16CD">
              <w:t xml:space="preserve">, um </w:t>
            </w:r>
            <w:r w:rsidRPr="004E16CD">
              <w:rPr>
                <w:b/>
                <w:i/>
              </w:rPr>
              <w:t xml:space="preserve">die Wettbewerbsfähigkeit und Attraktivität von </w:t>
            </w:r>
            <w:r w:rsidRPr="004E16CD">
              <w:t xml:space="preserve">Clearing-Tätigkeiten </w:t>
            </w:r>
            <w:r w:rsidRPr="004E16CD">
              <w:rPr>
                <w:b/>
                <w:i/>
              </w:rPr>
              <w:t>mit Sitz in der EU wirksam zu fördern; betont, dass EU-Clearingplätze sowohl für auf Euro lautende als auch für nicht auf Euro lautende Derivate attraktiv sein sollten, um die globale Bedeutung der Union im Bereich des zentralen Clearings sicherzustellen; betont, dass im Einklang mit dem Ziel der Vereinfachung der Rechtsvorschriften der Schwerpunkt weiterhin auf der wirksamen Anwendung des bestehenden Rahmens liegen sollte, anstatt neue Gesetzgebungsinitiativen einzuführen; betont darüber hinaus, dass die Förderung des Dienstleistungsangebots, der Produktpalette, der Akzeptanz von Sicherheiten und der Kostenwettbewerbsfähigkeit von EU-CCPs von entscheidender Bedeutung ist, um eine zweckmäßige Verlagerung von Clearing-Tätigkeiten</w:t>
            </w:r>
            <w:r w:rsidRPr="004E16CD">
              <w:t xml:space="preserve"> in die </w:t>
            </w:r>
            <w:r w:rsidRPr="004E16CD">
              <w:rPr>
                <w:b/>
                <w:i/>
              </w:rPr>
              <w:t xml:space="preserve">Union zu erreichen; beharrt darauf, dass eine solche Verlagerung nicht durch verbindliche Verpflichtungen oder dadurch, dass Marktteilnehmer zum Clearing in der </w:t>
            </w:r>
            <w:r w:rsidRPr="004E16CD">
              <w:t xml:space="preserve">EU </w:t>
            </w:r>
            <w:r w:rsidRPr="004E16CD">
              <w:rPr>
                <w:b/>
                <w:i/>
              </w:rPr>
              <w:t>gezwungen werden, erfolgen sollte, sondern vielmehr, indem das Clearing-Ökosystem der EU attraktiver, effizienter und chancenreicher als das konkurrierender Länder und Gebiete gemacht wird, sodass die Unternehmen es als bevorzugten Handelsplatz wählen;</w:t>
            </w:r>
            <w:r w:rsidRPr="004E16CD">
              <w:t xml:space="preserve"> </w:t>
            </w:r>
            <w:r w:rsidRPr="004E16CD">
              <w:rPr>
                <w:b/>
                <w:i/>
              </w:rPr>
              <w:t>fordert die ESMA und die Kommission auf, bei der Umsetzung der EMIR 3.0 einen marktorientierten Prozess auf der Grundlage von Nachfrage und Wettbewerbsfähigkeit zu fördern, um sicherzustellen, dass das EU-Clearing zum natürlichen Handelsplatz der Wahl für globale Marktteilnehmer wird;</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303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Auke Zijlstra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8</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8.</w:t>
            </w:r>
            <w:r w:rsidRPr="004E16CD">
              <w:tab/>
            </w:r>
            <w:r w:rsidRPr="004E16CD">
              <w:rPr>
                <w:b/>
                <w:i/>
              </w:rPr>
              <w:t>fordert</w:t>
            </w:r>
            <w:r w:rsidRPr="004E16CD">
              <w:t xml:space="preserve"> die Kommission </w:t>
            </w:r>
            <w:r w:rsidRPr="004E16CD">
              <w:rPr>
                <w:b/>
                <w:i/>
              </w:rPr>
              <w:t>nachdrücklich</w:t>
            </w:r>
            <w:r w:rsidRPr="004E16CD">
              <w:t xml:space="preserve"> auf, </w:t>
            </w:r>
            <w:r w:rsidRPr="004E16CD">
              <w:rPr>
                <w:b/>
                <w:i/>
              </w:rPr>
              <w:t>Vorschläge zu erarbeiten</w:t>
            </w:r>
            <w:r w:rsidRPr="004E16CD">
              <w:t xml:space="preserve">, </w:t>
            </w:r>
            <w:r w:rsidRPr="004E16CD">
              <w:rPr>
                <w:b/>
                <w:i/>
              </w:rPr>
              <w:t>um Clearing-Tätigkeiten</w:t>
            </w:r>
            <w:r w:rsidRPr="004E16CD">
              <w:t xml:space="preserve"> auf </w:t>
            </w:r>
            <w:r w:rsidRPr="004E16CD">
              <w:rPr>
                <w:b/>
                <w:i/>
              </w:rPr>
              <w:t>angemessene Weise</w:t>
            </w:r>
            <w:r w:rsidRPr="004E16CD">
              <w:t xml:space="preserve"> in die EU </w:t>
            </w:r>
            <w:r w:rsidRPr="004E16CD">
              <w:rPr>
                <w:b/>
                <w:i/>
              </w:rPr>
              <w:t>zurückzuholen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8.</w:t>
            </w:r>
            <w:r w:rsidRPr="004E16CD">
              <w:tab/>
            </w:r>
            <w:r w:rsidRPr="004E16CD">
              <w:rPr>
                <w:b/>
                <w:i/>
              </w:rPr>
              <w:t>nimmt zur Kenntnis, dass</w:t>
            </w:r>
            <w:r w:rsidRPr="004E16CD">
              <w:t xml:space="preserve"> die Kommission </w:t>
            </w:r>
            <w:r w:rsidRPr="004E16CD">
              <w:rPr>
                <w:b/>
                <w:i/>
              </w:rPr>
              <w:t>zum dritten Mal in Folge beschlossen hat, die Gleichwertigkeit</w:t>
            </w:r>
            <w:r w:rsidRPr="004E16CD">
              <w:t xml:space="preserve"> auf</w:t>
            </w:r>
            <w:r w:rsidRPr="004E16CD">
              <w:rPr>
                <w:b/>
                <w:i/>
              </w:rPr>
              <w:t xml:space="preserve"> zentrale Gegenparteien im Vereinigten Königreich auszuweiten; stellt fest, dass neun Jahre nach dem Beschluss des Vereinigten Königreichs, Artikel 50 auszulösen, und fünf Jahre nach dem Brexit Clearing-Dienste für auf Euro lautende Verträge noch nicht in die EU verlagert wurden; betont, dass dies bedeutet, dass sich die Anbieter von Clearing-Tätigkeiten in der EU nicht willkommen fühlen;</w:t>
            </w:r>
            <w:r w:rsidRPr="004E16CD">
              <w:t xml:space="preserve"> </w:t>
            </w:r>
            <w:r w:rsidRPr="004E16CD">
              <w:rPr>
                <w:b/>
                <w:i/>
              </w:rPr>
              <w:t>betont, dass in der EMIR-Verordnung nicht festgelegt ist, dass Clearing-Dienste für auf Euro lautende Kontrakte in das Euro-Währungsgebiet verlagert werden müssen;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304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Giovanni Crosetto, Denis Nesci, Francesco Ventola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8</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8.</w:t>
            </w:r>
            <w:r w:rsidRPr="004E16CD">
              <w:tab/>
              <w:t xml:space="preserve">fordert die Kommission nachdrücklich auf, </w:t>
            </w:r>
            <w:r w:rsidRPr="004E16CD">
              <w:rPr>
                <w:b/>
                <w:i/>
              </w:rPr>
              <w:t>Vorschläge</w:t>
            </w:r>
            <w:r w:rsidRPr="004E16CD">
              <w:t xml:space="preserve"> zu </w:t>
            </w:r>
            <w:r w:rsidRPr="004E16CD">
              <w:rPr>
                <w:b/>
                <w:i/>
              </w:rPr>
              <w:t>erarbeiten</w:t>
            </w:r>
            <w:r w:rsidRPr="004E16CD">
              <w:t xml:space="preserve">, um </w:t>
            </w:r>
            <w:r w:rsidRPr="004E16CD">
              <w:rPr>
                <w:b/>
                <w:i/>
              </w:rPr>
              <w:t>Clearing-Tätigkeiten auf angemessene Weise</w:t>
            </w:r>
            <w:r w:rsidRPr="004E16CD">
              <w:t xml:space="preserve"> in die </w:t>
            </w:r>
            <w:r w:rsidRPr="004E16CD">
              <w:rPr>
                <w:b/>
                <w:i/>
              </w:rPr>
              <w:t>EU zurückzuholen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8.</w:t>
            </w:r>
            <w:r w:rsidRPr="004E16CD">
              <w:tab/>
              <w:t xml:space="preserve">fordert die Kommission nachdrücklich auf, </w:t>
            </w:r>
            <w:r w:rsidRPr="004E16CD">
              <w:rPr>
                <w:b/>
                <w:i/>
              </w:rPr>
              <w:t>die Rückholung von Clearing-Tätigkeiten in die EU</w:t>
            </w:r>
            <w:r w:rsidRPr="004E16CD">
              <w:t xml:space="preserve"> zu </w:t>
            </w:r>
            <w:r w:rsidRPr="004E16CD">
              <w:rPr>
                <w:b/>
                <w:i/>
              </w:rPr>
              <w:t>überwachen und erforderlichenfalls Maßnahmen zu ergreifen</w:t>
            </w:r>
            <w:r w:rsidRPr="004E16CD">
              <w:t xml:space="preserve">, um </w:t>
            </w:r>
            <w:r w:rsidRPr="004E16CD">
              <w:rPr>
                <w:b/>
                <w:i/>
              </w:rPr>
              <w:t>diesen Prozess zu erleichtern;</w:t>
            </w:r>
            <w:r w:rsidRPr="004E16CD">
              <w:t xml:space="preserve"> </w:t>
            </w:r>
            <w:r w:rsidRPr="004E16CD">
              <w:rPr>
                <w:b/>
                <w:i/>
              </w:rPr>
              <w:t>stellt fest, dass das Nachhandelsumfeld in der EU nach wie vor fragmentiert ist; fordert eine marktorientierte Konsolidierung und die Beseitigung rechtlicher und regulatorischer Hindernisse für eine stärker integrierte und effizientere Nachhandelslandschaft;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305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8</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8.</w:t>
            </w:r>
            <w:r w:rsidRPr="004E16CD">
              <w:tab/>
              <w:t xml:space="preserve">fordert die Kommission </w:t>
            </w:r>
            <w:r w:rsidRPr="004E16CD">
              <w:rPr>
                <w:b/>
                <w:i/>
              </w:rPr>
              <w:t xml:space="preserve">nachdrücklich </w:t>
            </w:r>
            <w:r w:rsidRPr="004E16CD">
              <w:t xml:space="preserve">auf, Vorschläge zu </w:t>
            </w:r>
            <w:r w:rsidRPr="004E16CD">
              <w:rPr>
                <w:b/>
                <w:i/>
              </w:rPr>
              <w:t>erarbeiten</w:t>
            </w:r>
            <w:r w:rsidRPr="004E16CD">
              <w:t xml:space="preserve">, </w:t>
            </w:r>
            <w:r w:rsidRPr="004E16CD">
              <w:rPr>
                <w:b/>
                <w:i/>
              </w:rPr>
              <w:t>um Clearing-Tätigkeiten auf angemessene Weise in</w:t>
            </w:r>
            <w:r w:rsidRPr="004E16CD">
              <w:t xml:space="preserve"> die </w:t>
            </w:r>
            <w:r w:rsidRPr="004E16CD">
              <w:rPr>
                <w:b/>
                <w:i/>
              </w:rPr>
              <w:t>EU zurückzuholen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8.</w:t>
            </w:r>
            <w:r w:rsidRPr="004E16CD">
              <w:tab/>
              <w:t xml:space="preserve">fordert die Kommission auf, Vorschläge </w:t>
            </w:r>
            <w:r w:rsidRPr="004E16CD">
              <w:rPr>
                <w:b/>
                <w:i/>
              </w:rPr>
              <w:t xml:space="preserve">für einen wirksamen Austausch bewährter Verfahren bei Clearing- und Abrechnungstätigkeiten zwischen den EU-Clearingstellen auszuarbeiten und dabei für eine uneingeschränkte Zusammenarbeit </w:t>
            </w:r>
            <w:r w:rsidRPr="004E16CD">
              <w:t xml:space="preserve">zu </w:t>
            </w:r>
            <w:r w:rsidRPr="004E16CD">
              <w:rPr>
                <w:b/>
                <w:i/>
              </w:rPr>
              <w:t>sorgen;</w:t>
            </w:r>
            <w:r w:rsidRPr="004E16CD">
              <w:t xml:space="preserve"> </w:t>
            </w:r>
            <w:r w:rsidRPr="004E16CD">
              <w:rPr>
                <w:b/>
                <w:i/>
              </w:rPr>
              <w:t>betont, wie wichtig der Wettbewerb zwischen Clearing- und Abrechnungsstellen ist, wobei die nationalen Zuständigkeiten zu achten sind und der freie Wettbewerb innerhalb eines gemeinsamen Rahmens zu wahren ist;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306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Regina Doherty</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8</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8.</w:t>
            </w:r>
            <w:r w:rsidRPr="004E16CD">
              <w:tab/>
              <w:t xml:space="preserve">fordert die Kommission nachdrücklich auf, </w:t>
            </w:r>
            <w:r w:rsidRPr="004E16CD">
              <w:rPr>
                <w:b/>
                <w:i/>
              </w:rPr>
              <w:t>Vorschläge</w:t>
            </w:r>
            <w:r w:rsidRPr="004E16CD">
              <w:t xml:space="preserve"> zu </w:t>
            </w:r>
            <w:r w:rsidRPr="004E16CD">
              <w:rPr>
                <w:b/>
                <w:i/>
              </w:rPr>
              <w:t>erarbeiten</w:t>
            </w:r>
            <w:r w:rsidRPr="004E16CD">
              <w:t xml:space="preserve">, um </w:t>
            </w:r>
            <w:r w:rsidRPr="004E16CD">
              <w:rPr>
                <w:b/>
                <w:i/>
              </w:rPr>
              <w:t>Clearing-Tätigkeiten auf angemessene Weise</w:t>
            </w:r>
            <w:r w:rsidRPr="004E16CD">
              <w:t xml:space="preserve"> in die EU </w:t>
            </w:r>
            <w:r w:rsidRPr="004E16CD">
              <w:rPr>
                <w:b/>
                <w:i/>
              </w:rPr>
              <w:t>zurückzuholen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8.</w:t>
            </w:r>
            <w:r w:rsidRPr="004E16CD">
              <w:tab/>
              <w:t xml:space="preserve">fordert die Kommission nachdrücklich auf, </w:t>
            </w:r>
            <w:r w:rsidRPr="004E16CD">
              <w:rPr>
                <w:b/>
                <w:i/>
              </w:rPr>
              <w:t>weiterhin einen angemessenen Ansatz für Clearingtätigkeiten</w:t>
            </w:r>
            <w:r w:rsidRPr="004E16CD">
              <w:t xml:space="preserve"> zu </w:t>
            </w:r>
            <w:r w:rsidRPr="004E16CD">
              <w:rPr>
                <w:b/>
                <w:i/>
              </w:rPr>
              <w:t>verfolgen</w:t>
            </w:r>
            <w:r w:rsidRPr="004E16CD">
              <w:t xml:space="preserve">, um </w:t>
            </w:r>
            <w:r w:rsidRPr="004E16CD">
              <w:rPr>
                <w:b/>
                <w:i/>
              </w:rPr>
              <w:t>sicherzustellen, dass die Marktteilnehmer</w:t>
            </w:r>
            <w:r w:rsidRPr="004E16CD">
              <w:t xml:space="preserve"> in </w:t>
            </w:r>
            <w:r w:rsidRPr="004E16CD">
              <w:rPr>
                <w:b/>
                <w:i/>
              </w:rPr>
              <w:t xml:space="preserve">der EU weiterhin Zugang zu einem effizienten und sicheren zentralen Clearing sowie zu Kundenclearing und zu Dienstleistungen haben, und weiterhin Stabilität und Sicherheit für </w:t>
            </w:r>
            <w:r w:rsidRPr="004E16CD">
              <w:t xml:space="preserve">die </w:t>
            </w:r>
            <w:r w:rsidRPr="004E16CD">
              <w:rPr>
                <w:b/>
                <w:i/>
              </w:rPr>
              <w:t xml:space="preserve">Marktteilnehmer in der </w:t>
            </w:r>
            <w:r w:rsidRPr="004E16CD">
              <w:t xml:space="preserve">EU </w:t>
            </w:r>
            <w:r w:rsidRPr="004E16CD">
              <w:rPr>
                <w:b/>
                <w:i/>
              </w:rPr>
              <w:t>zu fördern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307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Enikő Győri, Pierre Pimpie, Jorge Martín Frías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8</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8.</w:t>
            </w:r>
            <w:r w:rsidRPr="004E16CD">
              <w:tab/>
              <w:t xml:space="preserve">fordert die Kommission nachdrücklich auf, </w:t>
            </w:r>
            <w:r w:rsidRPr="004E16CD">
              <w:rPr>
                <w:b/>
                <w:i/>
              </w:rPr>
              <w:t>Vorschläge</w:t>
            </w:r>
            <w:r w:rsidRPr="004E16CD">
              <w:t xml:space="preserve"> zu </w:t>
            </w:r>
            <w:r w:rsidRPr="004E16CD">
              <w:rPr>
                <w:b/>
                <w:i/>
              </w:rPr>
              <w:t>erarbeiten</w:t>
            </w:r>
            <w:r w:rsidRPr="004E16CD">
              <w:t xml:space="preserve">, </w:t>
            </w:r>
            <w:r w:rsidRPr="004E16CD">
              <w:rPr>
                <w:b/>
                <w:i/>
              </w:rPr>
              <w:t>um Clearing-Tätigkeiten auf angemessene Weise in</w:t>
            </w:r>
            <w:r w:rsidRPr="004E16CD">
              <w:t xml:space="preserve"> die </w:t>
            </w:r>
            <w:r w:rsidRPr="004E16CD">
              <w:rPr>
                <w:b/>
                <w:i/>
              </w:rPr>
              <w:t>EU zurückzuholen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8.</w:t>
            </w:r>
            <w:r w:rsidRPr="004E16CD">
              <w:tab/>
              <w:t xml:space="preserve">fordert die Kommission nachdrücklich auf, </w:t>
            </w:r>
            <w:r w:rsidRPr="004E16CD">
              <w:rPr>
                <w:b/>
                <w:i/>
              </w:rPr>
              <w:t>die Rückholung von Clearing-Tätigkeiten in die EU nicht auf normativer Grundlage</w:t>
            </w:r>
            <w:r w:rsidRPr="004E16CD">
              <w:t xml:space="preserve"> zu </w:t>
            </w:r>
            <w:r w:rsidRPr="004E16CD">
              <w:rPr>
                <w:b/>
                <w:i/>
              </w:rPr>
              <w:t>erzwingen</w:t>
            </w:r>
            <w:r w:rsidRPr="004E16CD">
              <w:t xml:space="preserve">, </w:t>
            </w:r>
            <w:r w:rsidRPr="004E16CD">
              <w:rPr>
                <w:b/>
                <w:i/>
              </w:rPr>
              <w:t>sondern vielmehr ein wettbewerbsorientiertes und effizientes Umfeld zu schaffen, das</w:t>
            </w:r>
            <w:r w:rsidRPr="004E16CD">
              <w:t xml:space="preserve"> für </w:t>
            </w:r>
            <w:r w:rsidRPr="004E16CD">
              <w:rPr>
                <w:b/>
                <w:i/>
              </w:rPr>
              <w:t>Clearing-Tätigkeiten attraktiv ist</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308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Stéphanie Yon-Courtin, Gilles Boyer, Pascal Canfin, Anouk Van Brug</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8</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8.</w:t>
            </w:r>
            <w:r w:rsidRPr="004E16CD">
              <w:tab/>
              <w:t xml:space="preserve">fordert die Kommission </w:t>
            </w:r>
            <w:r w:rsidRPr="004E16CD">
              <w:rPr>
                <w:b/>
                <w:i/>
              </w:rPr>
              <w:t xml:space="preserve">nachdrücklich </w:t>
            </w:r>
            <w:r w:rsidRPr="004E16CD">
              <w:t xml:space="preserve">auf, </w:t>
            </w:r>
            <w:r w:rsidRPr="004E16CD">
              <w:rPr>
                <w:b/>
                <w:i/>
              </w:rPr>
              <w:t>Vorschläge zu erarbeiten</w:t>
            </w:r>
            <w:r w:rsidRPr="004E16CD">
              <w:t xml:space="preserve">, um </w:t>
            </w:r>
            <w:r w:rsidRPr="004E16CD">
              <w:rPr>
                <w:b/>
                <w:i/>
              </w:rPr>
              <w:t>Clearing-Tätigkeiten auf angemessene Weise</w:t>
            </w:r>
            <w:r w:rsidRPr="004E16CD">
              <w:t xml:space="preserve"> in die EU </w:t>
            </w:r>
            <w:r w:rsidRPr="004E16CD">
              <w:rPr>
                <w:b/>
                <w:i/>
              </w:rPr>
              <w:t>zurückzuholen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8.</w:t>
            </w:r>
            <w:r w:rsidRPr="004E16CD">
              <w:tab/>
              <w:t xml:space="preserve">fordert die Kommission auf, </w:t>
            </w:r>
            <w:r w:rsidRPr="004E16CD">
              <w:rPr>
                <w:b/>
                <w:i/>
              </w:rPr>
              <w:t>den überarbeiteten EMIR-Rahmen umzusetzen</w:t>
            </w:r>
            <w:r w:rsidRPr="004E16CD">
              <w:t xml:space="preserve">, um </w:t>
            </w:r>
            <w:r w:rsidRPr="004E16CD">
              <w:rPr>
                <w:b/>
                <w:i/>
              </w:rPr>
              <w:t>die Rückholung von Clearing-Tätigkeiten</w:t>
            </w:r>
            <w:r w:rsidRPr="004E16CD">
              <w:t xml:space="preserve"> in die EU </w:t>
            </w:r>
            <w:r w:rsidRPr="004E16CD">
              <w:rPr>
                <w:b/>
                <w:i/>
              </w:rPr>
              <w:t>zu erleichtern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309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Lídia Pereira, 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8</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8.</w:t>
            </w:r>
            <w:r w:rsidRPr="004E16CD">
              <w:tab/>
              <w:t xml:space="preserve">fordert die Kommission nachdrücklich auf, </w:t>
            </w:r>
            <w:r w:rsidRPr="004E16CD">
              <w:rPr>
                <w:b/>
                <w:i/>
              </w:rPr>
              <w:t>Vorschläge zu erarbeiten, um Clearing-Tätigkeiten</w:t>
            </w:r>
            <w:r w:rsidRPr="004E16CD">
              <w:t xml:space="preserve"> auf </w:t>
            </w:r>
            <w:r w:rsidRPr="004E16CD">
              <w:rPr>
                <w:b/>
                <w:i/>
              </w:rPr>
              <w:t>angemessene Weise</w:t>
            </w:r>
            <w:r w:rsidRPr="004E16CD">
              <w:t xml:space="preserve"> in </w:t>
            </w:r>
            <w:r w:rsidRPr="004E16CD">
              <w:rPr>
                <w:b/>
                <w:i/>
              </w:rPr>
              <w:t>die</w:t>
            </w:r>
            <w:r w:rsidRPr="004E16CD">
              <w:t xml:space="preserve"> EU </w:t>
            </w:r>
            <w:r w:rsidRPr="004E16CD">
              <w:rPr>
                <w:b/>
                <w:i/>
              </w:rPr>
              <w:t>zurückzuholen</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8.</w:t>
            </w:r>
            <w:r w:rsidRPr="004E16CD">
              <w:tab/>
              <w:t xml:space="preserve">fordert die Kommission nachdrücklich auf, </w:t>
            </w:r>
            <w:r w:rsidRPr="004E16CD">
              <w:rPr>
                <w:b/>
                <w:i/>
              </w:rPr>
              <w:t>die Auswirkungen der Regelungen</w:t>
            </w:r>
            <w:r w:rsidRPr="004E16CD">
              <w:t xml:space="preserve"> auf </w:t>
            </w:r>
            <w:r w:rsidRPr="004E16CD">
              <w:rPr>
                <w:b/>
                <w:i/>
              </w:rPr>
              <w:t>Clearing-Tätigkeiten</w:t>
            </w:r>
            <w:r w:rsidRPr="004E16CD">
              <w:t xml:space="preserve"> in </w:t>
            </w:r>
            <w:r w:rsidRPr="004E16CD">
              <w:rPr>
                <w:b/>
                <w:i/>
              </w:rPr>
              <w:t>der</w:t>
            </w:r>
            <w:r w:rsidRPr="004E16CD">
              <w:t xml:space="preserve"> EU </w:t>
            </w:r>
            <w:r w:rsidRPr="004E16CD">
              <w:rPr>
                <w:b/>
                <w:i/>
              </w:rPr>
              <w:t>zu beurteilen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310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Eero Heinäluoma, Evelyn Regner, Niels Fuglsang, Claire Fita, Carla Tavares,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8</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8.</w:t>
            </w:r>
            <w:r w:rsidRPr="004E16CD">
              <w:tab/>
              <w:t>fordert die Kommission nachdrücklich auf, Vorschläge zu erarbeiten, um Clearing-Tätigkeiten auf angemessene Weise in die EU zurückzuholen;</w:t>
            </w:r>
          </w:p>
        </w:tc>
        <w:tc>
          <w:tcPr>
            <w:tcW w:w="4876" w:type="dxa"/>
            <w:tcBorders>
              <w:top w:val="nil"/>
              <w:left w:val="nil"/>
              <w:bottom w:val="nil"/>
              <w:right w:val="nil"/>
            </w:tcBorders>
          </w:tcPr>
          <w:p w:rsidR="004E16CD" w:rsidRPr="004E16CD" w:rsidRDefault="004E16CD" w:rsidP="00241723">
            <w:pPr>
              <w:pStyle w:val="Normal6a"/>
            </w:pPr>
            <w:r w:rsidRPr="004E16CD">
              <w:t>8.</w:t>
            </w:r>
            <w:r w:rsidRPr="004E16CD">
              <w:tab/>
              <w:t xml:space="preserve">fordert die Kommission nachdrücklich auf, Vorschläge zu erarbeiten, um Clearing-Tätigkeiten auf angemessene Weise in die EU zurückzuholen; </w:t>
            </w:r>
            <w:r w:rsidRPr="004E16CD">
              <w:rPr>
                <w:b/>
                <w:i/>
              </w:rPr>
              <w:t>bedauert die derzeitige Situation, in der der Großteil des EU-Clearinggeschäfts außerhalb der EU abgewickelt wird; bedauert die Entscheidung, die Gleichwertigkeit für zentrale Gegenparteien des Vereinigten Königreichs um drei Jahre bis zum 30. Juni 2028 zu verlängern, und ist der Ansicht, dass diese Verlängerung die letzte sein sollte;</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311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8</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8.</w:t>
            </w:r>
            <w:r w:rsidRPr="004E16CD">
              <w:tab/>
              <w:t>fordert die Kommission nachdrücklich auf, Vorschläge zu erarbeiten, um Clearing-Tätigkeiten auf angemessene Weise in die EU zurückzuholen;</w:t>
            </w:r>
          </w:p>
        </w:tc>
        <w:tc>
          <w:tcPr>
            <w:tcW w:w="4876" w:type="dxa"/>
            <w:tcBorders>
              <w:top w:val="nil"/>
              <w:left w:val="nil"/>
              <w:bottom w:val="nil"/>
              <w:right w:val="nil"/>
            </w:tcBorders>
          </w:tcPr>
          <w:p w:rsidR="004E16CD" w:rsidRPr="004E16CD" w:rsidRDefault="004E16CD" w:rsidP="00241723">
            <w:pPr>
              <w:pStyle w:val="Normal6a"/>
            </w:pPr>
            <w:r w:rsidRPr="004E16CD">
              <w:t>8.</w:t>
            </w:r>
            <w:r w:rsidRPr="004E16CD">
              <w:tab/>
              <w:t xml:space="preserve">fordert die Kommission nachdrücklich auf, Vorschläge zu erarbeiten, um Clearing-Tätigkeiten auf angemessene Weise in die EU zurückzuholen; </w:t>
            </w:r>
            <w:r w:rsidRPr="004E16CD">
              <w:rPr>
                <w:b/>
                <w:i/>
              </w:rPr>
              <w:t>sieht einem ambitionierten delegierten Rechtsakt zu aktiven Konten im Rahmen der EMIR 3.0 erwartungsvoll entgegen; fordert die Kommission auf, die Entwicklung von Clearing-Tätigkeiten kontinuierlich zu bewerten und weitere Legislativvorschläge zur Stärkung des Clearing-Ökosystems der EU vorzulegen;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312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8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8a.</w:t>
            </w:r>
            <w:r w:rsidRPr="004E16CD">
              <w:tab/>
            </w:r>
            <w:r w:rsidRPr="004E16CD">
              <w:rPr>
                <w:b/>
                <w:i/>
              </w:rPr>
              <w:t>begrüßt die Ankündigung der Kommission, ein ambitioniertes Paket mit Legislativvorschlägen vorzulegen, um das Ökosystem für Handel und Nachhandel in der Europäischen Union zu stärken, Hindernisse für grenzüberschreitende Tätigkeiten zu beseitigen und den Rahmen für neue Technologien zu rüsten; erwartet, dass ein solcher Vorschlag dazu beitragen könnte, der Marktfragmentierung in der EU entgegenzuwirken; betont jedoch, dass alle Initiativen zur Marktkonsolidierung marktgesteuert sein sollten; stellt fest, dass zu strenge Kartellentscheidungen einer weiteren Marktintegration in der Vergangenheit manchmal im Wege standen;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313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Giovanni Crosetto, Denis Nesci, Francesco Ventola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8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8a.</w:t>
            </w:r>
            <w:r w:rsidRPr="004E16CD">
              <w:tab/>
            </w:r>
            <w:r w:rsidRPr="004E16CD">
              <w:rPr>
                <w:b/>
                <w:i/>
              </w:rPr>
              <w:t>nimmt mit Besorgnis die Fragmentierung der Marktstrukturen zur Kenntnis, die dazu führt, dass die Liquidität einzelner Aktien auf mehrere Handelsplätze verteilt wird; erkennt die potenziellen negativen Auswirkungen einer geteilten Liquidität auf die Preisbildung, die Ausführungsqualität und die allgemeine Markttiefe an; fordert die Kommission auf, einer Bewertung der Liquiditätsfragmentierung im Rahmen ihrer Arbeit an der Kapitalmarktunion Vorrang einzuräumen und gezielte Maßnahmen zur Förderung einer stärkeren Liquiditätskonzentration auf den EU-Märkten in Erwägung zu ziehen;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314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Fernando Navarrete Rojas, 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9</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9.</w:t>
            </w:r>
            <w:r w:rsidRPr="004E16CD">
              <w:tab/>
              <w:t xml:space="preserve">stellt fest, dass eine Straffung von Verwaltungsverfahren die Attraktivität der EU als Investitionsziel erhöhen kann; ist der Ansicht, dass eine Angleichung der Rechtsrahmen der Mitgliedstaaten ein Teil der Vereinfachungsagenda im Hinblick auf die Erleichterung grenzüberschreitender Tätigkeiten sein sollte; </w:t>
            </w:r>
            <w:r w:rsidRPr="004E16CD">
              <w:rPr>
                <w:b/>
                <w:i/>
              </w:rPr>
              <w:t>fordert die Kommission auf</w:t>
            </w:r>
            <w:r w:rsidRPr="004E16CD">
              <w:t xml:space="preserve">, </w:t>
            </w:r>
            <w:r w:rsidRPr="004E16CD">
              <w:rPr>
                <w:b/>
                <w:i/>
              </w:rPr>
              <w:t>verstärkt von Verordnungen statt von Richtlinien Gebrauch zu machen</w:t>
            </w:r>
            <w:r w:rsidRPr="004E16CD">
              <w:t xml:space="preserve"> und </w:t>
            </w:r>
            <w:r w:rsidRPr="004E16CD">
              <w:rPr>
                <w:b/>
                <w:i/>
              </w:rPr>
              <w:t>so den einzelstaatlichen Ermessensspielraum einzuschränken,</w:t>
            </w:r>
            <w:r w:rsidRPr="004E16CD">
              <w:t xml:space="preserve"> der </w:t>
            </w:r>
            <w:r w:rsidRPr="004E16CD">
              <w:rPr>
                <w:b/>
                <w:i/>
              </w:rPr>
              <w:t>zu Fragmentierung führen könnte</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9.</w:t>
            </w:r>
            <w:r w:rsidRPr="004E16CD">
              <w:tab/>
              <w:t xml:space="preserve">stellt fest, dass eine </w:t>
            </w:r>
            <w:r w:rsidRPr="004E16CD">
              <w:rPr>
                <w:b/>
                <w:i/>
              </w:rPr>
              <w:t xml:space="preserve">weitere </w:t>
            </w:r>
            <w:r w:rsidRPr="004E16CD">
              <w:t>Straffung von Verwaltungsverfahren die Attraktivität der EU als Investitionsziel</w:t>
            </w:r>
            <w:r w:rsidRPr="004E16CD">
              <w:rPr>
                <w:b/>
                <w:i/>
              </w:rPr>
              <w:t xml:space="preserve"> beträchtlich</w:t>
            </w:r>
            <w:r w:rsidRPr="004E16CD">
              <w:t xml:space="preserve"> erhöhen kann; ist der Ansicht, dass eine Angleichung der Rechtsrahmen der Mitgliedstaaten ein Teil der Vereinfachungsagenda im Hinblick auf die Erleichterung grenzüberschreitender Tätigkeiten sein sollte; </w:t>
            </w:r>
            <w:r w:rsidRPr="004E16CD">
              <w:rPr>
                <w:b/>
                <w:i/>
              </w:rPr>
              <w:t>betont, dass der Regelungsaufwand im Zusammenhang mit dem EU-Rahmen für ein nachhaltiges Finanzwesen verringert werden muss, wie im Draghi-Bericht hervorgehoben wurde, insbesondere durch mehr Klarheit, Kohärenz und Leitlinien; begrüßt in diesem Zusammenhang das Omnibus-Paket</w:t>
            </w:r>
            <w:r w:rsidRPr="004E16CD">
              <w:t xml:space="preserve"> der </w:t>
            </w:r>
            <w:r w:rsidRPr="004E16CD">
              <w:rPr>
                <w:b/>
                <w:i/>
              </w:rPr>
              <w:t>Kommission zur „Nachhaltigkeit“ als einen Schritt zur Verringerung der Komplexität und zur Verbesserung der Nutzbarkeit wichtiger Rechtsinstrumente, insbesondere durch den vorgeschlagenen Übergang zur freiwilligen Berichterstattung in bestimmten Bereichen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315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Marco Falcone, Fulvio Martusciello</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9</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9.</w:t>
            </w:r>
            <w:r w:rsidRPr="004E16CD">
              <w:tab/>
              <w:t xml:space="preserve">stellt fest, dass eine Straffung von Verwaltungsverfahren die Attraktivität der EU als Investitionsziel erhöhen kann; ist der Ansicht, dass eine Angleichung der Rechtsrahmen der Mitgliedstaaten ein Teil der Vereinfachungsagenda im Hinblick auf die Erleichterung grenzüberschreitender Tätigkeiten sein sollte; fordert die Kommission auf, </w:t>
            </w:r>
            <w:r w:rsidRPr="004E16CD">
              <w:rPr>
                <w:b/>
                <w:i/>
              </w:rPr>
              <w:t>verstärkt von</w:t>
            </w:r>
            <w:r w:rsidRPr="004E16CD">
              <w:t xml:space="preserve"> Verordnungen </w:t>
            </w:r>
            <w:r w:rsidRPr="004E16CD">
              <w:rPr>
                <w:b/>
                <w:i/>
              </w:rPr>
              <w:t>statt von Richtlinien Gebrauch</w:t>
            </w:r>
            <w:r w:rsidRPr="004E16CD">
              <w:t xml:space="preserve"> zu </w:t>
            </w:r>
            <w:r w:rsidRPr="004E16CD">
              <w:rPr>
                <w:b/>
                <w:i/>
              </w:rPr>
              <w:t>machen</w:t>
            </w:r>
            <w:r w:rsidRPr="004E16CD">
              <w:t xml:space="preserve"> und </w:t>
            </w:r>
            <w:r w:rsidRPr="004E16CD">
              <w:rPr>
                <w:b/>
                <w:i/>
              </w:rPr>
              <w:t>so</w:t>
            </w:r>
            <w:r w:rsidRPr="004E16CD">
              <w:t xml:space="preserve"> den </w:t>
            </w:r>
            <w:r w:rsidRPr="004E16CD">
              <w:rPr>
                <w:b/>
                <w:i/>
              </w:rPr>
              <w:t>einzelstaatlichen Ermessensspielraum einzuschränken</w:t>
            </w:r>
            <w:r w:rsidRPr="004E16CD">
              <w:t xml:space="preserve">, </w:t>
            </w:r>
            <w:r w:rsidRPr="004E16CD">
              <w:rPr>
                <w:b/>
                <w:i/>
              </w:rPr>
              <w:t>der</w:t>
            </w:r>
            <w:r w:rsidRPr="004E16CD">
              <w:t xml:space="preserve"> zu </w:t>
            </w:r>
            <w:r w:rsidRPr="004E16CD">
              <w:rPr>
                <w:b/>
                <w:i/>
              </w:rPr>
              <w:t>Fragmentierung führen könnte</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9.</w:t>
            </w:r>
            <w:r w:rsidRPr="004E16CD">
              <w:tab/>
              <w:t xml:space="preserve">stellt fest, dass eine Straffung von Verwaltungsverfahren die Attraktivität der EU als Investitionsziel erhöhen kann; ist der Ansicht, dass eine Angleichung der Rechtsrahmen der Mitgliedstaaten ein Teil der Vereinfachungsagenda im Hinblick auf die Erleichterung grenzüberschreitender Tätigkeiten sein sollte; fordert die Kommission auf, </w:t>
            </w:r>
            <w:r w:rsidRPr="004E16CD">
              <w:rPr>
                <w:b/>
                <w:i/>
              </w:rPr>
              <w:t>soweit angebracht den Rückgriff auf</w:t>
            </w:r>
            <w:r w:rsidRPr="004E16CD">
              <w:t xml:space="preserve"> Verordnungen </w:t>
            </w:r>
            <w:r w:rsidRPr="004E16CD">
              <w:rPr>
                <w:b/>
                <w:i/>
              </w:rPr>
              <w:t>als Rechtssetzungsinstrument zu bevorzugen, um die Harmonisierung des Binnenmarkts</w:t>
            </w:r>
            <w:r w:rsidRPr="004E16CD">
              <w:t xml:space="preserve"> zu </w:t>
            </w:r>
            <w:r w:rsidRPr="004E16CD">
              <w:rPr>
                <w:b/>
                <w:i/>
              </w:rPr>
              <w:t>stärken</w:t>
            </w:r>
            <w:r w:rsidRPr="004E16CD">
              <w:t xml:space="preserve"> und </w:t>
            </w:r>
            <w:r w:rsidRPr="004E16CD">
              <w:rPr>
                <w:b/>
                <w:i/>
              </w:rPr>
              <w:t>eine Fragmentierung der Rechtsvorschriften zwischen</w:t>
            </w:r>
            <w:r w:rsidRPr="004E16CD">
              <w:t xml:space="preserve"> den </w:t>
            </w:r>
            <w:r w:rsidRPr="004E16CD">
              <w:rPr>
                <w:b/>
                <w:i/>
              </w:rPr>
              <w:t>Mitgliedstaaten zu verhindern</w:t>
            </w:r>
            <w:r w:rsidRPr="004E16CD">
              <w:t xml:space="preserve">, </w:t>
            </w:r>
            <w:r w:rsidRPr="004E16CD">
              <w:rPr>
                <w:b/>
                <w:i/>
              </w:rPr>
              <w:t>wobei bei Bedarf gleichzeitig für eine angemessene Flexibilität</w:t>
            </w:r>
            <w:r w:rsidRPr="004E16CD">
              <w:t xml:space="preserve"> zu </w:t>
            </w:r>
            <w:r w:rsidRPr="004E16CD">
              <w:rPr>
                <w:b/>
                <w:i/>
              </w:rPr>
              <w:t>sorgen ist, um nationalen Besonderheiten und dem Subsidiaritätsprinzip Rechnung zu tragen</w:t>
            </w:r>
            <w:r w:rsidRPr="004E16CD">
              <w:t>;</w:t>
            </w:r>
            <w:r w:rsidRPr="004E16CD">
              <w:rPr>
                <w:b/>
                <w:i/>
              </w:rPr>
              <w:t> </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{IT}</w:t>
      </w:r>
      <w:r w:rsidRPr="004E16CD">
        <w:t>it</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316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Engin Eroglu</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9</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9.</w:t>
            </w:r>
            <w:r w:rsidRPr="004E16CD">
              <w:tab/>
              <w:t xml:space="preserve">stellt fest, dass eine Straffung von Verwaltungsverfahren die Attraktivität der EU als Investitionsziel erhöhen kann; ist der Ansicht, dass eine Angleichung der Rechtsrahmen der Mitgliedstaaten ein Teil der Vereinfachungsagenda im Hinblick auf die Erleichterung grenzüberschreitender Tätigkeiten sein sollte; </w:t>
            </w:r>
            <w:r w:rsidRPr="004E16CD">
              <w:rPr>
                <w:b/>
                <w:i/>
              </w:rPr>
              <w:t>fordert die Kommission auf, verstärkt von Verordnungen statt von Richtlinien Gebrauch zu machen und so den einzelstaatlichen Ermessensspielraum einzuschränken, der zu Fragmentierung führen könnte;</w:t>
            </w:r>
          </w:p>
        </w:tc>
        <w:tc>
          <w:tcPr>
            <w:tcW w:w="4876" w:type="dxa"/>
            <w:tcBorders>
              <w:top w:val="nil"/>
              <w:left w:val="nil"/>
              <w:bottom w:val="nil"/>
              <w:right w:val="nil"/>
            </w:tcBorders>
          </w:tcPr>
          <w:p w:rsidR="004E16CD" w:rsidRPr="004E16CD" w:rsidRDefault="004E16CD" w:rsidP="00241723">
            <w:pPr>
              <w:pStyle w:val="Normal6a"/>
            </w:pPr>
            <w:r w:rsidRPr="004E16CD">
              <w:t>9.</w:t>
            </w:r>
            <w:r w:rsidRPr="004E16CD">
              <w:tab/>
              <w:t>stellt fest, dass eine Straffung von Verwaltungsverfahren die Attraktivität der EU als Investitionsziel erhöhen kann; ist der Ansicht, dass eine Angleichung der Rechtsrahmen der Mitgliedstaaten ein Teil der Vereinfachungsagenda im Hinblick auf die Erleichterung grenzüberschreitender Tätigkeiten sein sollte; </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{DE}</w:t>
      </w:r>
      <w:r w:rsidRPr="004E16CD">
        <w:t>de</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317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Christophe Gomart</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9</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9.</w:t>
            </w:r>
            <w:r w:rsidRPr="004E16CD">
              <w:tab/>
              <w:t>stellt fest, dass eine Straffung von Verwaltungsverfahren die Attraktivität der EU als Investitionsziel erhöhen kann; ist der Ansicht, dass eine Angleichung der Rechtsrahmen der Mitgliedstaaten ein Teil der Vereinfachungsagenda im Hinblick auf die Erleichterung grenzüberschreitender Tätigkeiten sein sollte; fordert die Kommission auf, verstärkt von Verordnungen statt von Richtlinien Gebrauch zu machen und so den einzelstaatlichen Ermessensspielraum einzuschränken, der zu Fragmentierung führen könnte;</w:t>
            </w:r>
          </w:p>
        </w:tc>
        <w:tc>
          <w:tcPr>
            <w:tcW w:w="4876" w:type="dxa"/>
            <w:tcBorders>
              <w:top w:val="nil"/>
              <w:left w:val="nil"/>
              <w:bottom w:val="nil"/>
              <w:right w:val="nil"/>
            </w:tcBorders>
          </w:tcPr>
          <w:p w:rsidR="004E16CD" w:rsidRPr="004E16CD" w:rsidRDefault="004E16CD" w:rsidP="00241723">
            <w:pPr>
              <w:pStyle w:val="Normal6a"/>
            </w:pPr>
            <w:r w:rsidRPr="004E16CD">
              <w:t>9.</w:t>
            </w:r>
            <w:r w:rsidRPr="004E16CD">
              <w:tab/>
              <w:t xml:space="preserve">stellt fest, dass eine Straffung von Verwaltungsverfahren </w:t>
            </w:r>
            <w:r w:rsidRPr="004E16CD">
              <w:rPr>
                <w:b/>
                <w:i/>
              </w:rPr>
              <w:t xml:space="preserve">und allgemein des Regelungsrahmens insbesondere für Investoren und Finanzunternehmen </w:t>
            </w:r>
            <w:r w:rsidRPr="004E16CD">
              <w:t xml:space="preserve">die Attraktivität der EU als Investitionsziel </w:t>
            </w:r>
            <w:r w:rsidRPr="004E16CD">
              <w:rPr>
                <w:b/>
                <w:i/>
              </w:rPr>
              <w:t xml:space="preserve">für Investoren aus der EU wie auch aus Drittländern </w:t>
            </w:r>
            <w:r w:rsidRPr="004E16CD">
              <w:t xml:space="preserve">erhöhen kann; ist der Ansicht, dass eine Angleichung der Rechtsrahmen der Mitgliedstaaten </w:t>
            </w:r>
            <w:r w:rsidRPr="004E16CD">
              <w:rPr>
                <w:b/>
                <w:i/>
              </w:rPr>
              <w:t xml:space="preserve">und eine stärker harmonisierte Überwachung der Tätigkeiten auf den nationalen Märkten </w:t>
            </w:r>
            <w:r w:rsidRPr="004E16CD">
              <w:t xml:space="preserve">ein Teil der Vereinfachungsagenda im Hinblick auf die Erleichterung grenzüberschreitender Tätigkeiten sein sollte; fordert die Kommission auf, verstärkt von Verordnungen statt von Richtlinien Gebrauch zu machen und so den einzelstaatlichen Ermessensspielraum einzuschränken, der zu Fragmentierung führen könnte; </w:t>
            </w:r>
            <w:r w:rsidRPr="004E16CD">
              <w:rPr>
                <w:b/>
                <w:i/>
              </w:rPr>
              <w:t>fordert die Kommission auf, mit Ausnahme ihres Vereinfachungsprogramms der regulatorischen Stabilität den Vorzug zu geben.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{FR}</w:t>
      </w:r>
      <w:r w:rsidRPr="004E16CD">
        <w:t>fr</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318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9</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9.</w:t>
            </w:r>
            <w:r w:rsidRPr="004E16CD">
              <w:tab/>
              <w:t xml:space="preserve">stellt fest, dass eine Straffung von Verwaltungsverfahren die Attraktivität der EU als Investitionsziel </w:t>
            </w:r>
            <w:r w:rsidRPr="004E16CD">
              <w:rPr>
                <w:b/>
                <w:i/>
              </w:rPr>
              <w:t>erhöhen kann</w:t>
            </w:r>
            <w:r w:rsidRPr="004E16CD">
              <w:t xml:space="preserve">; ist der Ansicht, dass </w:t>
            </w:r>
            <w:r w:rsidRPr="004E16CD">
              <w:rPr>
                <w:b/>
                <w:i/>
              </w:rPr>
              <w:t>eine</w:t>
            </w:r>
            <w:r w:rsidRPr="004E16CD">
              <w:t xml:space="preserve"> Angleichung der Rechtsrahmen der Mitgliedstaaten </w:t>
            </w:r>
            <w:r w:rsidRPr="004E16CD">
              <w:rPr>
                <w:b/>
                <w:i/>
              </w:rPr>
              <w:t xml:space="preserve">ein </w:t>
            </w:r>
            <w:r w:rsidRPr="004E16CD">
              <w:t xml:space="preserve">Teil der Vereinfachungsagenda </w:t>
            </w:r>
            <w:r w:rsidRPr="004E16CD">
              <w:rPr>
                <w:b/>
                <w:i/>
              </w:rPr>
              <w:t>im Hinblick auf</w:t>
            </w:r>
            <w:r w:rsidRPr="004E16CD">
              <w:t xml:space="preserve"> die </w:t>
            </w:r>
            <w:r w:rsidRPr="004E16CD">
              <w:rPr>
                <w:b/>
                <w:i/>
              </w:rPr>
              <w:t>Erleichterung grenzüberschreitender Tätigkeiten sein sollte</w:t>
            </w:r>
            <w:r w:rsidRPr="004E16CD">
              <w:t>; fordert die Kommission auf, verstärkt von Verordnungen statt</w:t>
            </w:r>
            <w:r w:rsidRPr="004E16CD">
              <w:rPr>
                <w:b/>
                <w:i/>
              </w:rPr>
              <w:t xml:space="preserve"> von</w:t>
            </w:r>
            <w:r w:rsidRPr="004E16CD">
              <w:t xml:space="preserve"> Richtlinien Gebrauch zu machen</w:t>
            </w:r>
            <w:r w:rsidRPr="004E16CD">
              <w:rPr>
                <w:b/>
                <w:i/>
              </w:rPr>
              <w:t xml:space="preserve"> und so den einzelstaatlichen Ermessensspielraum einzuschränken, der</w:t>
            </w:r>
            <w:r w:rsidRPr="004E16CD">
              <w:t xml:space="preserve"> zu </w:t>
            </w:r>
            <w:r w:rsidRPr="004E16CD">
              <w:rPr>
                <w:b/>
                <w:i/>
              </w:rPr>
              <w:t>Fragmentierung führen könnte</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9.</w:t>
            </w:r>
            <w:r w:rsidRPr="004E16CD">
              <w:tab/>
              <w:t xml:space="preserve">stellt fest, dass eine Straffung von Verwaltungsverfahren die Attraktivität der EU als Investitionsziel </w:t>
            </w:r>
            <w:r w:rsidRPr="004E16CD">
              <w:rPr>
                <w:b/>
                <w:i/>
              </w:rPr>
              <w:t>erhöht; fordert die Kommission auf, Verwaltungsvereinfachungen in großem Maßstab vorzunehmen, um private Investitionen anzuziehen und die Wettbewerbsfähigkeit Europas zu fördern und so die Gründung und Expansion von Unternehmen zu erleichtern</w:t>
            </w:r>
            <w:r w:rsidRPr="004E16CD">
              <w:t xml:space="preserve">; ist der Ansicht, dass </w:t>
            </w:r>
            <w:r w:rsidRPr="004E16CD">
              <w:rPr>
                <w:b/>
                <w:i/>
              </w:rPr>
              <w:t>die</w:t>
            </w:r>
            <w:r w:rsidRPr="004E16CD">
              <w:t xml:space="preserve"> Angleichung der Rechtsrahmen der Mitgliedstaaten Teil der Vereinfachungsagenda </w:t>
            </w:r>
            <w:r w:rsidRPr="004E16CD">
              <w:rPr>
                <w:b/>
                <w:i/>
              </w:rPr>
              <w:t>sein sollte, um grenzüberschreitende Tätigkeiten zu erleichtern, insbesondere in strategischen Sektoren wie dem Finanzdienstleistungssektor, in denen</w:t>
            </w:r>
            <w:r w:rsidRPr="004E16CD">
              <w:t xml:space="preserve"> die </w:t>
            </w:r>
            <w:r w:rsidRPr="004E16CD">
              <w:rPr>
                <w:b/>
                <w:i/>
              </w:rPr>
              <w:t>mangelnde Harmonisierung den Zugang zu Finanzmitteln und Investitionen behindert</w:t>
            </w:r>
            <w:r w:rsidRPr="004E16CD">
              <w:t xml:space="preserve">; fordert die Kommission auf, </w:t>
            </w:r>
            <w:r w:rsidRPr="004E16CD">
              <w:rPr>
                <w:b/>
                <w:i/>
              </w:rPr>
              <w:t xml:space="preserve">im Finanzdienstleistungssektor </w:t>
            </w:r>
            <w:r w:rsidRPr="004E16CD">
              <w:t>verstärkt von Verordnungen statt Richtlinien Gebrauch zu machen</w:t>
            </w:r>
            <w:r w:rsidRPr="004E16CD">
              <w:rPr>
                <w:b/>
                <w:i/>
              </w:rPr>
              <w:t>, um die Wahrscheinlichkeit einer Überregulierung</w:t>
            </w:r>
            <w:r w:rsidRPr="004E16CD">
              <w:t xml:space="preserve"> zu </w:t>
            </w:r>
            <w:r w:rsidRPr="004E16CD">
              <w:rPr>
                <w:b/>
                <w:i/>
              </w:rPr>
              <w:t>verringern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319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Stéphanie Yon-Courtin, Gilles Boyer, Pascal Canfin, Billy Kelleher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9</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9.</w:t>
            </w:r>
            <w:r w:rsidRPr="004E16CD">
              <w:tab/>
            </w:r>
            <w:r w:rsidRPr="004E16CD">
              <w:rPr>
                <w:b/>
                <w:i/>
              </w:rPr>
              <w:t>stellt fest</w:t>
            </w:r>
            <w:r w:rsidRPr="004E16CD">
              <w:t>, dass eine Straffung von Verwaltungsverfahren die Attraktivität der EU als Investitionsziel erhöhen kann; ist der Ansicht, dass eine Angleichung der Rechtsrahmen der Mitgliedstaaten ein Teil der Vereinfachungsagenda im Hinblick auf die Erleichterung grenzüberschreitender Tätigkeiten sein sollte; fordert die Kommission auf, verstärkt von Verordnungen statt von Richtlinien Gebrauch zu machen und so den einzelstaatlichen Ermessensspielraum einzuschränken, der zu Fragmentierung führen könnte;</w:t>
            </w:r>
          </w:p>
        </w:tc>
        <w:tc>
          <w:tcPr>
            <w:tcW w:w="4876" w:type="dxa"/>
            <w:tcBorders>
              <w:top w:val="nil"/>
              <w:left w:val="nil"/>
              <w:bottom w:val="nil"/>
              <w:right w:val="nil"/>
            </w:tcBorders>
          </w:tcPr>
          <w:p w:rsidR="004E16CD" w:rsidRPr="004E16CD" w:rsidRDefault="004E16CD" w:rsidP="00241723">
            <w:pPr>
              <w:pStyle w:val="Normal6a"/>
            </w:pPr>
            <w:r w:rsidRPr="004E16CD">
              <w:t>9.</w:t>
            </w:r>
            <w:r w:rsidRPr="004E16CD">
              <w:tab/>
            </w:r>
            <w:r w:rsidRPr="004E16CD">
              <w:rPr>
                <w:b/>
                <w:i/>
              </w:rPr>
              <w:t>ist der Ansicht</w:t>
            </w:r>
            <w:r w:rsidRPr="004E16CD">
              <w:t xml:space="preserve">, dass eine Straffung von Verwaltungsverfahren </w:t>
            </w:r>
            <w:r w:rsidRPr="004E16CD">
              <w:rPr>
                <w:b/>
                <w:i/>
              </w:rPr>
              <w:t xml:space="preserve">für Unternehmen und Bürgerinnen und Bürger </w:t>
            </w:r>
            <w:r w:rsidRPr="004E16CD">
              <w:t>die Attraktivität der EU als Investitionsziel erhöhen kann</w:t>
            </w:r>
            <w:r w:rsidRPr="004E16CD">
              <w:rPr>
                <w:b/>
                <w:i/>
              </w:rPr>
              <w:t>;</w:t>
            </w:r>
            <w:r w:rsidRPr="004E16CD">
              <w:t xml:space="preserve"> </w:t>
            </w:r>
            <w:r w:rsidRPr="004E16CD">
              <w:rPr>
                <w:b/>
                <w:i/>
              </w:rPr>
              <w:t>ist der Ansicht, dass die Vereinfachung des Rechtsrahmens so zu verstehen ist, dass die Ambitionen Europas beibehalten werden und gleichzeitig die Umsetzung für die Unternehmen und das Verständnis der Vorschriften für ihre Bürgerinnen und Bürger erleichtert wird, was letztlich die Wettbewerbsfähigkeit und strategische Autonomie der EU stärken wird;</w:t>
            </w:r>
            <w:r w:rsidRPr="004E16CD">
              <w:t xml:space="preserve"> ist der Ansicht, dass eine Angleichung der Rechtsrahmen der Mitgliedstaaten ein Teil der Vereinfachungsagenda im Hinblick auf die Erleichterung grenzüberschreitender Tätigkeiten sein sollte; fordert die Kommission auf, verstärkt von Verordnungen statt von Richtlinien Gebrauch zu machen und so den einzelstaatlichen Ermessensspielraum einzuschränken, der zu Fragmentierung führen könnte;</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320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Fernand Kartheiser, Geadis Geadi, Kristoffer Storm, Nora Junco García, Diego Solier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9</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9.</w:t>
            </w:r>
            <w:r w:rsidRPr="004E16CD">
              <w:tab/>
              <w:t xml:space="preserve">stellt fest, dass eine Straffung von Verwaltungsverfahren die Attraktivität der EU als Investitionsziel erhöhen kann; ist der Ansicht, dass eine </w:t>
            </w:r>
            <w:r w:rsidRPr="004E16CD">
              <w:rPr>
                <w:b/>
                <w:i/>
              </w:rPr>
              <w:t>Angleichung</w:t>
            </w:r>
            <w:r w:rsidRPr="004E16CD">
              <w:t xml:space="preserve"> der Rechtsrahmen der Mitgliedstaaten ein Teil der Vereinfachungsagenda im Hinblick auf die Erleichterung grenzüberschreitender Tätigkeiten sein sollte; </w:t>
            </w:r>
            <w:r w:rsidRPr="004E16CD">
              <w:rPr>
                <w:b/>
                <w:i/>
              </w:rPr>
              <w:t>fordert die Kommission auf, verstärkt von Verordnungen statt von Richtlinien Gebrauch zu machen und so den einzelstaatlichen Ermessensspielraum einzuschränken, der zu Fragmentierung führen könnte;</w:t>
            </w:r>
          </w:p>
        </w:tc>
        <w:tc>
          <w:tcPr>
            <w:tcW w:w="4876" w:type="dxa"/>
            <w:tcBorders>
              <w:top w:val="nil"/>
              <w:left w:val="nil"/>
              <w:bottom w:val="nil"/>
              <w:right w:val="nil"/>
            </w:tcBorders>
          </w:tcPr>
          <w:p w:rsidR="004E16CD" w:rsidRPr="004E16CD" w:rsidRDefault="004E16CD" w:rsidP="00241723">
            <w:pPr>
              <w:pStyle w:val="Normal6a"/>
            </w:pPr>
            <w:r w:rsidRPr="004E16CD">
              <w:t>9.</w:t>
            </w:r>
            <w:r w:rsidRPr="004E16CD">
              <w:tab/>
              <w:t xml:space="preserve">stellt fest, dass eine Straffung von Verwaltungsverfahren die Attraktivität der EU als Investitionsziel erhöhen kann; ist der Ansicht, dass eine </w:t>
            </w:r>
            <w:r w:rsidRPr="004E16CD">
              <w:rPr>
                <w:b/>
                <w:i/>
              </w:rPr>
              <w:t>Abstimmung</w:t>
            </w:r>
            <w:r w:rsidRPr="004E16CD">
              <w:t xml:space="preserve"> der Rechtsrahmen der Mitgliedstaaten ein Teil der Vereinfachungsagenda im Hinblick auf die Erleichterung grenzüberschreitender Tätigkeiten sein sollte;</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321</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Giovanni Crosetto, Denis Nesci, Francesco Ventola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9</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9.</w:t>
            </w:r>
            <w:r w:rsidRPr="004E16CD">
              <w:tab/>
              <w:t xml:space="preserve">stellt fest, dass eine Straffung von Verwaltungsverfahren die Attraktivität der EU als Investitionsziel erhöhen kann; ist der Ansicht, dass eine Angleichung der Rechtsrahmen der Mitgliedstaaten </w:t>
            </w:r>
            <w:r w:rsidRPr="004E16CD">
              <w:rPr>
                <w:b/>
                <w:i/>
              </w:rPr>
              <w:t>ein</w:t>
            </w:r>
            <w:r w:rsidRPr="004E16CD">
              <w:t xml:space="preserve"> Teil der Vereinfachungsagenda im Hinblick auf die Erleichterung grenzüberschreitender Tätigkeiten </w:t>
            </w:r>
            <w:r w:rsidRPr="004E16CD">
              <w:rPr>
                <w:b/>
                <w:i/>
              </w:rPr>
              <w:t>sein</w:t>
            </w:r>
            <w:r w:rsidRPr="004E16CD">
              <w:t xml:space="preserve"> sollte; fordert die Kommission auf, </w:t>
            </w:r>
            <w:r w:rsidRPr="004E16CD">
              <w:rPr>
                <w:b/>
                <w:i/>
              </w:rPr>
              <w:t>verstärkt</w:t>
            </w:r>
            <w:r w:rsidRPr="004E16CD">
              <w:t xml:space="preserve"> von Verordnungen </w:t>
            </w:r>
            <w:r w:rsidRPr="004E16CD">
              <w:rPr>
                <w:b/>
                <w:i/>
              </w:rPr>
              <w:t>statt</w:t>
            </w:r>
            <w:r w:rsidRPr="004E16CD">
              <w:t xml:space="preserve"> von Richtlinien </w:t>
            </w:r>
            <w:r w:rsidRPr="004E16CD">
              <w:rPr>
                <w:b/>
                <w:i/>
              </w:rPr>
              <w:t>Gebrauch</w:t>
            </w:r>
            <w:r w:rsidRPr="004E16CD">
              <w:t xml:space="preserve"> zu </w:t>
            </w:r>
            <w:r w:rsidRPr="004E16CD">
              <w:rPr>
                <w:b/>
                <w:i/>
              </w:rPr>
              <w:t>machen</w:t>
            </w:r>
            <w:r w:rsidRPr="004E16CD">
              <w:t xml:space="preserve"> und </w:t>
            </w:r>
            <w:r w:rsidRPr="004E16CD">
              <w:rPr>
                <w:b/>
                <w:i/>
              </w:rPr>
              <w:t>so den einzelstaatlichen Ermessensspielraum einzuschränken,</w:t>
            </w:r>
            <w:r w:rsidRPr="004E16CD">
              <w:t xml:space="preserve"> der zu </w:t>
            </w:r>
            <w:r w:rsidRPr="004E16CD">
              <w:rPr>
                <w:b/>
                <w:i/>
              </w:rPr>
              <w:t>Fragmentierung führen könnte</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9.</w:t>
            </w:r>
            <w:r w:rsidRPr="004E16CD">
              <w:tab/>
              <w:t xml:space="preserve">stellt fest, dass eine Straffung von Verwaltungsverfahren die Attraktivität der EU als Investitionsziel erhöhen kann; ist der Ansicht, dass eine </w:t>
            </w:r>
            <w:r w:rsidRPr="004E16CD">
              <w:rPr>
                <w:b/>
                <w:i/>
              </w:rPr>
              <w:t xml:space="preserve">stärkere </w:t>
            </w:r>
            <w:r w:rsidRPr="004E16CD">
              <w:t xml:space="preserve">Angleichung der Rechtsrahmen der Mitgliedstaaten </w:t>
            </w:r>
            <w:r w:rsidRPr="004E16CD">
              <w:rPr>
                <w:b/>
                <w:i/>
              </w:rPr>
              <w:t>als</w:t>
            </w:r>
            <w:r w:rsidRPr="004E16CD">
              <w:t xml:space="preserve"> Teil der Vereinfachungsagenda im Hinblick auf die Erleichterung grenzüberschreitender Tätigkeiten </w:t>
            </w:r>
            <w:r w:rsidRPr="004E16CD">
              <w:rPr>
                <w:b/>
                <w:i/>
              </w:rPr>
              <w:t>angestrebt werden</w:t>
            </w:r>
            <w:r w:rsidRPr="004E16CD">
              <w:t xml:space="preserve"> sollte; fordert die Kommission auf, </w:t>
            </w:r>
            <w:r w:rsidRPr="004E16CD">
              <w:rPr>
                <w:b/>
                <w:i/>
              </w:rPr>
              <w:t>gegebenenfalls die Anwendung</w:t>
            </w:r>
            <w:r w:rsidRPr="004E16CD">
              <w:t xml:space="preserve"> von Verordnungen </w:t>
            </w:r>
            <w:r w:rsidRPr="004E16CD">
              <w:rPr>
                <w:b/>
                <w:i/>
              </w:rPr>
              <w:t>anstelle</w:t>
            </w:r>
            <w:r w:rsidRPr="004E16CD">
              <w:t xml:space="preserve"> von Richtlinien </w:t>
            </w:r>
            <w:r w:rsidRPr="004E16CD">
              <w:rPr>
                <w:b/>
                <w:i/>
              </w:rPr>
              <w:t>zu prüfen, um die regulatorische Fragmentierung</w:t>
            </w:r>
            <w:r w:rsidRPr="004E16CD">
              <w:t xml:space="preserve"> zu </w:t>
            </w:r>
            <w:r w:rsidRPr="004E16CD">
              <w:rPr>
                <w:b/>
                <w:i/>
              </w:rPr>
              <w:t>verringern</w:t>
            </w:r>
            <w:r w:rsidRPr="004E16CD">
              <w:t xml:space="preserve"> und </w:t>
            </w:r>
            <w:r w:rsidRPr="004E16CD">
              <w:rPr>
                <w:b/>
                <w:i/>
              </w:rPr>
              <w:t>gleichzeitig die Grundsätze der Subsidiarität und</w:t>
            </w:r>
            <w:r w:rsidRPr="004E16CD">
              <w:t xml:space="preserve"> der</w:t>
            </w:r>
            <w:r w:rsidRPr="004E16CD">
              <w:rPr>
                <w:b/>
                <w:i/>
              </w:rPr>
              <w:t xml:space="preserve"> Verhältnismäßigkeit</w:t>
            </w:r>
            <w:r w:rsidRPr="004E16CD">
              <w:t xml:space="preserve"> zu </w:t>
            </w:r>
            <w:r w:rsidRPr="004E16CD">
              <w:rPr>
                <w:b/>
                <w:i/>
              </w:rPr>
              <w:t>achten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322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Arba Kokalari</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9</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9.</w:t>
            </w:r>
            <w:r w:rsidRPr="004E16CD">
              <w:tab/>
              <w:t xml:space="preserve">stellt fest, dass eine Straffung von Verwaltungsverfahren die Attraktivität der EU als Investitionsziel erhöhen kann; ist der Ansicht, dass eine Angleichung der Rechtsrahmen der Mitgliedstaaten ein Teil der Vereinfachungsagenda im Hinblick auf die Erleichterung grenzüberschreitender Tätigkeiten sein sollte; fordert die Kommission auf, </w:t>
            </w:r>
            <w:r w:rsidRPr="004E16CD">
              <w:rPr>
                <w:b/>
                <w:i/>
              </w:rPr>
              <w:t>verstärkt von Verordnungen statt von Richtlinien Gebrauch zu machen und so</w:t>
            </w:r>
            <w:r w:rsidRPr="004E16CD">
              <w:t xml:space="preserve"> den </w:t>
            </w:r>
            <w:r w:rsidRPr="004E16CD">
              <w:rPr>
                <w:b/>
                <w:i/>
              </w:rPr>
              <w:t>einzelstaatlichen Ermessensspielraum einzuschränken</w:t>
            </w:r>
            <w:r w:rsidRPr="004E16CD">
              <w:t xml:space="preserve">, </w:t>
            </w:r>
            <w:r w:rsidRPr="004E16CD">
              <w:rPr>
                <w:b/>
                <w:i/>
              </w:rPr>
              <w:t>der</w:t>
            </w:r>
            <w:r w:rsidRPr="004E16CD">
              <w:t xml:space="preserve"> zu </w:t>
            </w:r>
            <w:r w:rsidRPr="004E16CD">
              <w:rPr>
                <w:b/>
                <w:i/>
              </w:rPr>
              <w:t>Fragmentierung führen könnte</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9.</w:t>
            </w:r>
            <w:r w:rsidRPr="004E16CD">
              <w:tab/>
              <w:t xml:space="preserve">stellt fest, dass eine </w:t>
            </w:r>
            <w:r w:rsidRPr="004E16CD">
              <w:rPr>
                <w:b/>
                <w:i/>
              </w:rPr>
              <w:t xml:space="preserve">gezielte </w:t>
            </w:r>
            <w:r w:rsidRPr="004E16CD">
              <w:t xml:space="preserve">Straffung von Verwaltungsverfahren die Attraktivität der EU als Investitionsziel erhöhen kann; ist der Ansicht, dass eine Angleichung der Rechtsrahmen der Mitgliedstaaten ein Teil der Vereinfachungsagenda im Hinblick auf die Erleichterung grenzüberschreitender Tätigkeiten sein sollte; fordert die Kommission auf, </w:t>
            </w:r>
            <w:r w:rsidRPr="004E16CD">
              <w:rPr>
                <w:b/>
                <w:i/>
              </w:rPr>
              <w:t>in Erwägung zu ziehen, in hinreichend begründeten Fällen Verordnungen gegenüber Richtlinien</w:t>
            </w:r>
            <w:r w:rsidRPr="004E16CD">
              <w:t xml:space="preserve"> den </w:t>
            </w:r>
            <w:r w:rsidRPr="004E16CD">
              <w:rPr>
                <w:b/>
                <w:i/>
              </w:rPr>
              <w:t>Vorzug zu geben</w:t>
            </w:r>
            <w:r w:rsidRPr="004E16CD">
              <w:t xml:space="preserve">, </w:t>
            </w:r>
            <w:r w:rsidRPr="004E16CD">
              <w:rPr>
                <w:b/>
                <w:i/>
              </w:rPr>
              <w:t>um unangemessene nationale Unterschiede</w:t>
            </w:r>
            <w:r w:rsidRPr="004E16CD">
              <w:t xml:space="preserve"> zu </w:t>
            </w:r>
            <w:r w:rsidRPr="004E16CD">
              <w:rPr>
                <w:b/>
                <w:i/>
              </w:rPr>
              <w:t>verringern und für eine stärkere Harmonisierung im gesamten Binnenmarkt zu sorgen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323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Lídia Pereira, 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9</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9.</w:t>
            </w:r>
            <w:r w:rsidRPr="004E16CD">
              <w:tab/>
              <w:t xml:space="preserve">stellt fest, dass eine Straffung von Verwaltungsverfahren die Attraktivität der EU als Investitionsziel erhöhen kann; ist der Ansicht, dass eine Angleichung der Rechtsrahmen der Mitgliedstaaten ein Teil der Vereinfachungsagenda im Hinblick auf die Erleichterung grenzüberschreitender Tätigkeiten sein sollte; fordert die Kommission auf, </w:t>
            </w:r>
            <w:r w:rsidRPr="004E16CD">
              <w:rPr>
                <w:b/>
                <w:i/>
              </w:rPr>
              <w:t>verstärkt von Verordnungen statt von Richtlinien Gebrauch zu machen und so den einzelstaatlichen Ermessensspielraum einzuschränken</w:t>
            </w:r>
            <w:r w:rsidRPr="004E16CD">
              <w:t xml:space="preserve">, </w:t>
            </w:r>
            <w:r w:rsidRPr="004E16CD">
              <w:rPr>
                <w:b/>
                <w:i/>
              </w:rPr>
              <w:t>der zu Fragmentierung führen könnte</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9.</w:t>
            </w:r>
            <w:r w:rsidRPr="004E16CD">
              <w:tab/>
              <w:t xml:space="preserve">stellt fest, dass eine Straffung von Verwaltungsverfahren die Attraktivität der EU als Investitionsziel erhöhen kann; ist der Ansicht, dass eine Angleichung der Rechtsrahmen der Mitgliedstaaten ein Teil der Vereinfachungsagenda im Hinblick auf die Erleichterung grenzüberschreitender Tätigkeiten sein sollte; fordert die Kommission auf, </w:t>
            </w:r>
            <w:r w:rsidRPr="004E16CD">
              <w:rPr>
                <w:b/>
                <w:i/>
              </w:rPr>
              <w:t>den Grundsatz „Weniger Rechtsetzung, bessere Rechtsetzung“ anzuwenden, um eine Harmonisierung sicherzustellen, wenn Folgenabschätzungen einen eindeutigen Mehrwert ergeben</w:t>
            </w:r>
            <w:r w:rsidRPr="004E16CD">
              <w:t xml:space="preserve">, </w:t>
            </w:r>
            <w:r w:rsidRPr="004E16CD">
              <w:rPr>
                <w:b/>
                <w:i/>
              </w:rPr>
              <w:t>und gegen die Fragmentierung vorzugehen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324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Auke Zijlstra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9</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9.</w:t>
            </w:r>
            <w:r w:rsidRPr="004E16CD">
              <w:tab/>
              <w:t xml:space="preserve">stellt fest, dass eine Straffung von Verwaltungsverfahren die Attraktivität der EU als Investitionsziel erhöhen </w:t>
            </w:r>
            <w:r w:rsidRPr="004E16CD">
              <w:rPr>
                <w:b/>
                <w:i/>
              </w:rPr>
              <w:t>kann; ist der Ansicht, dass eine Angleichung der Rechtsrahmen der Mitgliedstaaten ein Teil der Vereinfachungsagenda im Hinblick auf die Erleichterung grenzüberschreitender</w:t>
            </w:r>
            <w:r w:rsidRPr="004E16CD">
              <w:t xml:space="preserve"> Tätigkeiten </w:t>
            </w:r>
            <w:r w:rsidRPr="004E16CD">
              <w:rPr>
                <w:b/>
                <w:i/>
              </w:rPr>
              <w:t>sein sollte</w:t>
            </w:r>
            <w:r w:rsidRPr="004E16CD">
              <w:t xml:space="preserve">; fordert die Kommission auf, verstärkt von </w:t>
            </w:r>
            <w:r w:rsidRPr="004E16CD">
              <w:rPr>
                <w:b/>
                <w:i/>
              </w:rPr>
              <w:t>Verordnungen</w:t>
            </w:r>
            <w:r w:rsidRPr="004E16CD">
              <w:t xml:space="preserve"> statt von </w:t>
            </w:r>
            <w:r w:rsidRPr="004E16CD">
              <w:rPr>
                <w:b/>
                <w:i/>
              </w:rPr>
              <w:t>Richtlinien</w:t>
            </w:r>
            <w:r w:rsidRPr="004E16CD">
              <w:t xml:space="preserve"> Gebrauch zu machen und so </w:t>
            </w:r>
            <w:r w:rsidRPr="004E16CD">
              <w:rPr>
                <w:b/>
                <w:i/>
              </w:rPr>
              <w:t>den einzelstaatlichen Ermessensspielraum einzuschränken,</w:t>
            </w:r>
            <w:r w:rsidRPr="004E16CD">
              <w:t xml:space="preserve"> der </w:t>
            </w:r>
            <w:r w:rsidRPr="004E16CD">
              <w:rPr>
                <w:b/>
                <w:i/>
              </w:rPr>
              <w:t>zu Fragmentierung führen</w:t>
            </w:r>
            <w:r w:rsidRPr="004E16CD">
              <w:t xml:space="preserve"> könnte;</w:t>
            </w:r>
          </w:p>
        </w:tc>
        <w:tc>
          <w:tcPr>
            <w:tcW w:w="4876" w:type="dxa"/>
            <w:tcBorders>
              <w:top w:val="nil"/>
              <w:left w:val="nil"/>
              <w:bottom w:val="nil"/>
              <w:right w:val="nil"/>
            </w:tcBorders>
          </w:tcPr>
          <w:p w:rsidR="004E16CD" w:rsidRPr="004E16CD" w:rsidRDefault="004E16CD" w:rsidP="00241723">
            <w:pPr>
              <w:pStyle w:val="Normal6a"/>
            </w:pPr>
            <w:r w:rsidRPr="004E16CD">
              <w:t>9.</w:t>
            </w:r>
            <w:r w:rsidRPr="004E16CD">
              <w:tab/>
              <w:t xml:space="preserve">stellt fest, dass eine Straffung </w:t>
            </w:r>
            <w:r w:rsidRPr="004E16CD">
              <w:rPr>
                <w:b/>
                <w:i/>
              </w:rPr>
              <w:t xml:space="preserve">und Deregulierung </w:t>
            </w:r>
            <w:r w:rsidRPr="004E16CD">
              <w:t xml:space="preserve">von Verwaltungsverfahren die Attraktivität der EU als Investitionsziel erhöhen </w:t>
            </w:r>
            <w:r w:rsidRPr="004E16CD">
              <w:rPr>
                <w:b/>
                <w:i/>
              </w:rPr>
              <w:t>und grenzüberschreitende</w:t>
            </w:r>
            <w:r w:rsidRPr="004E16CD">
              <w:t xml:space="preserve"> Tätigkeiten </w:t>
            </w:r>
            <w:r w:rsidRPr="004E16CD">
              <w:rPr>
                <w:b/>
                <w:i/>
              </w:rPr>
              <w:t>erleichtern kann</w:t>
            </w:r>
            <w:r w:rsidRPr="004E16CD">
              <w:t xml:space="preserve">; fordert die Kommission auf, verstärkt von </w:t>
            </w:r>
            <w:r w:rsidRPr="004E16CD">
              <w:rPr>
                <w:b/>
                <w:i/>
              </w:rPr>
              <w:t>Deregulierung</w:t>
            </w:r>
            <w:r w:rsidRPr="004E16CD">
              <w:t xml:space="preserve"> statt von </w:t>
            </w:r>
            <w:r w:rsidRPr="004E16CD">
              <w:rPr>
                <w:b/>
                <w:i/>
              </w:rPr>
              <w:t>Regulierung</w:t>
            </w:r>
            <w:r w:rsidRPr="004E16CD">
              <w:t xml:space="preserve"> Gebrauch zu machen und so </w:t>
            </w:r>
            <w:r w:rsidRPr="004E16CD">
              <w:rPr>
                <w:b/>
                <w:i/>
              </w:rPr>
              <w:t>Überregulierung zu begrenzen, die von Investitionen in</w:t>
            </w:r>
            <w:r w:rsidRPr="004E16CD">
              <w:t xml:space="preserve"> der </w:t>
            </w:r>
            <w:r w:rsidRPr="004E16CD">
              <w:rPr>
                <w:b/>
                <w:i/>
              </w:rPr>
              <w:t>EU abhalten</w:t>
            </w:r>
            <w:r w:rsidRPr="004E16CD">
              <w:t xml:space="preserve"> könnte;</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325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Enikő Győri, Pierre Pimpie, Jorge Martín Frías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9</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9.</w:t>
            </w:r>
            <w:r w:rsidRPr="004E16CD">
              <w:tab/>
            </w:r>
            <w:r w:rsidRPr="004E16CD">
              <w:rPr>
                <w:b/>
                <w:i/>
              </w:rPr>
              <w:t>stellt fest</w:t>
            </w:r>
            <w:r w:rsidRPr="004E16CD">
              <w:t xml:space="preserve">, dass eine </w:t>
            </w:r>
            <w:r w:rsidRPr="004E16CD">
              <w:rPr>
                <w:b/>
                <w:i/>
              </w:rPr>
              <w:t>Straffung von Verwaltungsverfahren</w:t>
            </w:r>
            <w:r w:rsidRPr="004E16CD">
              <w:t xml:space="preserve"> die Attraktivität der EU als Investitionsziel </w:t>
            </w:r>
            <w:r w:rsidRPr="004E16CD">
              <w:rPr>
                <w:b/>
                <w:i/>
              </w:rPr>
              <w:t>erhöhen kann</w:t>
            </w:r>
            <w:r w:rsidRPr="004E16CD">
              <w:t xml:space="preserve">; ist der Ansicht, dass </w:t>
            </w:r>
            <w:r w:rsidRPr="004E16CD">
              <w:rPr>
                <w:b/>
                <w:i/>
              </w:rPr>
              <w:t>eine Angleichung der</w:t>
            </w:r>
            <w:r w:rsidRPr="004E16CD">
              <w:t xml:space="preserve"> Rechtsrahmen der Mitgliedstaaten </w:t>
            </w:r>
            <w:r w:rsidRPr="004E16CD">
              <w:rPr>
                <w:b/>
                <w:i/>
              </w:rPr>
              <w:t>ein</w:t>
            </w:r>
            <w:r w:rsidRPr="004E16CD">
              <w:t xml:space="preserve"> Teil der Vereinfachungsagenda im Hinblick auf die Erleichterung grenzüberschreitender Tätigkeiten sein</w:t>
            </w:r>
            <w:r w:rsidRPr="004E16CD">
              <w:rPr>
                <w:b/>
                <w:i/>
              </w:rPr>
              <w:t xml:space="preserve"> sollte;</w:t>
            </w:r>
            <w:r w:rsidRPr="004E16CD">
              <w:t xml:space="preserve"> </w:t>
            </w:r>
            <w:r w:rsidRPr="004E16CD">
              <w:rPr>
                <w:b/>
                <w:i/>
              </w:rPr>
              <w:t>fordert die Kommission auf, verstärkt von Verordnungen statt von Richtlinien Gebrauch zu machen und so den einzelstaatlichen Ermessensspielraum einzuschränken, der zu Fragmentierung führen könnte;</w:t>
            </w:r>
          </w:p>
        </w:tc>
        <w:tc>
          <w:tcPr>
            <w:tcW w:w="4876" w:type="dxa"/>
            <w:tcBorders>
              <w:top w:val="nil"/>
              <w:left w:val="nil"/>
              <w:bottom w:val="nil"/>
              <w:right w:val="nil"/>
            </w:tcBorders>
          </w:tcPr>
          <w:p w:rsidR="004E16CD" w:rsidRPr="004E16CD" w:rsidRDefault="004E16CD" w:rsidP="00241723">
            <w:pPr>
              <w:pStyle w:val="Normal6a"/>
            </w:pPr>
            <w:r w:rsidRPr="004E16CD">
              <w:t>9.</w:t>
            </w:r>
            <w:r w:rsidRPr="004E16CD">
              <w:tab/>
            </w:r>
            <w:r w:rsidRPr="004E16CD">
              <w:rPr>
                <w:b/>
                <w:i/>
              </w:rPr>
              <w:t>betont</w:t>
            </w:r>
            <w:r w:rsidRPr="004E16CD">
              <w:t xml:space="preserve">, dass eine </w:t>
            </w:r>
            <w:r w:rsidRPr="004E16CD">
              <w:rPr>
                <w:b/>
                <w:i/>
              </w:rPr>
              <w:t>erhebliche Verringerung des Verwaltungsaufwands entscheidend ist, um</w:t>
            </w:r>
            <w:r w:rsidRPr="004E16CD">
              <w:t xml:space="preserve"> die Attraktivität der EU als Investitionsziel </w:t>
            </w:r>
            <w:r w:rsidRPr="004E16CD">
              <w:rPr>
                <w:b/>
                <w:i/>
              </w:rPr>
              <w:t>zu erhöhen</w:t>
            </w:r>
            <w:r w:rsidRPr="004E16CD">
              <w:t xml:space="preserve">; ist der Ansicht, dass </w:t>
            </w:r>
            <w:r w:rsidRPr="004E16CD">
              <w:rPr>
                <w:b/>
                <w:i/>
              </w:rPr>
              <w:t>ein Aufbau von Synergieeffekten zwischen den</w:t>
            </w:r>
            <w:r w:rsidRPr="004E16CD">
              <w:t xml:space="preserve"> Rechtsrahmen der Mitgliedstaaten </w:t>
            </w:r>
            <w:r w:rsidRPr="004E16CD">
              <w:rPr>
                <w:b/>
                <w:i/>
              </w:rPr>
              <w:t>– unter Achtung ihrer Befugnisse –ein</w:t>
            </w:r>
            <w:r w:rsidRPr="004E16CD">
              <w:t xml:space="preserve"> Teil der Vereinfachungsagenda im Hinblick auf die Erleichterung grenzüberschreitender Tätigkeiten sein könnte;</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326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Pierre Pimpie</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9</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9.</w:t>
            </w:r>
            <w:r w:rsidRPr="004E16CD">
              <w:tab/>
              <w:t xml:space="preserve">stellt fest, dass eine Straffung von Verwaltungsverfahren die Attraktivität der EU als Investitionsziel erhöhen kann; ist der Ansicht, dass </w:t>
            </w:r>
            <w:r w:rsidRPr="004E16CD">
              <w:rPr>
                <w:b/>
                <w:i/>
              </w:rPr>
              <w:t>eine Angleichung der Rechtsrahmen der</w:t>
            </w:r>
            <w:r w:rsidRPr="004E16CD">
              <w:t xml:space="preserve"> Mitgliedstaaten </w:t>
            </w:r>
            <w:r w:rsidRPr="004E16CD">
              <w:rPr>
                <w:b/>
                <w:i/>
              </w:rPr>
              <w:t>ein Teil der Vereinfachungsagenda im Hinblick auf die Erleichterung grenzüberschreitender</w:t>
            </w:r>
            <w:r w:rsidRPr="004E16CD">
              <w:t xml:space="preserve"> Tätigkeiten </w:t>
            </w:r>
            <w:r w:rsidRPr="004E16CD">
              <w:rPr>
                <w:b/>
                <w:i/>
              </w:rPr>
              <w:t>sein sollte</w:t>
            </w:r>
            <w:r w:rsidRPr="004E16CD">
              <w:t xml:space="preserve">; fordert die Kommission auf, verstärkt von </w:t>
            </w:r>
            <w:r w:rsidRPr="004E16CD">
              <w:rPr>
                <w:b/>
                <w:i/>
              </w:rPr>
              <w:t>Verordnungen</w:t>
            </w:r>
            <w:r w:rsidRPr="004E16CD">
              <w:t xml:space="preserve"> statt von </w:t>
            </w:r>
            <w:r w:rsidRPr="004E16CD">
              <w:rPr>
                <w:b/>
                <w:i/>
              </w:rPr>
              <w:t>Richtlinien</w:t>
            </w:r>
            <w:r w:rsidRPr="004E16CD">
              <w:t xml:space="preserve"> Gebrauch zu machen und so </w:t>
            </w:r>
            <w:r w:rsidRPr="004E16CD">
              <w:rPr>
                <w:b/>
                <w:i/>
              </w:rPr>
              <w:t>den einzelstaatlichen Ermessensspielraum einzuschränken</w:t>
            </w:r>
            <w:r w:rsidRPr="004E16CD">
              <w:t xml:space="preserve">, </w:t>
            </w:r>
            <w:r w:rsidRPr="004E16CD">
              <w:rPr>
                <w:b/>
                <w:i/>
              </w:rPr>
              <w:t>der zu</w:t>
            </w:r>
            <w:r w:rsidRPr="004E16CD">
              <w:t xml:space="preserve"> Fragmentierung </w:t>
            </w:r>
            <w:r w:rsidRPr="004E16CD">
              <w:rPr>
                <w:b/>
                <w:i/>
              </w:rPr>
              <w:t>führen könnte</w:t>
            </w:r>
            <w:r w:rsidRPr="004E16CD">
              <w:t>;</w:t>
            </w:r>
          </w:p>
        </w:tc>
        <w:tc>
          <w:tcPr>
            <w:tcW w:w="4876" w:type="dxa"/>
            <w:tcBorders>
              <w:top w:val="nil"/>
              <w:left w:val="nil"/>
              <w:bottom w:val="nil"/>
              <w:right w:val="nil"/>
            </w:tcBorders>
          </w:tcPr>
          <w:p w:rsidR="004E16CD" w:rsidRPr="004E16CD" w:rsidRDefault="004E16CD" w:rsidP="00241723">
            <w:pPr>
              <w:pStyle w:val="Normal6a"/>
            </w:pPr>
            <w:r w:rsidRPr="004E16CD">
              <w:t>9.</w:t>
            </w:r>
            <w:r w:rsidRPr="004E16CD">
              <w:tab/>
              <w:t xml:space="preserve">stellt fest, dass eine Straffung von Verwaltungsverfahren die Attraktivität der EU als Investitionsziel erhöhen kann; ist der Ansicht, dass </w:t>
            </w:r>
            <w:r w:rsidRPr="004E16CD">
              <w:rPr>
                <w:b/>
                <w:i/>
              </w:rPr>
              <w:t>die</w:t>
            </w:r>
            <w:r w:rsidRPr="004E16CD">
              <w:t xml:space="preserve"> Mitgliedstaaten </w:t>
            </w:r>
            <w:r w:rsidRPr="004E16CD">
              <w:rPr>
                <w:b/>
                <w:i/>
              </w:rPr>
              <w:t>auf eine Vereinfachung ihrer Rechtsrahmen hinarbeiten sollten, um grenzüberschreitende</w:t>
            </w:r>
            <w:r w:rsidRPr="004E16CD">
              <w:t xml:space="preserve"> Tätigkeiten </w:t>
            </w:r>
            <w:r w:rsidRPr="004E16CD">
              <w:rPr>
                <w:b/>
                <w:i/>
              </w:rPr>
              <w:t>zu erleichtern</w:t>
            </w:r>
            <w:r w:rsidRPr="004E16CD">
              <w:t xml:space="preserve">; fordert die Kommission auf, verstärkt von </w:t>
            </w:r>
            <w:r w:rsidRPr="004E16CD">
              <w:rPr>
                <w:b/>
                <w:i/>
              </w:rPr>
              <w:t>Richtlinien</w:t>
            </w:r>
            <w:r w:rsidRPr="004E16CD">
              <w:t xml:space="preserve"> statt von </w:t>
            </w:r>
            <w:r w:rsidRPr="004E16CD">
              <w:rPr>
                <w:b/>
                <w:i/>
              </w:rPr>
              <w:t>Verordnungen</w:t>
            </w:r>
            <w:r w:rsidRPr="004E16CD">
              <w:t xml:space="preserve"> Gebrauch zu machen und so </w:t>
            </w:r>
            <w:r w:rsidRPr="004E16CD">
              <w:rPr>
                <w:b/>
                <w:i/>
              </w:rPr>
              <w:t>die Mitgliedstaaten aufzufordern</w:t>
            </w:r>
            <w:r w:rsidRPr="004E16CD">
              <w:t xml:space="preserve">, </w:t>
            </w:r>
            <w:r w:rsidRPr="004E16CD">
              <w:rPr>
                <w:b/>
                <w:i/>
              </w:rPr>
              <w:t>die</w:t>
            </w:r>
            <w:r w:rsidRPr="004E16CD">
              <w:t xml:space="preserve"> Fragmentierung </w:t>
            </w:r>
            <w:r w:rsidRPr="004E16CD">
              <w:rPr>
                <w:b/>
                <w:i/>
              </w:rPr>
              <w:t>zu verringern</w:t>
            </w:r>
            <w:r w:rsidRPr="004E16CD">
              <w:t>;</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327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Dirk Gotink</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9</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9.</w:t>
            </w:r>
            <w:r w:rsidRPr="004E16CD">
              <w:tab/>
              <w:t>stellt fest, dass eine Straffung von Verwaltungsverfahren die Attraktivität der EU als Investitionsziel erhöhen kann; ist der Ansicht, dass eine Angleichung der Rechtsrahmen der Mitgliedstaaten ein Teil der Vereinfachungsagenda im Hinblick auf die Erleichterung grenzüberschreitender Tätigkeiten sein sollte; fordert die Kommission auf, verstärkt von Verordnungen statt von Richtlinien Gebrauch zu machen und so den einzelstaatlichen Ermessensspielraum einzuschränken, der zu Fragmentierung führen könnte;</w:t>
            </w:r>
          </w:p>
        </w:tc>
        <w:tc>
          <w:tcPr>
            <w:tcW w:w="4876" w:type="dxa"/>
            <w:tcBorders>
              <w:top w:val="nil"/>
              <w:left w:val="nil"/>
              <w:bottom w:val="nil"/>
              <w:right w:val="nil"/>
            </w:tcBorders>
          </w:tcPr>
          <w:p w:rsidR="004E16CD" w:rsidRPr="004E16CD" w:rsidRDefault="004E16CD" w:rsidP="00241723">
            <w:pPr>
              <w:pStyle w:val="Normal6a"/>
            </w:pPr>
            <w:r w:rsidRPr="004E16CD">
              <w:t>9.</w:t>
            </w:r>
            <w:r w:rsidRPr="004E16CD">
              <w:tab/>
              <w:t xml:space="preserve">stellt fest, dass eine Straffung von Verwaltungsverfahren </w:t>
            </w:r>
            <w:r w:rsidRPr="004E16CD">
              <w:rPr>
                <w:b/>
                <w:i/>
              </w:rPr>
              <w:t xml:space="preserve">und eine Vereinfachung der Regulierung </w:t>
            </w:r>
            <w:r w:rsidRPr="004E16CD">
              <w:t xml:space="preserve">die Attraktivität der EU als Investitionsziel erhöhen kann; ist der Ansicht, dass eine Angleichung der Rechtsrahmen der Mitgliedstaaten ein Teil der Vereinfachungsagenda im Hinblick auf die Erleichterung grenzüberschreitender Tätigkeiten sein sollte; fordert die Kommission auf, verstärkt von Verordnungen statt von Richtlinien Gebrauch zu machen und so den einzelstaatlichen Ermessensspielraum einzuschränken, der zu Fragmentierung führen könnte; </w:t>
            </w:r>
            <w:r w:rsidRPr="004E16CD">
              <w:rPr>
                <w:b/>
                <w:i/>
              </w:rPr>
              <w:t>fordert die Kommission auf, sich an den Grundsatz „one in, two out“ zu halten, um den Verwaltungsaufwand zu verringern, und bei jeder neuen politischen Initiative einen Check-up der Wettbewerbsfähigkeit durchzuführen;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328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Michalis Hadjipantela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9</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9.</w:t>
            </w:r>
            <w:r w:rsidRPr="004E16CD">
              <w:tab/>
              <w:t>stellt fest, dass eine Straffung von Verwaltungsverfahren die Attraktivität der EU als Investitionsziel erhöhen kann; ist der Ansicht, dass eine Angleichung der Rechtsrahmen der Mitgliedstaaten ein Teil der Vereinfachungsagenda im Hinblick auf die Erleichterung grenzüberschreitender Tätigkeiten sein sollte; fordert die Kommission auf, verstärkt von Verordnungen statt von Richtlinien Gebrauch zu machen und so den einzelstaatlichen Ermessensspielraum einzuschränken, der zu Fragmentierung führen könnte;</w:t>
            </w:r>
          </w:p>
        </w:tc>
        <w:tc>
          <w:tcPr>
            <w:tcW w:w="4876" w:type="dxa"/>
            <w:tcBorders>
              <w:top w:val="nil"/>
              <w:left w:val="nil"/>
              <w:bottom w:val="nil"/>
              <w:right w:val="nil"/>
            </w:tcBorders>
          </w:tcPr>
          <w:p w:rsidR="004E16CD" w:rsidRPr="004E16CD" w:rsidRDefault="004E16CD" w:rsidP="00241723">
            <w:pPr>
              <w:pStyle w:val="Normal6a"/>
            </w:pPr>
            <w:r w:rsidRPr="004E16CD">
              <w:t>9.</w:t>
            </w:r>
            <w:r w:rsidRPr="004E16CD">
              <w:tab/>
              <w:t>stellt fest, dass eine Straffung von Verwaltungsverfahren die Attraktivität der EU als Investitionsziel erhöhen kann</w:t>
            </w:r>
            <w:r w:rsidRPr="004E16CD">
              <w:rPr>
                <w:b/>
                <w:i/>
              </w:rPr>
              <w:t>, und fordert eine Verringerung der unnötigen Komplexität und des Aufwands für Durchführungspartner und Begünstigte, insbesondere KMU</w:t>
            </w:r>
            <w:r w:rsidRPr="004E16CD">
              <w:t>; ist der Ansicht, dass eine Angleichung der Rechtsrahmen der Mitgliedstaaten ein Teil der Vereinfachungsagenda im Hinblick auf die Erleichterung grenzüberschreitender Tätigkeiten sein sollte; fordert die Kommission auf, verstärkt von Verordnungen statt von Richtlinien Gebrauch zu machen und so den einzelstaatlichen Ermessensspielraum einzuschränken, der zu Fragmentierung führen könnte;</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329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Kinga Kollár, Isabel Benjumea Benjumea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9</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9.</w:t>
            </w:r>
            <w:r w:rsidRPr="004E16CD">
              <w:tab/>
              <w:t>stellt fest, dass eine Straffung von Verwaltungsverfahren die Attraktivität der EU als Investitionsziel erhöhen kann; ist der Ansicht, dass eine Angleichung der Rechtsrahmen der Mitgliedstaaten ein Teil der Vereinfachungsagenda im Hinblick auf die Erleichterung grenzüberschreitender Tätigkeiten sein sollte; fordert die Kommission auf, verstärkt von Verordnungen statt von Richtlinien Gebrauch zu machen und so den einzelstaatlichen Ermessensspielraum einzuschränken, der zu Fragmentierung führen könnte;</w:t>
            </w:r>
          </w:p>
        </w:tc>
        <w:tc>
          <w:tcPr>
            <w:tcW w:w="4876" w:type="dxa"/>
            <w:tcBorders>
              <w:top w:val="nil"/>
              <w:left w:val="nil"/>
              <w:bottom w:val="nil"/>
              <w:right w:val="nil"/>
            </w:tcBorders>
          </w:tcPr>
          <w:p w:rsidR="004E16CD" w:rsidRPr="004E16CD" w:rsidRDefault="004E16CD" w:rsidP="00241723">
            <w:pPr>
              <w:pStyle w:val="Normal6a"/>
            </w:pPr>
            <w:r w:rsidRPr="004E16CD">
              <w:t>9.</w:t>
            </w:r>
            <w:r w:rsidRPr="004E16CD">
              <w:tab/>
              <w:t xml:space="preserve">stellt fest, dass eine Straffung </w:t>
            </w:r>
            <w:r w:rsidRPr="004E16CD">
              <w:rPr>
                <w:b/>
                <w:i/>
              </w:rPr>
              <w:t xml:space="preserve">und Beschleunigung </w:t>
            </w:r>
            <w:r w:rsidRPr="004E16CD">
              <w:t>von Verwaltungsverfahren</w:t>
            </w:r>
            <w:r w:rsidRPr="004E16CD">
              <w:rPr>
                <w:b/>
                <w:i/>
              </w:rPr>
              <w:t xml:space="preserve"> und eine Verringerung des Verwaltungsaufwands</w:t>
            </w:r>
            <w:r w:rsidRPr="004E16CD">
              <w:t xml:space="preserve"> die Attraktivität der EU als Investitionsziel erhöhen kann; ist der Ansicht, dass eine Angleichung der Rechtsrahmen der Mitgliedstaaten ein Teil der Vereinfachungsagenda im Hinblick auf die Erleichterung grenzüberschreitender Tätigkeiten sein sollte; fordert die Kommission auf, verstärkt von Verordnungen statt von Richtlinien Gebrauch zu machen und so den einzelstaatlichen Ermessensspielraum einzuschränken, der zu Fragmentierung führen könnte;</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330</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Rasmus Andresen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9</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9.</w:t>
            </w:r>
            <w:r w:rsidRPr="004E16CD">
              <w:tab/>
              <w:t>stellt fest, dass eine Straffung von Verwaltungsverfahren die Attraktivität der EU als Investitionsziel erhöhen kann; ist der Ansicht, dass eine Angleichung der Rechtsrahmen der Mitgliedstaaten ein Teil der Vereinfachungsagenda im Hinblick auf die Erleichterung grenzüberschreitender Tätigkeiten sein sollte; fordert die Kommission auf, verstärkt von Verordnungen statt von Richtlinien Gebrauch zu machen und so den einzelstaatlichen Ermessensspielraum einzuschränken, der zu Fragmentierung führen könnte;</w:t>
            </w:r>
          </w:p>
        </w:tc>
        <w:tc>
          <w:tcPr>
            <w:tcW w:w="4876" w:type="dxa"/>
            <w:tcBorders>
              <w:top w:val="nil"/>
              <w:left w:val="nil"/>
              <w:bottom w:val="nil"/>
              <w:right w:val="nil"/>
            </w:tcBorders>
          </w:tcPr>
          <w:p w:rsidR="004E16CD" w:rsidRPr="004E16CD" w:rsidRDefault="004E16CD" w:rsidP="00241723">
            <w:pPr>
              <w:pStyle w:val="Normal6a"/>
            </w:pPr>
            <w:r w:rsidRPr="004E16CD">
              <w:t>9.</w:t>
            </w:r>
            <w:r w:rsidRPr="004E16CD">
              <w:tab/>
              <w:t xml:space="preserve">stellt fest, dass eine Straffung von Verwaltungsverfahren die Attraktivität der EU als Investitionsziel erhöhen kann; ist der Ansicht, dass eine Angleichung der Rechtsrahmen der Mitgliedstaaten </w:t>
            </w:r>
            <w:r w:rsidRPr="004E16CD">
              <w:rPr>
                <w:b/>
                <w:i/>
              </w:rPr>
              <w:t xml:space="preserve">unter Beibehaltung der nationalen sozialen Mindeststandards </w:t>
            </w:r>
            <w:r w:rsidRPr="004E16CD">
              <w:t>ein Teil der Vereinfachungsagenda im Hinblick auf die Erleichterung grenzüberschreitender Tätigkeiten sein sollte; fordert die Kommission auf, verstärkt von Verordnungen statt von Richtlinien Gebrauch zu machen und so den einzelstaatlichen Ermessensspielraum einzuschränken, der zu Fragmentierung führen könnte;</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0"/>
        <w:keepNext/>
      </w:pPr>
      <w:r w:rsidRPr="004E16CD">
        <w:rPr>
          <w:rStyle w:val="HideTWBExt"/>
          <w:b w:val="0"/>
          <w:lang w:eastAsia="en-US"/>
        </w:rPr>
        <w:t>&lt;Amend&gt;</w:t>
      </w:r>
      <w:r w:rsidRPr="004E16CD">
        <w:t>Änderungsantrag</w:t>
      </w:r>
      <w:r w:rsidRPr="004E16CD">
        <w:tab/>
      </w:r>
      <w:r w:rsidRPr="004E16CD">
        <w:tab/>
      </w:r>
      <w:r w:rsidRPr="004E16CD">
        <w:rPr>
          <w:rStyle w:val="HideTWBExt"/>
          <w:b w:val="0"/>
          <w:lang w:eastAsia="en-US"/>
        </w:rPr>
        <w:t>&lt;NumAm&gt;</w:t>
      </w:r>
      <w:r w:rsidRPr="004E16CD">
        <w:t>331</w:t>
      </w:r>
      <w:r w:rsidRPr="004E16CD">
        <w:rPr>
          <w:rStyle w:val="HideTWBExt"/>
          <w:b w:val="0"/>
          <w:lang w:eastAsia="en-US"/>
        </w:rPr>
        <w:t>&lt;/NumAm&gt;</w:t>
      </w:r>
    </w:p>
    <w:p w:rsidR="004E16CD" w:rsidRPr="004E16CD" w:rsidRDefault="004E16CD" w:rsidP="004E16CD">
      <w:pPr>
        <w:pStyle w:val="NormalBold"/>
      </w:pPr>
      <w:r w:rsidRPr="004E16CD">
        <w:rPr>
          <w:rStyle w:val="HideTWBExt"/>
          <w:b w:val="0"/>
        </w:rPr>
        <w:t>&lt;RepeatBlock-By&gt;&lt;Members&gt;</w:t>
      </w:r>
      <w:r w:rsidRPr="004E16CD">
        <w:t>Danuše Nerudová</w:t>
      </w:r>
      <w:r w:rsidRPr="004E16CD">
        <w:rPr>
          <w:rStyle w:val="HideTWBExt"/>
          <w:b w:val="0"/>
        </w:rPr>
        <w:t>&lt;/Members&gt;</w:t>
      </w:r>
    </w:p>
    <w:p w:rsidR="004E16CD" w:rsidRPr="004E16CD" w:rsidRDefault="004E16CD" w:rsidP="004E16CD">
      <w:r w:rsidRPr="004E16CD">
        <w:rPr>
          <w:rStyle w:val="HideTWBExt"/>
        </w:rPr>
        <w:t>&lt;/RepeatBlock-By&gt;</w:t>
      </w:r>
    </w:p>
    <w:p w:rsidR="004E16CD" w:rsidRPr="004E16CD" w:rsidRDefault="004E16CD" w:rsidP="004E16CD">
      <w:pPr>
        <w:pStyle w:val="NormalBold"/>
        <w:keepNext/>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9</w:t>
      </w:r>
      <w:r w:rsidRPr="004E16C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16CD" w:rsidRPr="004E16CD" w:rsidTr="00241723">
        <w:trPr>
          <w:jc w:val="center"/>
        </w:trPr>
        <w:tc>
          <w:tcPr>
            <w:tcW w:w="9752" w:type="dxa"/>
            <w:gridSpan w:val="2"/>
          </w:tcPr>
          <w:p w:rsidR="004E16CD" w:rsidRPr="004E16CD" w:rsidRDefault="004E16CD" w:rsidP="00241723">
            <w:pPr>
              <w:keepNext/>
            </w:pPr>
          </w:p>
        </w:tc>
      </w:tr>
      <w:tr w:rsidR="004E16CD" w:rsidRPr="004E16CD" w:rsidTr="00241723">
        <w:trPr>
          <w:jc w:val="center"/>
        </w:trPr>
        <w:tc>
          <w:tcPr>
            <w:tcW w:w="4876" w:type="dxa"/>
          </w:tcPr>
          <w:p w:rsidR="004E16CD" w:rsidRPr="004E16CD" w:rsidRDefault="004E16CD" w:rsidP="00241723">
            <w:pPr>
              <w:pStyle w:val="ColumnHeading"/>
              <w:keepNext/>
            </w:pPr>
            <w:r w:rsidRPr="004E16CD">
              <w:t>Entschließungsantrag</w:t>
            </w:r>
          </w:p>
        </w:tc>
        <w:tc>
          <w:tcPr>
            <w:tcW w:w="4876" w:type="dxa"/>
          </w:tcPr>
          <w:p w:rsidR="004E16CD" w:rsidRPr="004E16CD" w:rsidRDefault="004E16CD" w:rsidP="00241723">
            <w:pPr>
              <w:pStyle w:val="ColumnHeading"/>
              <w:keepNext/>
            </w:pPr>
            <w:r w:rsidRPr="004E16CD">
              <w:t>Geänderter Text</w:t>
            </w:r>
          </w:p>
        </w:tc>
      </w:tr>
      <w:tr w:rsidR="004E16CD" w:rsidRPr="004E16CD" w:rsidTr="00241723">
        <w:trPr>
          <w:jc w:val="center"/>
        </w:trPr>
        <w:tc>
          <w:tcPr>
            <w:tcW w:w="4876" w:type="dxa"/>
          </w:tcPr>
          <w:p w:rsidR="004E16CD" w:rsidRPr="004E16CD" w:rsidRDefault="004E16CD" w:rsidP="00241723">
            <w:pPr>
              <w:pStyle w:val="Normal6"/>
            </w:pPr>
            <w:r w:rsidRPr="004E16CD">
              <w:t>9.</w:t>
            </w:r>
            <w:r w:rsidRPr="004E16CD">
              <w:tab/>
              <w:t>stellt fest, dass eine Straffung von Verwaltungsverfahren die Attraktivität der EU als Investitionsziel erhöhen kann; ist der Ansicht, dass eine Angleichung der Rechtsrahmen der Mitgliedstaaten ein Teil der Vereinfachungsagenda im Hinblick auf die Erleichterung grenzüberschreitender Tätigkeiten sein sollte; fordert die Kommission auf, verstärkt von Verordnungen statt von Richtlinien Gebrauch zu machen und so den einzelstaatlichen Ermessensspielraum einzuschränken, der zu Fragmentierung führen könnte;</w:t>
            </w:r>
          </w:p>
        </w:tc>
        <w:tc>
          <w:tcPr>
            <w:tcW w:w="4876" w:type="dxa"/>
          </w:tcPr>
          <w:p w:rsidR="004E16CD" w:rsidRPr="004E16CD" w:rsidRDefault="004E16CD" w:rsidP="00241723">
            <w:pPr>
              <w:pStyle w:val="Normal6"/>
              <w:rPr>
                <w:szCs w:val="24"/>
              </w:rPr>
            </w:pPr>
            <w:r w:rsidRPr="004E16CD">
              <w:t>9.</w:t>
            </w:r>
            <w:r w:rsidRPr="004E16CD">
              <w:tab/>
              <w:t>stellt fest, dass eine Straffung von Verwaltungsverfahren die Attraktivität der EU als Investitionsziel erhöhen kann</w:t>
            </w:r>
            <w:r w:rsidRPr="004E16CD">
              <w:rPr>
                <w:b/>
                <w:i/>
              </w:rPr>
              <w:t>, und fordert, dass die Bürokratie für Begünstigte abgebaut wird und EU-Programme vereinfacht werden</w:t>
            </w:r>
            <w:r w:rsidRPr="004E16CD">
              <w:t>; ist der Ansicht, dass eine Angleichung der Rechtsrahmen der Mitgliedstaaten ein Teil der Vereinfachungsagenda im Hinblick auf die Erleichterung grenzüberschreitender Tätigkeiten sein sollte; fordert die Kommission auf, verstärkt von Verordnungen statt von Richtlinien Gebrauch zu machen und so den einzelstaatlichen Ermessensspielraum einzuschränken, der zu Fragmentierung führen könnte;</w:t>
            </w:r>
          </w:p>
        </w:tc>
      </w:tr>
    </w:tbl>
    <w:p w:rsidR="004E16CD" w:rsidRPr="004E16CD" w:rsidRDefault="004E16CD" w:rsidP="004E16CD">
      <w:pPr>
        <w:pStyle w:val="Olang"/>
        <w:rPr>
          <w:sz w:val="24"/>
          <w:szCs w:val="24"/>
        </w:rPr>
      </w:pPr>
      <w:r w:rsidRPr="004E16CD">
        <w:rPr>
          <w:sz w:val="24"/>
          <w:szCs w:val="24"/>
        </w:rPr>
        <w:t xml:space="preserve">Or. </w:t>
      </w:r>
      <w:r w:rsidRPr="004E16CD">
        <w:rPr>
          <w:rStyle w:val="HideTWBExt"/>
        </w:rPr>
        <w:t>&lt;Original&gt;</w:t>
      </w:r>
      <w:r w:rsidRPr="004E16CD">
        <w:rPr>
          <w:rStyle w:val="HideTWBInt"/>
        </w:rPr>
        <w:t>{EN}</w:t>
      </w:r>
      <w:r w:rsidRPr="004E16CD">
        <w:rPr>
          <w:sz w:val="24"/>
          <w:szCs w:val="24"/>
        </w:rPr>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332</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Ľudovít Ódor, Anouk Van Brug, Billy Kelleher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9</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9.</w:t>
            </w:r>
            <w:r w:rsidRPr="004E16CD">
              <w:tab/>
              <w:t>stellt fest, dass eine Straffung von Verwaltungsverfahren die Attraktivität der EU als Investitionsziel erhöhen kann; ist der Ansicht, dass eine Angleichung der Rechtsrahmen der Mitgliedstaaten ein Teil der Vereinfachungsagenda im Hinblick auf die Erleichterung grenzüberschreitender Tätigkeiten sein sollte; fordert die Kommission auf, verstärkt von Verordnungen statt von Richtlinien Gebrauch zu machen und so den einzelstaatlichen Ermessensspielraum einzuschränken, der zu Fragmentierung führen könnte;</w:t>
            </w:r>
          </w:p>
        </w:tc>
        <w:tc>
          <w:tcPr>
            <w:tcW w:w="4876" w:type="dxa"/>
            <w:tcBorders>
              <w:top w:val="nil"/>
              <w:left w:val="nil"/>
              <w:bottom w:val="nil"/>
              <w:right w:val="nil"/>
            </w:tcBorders>
          </w:tcPr>
          <w:p w:rsidR="004E16CD" w:rsidRPr="004E16CD" w:rsidRDefault="004E16CD" w:rsidP="00241723">
            <w:pPr>
              <w:pStyle w:val="Normal6a"/>
            </w:pPr>
            <w:r w:rsidRPr="004E16CD">
              <w:t>9.</w:t>
            </w:r>
            <w:r w:rsidRPr="004E16CD">
              <w:tab/>
              <w:t xml:space="preserve">stellt fest, dass eine Straffung von Verwaltungsverfahren die Attraktivität der EU als Investitionsziel erhöhen kann; ist der Ansicht, dass eine Angleichung der Rechtsrahmen der Mitgliedstaaten ein Teil der Vereinfachungsagenda im Hinblick auf die Erleichterung grenzüberschreitender Tätigkeiten sein sollte; fordert die Kommission auf, verstärkt von Verordnungen statt von Richtlinien Gebrauch zu machen und so den einzelstaatlichen Ermessensspielraum einzuschränken, der zu Fragmentierung führen könnte; </w:t>
            </w:r>
            <w:r w:rsidRPr="004E16CD">
              <w:rPr>
                <w:b/>
                <w:i/>
              </w:rPr>
              <w:t>fordert die Kommission in diesem Zusammenhang auf, das Potenzial der 28. Rechtsordnung, die alle bestehenden Beschränkungen überwinden kann, eingehend zu prüfen;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333</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Markus Ferber</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9</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r w:rsidRPr="004E16CD">
              <w:t>9.</w:t>
            </w:r>
            <w:r w:rsidRPr="004E16CD">
              <w:tab/>
              <w:t>stellt fest, dass eine Straffung von Verwaltungsverfahren die Attraktivität der EU als Investitionsziel erhöhen kann; ist der Ansicht, dass eine Angleichung der Rechtsrahmen der Mitgliedstaaten ein Teil der Vereinfachungsagenda im Hinblick auf die Erleichterung grenzüberschreitender Tätigkeiten sein sollte; fordert die Kommission auf, verstärkt von Verordnungen statt von Richtlinien Gebrauch zu machen und so den einzelstaatlichen Ermessensspielraum einzuschränken, der zu Fragmentierung führen könnte;</w:t>
            </w:r>
          </w:p>
        </w:tc>
        <w:tc>
          <w:tcPr>
            <w:tcW w:w="4876" w:type="dxa"/>
            <w:tcBorders>
              <w:top w:val="nil"/>
              <w:left w:val="nil"/>
              <w:bottom w:val="nil"/>
              <w:right w:val="nil"/>
            </w:tcBorders>
          </w:tcPr>
          <w:p w:rsidR="004E16CD" w:rsidRPr="004E16CD" w:rsidRDefault="004E16CD" w:rsidP="00241723">
            <w:pPr>
              <w:pStyle w:val="Normal6a"/>
            </w:pPr>
            <w:r w:rsidRPr="004E16CD">
              <w:t>9.</w:t>
            </w:r>
            <w:r w:rsidRPr="004E16CD">
              <w:tab/>
              <w:t xml:space="preserve">stellt fest, dass eine Straffung von Verwaltungsverfahren die Attraktivität der EU als Investitionsziel erhöhen kann; ist der Ansicht, dass eine Angleichung der Rechtsrahmen der Mitgliedstaaten ein Teil der Vereinfachungsagenda im Hinblick auf die Erleichterung grenzüberschreitender Tätigkeiten sein sollte; fordert die Kommission auf, verstärkt von Verordnungen statt von Richtlinien Gebrauch zu machen und so den einzelstaatlichen Ermessensspielraum einzuschränken, der zu Fragmentierung führen könnte; </w:t>
            </w:r>
            <w:r w:rsidRPr="004E16CD">
              <w:rPr>
                <w:b/>
                <w:i/>
              </w:rPr>
              <w:t>fordert die Kommission auf, gegen Fälle von Überregulierung durch die Mitgliedstaaten vorzugehen;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334</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Eero Heinäluoma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9 a (neu)</w:t>
      </w:r>
      <w:r w:rsidRPr="004E16CD">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9a. fordert die Kommission auf, die systematische Einbeziehung der Europäischen Aufsichtsbehörden (ESA) in den Entscheidungsprozess für Mandate der Stufe 2 und 3 sicherzustellen, damit diese Mandate evidenzbasiert, verhältnismäßig und auf die Bedürfnisse des Finanzsektors zugeschnitten sind; fordert die Kommission auf, die erforderlichen Finanzmittel für die Ausführung dieser Mandate durch die Europäischen Aufsichtsbehörden sicherzustellen;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335</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Aurore Lalucq</w:t>
      </w:r>
      <w:r w:rsidRPr="004E16CD">
        <w:rPr>
          <w:rStyle w:val="HideTWBExt"/>
          <w:b w:val="0"/>
        </w:rPr>
        <w:t>&lt;/Members&gt;</w:t>
      </w:r>
    </w:p>
    <w:p w:rsidR="004E16CD" w:rsidRPr="004E16CD" w:rsidRDefault="004E16CD" w:rsidP="004E16CD">
      <w:r w:rsidRPr="004E16CD">
        <w:rPr>
          <w:rStyle w:val="HideTWBExt"/>
        </w:rPr>
        <w:t>&lt;AuNomDe&gt;</w:t>
      </w:r>
      <w:r w:rsidRPr="004E16CD">
        <w:rPr>
          <w:rStyle w:val="HideTWBInt"/>
        </w:rPr>
        <w:t>{S&amp;D}</w:t>
      </w:r>
      <w:r w:rsidRPr="004E16CD">
        <w:t>im Namen der S&amp;D-Fraktion</w:t>
      </w:r>
      <w:r w:rsidRPr="004E16CD">
        <w:rPr>
          <w:rStyle w:val="HideTWBExt"/>
        </w:rPr>
        <w:t>&lt;/AuNomDe&gt;</w:t>
      </w:r>
    </w:p>
    <w:p w:rsidR="004E16CD" w:rsidRPr="004E16CD" w:rsidRDefault="004E16CD" w:rsidP="004E16CD">
      <w:pPr>
        <w:pStyle w:val="NormalBold"/>
      </w:pPr>
      <w:r w:rsidRPr="004E16CD">
        <w:rPr>
          <w:rStyle w:val="HideTWBExt"/>
          <w:b w:val="0"/>
        </w:rPr>
        <w:t>&lt;Members&gt;</w:t>
      </w:r>
      <w:r w:rsidRPr="004E16CD">
        <w:t>Jonás Fernández, René Repasi, Eero Heinäluoma, Evelyn Regner, Niels Fuglsang, Claire Fita, Carla Tavares, Thomas Bajada, Francisco Assis, Lara Wolters</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9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9a.</w:t>
            </w:r>
            <w:r w:rsidRPr="004E16CD">
              <w:tab/>
            </w:r>
            <w:r w:rsidRPr="004E16CD">
              <w:rPr>
                <w:b/>
                <w:i/>
              </w:rPr>
              <w:t>ist der Ansicht, dass der erste Schritt der Vereinfachung in effizienten Rechtsvorschriften besteht; fordert die Kommission auf, die Einbeziehung der ESA in den Entscheidungsprozess für Mandate der Stufe 2 und 3 sicherzustellen, damit diese Mandate evidenzbasiert, verhältnismäßig und auf die Bedürfnisse des Finanzsektors zugeschnitten sind;</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336</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Giovanni Crosetto, Denis Nesci, Francesco Ventola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9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9a.</w:t>
            </w:r>
            <w:r w:rsidRPr="004E16CD">
              <w:tab/>
            </w:r>
            <w:r w:rsidRPr="004E16CD">
              <w:rPr>
                <w:b/>
                <w:i/>
              </w:rPr>
              <w:t>fordert eine Verringerung des Verwaltungs- und Befolgungsaufwands für Unternehmen unter besonderer Berücksichtigung börsennotierter Unternehmen, um ihre Wettbewerbsfähigkeit und Attraktivität zu verbessern; betont, dass übermäßige Berichtspflichten und die Komplexität der Verfahren von Börsengängen abschrecken und den Zugang zu den Kapitalmärkten behindern können;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337</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Sirpa Pietikäinen</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9 a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9a.</w:t>
            </w:r>
            <w:r w:rsidRPr="004E16CD">
              <w:tab/>
            </w:r>
            <w:r w:rsidRPr="004E16CD">
              <w:rPr>
                <w:b/>
                <w:i/>
              </w:rPr>
              <w:t>fordert die Kommission auf, für gleiche Wettbewerbsbedingungen zu sorgen und Anreize für Investitionsmöglichkeiten zu schaffen, indem langfristige und ambitionierte Nachhaltigkeits- und andere Vorschriften geschaffen werden, um eine langfristige Perspektive für Industrien und Investoren zu gewährleisten;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338</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Giovanni Crosetto, Denis Nesci, Francesco Ventola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9 b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9b.</w:t>
            </w:r>
            <w:r w:rsidRPr="004E16CD">
              <w:tab/>
            </w:r>
            <w:r w:rsidRPr="004E16CD">
              <w:rPr>
                <w:b/>
                <w:i/>
              </w:rPr>
              <w:t>fordert, dass die Durchführungsmaßnahmen im Rahmen des Rechtsakts zur Börsennotierung vollständig auf dessen übergeordnetes Ziel, die Komplexität der Regulierung und die Befolgungskosten, insbesondere für Emittenten, zu verringern, abgestimmt werden; betont, dass die Bestimmungen der Stufe 2 zu einem zugänglicheren und kostengünstigeren Umfeld für Börsennotierungen in der gesamten Union beitragen sollten;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p>
    <w:p w:rsidR="004E16CD" w:rsidRPr="004E16CD" w:rsidRDefault="004E16CD" w:rsidP="004E16CD">
      <w:pPr>
        <w:pStyle w:val="AmNumberTabs"/>
      </w:pPr>
      <w:r w:rsidRPr="004E16CD">
        <w:rPr>
          <w:rStyle w:val="HideTWBExt"/>
          <w:b w:val="0"/>
        </w:rPr>
        <w:t>&lt;Amend&gt;</w:t>
      </w:r>
      <w:r w:rsidRPr="004E16CD">
        <w:t>Änderungsantrag</w:t>
      </w:r>
      <w:r w:rsidRPr="004E16CD">
        <w:tab/>
      </w:r>
      <w:r w:rsidRPr="004E16CD">
        <w:tab/>
      </w:r>
      <w:r w:rsidRPr="004E16CD">
        <w:rPr>
          <w:rStyle w:val="HideTWBExt"/>
          <w:b w:val="0"/>
        </w:rPr>
        <w:t>&lt;NumAm&gt;</w:t>
      </w:r>
      <w:r w:rsidRPr="004E16CD">
        <w:t>339</w:t>
      </w:r>
      <w:r w:rsidRPr="004E16CD">
        <w:rPr>
          <w:rStyle w:val="HideTWBExt"/>
          <w:b w:val="0"/>
        </w:rPr>
        <w:t>&lt;/NumAm&gt;</w:t>
      </w:r>
    </w:p>
    <w:p w:rsidR="004E16CD" w:rsidRPr="004E16CD" w:rsidRDefault="004E16CD" w:rsidP="004E16CD">
      <w:pPr>
        <w:pStyle w:val="NormalBold"/>
      </w:pPr>
      <w:r w:rsidRPr="004E16CD">
        <w:rPr>
          <w:rStyle w:val="HideTWBExt"/>
          <w:b w:val="0"/>
        </w:rPr>
        <w:t>&lt;RepeatBlock-By&gt;&lt;Members&gt;</w:t>
      </w:r>
      <w:r w:rsidRPr="004E16CD">
        <w:t>Giovanni Crosetto, Denis Nesci, Francesco Ventola</w:t>
      </w:r>
      <w:r w:rsidRPr="004E16CD">
        <w:rPr>
          <w:rStyle w:val="HideTWBExt"/>
          <w:b w:val="0"/>
        </w:rPr>
        <w:t>&lt;/Members&gt;</w:t>
      </w:r>
    </w:p>
    <w:p w:rsidR="004E16CD" w:rsidRPr="004E16CD" w:rsidRDefault="004E16CD" w:rsidP="004E16CD">
      <w:pPr>
        <w:pStyle w:val="NormalBold"/>
      </w:pPr>
      <w:r w:rsidRPr="004E16CD">
        <w:rPr>
          <w:rStyle w:val="HideTWBExt"/>
          <w:b w:val="0"/>
        </w:rPr>
        <w:t>&lt;/RepeatBlock-By&gt;</w:t>
      </w:r>
    </w:p>
    <w:p w:rsidR="004E16CD" w:rsidRPr="004E16CD" w:rsidRDefault="004E16CD" w:rsidP="004E16CD">
      <w:pPr>
        <w:pStyle w:val="NormalBold"/>
      </w:pPr>
      <w:r w:rsidRPr="004E16CD">
        <w:rPr>
          <w:rStyle w:val="HideTWBExt"/>
          <w:b w:val="0"/>
        </w:rPr>
        <w:t>&lt;DocAmend&gt;</w:t>
      </w:r>
      <w:r w:rsidRPr="004E16CD">
        <w:t>Entschließungsantrag</w:t>
      </w:r>
      <w:r w:rsidRPr="004E16CD">
        <w:rPr>
          <w:rStyle w:val="HideTWBExt"/>
          <w:b w:val="0"/>
        </w:rPr>
        <w:t>&lt;/DocAmend&gt;</w:t>
      </w:r>
    </w:p>
    <w:p w:rsidR="004E16CD" w:rsidRPr="004E16CD" w:rsidRDefault="004E16CD" w:rsidP="004E16CD">
      <w:pPr>
        <w:pStyle w:val="NormalBold"/>
      </w:pPr>
      <w:r w:rsidRPr="004E16CD">
        <w:rPr>
          <w:rStyle w:val="HideTWBExt"/>
          <w:b w:val="0"/>
        </w:rPr>
        <w:t>&lt;Article&gt;</w:t>
      </w:r>
      <w:r w:rsidRPr="004E16CD">
        <w:t>Ziffer 9 c (neu)</w:t>
      </w:r>
      <w:r w:rsidRPr="004E16C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6CD" w:rsidRPr="004E16CD" w:rsidTr="00241723">
        <w:trPr>
          <w:trHeight w:hRule="exact" w:val="240"/>
          <w:jc w:val="center"/>
        </w:trPr>
        <w:tc>
          <w:tcPr>
            <w:tcW w:w="9752" w:type="dxa"/>
            <w:gridSpan w:val="2"/>
            <w:tcBorders>
              <w:top w:val="nil"/>
              <w:left w:val="nil"/>
              <w:bottom w:val="nil"/>
              <w:right w:val="nil"/>
            </w:tcBorders>
          </w:tcPr>
          <w:p w:rsidR="004E16CD" w:rsidRPr="004E16CD" w:rsidRDefault="004E16CD" w:rsidP="00241723"/>
        </w:tc>
      </w:tr>
      <w:tr w:rsidR="004E16CD" w:rsidRPr="004E16CD" w:rsidTr="00241723">
        <w:trPr>
          <w:trHeight w:val="240"/>
          <w:jc w:val="center"/>
        </w:trPr>
        <w:tc>
          <w:tcPr>
            <w:tcW w:w="4876" w:type="dxa"/>
            <w:tcBorders>
              <w:top w:val="nil"/>
              <w:left w:val="nil"/>
              <w:bottom w:val="nil"/>
              <w:right w:val="nil"/>
            </w:tcBorders>
          </w:tcPr>
          <w:p w:rsidR="004E16CD" w:rsidRPr="004E16CD" w:rsidRDefault="004E16CD" w:rsidP="00241723">
            <w:pPr>
              <w:pStyle w:val="AmColumnHeading"/>
            </w:pPr>
            <w:r w:rsidRPr="004E16CD">
              <w:t>Entschließungsantrag</w:t>
            </w:r>
          </w:p>
        </w:tc>
        <w:tc>
          <w:tcPr>
            <w:tcW w:w="4876" w:type="dxa"/>
            <w:tcBorders>
              <w:top w:val="nil"/>
              <w:left w:val="nil"/>
              <w:bottom w:val="nil"/>
              <w:right w:val="nil"/>
            </w:tcBorders>
          </w:tcPr>
          <w:p w:rsidR="004E16CD" w:rsidRPr="004E16CD" w:rsidRDefault="004E16CD" w:rsidP="00241723">
            <w:pPr>
              <w:pStyle w:val="AmColumnHeading"/>
            </w:pPr>
            <w:r w:rsidRPr="004E16CD">
              <w:t>Geänderter Text</w:t>
            </w:r>
          </w:p>
        </w:tc>
      </w:tr>
      <w:tr w:rsidR="004E16CD" w:rsidRPr="004E16CD" w:rsidTr="00241723">
        <w:trPr>
          <w:jc w:val="center"/>
        </w:trPr>
        <w:tc>
          <w:tcPr>
            <w:tcW w:w="4876" w:type="dxa"/>
            <w:tcBorders>
              <w:top w:val="nil"/>
              <w:left w:val="nil"/>
              <w:bottom w:val="nil"/>
              <w:right w:val="nil"/>
            </w:tcBorders>
          </w:tcPr>
          <w:p w:rsidR="004E16CD" w:rsidRPr="004E16CD" w:rsidRDefault="004E16CD" w:rsidP="00241723">
            <w:pPr>
              <w:pStyle w:val="Normal6a"/>
            </w:pPr>
          </w:p>
        </w:tc>
        <w:tc>
          <w:tcPr>
            <w:tcW w:w="4876" w:type="dxa"/>
            <w:tcBorders>
              <w:top w:val="nil"/>
              <w:left w:val="nil"/>
              <w:bottom w:val="nil"/>
              <w:right w:val="nil"/>
            </w:tcBorders>
          </w:tcPr>
          <w:p w:rsidR="004E16CD" w:rsidRPr="004E16CD" w:rsidRDefault="004E16CD" w:rsidP="00241723">
            <w:pPr>
              <w:pStyle w:val="Normal6a"/>
            </w:pPr>
            <w:r w:rsidRPr="004E16CD">
              <w:rPr>
                <w:b/>
                <w:i/>
              </w:rPr>
              <w:t>9c.</w:t>
            </w:r>
            <w:r w:rsidRPr="004E16CD">
              <w:tab/>
            </w:r>
            <w:r w:rsidRPr="004E16CD">
              <w:rPr>
                <w:b/>
                <w:i/>
              </w:rPr>
              <w:t>fordert die Kommission auf, sich mit der Fragmentierung der nationalen Insolvenzrahmen zu befassen und wirksame Mechanismen für die Beilegung grenzüberschreitender Streitigkeiten einzurichten; betont, dass eine größere rechtliche Konvergenz und Verfahrensklarheit von wesentlicher Bedeutung ist, um Hindernisse für grenzüberschreitende Investitionen abzubauen und eine tiefere Integration der EU-Kapitalmärkte zu unterstützen;</w:t>
            </w:r>
          </w:p>
        </w:tc>
      </w:tr>
    </w:tbl>
    <w:p w:rsidR="004E16CD" w:rsidRPr="004E16CD" w:rsidRDefault="004E16CD" w:rsidP="004E16CD">
      <w:pPr>
        <w:pStyle w:val="AmOrLang"/>
      </w:pPr>
      <w:r w:rsidRPr="004E16CD">
        <w:t xml:space="preserve">Or. </w:t>
      </w:r>
      <w:r w:rsidRPr="004E16CD">
        <w:rPr>
          <w:rStyle w:val="HideTWBExt"/>
        </w:rPr>
        <w:t>&lt;Original&gt;</w:t>
      </w:r>
      <w:r w:rsidRPr="004E16CD">
        <w:rPr>
          <w:rStyle w:val="HideTWBInt"/>
        </w:rPr>
        <w:t>{EN}</w:t>
      </w:r>
      <w:r w:rsidRPr="004E16CD">
        <w:t>en</w:t>
      </w:r>
      <w:r w:rsidRPr="004E16CD">
        <w:rPr>
          <w:rStyle w:val="HideTWBExt"/>
        </w:rPr>
        <w:t>&lt;/Original&gt;</w:t>
      </w:r>
    </w:p>
    <w:p w:rsidR="004E16CD" w:rsidRPr="004E16CD" w:rsidRDefault="004E16CD" w:rsidP="004E16CD">
      <w:r w:rsidRPr="004E16CD">
        <w:rPr>
          <w:rStyle w:val="HideTWBExt"/>
        </w:rPr>
        <w:t>&lt;/Amend&gt;</w:t>
      </w:r>
      <w:r w:rsidRPr="004E16CD">
        <w:rPr>
          <w:rStyle w:val="HideTWBExt"/>
        </w:rPr>
        <w:t>&lt;/RepeatBlock-Amend&gt;</w:t>
      </w:r>
    </w:p>
    <w:p w:rsidR="00F2637A" w:rsidRPr="004E16CD" w:rsidRDefault="00F2637A" w:rsidP="004E16CD">
      <w:bookmarkStart w:id="1" w:name="_GoBack"/>
      <w:bookmarkEnd w:id="1"/>
    </w:p>
    <w:sectPr w:rsidR="00F2637A" w:rsidRPr="004E16CD" w:rsidSect="004E16CD">
      <w:headerReference w:type="even" r:id="rId8"/>
      <w:headerReference w:type="default" r:id="rId9"/>
      <w:footerReference w:type="even" r:id="rId10"/>
      <w:footerReference w:type="default" r:id="rId11"/>
      <w:headerReference w:type="first" r:id="rId12"/>
      <w:footerReference w:type="first" r:id="rId13"/>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3A6FC8" w:rsidRDefault="004E16CD">
      <w:r w:rsidRPr="003A6FC8">
        <w:separator/>
      </w:r>
    </w:p>
  </w:endnote>
  <w:endnote w:type="continuationSeparator" w:id="0">
    <w:p w:rsidR="00000000" w:rsidRPr="003A6FC8" w:rsidRDefault="004E16CD">
      <w:r w:rsidRPr="003A6FC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6CD" w:rsidRDefault="004E16CD" w:rsidP="004E16CD">
    <w:pPr>
      <w:pStyle w:val="EPFooter"/>
    </w:pPr>
    <w:r>
      <w:t>PE</w:t>
    </w:r>
    <w:r w:rsidRPr="004E16CD">
      <w:rPr>
        <w:rStyle w:val="HideTWBExt"/>
      </w:rPr>
      <w:t>&lt;NoPE&gt;</w:t>
    </w:r>
    <w:r>
      <w:t>773.152</w:t>
    </w:r>
    <w:r w:rsidRPr="004E16CD">
      <w:rPr>
        <w:rStyle w:val="HideTWBExt"/>
      </w:rPr>
      <w:t>&lt;/NoPE&gt;&lt;Version&gt;</w:t>
    </w:r>
    <w:r>
      <w:t>v01-00</w:t>
    </w:r>
    <w:r w:rsidRPr="004E16CD">
      <w:rPr>
        <w:rStyle w:val="HideTWBExt"/>
      </w:rPr>
      <w:t>&lt;/Version&gt;</w:t>
    </w:r>
    <w:r>
      <w:tab/>
    </w:r>
    <w:r>
      <w:fldChar w:fldCharType="begin"/>
    </w:r>
    <w:r>
      <w:instrText xml:space="preserve"> PAGE  \* MERGEFORMAT </w:instrText>
    </w:r>
    <w:r>
      <w:fldChar w:fldCharType="separate"/>
    </w:r>
    <w:r>
      <w:rPr>
        <w:noProof/>
      </w:rPr>
      <w:t>188</w:t>
    </w:r>
    <w:r>
      <w:fldChar w:fldCharType="end"/>
    </w:r>
    <w:r>
      <w:t>/</w:t>
    </w:r>
    <w:fldSimple w:instr=" NUMPAGES  \* MERGEFORMAT ">
      <w:r>
        <w:rPr>
          <w:noProof/>
        </w:rPr>
        <w:t>189</w:t>
      </w:r>
    </w:fldSimple>
    <w:r>
      <w:tab/>
    </w:r>
    <w:r w:rsidRPr="004E16CD">
      <w:rPr>
        <w:rStyle w:val="HideTWBExt"/>
      </w:rPr>
      <w:t>&lt;PathFdR&gt;</w:t>
    </w:r>
    <w:r>
      <w:t>AM\1320327DE.docx</w:t>
    </w:r>
    <w:r w:rsidRPr="004E16CD">
      <w:rPr>
        <w:rStyle w:val="HideTWBExt"/>
      </w:rPr>
      <w:t>&lt;/PathFdR&gt;</w:t>
    </w:r>
  </w:p>
  <w:p w:rsidR="00E93FEE" w:rsidRPr="003A6FC8" w:rsidRDefault="004E16CD" w:rsidP="004E16CD">
    <w:pPr>
      <w:pStyle w:val="EPFooter2"/>
    </w:pPr>
    <w:r>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6CD" w:rsidRDefault="004E16CD" w:rsidP="004E16CD">
    <w:pPr>
      <w:pStyle w:val="EPFooter"/>
    </w:pPr>
    <w:r w:rsidRPr="004E16CD">
      <w:rPr>
        <w:rStyle w:val="HideTWBExt"/>
      </w:rPr>
      <w:t>&lt;PathFdR&gt;</w:t>
    </w:r>
    <w:r>
      <w:t>AM\1320327DE.docx</w:t>
    </w:r>
    <w:r w:rsidRPr="004E16CD">
      <w:rPr>
        <w:rStyle w:val="HideTWBExt"/>
      </w:rPr>
      <w:t>&lt;/PathFdR&gt;</w:t>
    </w:r>
    <w:r>
      <w:tab/>
    </w:r>
    <w:r>
      <w:fldChar w:fldCharType="begin"/>
    </w:r>
    <w:r>
      <w:instrText xml:space="preserve"> PAGE  \* MERGEFORMAT </w:instrText>
    </w:r>
    <w:r>
      <w:fldChar w:fldCharType="separate"/>
    </w:r>
    <w:r>
      <w:rPr>
        <w:noProof/>
      </w:rPr>
      <w:t>189</w:t>
    </w:r>
    <w:r>
      <w:fldChar w:fldCharType="end"/>
    </w:r>
    <w:r>
      <w:t>/</w:t>
    </w:r>
    <w:fldSimple w:instr=" NUMPAGES  \* MERGEFORMAT ">
      <w:r>
        <w:rPr>
          <w:noProof/>
        </w:rPr>
        <w:t>189</w:t>
      </w:r>
    </w:fldSimple>
    <w:r>
      <w:tab/>
      <w:t>PE</w:t>
    </w:r>
    <w:r w:rsidRPr="004E16CD">
      <w:rPr>
        <w:rStyle w:val="HideTWBExt"/>
      </w:rPr>
      <w:t>&lt;NoPE&gt;</w:t>
    </w:r>
    <w:r>
      <w:t>773.152</w:t>
    </w:r>
    <w:r w:rsidRPr="004E16CD">
      <w:rPr>
        <w:rStyle w:val="HideTWBExt"/>
      </w:rPr>
      <w:t>&lt;/NoPE&gt;&lt;Version&gt;</w:t>
    </w:r>
    <w:r>
      <w:t>v01-00</w:t>
    </w:r>
    <w:r w:rsidRPr="004E16CD">
      <w:rPr>
        <w:rStyle w:val="HideTWBExt"/>
      </w:rPr>
      <w:t>&lt;/Version&gt;</w:t>
    </w:r>
  </w:p>
  <w:p w:rsidR="00E93FEE" w:rsidRPr="003A6FC8" w:rsidRDefault="004E16CD" w:rsidP="004E16CD">
    <w:pPr>
      <w:pStyle w:val="EPFooter2"/>
    </w:pPr>
    <w:r>
      <w:tab/>
    </w:r>
    <w:r>
      <w:tab/>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6CD" w:rsidRDefault="004E16CD" w:rsidP="004E16CD">
    <w:pPr>
      <w:pStyle w:val="EPFooter"/>
    </w:pPr>
    <w:r w:rsidRPr="004E16CD">
      <w:rPr>
        <w:rStyle w:val="HideTWBExt"/>
      </w:rPr>
      <w:t>&lt;PathFdR&gt;</w:t>
    </w:r>
    <w:r>
      <w:t>AM\1320327DE.docx</w:t>
    </w:r>
    <w:r w:rsidRPr="004E16CD">
      <w:rPr>
        <w:rStyle w:val="HideTWBExt"/>
      </w:rPr>
      <w:t>&lt;/PathFdR&gt;</w:t>
    </w:r>
    <w:r>
      <w:tab/>
    </w:r>
    <w:r>
      <w:tab/>
      <w:t>PE</w:t>
    </w:r>
    <w:r w:rsidRPr="004E16CD">
      <w:rPr>
        <w:rStyle w:val="HideTWBExt"/>
      </w:rPr>
      <w:t>&lt;NoPE&gt;</w:t>
    </w:r>
    <w:r>
      <w:t>773.152</w:t>
    </w:r>
    <w:r w:rsidRPr="004E16CD">
      <w:rPr>
        <w:rStyle w:val="HideTWBExt"/>
      </w:rPr>
      <w:t>&lt;/NoPE&gt;&lt;Version&gt;</w:t>
    </w:r>
    <w:r>
      <w:t>v01-00</w:t>
    </w:r>
    <w:r w:rsidRPr="004E16CD">
      <w:rPr>
        <w:rStyle w:val="HideTWBExt"/>
      </w:rPr>
      <w:t>&lt;/Version&gt;</w:t>
    </w:r>
  </w:p>
  <w:p w:rsidR="00E93FEE" w:rsidRPr="003A6FC8" w:rsidRDefault="004E16CD" w:rsidP="004E16CD">
    <w:pPr>
      <w:pStyle w:val="EPFooter2"/>
    </w:pPr>
    <w:r>
      <w:t>DE</w:t>
    </w:r>
    <w:r>
      <w:tab/>
    </w:r>
    <w:r w:rsidRPr="004E16CD">
      <w:rPr>
        <w:b w:val="0"/>
        <w:i/>
        <w:color w:val="C0C0C0"/>
        <w:sz w:val="22"/>
      </w:rPr>
      <w:t>In Vielfalt geeint</w:t>
    </w:r>
    <w:r>
      <w:tab/>
      <w:t>DE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3A6FC8" w:rsidRDefault="004E16CD">
      <w:r w:rsidRPr="003A6FC8">
        <w:separator/>
      </w:r>
    </w:p>
  </w:footnote>
  <w:footnote w:type="continuationSeparator" w:id="0">
    <w:p w:rsidR="00000000" w:rsidRPr="003A6FC8" w:rsidRDefault="004E16CD">
      <w:r w:rsidRPr="003A6FC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6CD" w:rsidRDefault="004E16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6CD" w:rsidRDefault="004E16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6CD" w:rsidRDefault="004E16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DEMNU" w:val=" 2"/>
    <w:docVar w:name="iNoAmend" w:val="44"/>
    <w:docVar w:name="InsideLoop" w:val="1"/>
    <w:docVar w:name="LastEditedSection" w:val=" 1"/>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20"/>
    <w:docVar w:name="TVTAMPART" w:val="Recital Aa (new)"/>
    <w:docVar w:name="TVTMEMBERS1" w:val="Danuše Nerudová"/>
    <w:docVar w:name="TXTLANGUE" w:val="DE"/>
    <w:docVar w:name="TXTLANGUEMIN" w:val="de"/>
    <w:docVar w:name="TXTNRFIRSTAM" w:val="1"/>
    <w:docVar w:name="TXTNRLASTAM" w:val="339"/>
    <w:docVar w:name="TXTNRPE" w:val="773.152"/>
    <w:docVar w:name="TXTPEorAP" w:val="PE"/>
    <w:docVar w:name="TXTROUTE" w:val="AM\1320327DE.docx"/>
    <w:docVar w:name="TXTVERSION" w:val="01-00"/>
  </w:docVars>
  <w:rsids>
    <w:rsidRoot w:val="00A77B3E"/>
    <w:rsid w:val="00041D89"/>
    <w:rsid w:val="00046AEE"/>
    <w:rsid w:val="00104AF4"/>
    <w:rsid w:val="00120A62"/>
    <w:rsid w:val="00252254"/>
    <w:rsid w:val="002B2112"/>
    <w:rsid w:val="002C7302"/>
    <w:rsid w:val="003A6FC8"/>
    <w:rsid w:val="003B0910"/>
    <w:rsid w:val="004E16CD"/>
    <w:rsid w:val="00564D5A"/>
    <w:rsid w:val="00566232"/>
    <w:rsid w:val="005A2C42"/>
    <w:rsid w:val="005B5DE2"/>
    <w:rsid w:val="005E0FC6"/>
    <w:rsid w:val="005F763A"/>
    <w:rsid w:val="00604C7A"/>
    <w:rsid w:val="007323C4"/>
    <w:rsid w:val="00787CF7"/>
    <w:rsid w:val="007C4043"/>
    <w:rsid w:val="008777C2"/>
    <w:rsid w:val="008C5D65"/>
    <w:rsid w:val="00943645"/>
    <w:rsid w:val="009549BB"/>
    <w:rsid w:val="00971BB6"/>
    <w:rsid w:val="00A501D8"/>
    <w:rsid w:val="00A77B3E"/>
    <w:rsid w:val="00A96DA3"/>
    <w:rsid w:val="00AA080A"/>
    <w:rsid w:val="00B93D8F"/>
    <w:rsid w:val="00BB6EBB"/>
    <w:rsid w:val="00CA2A55"/>
    <w:rsid w:val="00E93FEE"/>
    <w:rsid w:val="00F129C3"/>
    <w:rsid w:val="00F2637A"/>
    <w:rsid w:val="00FC3F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A0A953"/>
  <w15:docId w15:val="{2AEF1259-B4C1-410D-AB9A-F23A4D71B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link w:val="NormalBoldChar"/>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2C7302"/>
    <w:pPr>
      <w:tabs>
        <w:tab w:val="center" w:pos="4513"/>
        <w:tab w:val="right" w:pos="9026"/>
      </w:tabs>
    </w:pPr>
  </w:style>
  <w:style w:type="character" w:customStyle="1" w:styleId="HeaderChar">
    <w:name w:val="Header Char"/>
    <w:basedOn w:val="DefaultParagraphFont"/>
    <w:link w:val="Header"/>
    <w:rsid w:val="002C7302"/>
    <w:rPr>
      <w:sz w:val="24"/>
      <w:szCs w:val="24"/>
    </w:rPr>
  </w:style>
  <w:style w:type="paragraph" w:styleId="Footer">
    <w:name w:val="footer"/>
    <w:basedOn w:val="Normal"/>
    <w:link w:val="FooterChar"/>
    <w:semiHidden/>
    <w:unhideWhenUsed/>
    <w:rsid w:val="002C7302"/>
    <w:pPr>
      <w:tabs>
        <w:tab w:val="center" w:pos="4513"/>
        <w:tab w:val="right" w:pos="9026"/>
      </w:tabs>
    </w:pPr>
  </w:style>
  <w:style w:type="character" w:customStyle="1" w:styleId="FooterChar">
    <w:name w:val="Footer Char"/>
    <w:basedOn w:val="DefaultParagraphFont"/>
    <w:link w:val="Footer"/>
    <w:semiHidden/>
    <w:rsid w:val="002C7302"/>
    <w:rPr>
      <w:sz w:val="24"/>
      <w:szCs w:val="24"/>
    </w:rPr>
  </w:style>
  <w:style w:type="paragraph" w:styleId="BalloonText">
    <w:name w:val="Balloon Text"/>
    <w:basedOn w:val="Normal"/>
    <w:link w:val="BalloonTextChar"/>
    <w:semiHidden/>
    <w:unhideWhenUsed/>
    <w:rsid w:val="00BB6EBB"/>
    <w:rPr>
      <w:rFonts w:ascii="Segoe UI" w:hAnsi="Segoe UI" w:cs="Segoe UI"/>
      <w:sz w:val="18"/>
      <w:szCs w:val="18"/>
    </w:rPr>
  </w:style>
  <w:style w:type="character" w:customStyle="1" w:styleId="BalloonTextChar">
    <w:name w:val="Balloon Text Char"/>
    <w:basedOn w:val="DefaultParagraphFont"/>
    <w:link w:val="BalloonText"/>
    <w:semiHidden/>
    <w:rsid w:val="00BB6EBB"/>
    <w:rPr>
      <w:rFonts w:ascii="Segoe UI" w:hAnsi="Segoe UI" w:cs="Segoe UI"/>
      <w:sz w:val="18"/>
      <w:szCs w:val="18"/>
    </w:rPr>
  </w:style>
  <w:style w:type="paragraph" w:customStyle="1" w:styleId="Normal6">
    <w:name w:val="Normal6"/>
    <w:basedOn w:val="Normal"/>
    <w:link w:val="Normal6Char"/>
    <w:rsid w:val="005F763A"/>
    <w:pPr>
      <w:spacing w:after="120"/>
    </w:pPr>
    <w:rPr>
      <w:szCs w:val="20"/>
      <w:lang w:eastAsia="en-GB"/>
    </w:rPr>
  </w:style>
  <w:style w:type="character" w:customStyle="1" w:styleId="NormalBoldChar">
    <w:name w:val="NormalBold Char"/>
    <w:basedOn w:val="DefaultParagraphFont"/>
    <w:link w:val="NormalBold"/>
    <w:rsid w:val="005F763A"/>
    <w:rPr>
      <w:b/>
      <w:sz w:val="24"/>
      <w:szCs w:val="24"/>
    </w:rPr>
  </w:style>
  <w:style w:type="character" w:customStyle="1" w:styleId="Normal6Char">
    <w:name w:val="Normal6 Char"/>
    <w:basedOn w:val="DefaultParagraphFont"/>
    <w:link w:val="Normal6"/>
    <w:rsid w:val="005F763A"/>
    <w:rPr>
      <w:sz w:val="24"/>
      <w:lang w:val="de-DE" w:eastAsia="en-GB"/>
    </w:rPr>
  </w:style>
  <w:style w:type="paragraph" w:customStyle="1" w:styleId="ColumnHeading">
    <w:name w:val="ColumnHeading"/>
    <w:basedOn w:val="Normal"/>
    <w:rsid w:val="005F763A"/>
    <w:pPr>
      <w:spacing w:after="240"/>
      <w:jc w:val="center"/>
    </w:pPr>
    <w:rPr>
      <w:i/>
      <w:szCs w:val="20"/>
      <w:lang w:eastAsia="en-GB"/>
    </w:rPr>
  </w:style>
  <w:style w:type="paragraph" w:customStyle="1" w:styleId="AMNumberTabs0">
    <w:name w:val="AMNumberTabs"/>
    <w:basedOn w:val="Normal"/>
    <w:rsid w:val="005F763A"/>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lang w:eastAsia="en-GB"/>
    </w:rPr>
  </w:style>
  <w:style w:type="paragraph" w:customStyle="1" w:styleId="Olang">
    <w:name w:val="Olang"/>
    <w:rsid w:val="005F763A"/>
    <w:pPr>
      <w:jc w:val="right"/>
    </w:pPr>
    <w:rPr>
      <w:lang w:eastAsia="cs-CZ"/>
    </w:rPr>
  </w:style>
  <w:style w:type="character" w:styleId="CommentReference">
    <w:name w:val="annotation reference"/>
    <w:basedOn w:val="DefaultParagraphFont"/>
    <w:semiHidden/>
    <w:unhideWhenUsed/>
    <w:rsid w:val="007323C4"/>
    <w:rPr>
      <w:sz w:val="16"/>
      <w:szCs w:val="16"/>
    </w:rPr>
  </w:style>
  <w:style w:type="paragraph" w:styleId="CommentText">
    <w:name w:val="annotation text"/>
    <w:basedOn w:val="Normal"/>
    <w:link w:val="CommentTextChar"/>
    <w:semiHidden/>
    <w:unhideWhenUsed/>
    <w:rsid w:val="007323C4"/>
    <w:rPr>
      <w:sz w:val="20"/>
      <w:szCs w:val="20"/>
    </w:rPr>
  </w:style>
  <w:style w:type="character" w:customStyle="1" w:styleId="CommentTextChar">
    <w:name w:val="Comment Text Char"/>
    <w:basedOn w:val="DefaultParagraphFont"/>
    <w:link w:val="CommentText"/>
    <w:semiHidden/>
    <w:rsid w:val="007323C4"/>
  </w:style>
  <w:style w:type="paragraph" w:styleId="CommentSubject">
    <w:name w:val="annotation subject"/>
    <w:basedOn w:val="CommentText"/>
    <w:next w:val="CommentText"/>
    <w:link w:val="CommentSubjectChar"/>
    <w:semiHidden/>
    <w:unhideWhenUsed/>
    <w:rsid w:val="007323C4"/>
    <w:rPr>
      <w:b/>
      <w:bCs/>
    </w:rPr>
  </w:style>
  <w:style w:type="character" w:customStyle="1" w:styleId="CommentSubjectChar">
    <w:name w:val="Comment Subject Char"/>
    <w:basedOn w:val="CommentTextChar"/>
    <w:link w:val="CommentSubject"/>
    <w:semiHidden/>
    <w:rsid w:val="007323C4"/>
    <w:rPr>
      <w:b/>
      <w:bCs/>
    </w:rPr>
  </w:style>
  <w:style w:type="paragraph" w:styleId="Revision">
    <w:name w:val="Revision"/>
    <w:hidden/>
    <w:uiPriority w:val="99"/>
    <w:semiHidden/>
    <w:rsid w:val="007323C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5BAD4C-E055-4979-8F17-403FF2FBB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189</Pages>
  <Words>32636</Words>
  <Characters>226107</Characters>
  <Application>Microsoft Office Word</Application>
  <DocSecurity>0</DocSecurity>
  <Lines>9786</Lines>
  <Paragraphs>3050</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256162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2025-05-23T09:58:00Z</dcterms:created>
  <dcterms:modified xsi:type="dcterms:W3CDTF">2025-05-23T09:58:00Z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1320327</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173951</vt:lpwstr>
  </property>
  <property fmtid="{D5CDD505-2E9C-101B-9397-08002B2CF9AE}" pid="7" name="dmxml.render.traceId">
    <vt:lpwstr>6814b4ffff221515b528b7fae7ef3a9e</vt:lpwstr>
  </property>
  <property fmtid="{D5CDD505-2E9C-101B-9397-08002B2CF9AE}" pid="8" name="FooterPath">
    <vt:lpwstr>AM\1320327DE.docx</vt:lpwstr>
  </property>
  <property fmtid="{D5CDD505-2E9C-101B-9397-08002B2CF9AE}" pid="9" name="LastEdited with">
    <vt:lpwstr>10.1.1 Build [20250421]</vt:lpwstr>
  </property>
  <property fmtid="{D5CDD505-2E9C-101B-9397-08002B2CF9AE}" pid="10" name="OriLang">
    <vt:lpwstr>EN</vt:lpwstr>
  </property>
  <property fmtid="{D5CDD505-2E9C-101B-9397-08002B2CF9AE}" pid="11" name="PE Number">
    <vt:lpwstr>773.152</vt:lpwstr>
  </property>
  <property fmtid="{D5CDD505-2E9C-101B-9397-08002B2CF9AE}" pid="12" name="SDLStudio">
    <vt:lpwstr/>
  </property>
  <property fmtid="{D5CDD505-2E9C-101B-9397-08002B2CF9AE}" pid="13" name="SendToEpades">
    <vt:lpwstr>OK(AMNUM) - 2025/05/05 14:11</vt:lpwstr>
  </property>
  <property fmtid="{D5CDD505-2E9C-101B-9397-08002B2CF9AE}" pid="14" name="UID">
    <vt:lpwstr>eu.europa.europarl-TMP1-0000-0000000336_00.00-xm-00.00_text-xml</vt:lpwstr>
  </property>
  <property fmtid="{D5CDD505-2E9C-101B-9397-08002B2CF9AE}" pid="15" name="Bookout">
    <vt:lpwstr>OK - 2025/05/23 11:58</vt:lpwstr>
  </property>
</Properties>
</file>