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18FE" w:rsidRPr="00D71EF1">
        <w:trPr>
          <w:trHeight w:hRule="exact" w:val="1417"/>
          <w:jc w:val="center"/>
        </w:trPr>
        <w:tc>
          <w:tcPr>
            <w:tcW w:w="6804" w:type="dxa"/>
            <w:tcBorders>
              <w:top w:val="nil"/>
              <w:left w:val="nil"/>
              <w:bottom w:val="nil"/>
              <w:right w:val="nil"/>
            </w:tcBorders>
            <w:vAlign w:val="center"/>
          </w:tcPr>
          <w:p w:rsidR="00F2637A" w:rsidRPr="00D71EF1" w:rsidRDefault="00E95BBE">
            <w:pPr>
              <w:pStyle w:val="EPName"/>
            </w:pPr>
            <w:r w:rsidRPr="00D71EF1">
              <w:t>Europos Parl</w:t>
            </w:r>
            <w:r w:rsidR="007A3961" w:rsidRPr="00D71EF1">
              <w:t>ament</w:t>
            </w:r>
            <w:r w:rsidRPr="00D71EF1">
              <w:t>as</w:t>
            </w:r>
          </w:p>
          <w:p w:rsidR="00F2637A" w:rsidRPr="00D71EF1" w:rsidRDefault="007A3961">
            <w:pPr>
              <w:pStyle w:val="EPTerm"/>
            </w:pPr>
            <w:r w:rsidRPr="00D71EF1">
              <w:t>2024-2029</w:t>
            </w:r>
          </w:p>
        </w:tc>
        <w:tc>
          <w:tcPr>
            <w:tcW w:w="2268" w:type="dxa"/>
            <w:tcBorders>
              <w:top w:val="nil"/>
              <w:left w:val="nil"/>
              <w:bottom w:val="nil"/>
              <w:right w:val="nil"/>
            </w:tcBorders>
          </w:tcPr>
          <w:p w:rsidR="00F2637A" w:rsidRPr="00D71EF1" w:rsidRDefault="007A3961">
            <w:pPr>
              <w:pStyle w:val="EPLogo"/>
            </w:pPr>
            <w:r w:rsidRPr="00D71EF1">
              <w:rPr>
                <w:noProof/>
                <w:lang w:eastAsia="en-GB"/>
              </w:rPr>
              <w:drawing>
                <wp:inline distT="0" distB="0" distL="0" distR="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F2637A" w:rsidRPr="00D71EF1" w:rsidRDefault="007A3961">
      <w:pPr>
        <w:pStyle w:val="LineTop"/>
      </w:pPr>
      <w:r w:rsidRPr="00D71EF1">
        <w:t xml:space="preserve"> </w:t>
      </w:r>
    </w:p>
    <w:p w:rsidR="00F2637A" w:rsidRPr="00D71EF1" w:rsidRDefault="007A3961">
      <w:pPr>
        <w:pStyle w:val="EPBody"/>
      </w:pPr>
      <w:r w:rsidRPr="00D71EF1">
        <w:rPr>
          <w:rStyle w:val="HideTWBExt"/>
          <w:rFonts w:eastAsia="Times New Roman"/>
          <w:i w:val="0"/>
        </w:rPr>
        <w:t>&lt;Commission&gt;</w:t>
      </w:r>
      <w:r w:rsidRPr="00D71EF1">
        <w:rPr>
          <w:rStyle w:val="HideTWBInt"/>
          <w:i w:val="0"/>
        </w:rPr>
        <w:t>{ECON}</w:t>
      </w:r>
      <w:r w:rsidR="00E95BBE" w:rsidRPr="00D71EF1">
        <w:t>Ekonomikos ir pinigų politikos komitetas</w:t>
      </w:r>
      <w:r w:rsidRPr="00D71EF1">
        <w:rPr>
          <w:rStyle w:val="HideTWBExt"/>
          <w:rFonts w:eastAsia="Times New Roman"/>
          <w:i w:val="0"/>
        </w:rPr>
        <w:t>&lt;/Commission&gt;</w:t>
      </w:r>
    </w:p>
    <w:p w:rsidR="00F2637A" w:rsidRPr="00D71EF1" w:rsidRDefault="007A3961">
      <w:pPr>
        <w:pStyle w:val="LineBottom"/>
      </w:pPr>
      <w:r w:rsidRPr="00D71EF1">
        <w:t xml:space="preserve"> </w:t>
      </w:r>
    </w:p>
    <w:p w:rsidR="00F2637A" w:rsidRPr="00D71EF1" w:rsidRDefault="007A3961">
      <w:pPr>
        <w:pStyle w:val="CoverReference"/>
      </w:pPr>
      <w:r w:rsidRPr="00D71EF1">
        <w:rPr>
          <w:rStyle w:val="HideTWBExt"/>
          <w:rFonts w:eastAsia="Times New Roman"/>
          <w:b w:val="0"/>
        </w:rPr>
        <w:t>&lt;RefProc&gt;</w:t>
      </w:r>
      <w:r w:rsidRPr="00D71EF1">
        <w:t>2024/2116</w:t>
      </w:r>
      <w:r w:rsidRPr="00D71EF1">
        <w:rPr>
          <w:rStyle w:val="HideTWBExt"/>
          <w:rFonts w:eastAsia="Times New Roman"/>
          <w:b w:val="0"/>
        </w:rPr>
        <w:t>&lt;/RefProc&gt;&lt;RefTypeProc&gt;</w:t>
      </w:r>
      <w:r w:rsidRPr="00D71EF1">
        <w:t>(INI)</w:t>
      </w:r>
      <w:r w:rsidRPr="00D71EF1">
        <w:rPr>
          <w:rStyle w:val="HideTWBExt"/>
          <w:rFonts w:eastAsia="Times New Roman"/>
          <w:b w:val="0"/>
        </w:rPr>
        <w:t>&lt;/RefTypeProc&gt;</w:t>
      </w:r>
    </w:p>
    <w:p w:rsidR="00F2637A" w:rsidRPr="00D71EF1" w:rsidRDefault="007A3961">
      <w:pPr>
        <w:pStyle w:val="CoverDate"/>
      </w:pPr>
      <w:r w:rsidRPr="00D71EF1">
        <w:rPr>
          <w:rStyle w:val="HideTWBExt"/>
        </w:rPr>
        <w:t>&lt;Date&gt;</w:t>
      </w:r>
      <w:r w:rsidR="002C7302" w:rsidRPr="00D71EF1">
        <w:rPr>
          <w:rStyle w:val="HideTWBInt"/>
        </w:rPr>
        <w:t>{05</w:t>
      </w:r>
      <w:r w:rsidRPr="00D71EF1">
        <w:rPr>
          <w:rStyle w:val="HideTWBInt"/>
        </w:rPr>
        <w:t>/05/2025}</w:t>
      </w:r>
      <w:r w:rsidR="002C7302" w:rsidRPr="00D71EF1">
        <w:t>5</w:t>
      </w:r>
      <w:r w:rsidRPr="00D71EF1">
        <w:t>.5.2025</w:t>
      </w:r>
      <w:r w:rsidRPr="00D71EF1">
        <w:rPr>
          <w:rStyle w:val="HideTWBExt"/>
        </w:rPr>
        <w:t>&lt;/Date&gt;</w:t>
      </w:r>
    </w:p>
    <w:p w:rsidR="00F2637A" w:rsidRPr="00D71EF1" w:rsidRDefault="007A3961">
      <w:pPr>
        <w:pStyle w:val="CoverDocType"/>
      </w:pPr>
      <w:r w:rsidRPr="00D71EF1">
        <w:rPr>
          <w:rStyle w:val="HideTWBExt"/>
          <w:b w:val="0"/>
        </w:rPr>
        <w:t>&lt;TypeAM&gt;</w:t>
      </w:r>
      <w:r w:rsidR="00E95BBE" w:rsidRPr="00D71EF1">
        <w:t>PAKEITIMAI</w:t>
      </w:r>
      <w:r w:rsidRPr="00D71EF1">
        <w:rPr>
          <w:rStyle w:val="HideTWBExt"/>
          <w:b w:val="0"/>
        </w:rPr>
        <w:t>&lt;/TypeAM&gt;</w:t>
      </w:r>
    </w:p>
    <w:p w:rsidR="00F2637A" w:rsidRPr="00D71EF1" w:rsidRDefault="007A3961">
      <w:pPr>
        <w:pStyle w:val="CoverDocType24a"/>
      </w:pPr>
      <w:r w:rsidRPr="00D71EF1">
        <w:rPr>
          <w:rStyle w:val="HideTWBExt"/>
          <w:rFonts w:eastAsia="Times New Roman"/>
          <w:b w:val="0"/>
        </w:rPr>
        <w:t>&lt;RangeAM&gt;</w:t>
      </w:r>
      <w:r w:rsidR="002B2112" w:rsidRPr="00D71EF1">
        <w:t>1 - 339</w:t>
      </w:r>
      <w:r w:rsidRPr="00D71EF1">
        <w:rPr>
          <w:rStyle w:val="HideTWBExt"/>
          <w:rFonts w:eastAsia="Times New Roman"/>
          <w:b w:val="0"/>
        </w:rPr>
        <w:t>&lt;/RangeAM&gt;</w:t>
      </w:r>
    </w:p>
    <w:p w:rsidR="00F2637A" w:rsidRPr="00D71EF1" w:rsidRDefault="007A3961">
      <w:pPr>
        <w:pStyle w:val="CoverBold"/>
      </w:pPr>
      <w:r w:rsidRPr="00D71EF1">
        <w:rPr>
          <w:rStyle w:val="HideTWBExt"/>
          <w:b w:val="0"/>
        </w:rPr>
        <w:t>&lt;TitreType&gt;</w:t>
      </w:r>
      <w:r w:rsidR="00E95BBE" w:rsidRPr="00D71EF1">
        <w:t>Pranešimo projektas</w:t>
      </w:r>
      <w:r w:rsidRPr="00D71EF1">
        <w:rPr>
          <w:rStyle w:val="HideTWBExt"/>
          <w:b w:val="0"/>
        </w:rPr>
        <w:t>&lt;/TitreType&gt;</w:t>
      </w:r>
    </w:p>
    <w:p w:rsidR="00F2637A" w:rsidRPr="00D71EF1" w:rsidRDefault="007A3961">
      <w:pPr>
        <w:pStyle w:val="CoverBold"/>
      </w:pPr>
      <w:r w:rsidRPr="00D71EF1">
        <w:rPr>
          <w:rStyle w:val="HideTWBExt"/>
          <w:b w:val="0"/>
        </w:rPr>
        <w:t>&lt;Rapporteur&gt;</w:t>
      </w:r>
      <w:r w:rsidRPr="00D71EF1">
        <w:t>Aurore Lalucq</w:t>
      </w:r>
      <w:r w:rsidRPr="00D71EF1">
        <w:rPr>
          <w:rStyle w:val="HideTWBExt"/>
          <w:b w:val="0"/>
        </w:rPr>
        <w:t>&lt;/Rapporteur&gt;</w:t>
      </w:r>
    </w:p>
    <w:p w:rsidR="00F2637A" w:rsidRPr="00D71EF1" w:rsidRDefault="007A3961">
      <w:pPr>
        <w:pStyle w:val="CoverNormal24a"/>
      </w:pPr>
      <w:r w:rsidRPr="00D71EF1">
        <w:rPr>
          <w:rStyle w:val="HideTWBExt"/>
        </w:rPr>
        <w:t>&lt;DocRefPE&gt;</w:t>
      </w:r>
      <w:r w:rsidRPr="00D71EF1">
        <w:t>(PE770.112v01-00)</w:t>
      </w:r>
      <w:r w:rsidRPr="00D71EF1">
        <w:rPr>
          <w:rStyle w:val="HideTWBExt"/>
        </w:rPr>
        <w:t>&lt;/DocRefPE&gt;</w:t>
      </w:r>
    </w:p>
    <w:p w:rsidR="00F2637A" w:rsidRPr="00D71EF1" w:rsidRDefault="007A3961">
      <w:pPr>
        <w:pStyle w:val="CoverNormal"/>
      </w:pPr>
      <w:r w:rsidRPr="00D71EF1">
        <w:rPr>
          <w:rStyle w:val="HideTWBExt"/>
        </w:rPr>
        <w:t>&lt;Titre&gt;</w:t>
      </w:r>
      <w:r w:rsidR="00E95BBE" w:rsidRPr="00D71EF1">
        <w:t>Investicijų ir reformų finansavimo palengvinimas siekiant padidinti Europos konkurencingumą ir sukurti kapitalo rinkų sąjungą (Draghi pranešimas)</w:t>
      </w:r>
      <w:r w:rsidRPr="00D71EF1">
        <w:rPr>
          <w:rStyle w:val="HideTWBExt"/>
        </w:rPr>
        <w:t>&lt;/Titre&gt;</w:t>
      </w:r>
    </w:p>
    <w:p w:rsidR="00F2637A" w:rsidRPr="00D71EF1" w:rsidRDefault="007A3961">
      <w:pPr>
        <w:pStyle w:val="CoverNormal24a"/>
      </w:pPr>
      <w:r w:rsidRPr="00D71EF1">
        <w:rPr>
          <w:rStyle w:val="HideTWBExt"/>
        </w:rPr>
        <w:t>&lt;DocRef&gt;</w:t>
      </w:r>
      <w:r w:rsidRPr="00D71EF1">
        <w:t>(2024/2116(INI))</w:t>
      </w:r>
      <w:r w:rsidRPr="00D71EF1">
        <w:rPr>
          <w:rStyle w:val="HideTWBExt"/>
        </w:rPr>
        <w:t>&lt;/DocRef&gt;</w:t>
      </w:r>
    </w:p>
    <w:p w:rsidR="00F2637A" w:rsidRPr="00D71EF1" w:rsidRDefault="007A3961">
      <w:r w:rsidRPr="00D71EF1">
        <w:br w:type="page"/>
      </w:r>
      <w:r w:rsidRPr="00D71EF1">
        <w:lastRenderedPageBreak/>
        <w:t>AM_Com_NonLegReport</w:t>
      </w:r>
    </w:p>
    <w:p w:rsidR="00E95BBE" w:rsidRPr="00D71EF1" w:rsidRDefault="007A3961" w:rsidP="00E95BBE">
      <w:pPr>
        <w:pStyle w:val="AmNumberTabs"/>
      </w:pPr>
      <w:r w:rsidRPr="00D71EF1">
        <w:br w:type="page"/>
      </w:r>
      <w:r w:rsidR="00E95BBE" w:rsidRPr="00D71EF1">
        <w:rPr>
          <w:rStyle w:val="HideTWBExt"/>
          <w:b w:val="0"/>
        </w:rPr>
        <w:lastRenderedPageBreak/>
        <w:t>&lt;RepeatBlock-Amend&gt;&lt;Amend&gt;</w:t>
      </w:r>
      <w:r w:rsidR="00E95BBE" w:rsidRPr="00D71EF1">
        <w:t>Pakeitimas</w:t>
      </w:r>
      <w:r w:rsidR="00E95BBE" w:rsidRPr="00D71EF1">
        <w:tab/>
      </w:r>
      <w:r w:rsidR="00E95BBE" w:rsidRPr="00D71EF1">
        <w:tab/>
      </w:r>
      <w:r w:rsidR="00E95BBE" w:rsidRPr="00D71EF1">
        <w:rPr>
          <w:rStyle w:val="HideTWBExt"/>
          <w:b w:val="0"/>
        </w:rPr>
        <w:t>&lt;NumAm&gt;</w:t>
      </w:r>
      <w:r w:rsidR="00E95BBE" w:rsidRPr="00D71EF1">
        <w:t>1</w:t>
      </w:r>
      <w:r w:rsidR="00E95BBE"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Pascal Canfin, Billy Kelleher,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kovo 19 d. Komisijos komunikatą „Piliečių gerovės ir ekonomikos konkurencingumo skatinimo ES strategija“ (COM(2025)124),</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sausio 29 d. Komisijos komunikatą „ES konkurencingumo kelrodis“ (COM(2025)30),</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vasario 26 d. Komisijos komunikatą „Švarios pramonės kursas. Bendros konkurencingumo ir priklausomybės nuo iškastinio kuro mažinimo veiksmų gairės“ (COM(2025)85),</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b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2019 m. gruodžio 11 d. Komisijos komunikatą „Europos žaliasis kursas“ (COM(2019)640),</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c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savo 2020 m. sausio 15 d. rezoliuciją dėl Europos žaliojo kurso (P9.TA(2020)0005),</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2020 m. kovo 11 d. Komisijos komunikatą „Naujas žiedinės ekonomikos veiksmų planas, kuriuo siekiama švaresnės ir konkurencingesnės Europos“ (COM(2020)98),</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e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savo 2021 m. vasario 10 d. rezoliuciją dėl naujo žiedinės ekonomikos veiksmų plano (P9.TA(2021)0640),</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kovo 19 d. Komisijos komunikatą „Santaupų ir investicijų sąjunga. Piliečių gerovės ir ekonomikos konkurencingumo skatinimo ES strategija“ (COM(2025)124),</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sausio 29 d. Komisijos komunikatą „ES konkurencingumo kelrodis“ (COM(2025)30),</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sausio 29 d. Komisijos komunikatą „ES konkurencingumo kelrodis“ (COM(2025)30),</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b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kovo 19 d. Komisijos komunikatą „Santaupų ir investicijų sąjunga. Piliečių gerovės ir ekonomikos konkurencingumo skatinimo ES strategija“ (COM(2025)124),</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Europos ekonomikos ir socialinių reikalų komiteto tiriamąją nuomonę dėl investicijų ir reformų finansavimo palengvinimo siekiant padidinti Europos konkurencingumą ir sukurti kapitalo rinkų sąjungą (ECO/665),</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11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2023 m. gruodžio mėn. ESMA rinkos ataskaitą „Costs and Performance of EU Retail Investment Products 2023“ („ES mažmeninių investicinių produktų sąnaudos ir rezultatai 2023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11 b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2024 m. liepos mėn. ESMA nuomonę „Sustainable investments: Facilitating the investor journey - A holistic vision for the long term“ („Tvarios investicijos. Visapusiška ilgalaikė vizija“),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11 c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2024 m. rugsėjo mėn. Europos draudimo ir profesinių pensijų institucijos (EIOPA) tarnybų dokumentą „The Future Pan-European Pension Product“ („Būsimas visos Europos pensijos produktas“),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11 d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balandžio mėn. EIOPA ataskaitą „Costs and past performance report“ („Išlaidų ir ankstesnių veiklos rezultatų ataskaita“),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11 e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 xml:space="preserve">atsižvelgdamas į 2024 m. lapkričio mėn. EIOPA galutinę ataskaitą „Prudential Treatment of Sustainability </w:t>
            </w:r>
            <w:r w:rsidRPr="00D71EF1">
              <w:rPr>
                <w:b/>
                <w:i/>
              </w:rPr>
              <w:lastRenderedPageBreak/>
              <w:t>Risks for Insurers“ („Prudencinės tvarkos taikymas draudikų tvarumo rizikai“),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kovo 19 d. Komisijos komunikatą „Santaupų ir investicijų sąjunga. Piliečių gerovės ir ekonomikos konkurencingumo skatinimo ES strategija“ (COM(2025)129),</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Anouk Van Brug,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Europos priežiūros institucijų jungtinio komiteto Pakeitimo vertybiniais popieriais reglamento įgyvendinimo ir veikimo ataskaitą,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Tarpvyriausybinės klimato kaitos komisijos (IPCC) 6-ąją apibendrinamąją ataskaitą,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b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2023 m. rugsėjo 21 d. Europos vertybinių popierių ir rinkų institucijos ataskaitą „The EU securitisation market – an overview“ („ES pakeitimo vertybiniais popieriais rinkos apžvalga“)</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ESMA50-524821-2908.</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b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2022 m. gruodžio mėn. Jungtinių Tautų biologinės įvairovės konvencijos šalių susitikime priimtą Kunmingo ir Monrealio pasaulinės biologinės įvairovės strategiją,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12 c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vasario 12 d. Komisijos pasiūlymą teisėkūros procedūra priimamo akto, kuriuo siekiama sutrumpinti ES atsiskaitymo už vertybinius popierius ciklą nuo dviejų iki vienos dienos</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COM(2025)38 </w:t>
            </w:r>
            <w:r w:rsidRPr="00D71EF1">
              <w:rPr>
                <w:b/>
              </w:rPr>
              <w:t>final</w:t>
            </w:r>
            <w:r w:rsidRPr="00D71EF1">
              <w:rPr>
                <w:b/>
                <w:i/>
              </w:rPr>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14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atsižvelgdamas į 2025 m. kovo 19 d. Komisijos komunikatą „Santaupų ir investicijų sąjunga. Piliečių gerovės ir ekonomikos konkurencingumo skatinimo ES strategija“ (COM(2025)124),</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17 a nurodomoji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w:t>
            </w:r>
            <w:r w:rsidRPr="00D71EF1">
              <w:tab/>
            </w:r>
            <w:r w:rsidRPr="00D71EF1">
              <w:rPr>
                <w:b/>
                <w:i/>
              </w:rPr>
              <w:t xml:space="preserve">atsižvelgdamas į 2023 m. vasario mėn. pradėtą įgyvendinti Europos </w:t>
            </w:r>
            <w:r w:rsidRPr="00D71EF1">
              <w:rPr>
                <w:b/>
                <w:i/>
              </w:rPr>
              <w:lastRenderedPageBreak/>
              <w:t>technologijų lyderių iniciatyvą,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w:t>
            </w:r>
            <w:r w:rsidRPr="00D71EF1">
              <w:tab/>
            </w:r>
            <w:r w:rsidRPr="00D71EF1">
              <w:rPr>
                <w:b/>
                <w:i/>
              </w:rPr>
              <w:t>kadangi Europos ekonomikos augimas ir konkurencingumas labai priklauso nuo išorės žaliavų ir ypatingos svarbos mineralų, reikia skubiai pereiti prie efektyvaus išteklių naudojimo ir tikro žiediškumo; kadangi nėra tvaraus konkurencingumo neatsižvelgiant į precedento neturinčią klimato krizę, biologinės įvairovės nykimą ir socialinį tvarumą;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-Aa.</w:t>
            </w:r>
            <w:r w:rsidRPr="00D71EF1">
              <w:tab/>
            </w:r>
            <w:r w:rsidRPr="00D71EF1">
              <w:rPr>
                <w:b/>
                <w:i/>
              </w:rPr>
              <w:t>kadangi šiuos uždavinius galima išspręsti tik nukreipiant finansinius srautus naujam ir tvariam augimui, o pasaulinis metinių investicijų deficitas, siekiant iki 2050 m. pasiekti nulinį grynąjį teršalų kiekį, yra daugiau kaip 8000 mlrd. EUR; kadangi tik 3,1 proc. pasaulio valdomo turto nukreipiama į aiškiai tvarias investicijas, o iki 70 proc. jo skiriama klimatui ar aplinkai žalingai veiklai;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w:t>
            </w:r>
            <w:r w:rsidRPr="00D71EF1">
              <w:rPr>
                <w:b/>
                <w:bCs/>
                <w:i/>
                <w:iCs/>
              </w:rPr>
              <w:t>ir ES aplinkos ir socialiniams tikslams pasiekti</w:t>
            </w:r>
            <w:r w:rsidRPr="00D71EF1">
              <w:rPr>
                <w:b/>
                <w:bCs/>
              </w:rPr>
              <w:t xml:space="preserve"> </w:t>
            </w:r>
            <w:r w:rsidRPr="00D71EF1">
              <w:t>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našumui </w:t>
            </w:r>
            <w:r w:rsidRPr="00D71EF1">
              <w:rPr>
                <w:b/>
                <w:bCs/>
                <w:i/>
                <w:iCs/>
              </w:rPr>
              <w:t xml:space="preserve">ir konkurencingumui </w:t>
            </w:r>
            <w:r w:rsidRPr="00D71EF1">
              <w:t>atkurti reikia mažiausiai 750–800 mlrd. EUR papildomų metinių investicijų;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w:t>
            </w:r>
            <w:r w:rsidRPr="00D71EF1">
              <w:rPr>
                <w:b/>
                <w:bCs/>
                <w:i/>
                <w:iCs/>
              </w:rPr>
              <w:t>našumui atkurti ir</w:t>
            </w:r>
            <w:r w:rsidRPr="00D71EF1">
              <w:t xml:space="preserve"> ES </w:t>
            </w:r>
            <w:r w:rsidRPr="00D71EF1">
              <w:rPr>
                <w:b/>
                <w:bCs/>
                <w:i/>
                <w:iCs/>
              </w:rPr>
              <w:t>aplinkos ir socialiniams tikslams pasiekti reikia mažiausiai 750–800 mlrd. EUR papildomų metinių investicijų</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w:t>
            </w:r>
            <w:r w:rsidRPr="00D71EF1">
              <w:rPr>
                <w:b/>
                <w:bCs/>
                <w:i/>
                <w:iCs/>
              </w:rPr>
              <w:t xml:space="preserve">didėja finansavimo poreikis, siekiant atkurti </w:t>
            </w:r>
            <w:r w:rsidRPr="00D71EF1">
              <w:t xml:space="preserve">ES </w:t>
            </w:r>
            <w:r w:rsidRPr="00D71EF1">
              <w:rPr>
                <w:b/>
                <w:bCs/>
                <w:i/>
                <w:iCs/>
              </w:rPr>
              <w:t>konkurencingumą ir ekonomikos augimą, taip pat įgyvendinti</w:t>
            </w:r>
            <w:r w:rsidRPr="00D71EF1">
              <w:t xml:space="preserve"> ES </w:t>
            </w:r>
            <w:r w:rsidRPr="00D71EF1">
              <w:rPr>
                <w:b/>
                <w:bCs/>
                <w:i/>
                <w:iCs/>
              </w:rPr>
              <w:t>tikslus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Anouk Van Brug, Engin Eroglu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ir </w:t>
            </w:r>
            <w:r w:rsidRPr="00D71EF1">
              <w:rPr>
                <w:b/>
                <w:bCs/>
                <w:i/>
                <w:iCs/>
              </w:rPr>
              <w:t>ES aplinkos ir socialiniams tikslams pasiekti</w:t>
            </w:r>
            <w:r w:rsidRPr="00D71EF1">
              <w:t xml:space="preserve"> reikia mažiausiai 750–800 mlrd. EUR </w:t>
            </w:r>
            <w:r w:rsidRPr="00D71EF1">
              <w:lastRenderedPageBreak/>
              <w:t>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lastRenderedPageBreak/>
              <w:t>A.</w:t>
            </w:r>
            <w:r w:rsidRPr="00D71EF1">
              <w:tab/>
              <w:t xml:space="preserve">kadangi Draghi </w:t>
            </w:r>
            <w:r w:rsidRPr="00D71EF1">
              <w:rPr>
                <w:b/>
                <w:bCs/>
                <w:i/>
                <w:iCs/>
              </w:rPr>
              <w:t>pranešime</w:t>
            </w:r>
            <w:r w:rsidRPr="00D71EF1">
              <w:t xml:space="preserve"> nurodyta, jog ES našumui atkurti ir </w:t>
            </w:r>
            <w:r w:rsidRPr="00D71EF1">
              <w:rPr>
                <w:b/>
                <w:bCs/>
                <w:i/>
                <w:iCs/>
              </w:rPr>
              <w:t>Europos konkurencingumui susigrąžinti</w:t>
            </w:r>
            <w:r w:rsidRPr="00D71EF1">
              <w:t xml:space="preserve"> reikia mažiausiai 750–800 mlrd. EUR </w:t>
            </w:r>
            <w:r w:rsidRPr="00D71EF1">
              <w:lastRenderedPageBreak/>
              <w:t>papildomų metinių investicijų;</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w:t>
            </w:r>
            <w:r w:rsidRPr="00D71EF1">
              <w:rPr>
                <w:b/>
                <w:bCs/>
                <w:i/>
                <w:iCs/>
              </w:rPr>
              <w:t>ES</w:t>
            </w:r>
            <w:r w:rsidRPr="00D71EF1">
              <w:t xml:space="preserve"> našumui atkurti</w:t>
            </w:r>
            <w:r w:rsidRPr="00D71EF1">
              <w:rPr>
                <w:b/>
                <w:bCs/>
                <w:i/>
                <w:iCs/>
              </w:rPr>
              <w:t xml:space="preserve"> ir ES aplinkos ir socialiniams tikslams pasiekti</w:t>
            </w:r>
            <w:r w:rsidRPr="00D71EF1">
              <w:t xml:space="preserve">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w:t>
            </w:r>
            <w:r w:rsidRPr="00D71EF1">
              <w:rPr>
                <w:b/>
                <w:bCs/>
                <w:i/>
                <w:iCs/>
              </w:rPr>
              <w:t>tvariam ekonomikos augimui atgaivinti,</w:t>
            </w:r>
            <w:r w:rsidRPr="00D71EF1">
              <w:t xml:space="preserve"> našumui atkurti</w:t>
            </w:r>
            <w:r w:rsidRPr="00D71EF1">
              <w:rPr>
                <w:b/>
                <w:bCs/>
                <w:i/>
                <w:iCs/>
              </w:rPr>
              <w:t>, konkurencingumui remti, inovacijoms skatinti, gynybai stiprinti ir saugumui didinti bei įvairiai priklausomybei mažinti</w:t>
            </w:r>
            <w:r w:rsidRPr="00D71EF1">
              <w:t xml:space="preserve"> reikia mažiausiai 750–800 mlrd. EUR papildomų metinių investicijų;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w:t>
            </w:r>
            <w:r w:rsidRPr="00D71EF1">
              <w:rPr>
                <w:b/>
                <w:bCs/>
                <w:i/>
                <w:iCs/>
              </w:rPr>
              <w:t>atkurti ir ES aplinkos ir socialiniams tikslams pasiekti</w:t>
            </w:r>
            <w:r w:rsidRPr="00D71EF1">
              <w:t xml:space="preserve">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w:t>
            </w:r>
            <w:r w:rsidRPr="00D71EF1">
              <w:rPr>
                <w:b/>
                <w:bCs/>
                <w:i/>
                <w:iCs/>
              </w:rPr>
              <w:t>energetikos pertvarkai paremti, jos lyderystei skaitmeninių technologijų srityje sustiprinti, gynybai ir saugumui sustiprinti bei ES</w:t>
            </w:r>
            <w:r w:rsidRPr="00D71EF1">
              <w:rPr>
                <w:b/>
                <w:bCs/>
              </w:rPr>
              <w:t xml:space="preserve"> </w:t>
            </w:r>
            <w:r w:rsidRPr="00D71EF1">
              <w:t xml:space="preserve">našumui </w:t>
            </w:r>
            <w:r w:rsidRPr="00D71EF1">
              <w:rPr>
                <w:b/>
                <w:bCs/>
                <w:i/>
                <w:iCs/>
              </w:rPr>
              <w:t>padidinti</w:t>
            </w:r>
            <w:r w:rsidRPr="00D71EF1">
              <w:t xml:space="preserve"> reikia mažiausiai 750–800 mlrd. EUR papildomų metinių investicijų;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ir </w:t>
            </w:r>
            <w:r w:rsidRPr="00D71EF1">
              <w:rPr>
                <w:b/>
                <w:bCs/>
                <w:i/>
                <w:iCs/>
              </w:rPr>
              <w:t>ES aplinkos ir socialiniams tikslams pasiekti</w:t>
            </w:r>
            <w:r w:rsidRPr="00D71EF1">
              <w:t xml:space="preserve">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našumui </w:t>
            </w:r>
            <w:r w:rsidRPr="00D71EF1">
              <w:rPr>
                <w:b/>
                <w:bCs/>
                <w:i/>
                <w:iCs/>
              </w:rPr>
              <w:t xml:space="preserve">ir konkurencingumui </w:t>
            </w:r>
            <w:r w:rsidRPr="00D71EF1">
              <w:t>atkurti reikia mažiausiai 750–800 mlrd. EUR papildomų metinių investicijų;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ir ES aplinkos ir socialiniams tikslams pasiekti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našumui </w:t>
            </w:r>
            <w:r w:rsidRPr="00D71EF1">
              <w:rPr>
                <w:b/>
                <w:bCs/>
                <w:i/>
                <w:iCs/>
              </w:rPr>
              <w:t xml:space="preserve">ir konkurencingumui </w:t>
            </w:r>
            <w:r w:rsidRPr="00D71EF1">
              <w:t>atkurti ir ES aplinkos ir socialiniams tikslams pasiekti reikia mažiausiai 750–800 mlrd. EUR papildomų metinių investicijų;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w:t>
            </w:r>
            <w:r w:rsidRPr="00D71EF1">
              <w:rPr>
                <w:b/>
                <w:bCs/>
                <w:i/>
                <w:iCs/>
              </w:rPr>
              <w:t>našumui</w:t>
            </w:r>
            <w:r w:rsidRPr="00D71EF1">
              <w:t xml:space="preserve"> atkurti </w:t>
            </w:r>
            <w:r w:rsidRPr="00D71EF1">
              <w:rPr>
                <w:b/>
                <w:bCs/>
                <w:i/>
                <w:iCs/>
              </w:rPr>
              <w:t>ir ES aplinkos ir socialiniams tikslams pasiekti</w:t>
            </w:r>
            <w:r w:rsidRPr="00D71EF1">
              <w:rPr>
                <w:b/>
                <w:bCs/>
              </w:rPr>
              <w:t xml:space="preserve"> </w:t>
            </w:r>
            <w:r w:rsidRPr="00D71EF1">
              <w:t>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w:t>
            </w:r>
            <w:r w:rsidRPr="00D71EF1">
              <w:rPr>
                <w:b/>
                <w:bCs/>
                <w:i/>
                <w:iCs/>
              </w:rPr>
              <w:t>konkurencingumui ir struktūrinei Europos ekonomikos pertvarkai</w:t>
            </w:r>
            <w:r w:rsidRPr="00D71EF1">
              <w:t xml:space="preserve"> atkurti reikia mažiausiai 750–800 mlrd. EUR papildomų metinių investicijų;</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w:t>
            </w:r>
            <w:r w:rsidRPr="00D71EF1">
              <w:rPr>
                <w:b/>
                <w:bCs/>
                <w:i/>
                <w:iCs/>
              </w:rPr>
              <w:t>ES našumui atkurti ir ES aplinkos ir socialiniams tikslams pasiekti reikia mažiausiai 750–800 mlrd. EUR papildomų metinių investicijų</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w:t>
            </w:r>
            <w:r w:rsidRPr="00D71EF1">
              <w:rPr>
                <w:b/>
                <w:bCs/>
                <w:i/>
                <w:iCs/>
              </w:rPr>
              <w:t>pagrindinės mažo investicijų finansavimo ES priežastys yra didelis rinkos susiskaidymas, mokesčių politikos ir nemokumo teisės aktų nenuoseklumas ir pernelyg didelis rėmimasis skolos finansavimu</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 nurodyta</w:t>
            </w:r>
            <w:r w:rsidRPr="00D71EF1">
              <w:t xml:space="preserve">, jog ES </w:t>
            </w:r>
            <w:r w:rsidRPr="00D71EF1">
              <w:rPr>
                <w:b/>
                <w:bCs/>
                <w:i/>
                <w:iCs/>
              </w:rPr>
              <w:t>našumui atkurti ir ES aplinkos ir socialiniams tikslams pasiekti</w:t>
            </w:r>
            <w:r w:rsidRPr="00D71EF1">
              <w:t xml:space="preserve">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 teigiama</w:t>
            </w:r>
            <w:r w:rsidRPr="00D71EF1">
              <w:t xml:space="preserve">, jog ES </w:t>
            </w:r>
            <w:r w:rsidRPr="00D71EF1">
              <w:rPr>
                <w:b/>
                <w:bCs/>
                <w:i/>
                <w:iCs/>
              </w:rPr>
              <w:t>konkurencingumui išlaikyti</w:t>
            </w:r>
            <w:r w:rsidRPr="00D71EF1">
              <w:t xml:space="preserve"> reikia mažiausiai 750–800 mlrd. EUR papildomų metinių investicijų ir</w:t>
            </w:r>
            <w:r w:rsidRPr="00D71EF1">
              <w:rPr>
                <w:b/>
                <w:i/>
              </w:rPr>
              <w:t xml:space="preserve"> </w:t>
            </w:r>
            <w:r w:rsidRPr="00D71EF1">
              <w:rPr>
                <w:b/>
                <w:bCs/>
                <w:i/>
                <w:iCs/>
              </w:rPr>
              <w:t>kad suma atitinka 10 valstybių narių 2023 m. metinį BVP dabartinėmis kainomis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ir ES aplinkos ir socialiniams tikslams pasiekti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našumui atkurti ir ES aplinkos ir socialiniams tikslams pasiekti reikia mažiausiai 750–800 mlrd. EUR papildomų metinių investicijų; </w:t>
            </w:r>
            <w:r w:rsidRPr="00D71EF1">
              <w:rPr>
                <w:b/>
                <w:i/>
              </w:rPr>
              <w:t>kadangi ta suma atitiko 4,4–4,7 proc. ES BVP 2023 m.</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M. Draghi, The future of European competitiveness Part A, A competitiveness strategy for Europe („Europos konkurencingumo ateitis (A dalis. Europos konkurencingumo strategija)“),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ataskaitoje</w:t>
            </w:r>
            <w:r w:rsidRPr="00D71EF1">
              <w:t xml:space="preserve"> nurodyta, jog ES našumui atkurti ir ES aplinkos ir socialiniams tikslams pasiekti reikia mažiausiai 750–800 mlrd. EUR papildomų metinių investicijų;</w:t>
            </w:r>
          </w:p>
        </w:tc>
        <w:tc>
          <w:tcPr>
            <w:tcW w:w="4876" w:type="dxa"/>
            <w:tcBorders>
              <w:top w:val="nil"/>
              <w:left w:val="nil"/>
              <w:bottom w:val="nil"/>
              <w:right w:val="nil"/>
            </w:tcBorders>
          </w:tcPr>
          <w:p w:rsidR="00E95BBE" w:rsidRPr="00D71EF1" w:rsidRDefault="00E95BBE" w:rsidP="00E95BBE">
            <w:pPr>
              <w:pStyle w:val="Normal6a"/>
            </w:pPr>
            <w:r w:rsidRPr="00D71EF1">
              <w:t>A.</w:t>
            </w:r>
            <w:r w:rsidRPr="00D71EF1">
              <w:tab/>
              <w:t xml:space="preserve">kadangi Draghi </w:t>
            </w:r>
            <w:r w:rsidRPr="00D71EF1">
              <w:rPr>
                <w:b/>
                <w:bCs/>
                <w:i/>
                <w:iCs/>
              </w:rPr>
              <w:t>pranešime</w:t>
            </w:r>
            <w:r w:rsidRPr="00D71EF1">
              <w:t xml:space="preserve"> nurodyta, jog ES našumui atkurti ir ES aplinkos ir socialiniams tikslams pasiekti reikia mažiausiai 750–800 mlrd. EUR papildomų metinių investicijų, </w:t>
            </w:r>
            <w:r w:rsidRPr="00D71EF1">
              <w:rPr>
                <w:b/>
                <w:i/>
              </w:rPr>
              <w:t>įskaitant 450 mlrd. EUR, skirtų tik energetikos pertvarkai, iš kurių 260 mlrd. EUR, anot Rousseau instituto, turėtų būti skirti viešajam sektoriui;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A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Aa.</w:t>
            </w:r>
            <w:r w:rsidRPr="00D71EF1">
              <w:tab/>
            </w:r>
            <w:r w:rsidRPr="00D71EF1">
              <w:rPr>
                <w:b/>
                <w:i/>
              </w:rPr>
              <w:t>kadangi daug labai techninio, sudėtingo ir dažnai prieštaringo reglamentavimo, taip pat vienodas universalaus sprendimo politikos metodas ir centralizavimo pastangos yra pagrindinės priežastys, dėl kurių ankstesniais bandymais sukurti verslui ir investicijoms palankią kapitalo rinkų sąjungą nepasiekta reikšmingų rezultatų;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Aa.</w:t>
            </w:r>
            <w:r w:rsidRPr="00D71EF1">
              <w:tab/>
            </w:r>
            <w:r w:rsidRPr="00D71EF1">
              <w:rPr>
                <w:b/>
                <w:i/>
              </w:rPr>
              <w:t>kadangi pranešime pažymima, kad per pastaruosius 50 metų Europos Sąjungoje nebuvo įsteigta nė viena nauja įmonė, kurios rinkos kapitalizacija viršytų 100 mlrd. EUR, o per tą patį laikotarpį Jungtinėse Amerikos Valstijose buvo įsteigtos šešios įmonės, kurių rinkos vertė viršijo vieną trilijoną dolerių;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Aa.</w:t>
            </w:r>
            <w:r w:rsidRPr="00D71EF1">
              <w:tab/>
            </w:r>
            <w:r w:rsidRPr="00D71EF1">
              <w:rPr>
                <w:b/>
                <w:i/>
              </w:rPr>
              <w:t xml:space="preserve">kadangi M. Draghi pranešime atkreiptas dėmesys į didelį bendro Europos ekonomikos konkurencingumo </w:t>
            </w:r>
            <w:r w:rsidRPr="00D71EF1">
              <w:rPr>
                <w:b/>
                <w:i/>
              </w:rPr>
              <w:lastRenderedPageBreak/>
              <w:t>trūkumą ir ypač į nepakankamą našumo augimą; </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René Repasi, Niels Fuglsang, Claire Fita,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Aa.</w:t>
            </w:r>
            <w:r w:rsidRPr="00D71EF1">
              <w:tab/>
            </w:r>
            <w:r w:rsidRPr="00D71EF1">
              <w:rPr>
                <w:b/>
                <w:i/>
              </w:rPr>
              <w:t>kadangi trumpuoju laikotarpiu Europos Sąjungai gali prireikti bent 250 mlrd. EUR metinių išlaidų gynybai, kad atgrasytų Rusiją nuo agresijos;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keepNext/>
      </w:pPr>
      <w:bookmarkStart w:id="0" w:name="restart"/>
      <w:r w:rsidRPr="00D71EF1">
        <w:rPr>
          <w:rStyle w:val="HideTWBExt"/>
          <w:b w:val="0"/>
        </w:rPr>
        <w:t>&lt;Amend&gt;</w:t>
      </w:r>
      <w:r w:rsidRPr="00D71EF1">
        <w:t>Pakeitimas</w:t>
      </w:r>
      <w:r w:rsidRPr="00D71EF1">
        <w:tab/>
      </w:r>
      <w:r w:rsidRPr="00D71EF1">
        <w:tab/>
      </w:r>
      <w:r w:rsidRPr="00D71EF1">
        <w:rPr>
          <w:rStyle w:val="HideTWBExt"/>
          <w:b w:val="0"/>
        </w:rPr>
        <w:t>&lt;NumAm&gt;</w:t>
      </w:r>
      <w:r w:rsidRPr="00D71EF1">
        <w:t>44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Danuše Nerudová</w:t>
      </w:r>
      <w:r w:rsidRPr="00D71EF1">
        <w:rPr>
          <w:rStyle w:val="HideTWBExt"/>
          <w:b w:val="0"/>
        </w:rPr>
        <w:t>&lt;/Members&gt;</w:t>
      </w:r>
    </w:p>
    <w:p w:rsidR="00E95BBE" w:rsidRPr="00D71EF1" w:rsidRDefault="00E95BBE" w:rsidP="00E95BBE">
      <w:r w:rsidRPr="00D71EF1">
        <w:rPr>
          <w:rStyle w:val="HideTWBExt"/>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a konstatuojamoji dalis (nauja)</w:t>
      </w:r>
      <w:r w:rsidRPr="00D71EF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95BBE" w:rsidRPr="00D71EF1" w:rsidTr="00E95BBE">
        <w:trPr>
          <w:jc w:val="center"/>
        </w:trPr>
        <w:tc>
          <w:tcPr>
            <w:tcW w:w="9752" w:type="dxa"/>
            <w:gridSpan w:val="2"/>
          </w:tcPr>
          <w:p w:rsidR="00E95BBE" w:rsidRPr="00D71EF1" w:rsidRDefault="00E95BBE" w:rsidP="00E95BBE">
            <w:pPr>
              <w:keepNext/>
            </w:pPr>
          </w:p>
        </w:tc>
      </w:tr>
      <w:tr w:rsidR="00E95BBE" w:rsidRPr="00D71EF1" w:rsidTr="00E95BBE">
        <w:trPr>
          <w:jc w:val="center"/>
        </w:trPr>
        <w:tc>
          <w:tcPr>
            <w:tcW w:w="4876" w:type="dxa"/>
          </w:tcPr>
          <w:p w:rsidR="00E95BBE" w:rsidRPr="00D71EF1" w:rsidRDefault="00E95BBE" w:rsidP="00E95BBE">
            <w:pPr>
              <w:pStyle w:val="AmColumnHeading"/>
              <w:keepNext/>
            </w:pPr>
            <w:r w:rsidRPr="00D71EF1">
              <w:t>Pasiūlymas dėl rezoliucijos</w:t>
            </w:r>
          </w:p>
        </w:tc>
        <w:tc>
          <w:tcPr>
            <w:tcW w:w="4876" w:type="dxa"/>
          </w:tcPr>
          <w:p w:rsidR="00E95BBE" w:rsidRPr="00D71EF1" w:rsidRDefault="00E95BBE" w:rsidP="00E95BBE">
            <w:pPr>
              <w:pStyle w:val="AmColumnHeading"/>
              <w:keepNext/>
            </w:pPr>
            <w:r w:rsidRPr="00D71EF1">
              <w:t>Pakeitimas</w:t>
            </w:r>
          </w:p>
        </w:tc>
      </w:tr>
      <w:tr w:rsidR="00E95BBE" w:rsidRPr="00D71EF1" w:rsidTr="00E95BBE">
        <w:trPr>
          <w:jc w:val="center"/>
        </w:trPr>
        <w:tc>
          <w:tcPr>
            <w:tcW w:w="4876" w:type="dxa"/>
          </w:tcPr>
          <w:p w:rsidR="00E95BBE" w:rsidRPr="00D71EF1" w:rsidRDefault="00E95BBE" w:rsidP="00E95BBE">
            <w:pPr>
              <w:pStyle w:val="Normal6a"/>
            </w:pPr>
          </w:p>
        </w:tc>
        <w:tc>
          <w:tcPr>
            <w:tcW w:w="4876" w:type="dxa"/>
          </w:tcPr>
          <w:p w:rsidR="00E95BBE" w:rsidRPr="00D71EF1" w:rsidRDefault="00E95BBE" w:rsidP="00E95BBE">
            <w:pPr>
              <w:pStyle w:val="Normal6a"/>
            </w:pPr>
            <w:r w:rsidRPr="00D71EF1">
              <w:rPr>
                <w:b/>
                <w:i/>
              </w:rPr>
              <w:t>Aa.</w:t>
            </w:r>
            <w:r w:rsidRPr="00D71EF1">
              <w:rPr>
                <w:b/>
                <w:i/>
              </w:rPr>
              <w:tab/>
              <w:t>kadangi metiniame ES biudžete numatyta ribota fiskalinio manevro galimybė Europos konkurencingumo kursui įgyvendinti;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bookmarkEnd w:id="0"/>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Ab.</w:t>
            </w:r>
            <w:r w:rsidRPr="00D71EF1">
              <w:tab/>
            </w:r>
            <w:r w:rsidRPr="00D71EF1">
              <w:rPr>
                <w:b/>
                <w:i/>
              </w:rPr>
              <w:t>kadangi Europos rizikos kapitalas labai atsilieka nuo JAV: 80 proc. atsilieka pradiniame etape, 73 proc. – ankstyvajame etape ir 82 proc. – augimo etape; našumas Europoje 2000–2019 m. laikotarpiu sumažėjo daugiau nei 0,5 proc.; dėl sumažėjusio gimstamumo darbingo amžiaus gyventojų skaičiaus augimas nuo 1990-ųjų sulėtėjo, o pastarąjį dešimtmetį pradėjo mažėti;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c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Ac.</w:t>
            </w:r>
            <w:r w:rsidRPr="00D71EF1">
              <w:tab/>
            </w:r>
            <w:r w:rsidRPr="00D71EF1">
              <w:rPr>
                <w:b/>
                <w:i/>
              </w:rPr>
              <w:t>kadangi M. Draghi mano, kad sprendimas yra investicijų pritraukimas, daugiausia pritraukiant privatų kapitalą ir sukuriant santaupų ir investicijų sąjungą;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A d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Ad.</w:t>
            </w:r>
            <w:r w:rsidRPr="00D71EF1">
              <w:tab/>
            </w:r>
            <w:r w:rsidRPr="00D71EF1">
              <w:rPr>
                <w:b/>
                <w:i/>
              </w:rPr>
              <w:t xml:space="preserve">kadangi 2022 m. pensijų turtas Europos Sąjungoje sudarė tik 32 proc. BVP, o Jungtinėse Amerikos Valstijose – 142 proc. BVP, o tai rodo, kad privačių pensijų sistemų išsamumas ir plėtra Europoje labai skiriasi; kadangi šis atotrūkis atspindi nepakankamą antrosios </w:t>
            </w:r>
            <w:r w:rsidRPr="00D71EF1">
              <w:rPr>
                <w:b/>
                <w:i/>
              </w:rPr>
              <w:lastRenderedPageBreak/>
              <w:t>pakopos pensijų sistemų išvystymą daugelyje valstybių narių, o tai riboja Europos piliečių ilgalaikio taupymo alternatyvas; kadangi privačios pensijų sistemos atlieka svarbų vaidmenį užtikrinant finansinį saugumą išėjus į pensiją, mažinant spaudimą valstybinėms pensijų sistemoms ir didinant bendrą Europos finansų rinkų atsparumą; kadangi reikia skubiai imtis konkrečių priemonių, kuriomis būtų skatinama privačių pensijų plėtra Europoje, įskaitant paskatas ilgalaikiam taupymui, tarpvalstybinių pensijų investicijų supaprastinimą ir kliūčių pensijų fondų augimui pašalinimą, siekiant padidinti Europos piliečių ekonominį saugumą ateityje ir užtikrinti pensijų sistemų tvarumą;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B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B.</w:t>
            </w:r>
            <w:r w:rsidRPr="00D71EF1">
              <w:tab/>
              <w:t xml:space="preserve">kadangi planą „ReArm Europe“ sudaro penki ramsčiai, skirti Europos saugumui ir gynybai finansuoti, apimantys </w:t>
            </w:r>
            <w:r w:rsidRPr="00D71EF1">
              <w:rPr>
                <w:b/>
                <w:bCs/>
                <w:i/>
                <w:iCs/>
              </w:rPr>
              <w:t>tiek viešąsias investicijas, tiek</w:t>
            </w:r>
            <w:r w:rsidRPr="00D71EF1">
              <w:t xml:space="preserve"> santaupų ir investicijų sąjungą;</w:t>
            </w:r>
          </w:p>
        </w:tc>
        <w:tc>
          <w:tcPr>
            <w:tcW w:w="4876" w:type="dxa"/>
            <w:tcBorders>
              <w:top w:val="nil"/>
              <w:left w:val="nil"/>
              <w:bottom w:val="nil"/>
              <w:right w:val="nil"/>
            </w:tcBorders>
          </w:tcPr>
          <w:p w:rsidR="00E95BBE" w:rsidRPr="00D71EF1" w:rsidRDefault="00E95BBE" w:rsidP="00E95BBE">
            <w:pPr>
              <w:pStyle w:val="Normal6a"/>
            </w:pPr>
            <w:r w:rsidRPr="00D71EF1">
              <w:t>B.</w:t>
            </w:r>
            <w:r w:rsidRPr="00D71EF1">
              <w:tab/>
              <w:t xml:space="preserve">kadangi planą „ReArm Europe“ sudaro penki ramsčiai, skirti Europos saugumui ir gynybai finansuoti, apimantys </w:t>
            </w:r>
            <w:r w:rsidRPr="00D71EF1">
              <w:rPr>
                <w:b/>
                <w:bCs/>
                <w:i/>
                <w:iCs/>
              </w:rPr>
              <w:t>viešojo ir privačiojo sektorių sinergiją, siekiant pritraukti investicijas, tuo tikslu plėtojant</w:t>
            </w:r>
            <w:r w:rsidRPr="00D71EF1">
              <w:t xml:space="preserve"> santaupų ir investicijų sąjungą;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49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B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B.</w:t>
            </w:r>
            <w:r w:rsidRPr="00D71EF1">
              <w:tab/>
              <w:t>kadangi planą „ReArm Europe“ sudaro penki ramsčiai, skirti Europos saugumui ir gynybai finansuoti, apimantys tiek viešąsias investicijas, tiek santaupų ir investicijų sąjungą;</w:t>
            </w:r>
          </w:p>
        </w:tc>
        <w:tc>
          <w:tcPr>
            <w:tcW w:w="4876" w:type="dxa"/>
            <w:tcBorders>
              <w:top w:val="nil"/>
              <w:left w:val="nil"/>
              <w:bottom w:val="nil"/>
              <w:right w:val="nil"/>
            </w:tcBorders>
          </w:tcPr>
          <w:p w:rsidR="00E95BBE" w:rsidRPr="00D71EF1" w:rsidRDefault="00E95BBE" w:rsidP="00E95BBE">
            <w:pPr>
              <w:pStyle w:val="Normal6a"/>
            </w:pPr>
            <w:r w:rsidRPr="00D71EF1">
              <w:t>B.</w:t>
            </w:r>
            <w:r w:rsidRPr="00D71EF1">
              <w:tab/>
            </w:r>
            <w:r w:rsidRPr="00D71EF1">
              <w:rPr>
                <w:i/>
                <w:iCs/>
              </w:rPr>
              <w:t>(Tekstas lietuvių kalba nekeičiamas.)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i/>
              </w:rPr>
              <w:t>(Šis pakeitimas taikomas visam tekstui.)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B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Ba.</w:t>
            </w:r>
            <w:r w:rsidRPr="00D71EF1">
              <w:tab/>
            </w:r>
            <w:r w:rsidRPr="00D71EF1">
              <w:rPr>
                <w:b/>
                <w:i/>
              </w:rPr>
              <w:t>kadangi dėl pastarojo meto JAV administracijos sprendimų, be kita ko, padidinti muitus, atsirado didelis neapibrėžtumas, kuris neigiamai paveikė ekonomikos augimo, infliacijos ir užimtumo prognozes; kadangi finansų rinkos stipriai reagavo į naują JAV politikos kryptį; kadangi nuo 2025 m. sausio mėn. JAV dolerio vertė labai sumažėjo, o JAV iždo pajamingumas padidėjo, o tai rodo, kad investuotojai gali nukreipti kapitalo srautus;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C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C.</w:t>
            </w:r>
            <w:r w:rsidRPr="00D71EF1">
              <w:tab/>
              <w:t xml:space="preserve">kadangi </w:t>
            </w:r>
            <w:r w:rsidRPr="00D71EF1">
              <w:rPr>
                <w:b/>
                <w:bCs/>
                <w:i/>
                <w:iCs/>
              </w:rPr>
              <w:t>istoriškai</w:t>
            </w:r>
            <w:r w:rsidRPr="00D71EF1">
              <w:rPr>
                <w:b/>
                <w:bCs/>
              </w:rPr>
              <w:t xml:space="preserve"> </w:t>
            </w:r>
            <w:r w:rsidRPr="00D71EF1">
              <w:t xml:space="preserve">iš privačiojo sektoriaus Europoje </w:t>
            </w:r>
            <w:r w:rsidRPr="00D71EF1">
              <w:rPr>
                <w:b/>
                <w:bCs/>
                <w:i/>
                <w:iCs/>
              </w:rPr>
              <w:t>sutelkta</w:t>
            </w:r>
            <w:r w:rsidRPr="00D71EF1">
              <w:t xml:space="preserve"> maždaug keturi penktadaliai gamybinių investicijų, o </w:t>
            </w:r>
            <w:r w:rsidRPr="00D71EF1">
              <w:lastRenderedPageBreak/>
              <w:t xml:space="preserve">viešasis sektorius </w:t>
            </w:r>
            <w:r w:rsidRPr="00D71EF1">
              <w:rPr>
                <w:b/>
                <w:bCs/>
                <w:i/>
                <w:iCs/>
              </w:rPr>
              <w:t>investavo</w:t>
            </w:r>
            <w:r w:rsidRPr="00D71EF1">
              <w:t xml:space="preserve"> likusią dalį</w:t>
            </w:r>
            <w:r w:rsidRPr="00D71EF1">
              <w:rPr>
                <w:vertAlign w:val="superscript"/>
              </w:rPr>
              <w:t>3</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C.</w:t>
            </w:r>
            <w:r w:rsidRPr="00D71EF1">
              <w:tab/>
              <w:t xml:space="preserve">kadangi iš privačiojo sektoriaus Europoje </w:t>
            </w:r>
            <w:r w:rsidRPr="00D71EF1">
              <w:rPr>
                <w:b/>
                <w:bCs/>
                <w:i/>
                <w:iCs/>
              </w:rPr>
              <w:t>sutelkiama</w:t>
            </w:r>
            <w:r w:rsidRPr="00D71EF1">
              <w:t xml:space="preserve"> maždaug keturi penktadaliai gamybinių investicijų, o </w:t>
            </w:r>
            <w:r w:rsidRPr="00D71EF1">
              <w:lastRenderedPageBreak/>
              <w:t xml:space="preserve">viešasis sektorius </w:t>
            </w:r>
            <w:r w:rsidRPr="00D71EF1">
              <w:rPr>
                <w:b/>
                <w:bCs/>
                <w:i/>
                <w:iCs/>
              </w:rPr>
              <w:t>investuoja</w:t>
            </w:r>
            <w:r w:rsidRPr="00D71EF1">
              <w:t xml:space="preserve"> likusią dalį</w:t>
            </w:r>
            <w:r w:rsidRPr="00D71EF1">
              <w:rPr>
                <w:vertAlign w:val="superscript"/>
              </w:rPr>
              <w:t>3</w:t>
            </w:r>
            <w:r w:rsidRPr="00D71EF1">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lastRenderedPageBreak/>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C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C.</w:t>
            </w:r>
            <w:r w:rsidRPr="00D71EF1">
              <w:tab/>
              <w:t>kadangi istoriškai iš privačiojo sektoriaus Europoje sutelkta maždaug keturi penktadaliai gamybinių investicijų, o viešasis sektorius investavo likusią dalį</w:t>
            </w:r>
            <w:r w:rsidRPr="00D71EF1">
              <w:rPr>
                <w:vertAlign w:val="superscript"/>
              </w:rPr>
              <w:t>3</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C.</w:t>
            </w:r>
            <w:r w:rsidRPr="00D71EF1">
              <w:tab/>
              <w:t>kadangi istoriškai iš privačiojo sektoriaus Europoje sutelkta maždaug keturi penktadaliai gamybinių investicijų, o viešasis sektorius investavo likusią dalį</w:t>
            </w:r>
            <w:r w:rsidRPr="00D71EF1">
              <w:rPr>
                <w:vertAlign w:val="superscript"/>
              </w:rPr>
              <w:t>3</w:t>
            </w:r>
            <w:r w:rsidRPr="00D71EF1">
              <w:t xml:space="preserve">; </w:t>
            </w:r>
            <w:r w:rsidRPr="00D71EF1">
              <w:rPr>
                <w:b/>
                <w:i/>
              </w:rPr>
              <w:t>kadangi per pastaruosius du dešimtmečius bendras gamybinių investicijų lygis ES buvo gerokai mažesnis nei JAV;</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C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C.</w:t>
            </w:r>
            <w:r w:rsidRPr="00D71EF1">
              <w:tab/>
              <w:t>kadangi istoriškai iš privačiojo sektoriaus Europoje sutelkta maždaug keturi penktadaliai gamybinių investicijų, o viešasis sektorius investavo likusią dalį</w:t>
            </w:r>
            <w:r w:rsidRPr="00D71EF1">
              <w:rPr>
                <w:vertAlign w:val="superscript"/>
              </w:rPr>
              <w:t>3</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C.</w:t>
            </w:r>
            <w:r w:rsidRPr="00D71EF1">
              <w:tab/>
              <w:t>kadangi istoriškai iš privačiojo sektoriaus Europoje sutelkta maždaug keturi penktadaliai gamybinių investicijų, o viešasis sektorius investavo likusią dalį</w:t>
            </w:r>
            <w:r w:rsidRPr="00D71EF1">
              <w:rPr>
                <w:vertAlign w:val="superscript"/>
              </w:rPr>
              <w:t>3</w:t>
            </w:r>
            <w:r w:rsidRPr="00D71EF1">
              <w:t>;</w:t>
            </w:r>
            <w:r w:rsidRPr="00D71EF1">
              <w:rPr>
                <w:b/>
                <w:i/>
              </w:rPr>
              <w:t> kadangi, „Finance Watch“ duomenimis, kapitalo rinkos gali patenkinti tik trečdalį ES investicijų poreikio</w:t>
            </w:r>
            <w:r w:rsidRPr="00D71EF1">
              <w:rPr>
                <w:b/>
                <w:i/>
                <w:vertAlign w:val="superscript"/>
              </w:rPr>
              <w:t>3a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3</w:t>
            </w:r>
            <w:r w:rsidRPr="00D71EF1">
              <w:t xml:space="preserve"> M. Draghi, </w:t>
            </w:r>
            <w:r w:rsidRPr="00D71EF1">
              <w:rPr>
                <w:i/>
                <w:iCs/>
              </w:rPr>
              <w:t>The future of European competitiveness (Part A | A competitiveness strategy for Europe</w:t>
            </w:r>
            <w:r w:rsidRPr="00D71EF1">
              <w:t xml:space="preserve"> („Europos konkurencingumo ateitis (A dalis. Europos konkurencingumo strategija)“), 2024 m.,</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3a</w:t>
            </w:r>
            <w:r w:rsidRPr="00D71EF1">
              <w:t xml:space="preserve"> </w:t>
            </w:r>
            <w:r w:rsidRPr="00D71EF1">
              <w:rPr>
                <w:b/>
                <w:i/>
              </w:rPr>
              <w:t>Philipponnat, Europe’s coming investment crisis. What if capital markets could only meet a third of Europe’s essential funding needs? Finance Watch report, 2024</w:t>
            </w:r>
            <w:r w:rsidRPr="00D71EF1">
              <w:t xml:space="preserve"> (</w:t>
            </w:r>
            <w:r w:rsidRPr="00D71EF1">
              <w:rPr>
                <w:b/>
                <w:i/>
              </w:rPr>
              <w:t>„Philipponnat“, Artėjanti Europos investicijų krizė. Kas būtų, jei kapitalo rinkos galėtų patenkinti tik trečdalį būtiniausių Europos finansavimo poreikių? „Finance Watch“ ataskaita,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C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Ca.</w:t>
            </w:r>
            <w:r w:rsidRPr="00D71EF1">
              <w:tab/>
            </w:r>
            <w:r w:rsidRPr="00D71EF1">
              <w:rPr>
                <w:b/>
                <w:i/>
              </w:rPr>
              <w:t xml:space="preserve">kadangi Europos Komisijos parengtoje Europos finansinio raštingumo apžvalgoje nurodoma, kad tik 18 proc. Europos piliečių finansinio raštingumo lygis yra aukštas; kadangi daugumos, 6 proc., piliečių finansinių žinių lygis yra vidutinis, o 18 proc. finansinio raštingumo lygis yra žemas ir </w:t>
            </w:r>
            <w:r w:rsidRPr="00D71EF1">
              <w:rPr>
                <w:b/>
                <w:i/>
              </w:rPr>
              <w:lastRenderedPageBreak/>
              <w:t>dėl to Europos piliečių finansiniai gebėjimai labai skiriasi; kadangi tik keturiose valstybėse narėse, t. y. Nyderlanduose, Danijoje, Švedijoje ir Slovėnijoje, kurių gyventojai sudaro daugiau nei ketvirtadalį ES gyventojų, yra aukštas finansinių žinių lygis; kadangi didėjantis finansinis raštingumas yra labai svarbus, kad asmenys galėtų priimti informacija pagrįstus sprendimus dėl taupymo, investavimo ir pensijų planavimo ir taip padidinti savo ilgalaikę finansinę gerovę; kadangi būtina stiprinti finansinį švietimą visoje ES, kad piliečiai įgytų įgūdžių, reikalingų orientuotis vis sudėtingesnėse finansų rinkose ir pasinaudoti visomis investavimo galimybėmis, o tai prisidės prie ekonomikos augimo;</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C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Ca.</w:t>
            </w:r>
            <w:r w:rsidRPr="00D71EF1">
              <w:tab/>
            </w:r>
            <w:r w:rsidRPr="00D71EF1">
              <w:rPr>
                <w:b/>
                <w:i/>
              </w:rPr>
              <w:t>kadangi 2023 m. ES BVP sudarė 17 proc. viso pasaulio BVP, t. y. panašiai kaip Kinijos, bet 9 procentiniais punktais mažiau nei JAV; kadangi Sąjungos Gini koeficientas yra vienas mažiausių pasaulyje</w:t>
            </w:r>
            <w:r w:rsidRPr="00D71EF1">
              <w:rPr>
                <w:b/>
                <w:i/>
                <w:vertAlign w:val="superscript"/>
              </w:rPr>
              <w:t>1a</w:t>
            </w:r>
            <w:r w:rsidRPr="00D71EF1">
              <w:rPr>
                <w:b/>
                <w:i/>
              </w:rPr>
              <w:t>, o tai rodo, kad pajamų nelygybė, palyginti su kitomis stipriausios ekonomikos šalimis, yra palyginti maža; kadangi lėtesnis našumo augimas savo ruožtu buvo susijęs su lėtesniu pajamų augimu ir mažesne vidaus paklausa Europoje</w:t>
            </w:r>
            <w:r w:rsidRPr="00D71EF1">
              <w:rPr>
                <w:b/>
                <w:i/>
                <w:vertAlign w:val="superscript"/>
              </w:rPr>
              <w:t>1b</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https://data.worldbank.org/indicator/SI.POV.GINI?locations=EU </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1b</w:t>
            </w:r>
            <w:r w:rsidRPr="00D71EF1">
              <w:t xml:space="preserve"> </w:t>
            </w:r>
            <w:r w:rsidRPr="00D71EF1">
              <w:rPr>
                <w:b/>
                <w:i/>
              </w:rPr>
              <w:t xml:space="preserve">M. Draghi, </w:t>
            </w:r>
            <w:r w:rsidRPr="00D71EF1">
              <w:rPr>
                <w:b/>
                <w:i/>
                <w:iCs/>
              </w:rPr>
              <w:t>The future of European competitiveness (Part A | A competitiveness strategy for Europe</w:t>
            </w:r>
            <w:r w:rsidRPr="00D71EF1">
              <w:rPr>
                <w:b/>
                <w:i/>
              </w:rPr>
              <w:t xml:space="preserve"> („Europos konkurencingumo ateitis (A dalis. Europos konkurencingumo strategija)“),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p>
        </w:tc>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r w:rsidRPr="00D71EF1">
              <w:rPr>
                <w:b/>
                <w:bCs/>
                <w:i/>
                <w:iCs/>
              </w:rPr>
              <w:t>, o tai rodo skirtingas santaupų ir investicijų strategijas, įsitvirtinusias labai skirtingose finansų kultūrose</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p>
        </w:tc>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r w:rsidRPr="00D71EF1">
              <w:rPr>
                <w:b/>
                <w:bCs/>
                <w:i/>
                <w:iCs/>
              </w:rPr>
              <w:t>, tačiau ES namų ūkių turtas yra gerokai mažesnis nei JAV</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p>
        </w:tc>
        <w:tc>
          <w:tcPr>
            <w:tcW w:w="4876" w:type="dxa"/>
            <w:tcBorders>
              <w:top w:val="nil"/>
              <w:left w:val="nil"/>
              <w:bottom w:val="nil"/>
              <w:right w:val="nil"/>
            </w:tcBorders>
          </w:tcPr>
          <w:p w:rsidR="00E95BBE" w:rsidRPr="00D71EF1" w:rsidRDefault="00E95BBE" w:rsidP="00E95BBE">
            <w:pPr>
              <w:pStyle w:val="Normal6a"/>
            </w:pPr>
            <w:r w:rsidRPr="00D71EF1">
              <w:t>D.</w:t>
            </w:r>
            <w:r w:rsidRPr="00D71EF1">
              <w:tab/>
              <w:t>kadangi, remiantis Draghi pranešimu, 2022 m. ES namų ūkių santaupos siekė 1 390 mlrd. EUR, palyginti su 840 mlrd. EUR JAV</w:t>
            </w:r>
            <w:r w:rsidRPr="00D71EF1">
              <w:rPr>
                <w:b/>
                <w:bCs/>
                <w:i/>
                <w:iCs/>
              </w:rPr>
              <w:t>;</w:t>
            </w:r>
            <w:r w:rsidRPr="00D71EF1">
              <w:t xml:space="preserve"> </w:t>
            </w:r>
            <w:r w:rsidRPr="00D71EF1">
              <w:rPr>
                <w:b/>
                <w:i/>
              </w:rPr>
              <w:t>ir kadangi vidutiniškai 300 mlrd. EUR ES namų ūkių santaupų per metus nukreipiama į JAV ekonomiką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59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Da.</w:t>
            </w:r>
            <w:r w:rsidRPr="00D71EF1">
              <w:tab/>
            </w:r>
            <w:r w:rsidRPr="00D71EF1">
              <w:rPr>
                <w:b/>
                <w:i/>
              </w:rPr>
              <w:t xml:space="preserve">kadangi rinka grindžiama ekonomika yra labai svarbi skatinant inovacijas, ekonomikos augimą ir investicijas, o šio principo laikymasis yra labai svarbus Europos ekonomikos konkurencingumui; kadangi rinka grindžiamoje ekonomikoje privatus kapitalas atlieka pagrindinį vaidmenį skatinant inovacijas, verslumą ir naujų darbo vietų kūrimą, o tai ypač svarbu rizikos kapitalo sektoriaus plėtrai; kadangi, nepaisant stiprios Europos santaupų bazės, jos privačiosios investicijos, ypač į rizikos kapitalą, ir toliau gerokai atsilieka nuo Jungtinių Amerikos Valstijų; kadangi politika, kuria sudaromos sąlygos laisvai ir konkurencingai rinkos aplinkai, yra labai svarbi siekiant panaikinti šį atotrūkį ir užtikrinti, kad Europa galėtų visapusiškai </w:t>
            </w:r>
            <w:r w:rsidRPr="00D71EF1">
              <w:rPr>
                <w:b/>
                <w:i/>
              </w:rPr>
              <w:lastRenderedPageBreak/>
              <w:t>išnaudoti savo ekonominį potencialą ir pritraukti tiek vidaus, tiek tarptautines investicijas;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Da.</w:t>
            </w:r>
            <w:r w:rsidRPr="00D71EF1">
              <w:tab/>
            </w:r>
            <w:r w:rsidRPr="00D71EF1">
              <w:rPr>
                <w:b/>
                <w:i/>
              </w:rPr>
              <w:t>kadangi namų ūkių tiesiogiai valdomi finansiniai vertybiniai popieriai (biržinės akcijos, obligacijos, savitarpio fondai ir išvestinės finansinės priemonės) šiuo metu sudaro 43 proc. JAV namų ūkių turto, o ES – tik 17 proc. namų ūkių turto</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M. Draghi, </w:t>
            </w:r>
            <w:r w:rsidRPr="00D71EF1">
              <w:rPr>
                <w:b/>
                <w:i/>
                <w:iCs/>
              </w:rPr>
              <w:t>The future of European competitiveness (Part A | A competitiveness strategy for Europe</w:t>
            </w:r>
            <w:r w:rsidRPr="00D71EF1">
              <w:rPr>
                <w:b/>
                <w:i/>
              </w:rPr>
              <w:t xml:space="preserve"> („Europos konkurencingumo ateitis (A dalis. Europos konkurencingumo strategija)“), 2024 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Da.</w:t>
            </w:r>
            <w:r w:rsidRPr="00D71EF1">
              <w:tab/>
            </w:r>
            <w:r w:rsidRPr="00D71EF1">
              <w:rPr>
                <w:b/>
                <w:i/>
              </w:rPr>
              <w:t xml:space="preserve">kadangi dėl didesnės santaupų apimties Europoje, palyginti su JAV, joje taip pat mažesnė infliacija, palyginti su </w:t>
            </w:r>
            <w:r w:rsidRPr="00D71EF1">
              <w:rPr>
                <w:b/>
                <w:i/>
              </w:rPr>
              <w:lastRenderedPageBreak/>
              <w:t>JAV, todėl geriau apsaugoma Europos namų ūkių perkamoji galia;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D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Db.</w:t>
            </w:r>
            <w:r w:rsidRPr="00D71EF1">
              <w:tab/>
            </w:r>
            <w:r w:rsidRPr="00D71EF1">
              <w:rPr>
                <w:b/>
                <w:i/>
              </w:rPr>
              <w:t>kadangi 70 proc. mažmeninių santaupų Sąjungoje dedamos į banką kaip banko indėliai ir tik 30 proc. jų laikomos kapitalo rinkos priemonių forma, o Jungtinėse Amerikos Valstijose padėtis yra priešinga;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E.</w:t>
            </w:r>
            <w:r w:rsidRPr="00D71EF1">
              <w:tab/>
              <w:t>kadangi ES namų ūkiai santaupoms skyrė 14,79 proc. savo disponuojamųjų 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b/>
                <w:i/>
                <w:vertAlign w:val="superscript"/>
              </w:rPr>
              <w:t>4</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E.</w:t>
            </w:r>
            <w:r w:rsidRPr="00D71EF1">
              <w:tab/>
              <w:t xml:space="preserve">kadangi ES namų ūkiai santaupoms skyrė 14,79 proc. savo disponuojamųjų pajamų </w:t>
            </w:r>
            <w:r w:rsidRPr="00D71EF1">
              <w:rPr>
                <w:b/>
                <w:bCs/>
                <w:i/>
                <w:iCs/>
              </w:rPr>
              <w:t>(daugiau nei tris kartus daugiau, palyginti su 4,7 proc. Jungtinėse Amerikos Valstijose</w:t>
            </w:r>
            <w:r w:rsidRPr="00D71EF1">
              <w:rPr>
                <w:b/>
                <w:bCs/>
                <w:i/>
                <w:iCs/>
                <w:vertAlign w:val="superscript"/>
              </w:rPr>
              <w:t>2a</w:t>
            </w:r>
            <w:r w:rsidRPr="00D71EF1">
              <w:rPr>
                <w:b/>
                <w:bCs/>
                <w:i/>
                <w:iCs/>
              </w:rPr>
              <w:t xml:space="preserve">) </w:t>
            </w:r>
            <w:r w:rsidRPr="00D71EF1">
              <w:t xml:space="preserve">ir kadangi 31,01 proc. jų santaupų (11,63 trln. EUR) laikoma valiuta ir indėliais, kurie teikia </w:t>
            </w:r>
            <w:r w:rsidRPr="00D71EF1">
              <w:rPr>
                <w:b/>
                <w:bCs/>
                <w:i/>
                <w:iCs/>
              </w:rPr>
              <w:t xml:space="preserve">tik </w:t>
            </w:r>
            <w:r w:rsidRPr="00D71EF1">
              <w:t>nedidelę grąžą; kadangi 36 proc. (13,42 trln. EUR) santaupų buvo laikoma nuosavybės priemonių ir investicinių fondų akcijų forma</w:t>
            </w:r>
            <w:r w:rsidRPr="00D71EF1">
              <w:rPr>
                <w:b/>
                <w:bCs/>
                <w:i/>
                <w:iCs/>
              </w:rPr>
              <w:t xml:space="preserve"> (49,1 proc. JAV)</w:t>
            </w:r>
            <w:r w:rsidRPr="00D71EF1">
              <w:t>, o 27 proc. (10,06 trln. EUR) – kaip draudimas, pensijos ir standartinės garantijos</w:t>
            </w:r>
            <w:r w:rsidRPr="00D71EF1">
              <w:rPr>
                <w:b/>
                <w:bCs/>
                <w:i/>
                <w:iCs/>
              </w:rPr>
              <w:t xml:space="preserve"> (27,5 proc. JAV</w:t>
            </w:r>
            <w:r w:rsidRPr="00D71EF1">
              <w:rPr>
                <w:b/>
                <w:bCs/>
                <w:i/>
                <w:iCs/>
                <w:vertAlign w:val="superscript"/>
              </w:rPr>
              <w:t>3a</w:t>
            </w:r>
            <w:r w:rsidRPr="00D71EF1">
              <w:rPr>
                <w:b/>
                <w:bCs/>
                <w:i/>
                <w:iCs/>
              </w:rPr>
              <w:t>)</w:t>
            </w:r>
            <w:r w:rsidRPr="00D71EF1">
              <w:rPr>
                <w:b/>
                <w:i/>
                <w:vertAlign w:val="superscript"/>
              </w:rPr>
              <w:t>4</w:t>
            </w:r>
            <w:r w:rsidRPr="00D71EF1">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2a</w:t>
            </w:r>
            <w:r w:rsidRPr="00D71EF1">
              <w:t xml:space="preserve"> </w:t>
            </w:r>
            <w:r w:rsidRPr="00D71EF1">
              <w:rPr>
                <w:b/>
                <w:i/>
              </w:rPr>
              <w:t>JAV ekonominės analizės biuras, „Personal Income and Its Disposition, Monthly“ („Asmeninės pajamos ir jų paskirstymas kas mėnesį“), 2025 m.</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3a</w:t>
            </w:r>
            <w:r w:rsidRPr="00D71EF1">
              <w:t xml:space="preserve"> </w:t>
            </w:r>
            <w:r w:rsidRPr="00D71EF1">
              <w:rPr>
                <w:b/>
                <w:i/>
              </w:rPr>
              <w:t>JAV federalinio rezervo valdyba, „Balance Sheet of Households and Nonprofit Organizations“ („Namų ūkių ir ne pelno organizacijų balansas“), 2025 m.</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4</w:t>
            </w:r>
            <w:r w:rsidRPr="00D71EF1">
              <w:t xml:space="preserve"> Eurostatas, Financial flows and stocks, 2023 m. https://ec.europa.eu/eurostat/databrowser/view/NASA_10_F_BS__custom_13650774/default/table?lang=en.</w:t>
            </w:r>
          </w:p>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4</w:t>
            </w:r>
            <w:r w:rsidRPr="00D71EF1">
              <w:t xml:space="preserve"> Eurostatas, Financial flows and stocks, 2023 m. https://ec.europa.eu/eurostat/databrowser/view/NASA_10_F_BS__custom_13650774/default/table?lang=en.</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E.</w:t>
            </w:r>
            <w:r w:rsidRPr="00D71EF1">
              <w:tab/>
              <w:t>kadangi ES namų ūkiai santaupoms skyrė 14,79 proc. savo disponuojamųjų 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E.</w:t>
            </w:r>
            <w:r w:rsidRPr="00D71EF1">
              <w:tab/>
              <w:t>kadangi ES namų ūkiai santaupoms skyrė 14,79 proc. savo disponuojamųjų pajamų ir kadangi 31,01 proc. jų santaupų (11,63 trln. EUR) laikoma valiuta ir indėliais, kurie teikia nedidelę grąžą</w:t>
            </w:r>
            <w:r w:rsidRPr="00D71EF1">
              <w:rPr>
                <w:b/>
                <w:bCs/>
                <w:i/>
                <w:iCs/>
              </w:rPr>
              <w:t>, iš dalies dėl išaugusių bankų paslaugų išlaidų, kurios savo ruožtu patiriamos dėl neskaidraus ES lygmens reguliavimo</w:t>
            </w:r>
            <w:r w:rsidRPr="00D71EF1">
              <w:t>;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E.</w:t>
            </w:r>
            <w:r w:rsidRPr="00D71EF1">
              <w:tab/>
              <w:t>kadangi ES namų ūkiai santaupoms skyrė 14,79 proc. savo disponuojamųjų 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E.</w:t>
            </w:r>
            <w:r w:rsidRPr="00D71EF1">
              <w:tab/>
              <w:t>kadangi ES namų ūkiai santaupoms skyrė 14,79 proc. savo disponuojamųjų 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w:t>
            </w:r>
            <w:r w:rsidRPr="00D71EF1">
              <w:rPr>
                <w:b/>
                <w:i/>
              </w:rPr>
              <w:t> kadangi veiksmingiau panaudojant Europos bankų sąskaitose laikomus indėlius kapitalo rinkose būtų galima papildomai investuoti 350 mlrd. EUR per metus;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Pascal Canfin, Stéphanie Yon-Courtin, Gilles Boyer,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E.</w:t>
            </w:r>
            <w:r w:rsidRPr="00D71EF1">
              <w:tab/>
              <w:t xml:space="preserve">kadangi ES namų ūkiai santaupoms skyrė 14,79 proc. savo disponuojamųjų </w:t>
            </w:r>
            <w:r w:rsidRPr="00D71EF1">
              <w:lastRenderedPageBreak/>
              <w:t>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E.</w:t>
            </w:r>
            <w:r w:rsidRPr="00D71EF1">
              <w:tab/>
              <w:t xml:space="preserve">kadangi ES namų ūkiai santaupoms skyrė 14,79 proc. savo disponuojamųjų </w:t>
            </w:r>
            <w:r w:rsidRPr="00D71EF1">
              <w:lastRenderedPageBreak/>
              <w:t>pajamų ir kadangi 31,01 proc. jų santaupų (11,63 trln. EUR) laikoma valiuta ir indėliais, kurie teikia nedidelę grąžą; kadangi 36 proc. (13,42 trln. EUR) santaupų buvo laikoma nuosavybės priemonių ir investicinių fondų akcijų forma, o 27 proc. (10,06 trln. EUR) – kaip draudimas, pensijos ir standartinės garantijos</w:t>
            </w:r>
            <w:r w:rsidRPr="00D71EF1">
              <w:rPr>
                <w:vertAlign w:val="superscript"/>
              </w:rPr>
              <w:t>4</w:t>
            </w:r>
            <w:r w:rsidRPr="00D71EF1">
              <w:t xml:space="preserve">; </w:t>
            </w:r>
            <w:r w:rsidRPr="00D71EF1">
              <w:rPr>
                <w:b/>
                <w:i/>
              </w:rPr>
              <w:t>kadangi Enrico Lettos pranešime teigiama, kad 300 mlrd. EUR Europos šeimų santaupų nukreipiama iš ES rinkos į užsienio finansų rinkas;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lastRenderedPageBreak/>
              <w:t>_________________</w:t>
            </w:r>
          </w:p>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c>
          <w:tcPr>
            <w:tcW w:w="4876" w:type="dxa"/>
            <w:tcBorders>
              <w:top w:val="nil"/>
              <w:left w:val="nil"/>
              <w:bottom w:val="nil"/>
              <w:right w:val="nil"/>
            </w:tcBorders>
          </w:tcPr>
          <w:p w:rsidR="00E95BBE" w:rsidRPr="00D71EF1" w:rsidRDefault="00E95BBE" w:rsidP="00E95BBE">
            <w:pPr>
              <w:pStyle w:val="Normal6a"/>
            </w:pPr>
            <w:r w:rsidRPr="00D71EF1">
              <w:rPr>
                <w:vertAlign w:val="superscript"/>
              </w:rPr>
              <w:t>4</w:t>
            </w:r>
            <w:r w:rsidRPr="00D71EF1">
              <w:t xml:space="preserve"> Eurostatas, Financial flows and stocks, 2023 m. https://ec.europa.eu/eurostat/databrowser/view/NASA_10_F_BS__custom_13650774/default/table?lang=en.</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 xml:space="preserve">kadangi nuo 2008 m. finansų krizės ES finansų reguliavimo srityje daugiausia dėmesio skiriama finansinio stabilumo ir investuotojų apsaugos užtikrinimui; kadangi šie tikslai, nors ir labai svarbūs, ne visada buvo įgyvendinami taikant veiksmingiausius ar proporcingiausius metodus; kadangi nustatant būsimas priemones turėtų būti daugiau dėmesio skiriama tam, kad Europos kapitalo rinkos taptų patrauklesnės, prieinamesnės ir konkurencingesnės tiek emitentams, tiek investuotojams; kadangi investuotojų apsauga visiškai suderinama su labiau rizika pagrįsta reguliavimo sistema, kuria skatinamas pelningumas, remiama rinkos </w:t>
            </w:r>
            <w:r w:rsidRPr="00D71EF1">
              <w:rPr>
                <w:b/>
                <w:i/>
              </w:rPr>
              <w:lastRenderedPageBreak/>
              <w:t>plėtra ir skatinamas didesnis neprofesionaliųjų investuotojų dalyvavimas investuojant į gerai diversifikuotus, pageidautina europinius, investicinius portfelius;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ka</w:t>
            </w:r>
            <w:r w:rsidR="008A3022" w:rsidRPr="00D71EF1">
              <w:rPr>
                <w:b/>
                <w:i/>
              </w:rPr>
              <w:t>dangi, remiantis Ch. Noyer pranešimu</w:t>
            </w:r>
            <w:r w:rsidRPr="00D71EF1">
              <w:rPr>
                <w:b/>
                <w:i/>
              </w:rPr>
              <w:t>, pakeitimo vertybiniais popieriais rinka Europoje nuo 2008 m. žlugo ir sumažėjo nuo 2 000 mlrd. neapmokėtų sumų 2008 m. iki 1 200 mlrd. 2023 m., o JAV neapmokėtos sumos (13 700 mlrd. 2021 m.) viršijo 2008 m. buvusius 11 300 mlrd.;</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69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kadangi net 8 trln. EUR galėtų būti nukreipti į rinkos investicines priemones, t. y. apie 350 mlrd. EUR per metus</w:t>
            </w:r>
            <w:r w:rsidRPr="00D71EF1">
              <w:rPr>
                <w:b/>
                <w:i/>
                <w:vertAlign w:val="superscript"/>
              </w:rPr>
              <w:t>1a</w:t>
            </w:r>
            <w:r w:rsidRPr="00D71EF1">
              <w:rPr>
                <w:b/>
                <w:i/>
              </w:rPr>
              <w:t>, jei ES namų ūkiai pakoreguotų savo indėlių ir finansinio turto paskirstymą taip, kad jis atitiktų JAV namų ūkiuose pastebimą jo struktūrą;</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Europos Centrinis Bankas, („Pinigų sekimo principas. Santaupų nukreipimas į investicijas ir inovacijas Europoje“), Europos Centrinio Banko Pirmininkės Christine Lagarde kalba, 2024 m. lapkričio 22 d.</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Stéphanie Yon-Courtin, Gilles Boyer,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kadangi, remiantis ECB analize, jeigu ES namų ūkių indėlių ir finansinio turto santykis taptų toks kaip JAV namų ūkių, į ilgalaikes rinkos principais pagrįstas investicijas būtų galima nukreipti iki 8 trln. EUR santaupų, arba apie 350 mlrd. EUR kasmet;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kadangi ECB apskaičiavo, kad jei Sąjungos namų ūkių indėlių ir finansinio turto santykis taptų toks kaip Jungtinių Valstijų namų ūkių, į rinkos principais pagrįstas investicijas būtų galima nukreipti iki 8 trln. EUR santaupų, o tai sudarytų apie 350 mlrd. EUR per metus;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Ea.</w:t>
            </w:r>
            <w:r w:rsidRPr="00D71EF1">
              <w:tab/>
            </w:r>
            <w:r w:rsidRPr="00D71EF1">
              <w:rPr>
                <w:b/>
                <w:i/>
              </w:rPr>
              <w:t>kadangi kitaip nei JAV, kur apie 77 proc. įmonių finansavimo finansuojama per kapitalo rinkas, ES apie 70 proc. įmonių finansavimo sudaro skolinimosi iš bankų lėšos;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Eb.</w:t>
            </w:r>
            <w:r w:rsidRPr="00D71EF1">
              <w:tab/>
            </w:r>
            <w:r w:rsidRPr="00D71EF1">
              <w:rPr>
                <w:b/>
                <w:i/>
              </w:rPr>
              <w:t>kadangi Europos namų ūkiai kasmet investuoja apie 300 mlrd. EUR</w:t>
            </w:r>
            <w:r w:rsidRPr="00D71EF1">
              <w:rPr>
                <w:b/>
                <w:i/>
                <w:vertAlign w:val="superscript"/>
              </w:rPr>
              <w:t>1a</w:t>
            </w:r>
            <w:r w:rsidRPr="00D71EF1">
              <w:rPr>
                <w:b/>
                <w:i/>
              </w:rPr>
              <w:t xml:space="preserve"> už ES ribų, pirmiausia Jungtinėse Amerikos Valstijose; kadangi šią sumą galima palyginti su papildomu kapitalu, kurį būtų galima sutelkti ES, jei būtų sudarytos labiau į rinką orientuotos sąlygos;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„Much More Than A Market“ („Daug daugiau nei rinka“), Enrico Letta, 2024 m. mėn.</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E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Eb.</w:t>
            </w:r>
            <w:r w:rsidRPr="00D71EF1">
              <w:tab/>
            </w:r>
            <w:r w:rsidRPr="00D71EF1">
              <w:rPr>
                <w:b/>
                <w:i/>
              </w:rPr>
              <w:t>kadangi Europos rinkos, palyginti su kitais regionais, ypač JAV, susiduria su dideliu likvidumo trūkumu;</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F.</w:t>
            </w:r>
            <w:r w:rsidRPr="00D71EF1">
              <w:tab/>
              <w:t xml:space="preserve">kadangi, remiantis Draghi pranešimu, 2008–2021 m. laikotarpiu </w:t>
            </w:r>
            <w:r w:rsidRPr="00D71EF1">
              <w:rPr>
                <w:b/>
                <w:bCs/>
                <w:i/>
                <w:iCs/>
              </w:rPr>
              <w:t>beveik 30 proc. „vienaragių“ – startuolių</w:t>
            </w:r>
            <w:r w:rsidRPr="00D71EF1">
              <w:t>, kurių vertė viršijo 1 mlrd. JAV dolerių, – perkėlė savo būstinę į užsienį, daugiausia į JAV;</w:t>
            </w:r>
          </w:p>
        </w:tc>
        <w:tc>
          <w:tcPr>
            <w:tcW w:w="4876" w:type="dxa"/>
            <w:tcBorders>
              <w:top w:val="nil"/>
              <w:left w:val="nil"/>
              <w:bottom w:val="nil"/>
              <w:right w:val="nil"/>
            </w:tcBorders>
          </w:tcPr>
          <w:p w:rsidR="00E95BBE" w:rsidRPr="00D71EF1" w:rsidRDefault="00E95BBE" w:rsidP="00E95BBE">
            <w:pPr>
              <w:pStyle w:val="Normal6a"/>
            </w:pPr>
            <w:r w:rsidRPr="00D71EF1">
              <w:t>F.</w:t>
            </w:r>
            <w:r w:rsidRPr="00D71EF1">
              <w:tab/>
              <w:t xml:space="preserve">kadangi, remiantis Draghi pranešimu, 2008–2021 m. laikotarpiu </w:t>
            </w:r>
            <w:r w:rsidRPr="00D71EF1">
              <w:rPr>
                <w:b/>
                <w:bCs/>
                <w:i/>
                <w:iCs/>
              </w:rPr>
              <w:t>buvo įsteigti 147 „vienaragiai“ – startuoliai</w:t>
            </w:r>
            <w:r w:rsidRPr="00D71EF1">
              <w:t xml:space="preserve">, kurių vertė viršijo 1 mlrd. JAV dolerių, – </w:t>
            </w:r>
            <w:r w:rsidRPr="00D71EF1">
              <w:rPr>
                <w:b/>
                <w:bCs/>
                <w:i/>
                <w:iCs/>
              </w:rPr>
              <w:t xml:space="preserve">iš kurių 40 </w:t>
            </w:r>
            <w:r w:rsidRPr="00D71EF1">
              <w:t xml:space="preserve">perkėlė savo būstinę į užsienį, daugiausia į JAV; </w:t>
            </w:r>
            <w:r w:rsidRPr="00D71EF1">
              <w:rPr>
                <w:b/>
                <w:i/>
              </w:rPr>
              <w:t>kadangi Sąjungos administracinė našta sudaro maždaug 150 mlrd. EUR (1,3 proc. metinio BVP), o vidaus kliūtys, TVF duomenimis, vidaus rinkoje yra 100 proc. tarifas;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F.</w:t>
            </w:r>
            <w:r w:rsidRPr="00D71EF1">
              <w:tab/>
              <w:t xml:space="preserve">kadangi, remiantis Draghi pranešimu, 2008–2021 m. laikotarpiu </w:t>
            </w:r>
            <w:r w:rsidRPr="00D71EF1">
              <w:lastRenderedPageBreak/>
              <w:t>beveik 30 proc. „vienaragių“ – startuolių, kurių vertė viršijo 1 mlrd. JAV dolerių, – perkėlė savo būstinę į užsienį, daugiausia į JAV;</w:t>
            </w:r>
          </w:p>
        </w:tc>
        <w:tc>
          <w:tcPr>
            <w:tcW w:w="4876" w:type="dxa"/>
            <w:tcBorders>
              <w:top w:val="nil"/>
              <w:left w:val="nil"/>
              <w:bottom w:val="nil"/>
              <w:right w:val="nil"/>
            </w:tcBorders>
          </w:tcPr>
          <w:p w:rsidR="00E95BBE" w:rsidRPr="00D71EF1" w:rsidRDefault="00E95BBE" w:rsidP="00E95BBE">
            <w:pPr>
              <w:pStyle w:val="Normal6a"/>
            </w:pPr>
            <w:r w:rsidRPr="00D71EF1">
              <w:lastRenderedPageBreak/>
              <w:t>F.</w:t>
            </w:r>
            <w:r w:rsidRPr="00D71EF1">
              <w:tab/>
              <w:t xml:space="preserve">kadangi, remiantis Draghi pranešimu, 2008–2021 m. laikotarpiu </w:t>
            </w:r>
            <w:r w:rsidRPr="00D71EF1">
              <w:lastRenderedPageBreak/>
              <w:t>beveik 30 proc. „vienaragių“ – startuolių, kurių vertė viršijo 1 mlrd. JAV dolerių, – perkėlė savo būstinę į užsienį, daugiausia į JAV</w:t>
            </w:r>
            <w:r w:rsidRPr="00D71EF1">
              <w:rPr>
                <w:b/>
                <w:bCs/>
                <w:i/>
                <w:iCs/>
              </w:rPr>
              <w:t>, dėl verslumui palankesnės kultūrinės ir reguliavimo sistemos</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F.</w:t>
            </w:r>
            <w:r w:rsidRPr="00D71EF1">
              <w:tab/>
              <w:t>kadangi, remiantis Draghi pranešimu, 2008–2021 m. laikotarpiu beveik 30 proc. „vienaragių“ – startuolių, kurių vertė viršijo 1 mlrd. JAV dolerių, – perkėlė savo būstinę į užsienį, daugiausia į JAV;</w:t>
            </w:r>
          </w:p>
        </w:tc>
        <w:tc>
          <w:tcPr>
            <w:tcW w:w="4876" w:type="dxa"/>
            <w:tcBorders>
              <w:top w:val="nil"/>
              <w:left w:val="nil"/>
              <w:bottom w:val="nil"/>
              <w:right w:val="nil"/>
            </w:tcBorders>
          </w:tcPr>
          <w:p w:rsidR="00E95BBE" w:rsidRPr="00D71EF1" w:rsidRDefault="00E95BBE" w:rsidP="00E95BBE">
            <w:pPr>
              <w:pStyle w:val="Normal6a"/>
            </w:pPr>
            <w:r w:rsidRPr="00D71EF1">
              <w:t>F.</w:t>
            </w:r>
            <w:r w:rsidRPr="00D71EF1">
              <w:tab/>
              <w:t xml:space="preserve">kadangi, remiantis Draghi pranešimu, 2008–2021 m. laikotarpiu beveik 30 proc. „vienaragių“ – startuolių, kurių vertė viršijo 1 mlrd. JAV dolerių, – perkėlė savo būstinę į užsienį, daugiausia į JAV; </w:t>
            </w:r>
            <w:r w:rsidRPr="00D71EF1">
              <w:rPr>
                <w:b/>
                <w:i/>
              </w:rPr>
              <w:t>primena, kad tik 4 iš 50 didžiausių pasaulio technologijų įmonių yra Europos įmonės;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78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F.</w:t>
            </w:r>
            <w:r w:rsidRPr="00D71EF1">
              <w:tab/>
              <w:t>kadangi, remiantis Draghi pranešimu, 2008–2021 m. laikotarpiu beveik 30 proc. „vienaragių“ – startuolių, kurių vertė viršijo 1 mlrd. JAV dolerių, – perkėlė savo būstinę į užsienį, daugiausia į JAV;</w:t>
            </w:r>
          </w:p>
        </w:tc>
        <w:tc>
          <w:tcPr>
            <w:tcW w:w="4876" w:type="dxa"/>
            <w:tcBorders>
              <w:top w:val="nil"/>
              <w:left w:val="nil"/>
              <w:bottom w:val="nil"/>
              <w:right w:val="nil"/>
            </w:tcBorders>
          </w:tcPr>
          <w:p w:rsidR="00E95BBE" w:rsidRPr="00D71EF1" w:rsidRDefault="00E95BBE" w:rsidP="00E95BBE">
            <w:pPr>
              <w:pStyle w:val="Normal6a"/>
            </w:pPr>
            <w:r w:rsidRPr="00D71EF1">
              <w:t>F.</w:t>
            </w:r>
            <w:r w:rsidRPr="00D71EF1">
              <w:tab/>
              <w:t xml:space="preserve">kadangi, remiantis Draghi pranešimu, 2008–2021 m. laikotarpiu beveik 30 proc. </w:t>
            </w:r>
            <w:r w:rsidRPr="00D71EF1">
              <w:rPr>
                <w:b/>
                <w:bCs/>
                <w:i/>
                <w:iCs/>
              </w:rPr>
              <w:t xml:space="preserve">Europos </w:t>
            </w:r>
            <w:r w:rsidRPr="00D71EF1">
              <w:t xml:space="preserve">„vienaragių“ – startuolių, kurių vertė </w:t>
            </w:r>
            <w:r w:rsidRPr="00D71EF1">
              <w:rPr>
                <w:b/>
                <w:bCs/>
                <w:i/>
                <w:iCs/>
              </w:rPr>
              <w:t xml:space="preserve">sudarė ar </w:t>
            </w:r>
            <w:r w:rsidRPr="00D71EF1">
              <w:t>viršijo 1 mlrd. JAV dolerių, – perkėlė savo būstinę į užsienį, daugiausia į JAV;</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79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Fa.</w:t>
            </w:r>
            <w:r w:rsidRPr="00D71EF1">
              <w:tab/>
            </w:r>
            <w:r w:rsidRPr="00D71EF1">
              <w:rPr>
                <w:b/>
                <w:i/>
              </w:rPr>
              <w:t>kadangi alternatyviosios sąnaudos dėl nepakankamo suderinimo Europos lygmeniu siekia 200 mlrd. EUR per metus, daugiausia dėl Europos teisės aktų sudėtingumo ir pernelyg didelės apimties; 2019–2024 m. JAV Kongrese buvo priimta 3 500 teisės aktų tekstų ir 2 000 rezoliucijų, o Europos lygmeniu – 13 000 teisės aktų;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F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Fa.</w:t>
            </w:r>
            <w:r w:rsidRPr="00D71EF1">
              <w:tab/>
            </w:r>
            <w:r w:rsidRPr="00D71EF1">
              <w:rPr>
                <w:b/>
                <w:i/>
              </w:rPr>
              <w:t>kadangi Europos Centrinis Bankas pabrėžia, kad su klimatu susijusi rizika daro poveikį makroekonominiams rodikliams, pvz., infliacijai, ekonomikos augimui, finansiniam stabilumui ir pinigų politikos poveikio perdavimui, ir kad biologinės įvairovės nykimas, taip pat natūralių ekosistemų nykimas gali sustiprinti su klimatu susijusią riziką;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konstatuojamoji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G.</w:t>
            </w:r>
            <w:r w:rsidRPr="00D71EF1">
              <w:tab/>
              <w:t xml:space="preserve">kadangi 2021 m. moksliniams tyrimams ir plėtrai skirtos išlaidos sudarė </w:t>
            </w:r>
            <w:r w:rsidRPr="00D71EF1">
              <w:rPr>
                <w:b/>
                <w:bCs/>
                <w:i/>
                <w:iCs/>
              </w:rPr>
              <w:t>2,1</w:t>
            </w:r>
            <w:r w:rsidRPr="00D71EF1">
              <w:t xml:space="preserve"> proc. ES BVP, o JAV – </w:t>
            </w:r>
            <w:r w:rsidRPr="00D71EF1">
              <w:rPr>
                <w:b/>
                <w:bCs/>
                <w:i/>
                <w:iCs/>
              </w:rPr>
              <w:t>3,5</w:t>
            </w:r>
            <w:r w:rsidRPr="00D71EF1">
              <w:t xml:space="preserve"> proc. ir Kinijoje – </w:t>
            </w:r>
            <w:r w:rsidRPr="00D71EF1">
              <w:rPr>
                <w:b/>
                <w:bCs/>
                <w:i/>
                <w:iCs/>
              </w:rPr>
              <w:t>2,4</w:t>
            </w:r>
            <w:r w:rsidRPr="00D71EF1">
              <w:t> proc., nors 2000 m. Lisabonos strategijoje nustatytas 3 proc. mokslinių tyrimų ir plėtros išlaidų tikslas;</w:t>
            </w:r>
          </w:p>
        </w:tc>
        <w:tc>
          <w:tcPr>
            <w:tcW w:w="4876" w:type="dxa"/>
            <w:tcBorders>
              <w:top w:val="nil"/>
              <w:left w:val="nil"/>
              <w:bottom w:val="nil"/>
              <w:right w:val="nil"/>
            </w:tcBorders>
          </w:tcPr>
          <w:p w:rsidR="00E95BBE" w:rsidRPr="00D71EF1" w:rsidRDefault="00E95BBE" w:rsidP="00E95BBE">
            <w:pPr>
              <w:pStyle w:val="Normal6a"/>
            </w:pPr>
            <w:r w:rsidRPr="00D71EF1">
              <w:t>G.</w:t>
            </w:r>
            <w:r w:rsidRPr="00D71EF1">
              <w:tab/>
              <w:t xml:space="preserve">kadangi 2021 m. moksliniams tyrimams ir plėtrai skirtos išlaidos sudarė </w:t>
            </w:r>
            <w:r w:rsidRPr="00D71EF1">
              <w:rPr>
                <w:b/>
                <w:bCs/>
                <w:i/>
                <w:iCs/>
              </w:rPr>
              <w:t>2,2</w:t>
            </w:r>
            <w:r w:rsidRPr="00D71EF1">
              <w:t xml:space="preserve"> proc. ES BVP, o JAV – </w:t>
            </w:r>
            <w:r w:rsidRPr="00D71EF1">
              <w:rPr>
                <w:b/>
                <w:bCs/>
                <w:i/>
                <w:iCs/>
              </w:rPr>
              <w:t>3,4</w:t>
            </w:r>
            <w:r w:rsidRPr="00D71EF1">
              <w:t xml:space="preserve"> proc. ir Kinijoje – </w:t>
            </w:r>
            <w:r w:rsidRPr="00D71EF1">
              <w:rPr>
                <w:b/>
                <w:bCs/>
                <w:i/>
                <w:iCs/>
              </w:rPr>
              <w:t>2,6</w:t>
            </w:r>
            <w:r w:rsidRPr="00D71EF1">
              <w:t xml:space="preserve"> proc., nors 2000 m. Lisabonos strategijoje nustatytas 3 proc. mokslinių tyrimų ir plėtros išlaidų tikslas; </w:t>
            </w:r>
            <w:r w:rsidRPr="00D71EF1">
              <w:rPr>
                <w:b/>
                <w:i/>
              </w:rPr>
              <w:t>kadangi iš visų ES MTTP išlaidų, privačiajam sektoriui teko 66 proc., o JAV – 78 proc., Kinijoje – 77,7 proc.;</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 xml:space="preserve">kadangi privačių investicijų pritraukimas yra labai svarbus siekiant skatinti ekonomikos augimą, inovacijas ir darbo vietų kūrimą visoje Europoje, o to galima pasiekti taikant fiskalines paskatas; kadangi tokiomis paskatomis būtų mažinama Europos priklausomybė nuo viešųjų išteklių, skatinamas veiksmingas kapitalo paskirstymas ir sudaromos sąlygos finansuoti pagrindinius sektorius, pavyzdžiui, rizikos kapitalo, infrastruktūros ir technologijų; kadangi fiskalinės priemonės turėtų būti parengtos taip, kad būtų atsižvelgiama į valstybių narių kompetenciją mokesčių politikos srityje, užtikrinant, kad jos išlaikytų galimybę lanksčiai pritaikyti mokesčių sistemas pagal savo nacionalinius prioritetus, kartu skatinant konkurencingas ir vienodas sąlygas visoje Sąjungoje; kadangi sukūrus nuoseklią Europos lygmens fiskalinių paskatų sistemą, kuri nepažeistų valstybių narių suverenumo, bus galima sukurti dinamiškesnę ir atsparesnę ekonomiką ir </w:t>
            </w:r>
            <w:r w:rsidRPr="00D71EF1">
              <w:rPr>
                <w:b/>
                <w:i/>
              </w:rPr>
              <w:lastRenderedPageBreak/>
              <w:t>paremti perėjimą prie rinka grindžiamos ekonomikos;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bankai tebėra ES finansų sistemos pagrindas ir pagrindinis realiosios ekonomikos finansavimo kanalas; kadangi gerai subalansuota reguliavimo sistema yra būtina finansiniam stabilumui užtikrinti, tačiau pernelyg griežtais reikalavimais gali būti ribojamas skolinimas ir mažinamas konkurencingumas; kadangi ES keliais atvejais viršijo tarptautinius Bazelio standartus ir dėl to ES bankams tenka santykinai didesnė reikalavimų laikymosi našta;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 xml:space="preserve">kadangi, remiantis M. Draghi pranešimu, Europos padėtis pažangiųjų technologijų, kuriomis ateityje bus skatinamas ekonomikos augimas, srityje prastėja, atkreipiant dėmesį į tai, kad tik keturios iš 50 didžiausių pasaulio technologijų įmonių yra Europos įmonės, o ES padėtis pasaulio mastu technologijų srityje prastėja, nes nuo 2013 m. iki </w:t>
            </w:r>
            <w:r w:rsidRPr="00D71EF1">
              <w:rPr>
                <w:b/>
                <w:i/>
              </w:rPr>
              <w:lastRenderedPageBreak/>
              <w:t>2023 m. ES pajamų iš technologijų dalis pasaulyje sumažėjo nuo 22 proc. iki 18 proc., o JAV dalis išaugo nuo 30 proc. iki 38proc.</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M. Draghi pranešimas. A competitiveness strategy for Europe („Europos konkurencingumo strategija“) (A dalis), p. 14.</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TVF duomenimis, apskaičiuota, kad likusios netarifinės kliūtys, ribojančios ES vidaus prekybą, vidutiniame gamybos sektoriuje yra apie 45 proc. tarifų dydžio (tris kartus daugiau nei JAV valstijose), o vidutiniame paslaugų sektoriuje – 110 proc. tarifų dydžio</w:t>
            </w:r>
            <w:r w:rsidRPr="00D71EF1">
              <w:rPr>
                <w:b/>
                <w:i/>
                <w:vertAlign w:val="superscript"/>
              </w:rPr>
              <w:t>5a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5a</w:t>
            </w:r>
            <w:r w:rsidRPr="00D71EF1">
              <w:t xml:space="preserve"> </w:t>
            </w:r>
            <w:r w:rsidRPr="00D71EF1">
              <w:rPr>
                <w:b/>
                <w:i/>
              </w:rPr>
              <w:t>Tarptautinis valiutos fondas, „Regional Economic Outlook Notes - Europe“ (Regioninės ekonomikos perspektyvų pastabos), 2024 m. lapkričio mėn., „Europe’s Declining Productivity Growth: Diagnoses and Remedies’“ (Mažėjantis Europos našumo augimas. Diagnozės ir taisomosios priemonės), https://www.elibrary.imf.org/supplemental/book/9798400287312/9798400287312.xml/REOEUREA2024002-S001_SOURCE_PDF.pdf</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86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prognozuojama, kad iki 2060 m. dėl nešvelninamos klimato kaitos pasaulio BVP vidutiniškai sumažės daugiau nei 2 proc., o kai kuriuose regionuose dėl jos neigiamo poveikio darbo našumui, žemės ūkio produkcijai, žmonių sveikatai ir infrastruktūrai jis gali sumažėti iki 6 proc.</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The Economic Consequences of Climate Change („Klimato kaitos ekonominės pasekmės“), EBPO, 2015 m., https://www.oecd.org/env/the-economic-consequences-of-climate-change-9789264235410-en.htm</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ES susiduria su kapitalo nutekėjimo į Jungtines Amerikos Valstijas problema, nes kasmet į JAV kapitalo rinkas nuteka apie 300 mlrd. EUR europiečių santaupų; kadangi būtina skubiai skatinti Europos namų ūkius taupyti ir investuoti Europoje;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88</w:t>
      </w:r>
      <w:r w:rsidRPr="00D71EF1">
        <w:rPr>
          <w:rStyle w:val="HideTWBExt"/>
          <w:b w:val="0"/>
        </w:rPr>
        <w:t>&lt;/NumAm&gt;</w:t>
      </w:r>
    </w:p>
    <w:p w:rsidR="00E95BBE" w:rsidRPr="00D71EF1" w:rsidRDefault="00E95BBE" w:rsidP="00E95BBE">
      <w:pPr>
        <w:pStyle w:val="NormalBold"/>
      </w:pPr>
      <w:r w:rsidRPr="00D71EF1">
        <w:rPr>
          <w:rStyle w:val="HideTWBExt"/>
          <w:b w:val="0"/>
        </w:rPr>
        <w:lastRenderedPageBreak/>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šiuo metu daugiau kaip 80 proc. Europos skaitmeninių technologijų importuojama iš trečiųjų šalių ir dėl to Europa tampa sistemiškai pažeidžiama ir mažėja jos konkurencingumas bei inovacijų potencialas;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89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Fabio De Masi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ECB euro zonos bankų skolinimo apžvalgoje (2025 m. sausio mėn.) ir SAFE ataskaitoje (2024 m. lapkričio mėn.) nurodoma, kad pagrindinė kliūtis didesniam kredito augimui yra nepakankama paskolų paklausa;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René Repasi, Evelyn Regner, Niels Fuglsang, Claire Fita,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tarp nurodytų kliūčių bendrojoje rinkoje MVĮ nurodė, kad 17 proc. jų sudaro PVM, 12 proc. – patekimas į rinką, 10 proc. – finansavimas ir 6 proc. – reikalavimai rinkoms</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2025 m. metinė bendrosios rinkos ir konkurencingumo ataskaita, COM(2025)26 </w:t>
            </w:r>
            <w:r w:rsidRPr="00D71EF1">
              <w:rPr>
                <w:b/>
              </w:rPr>
              <w:t>final</w:t>
            </w:r>
            <w:r w:rsidRPr="00D71EF1">
              <w:rPr>
                <w:b/>
                <w:i/>
              </w:rPr>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remiantis 2023 m. liepos 19 d. Europos Komisijos tyrimo duomenimis, tik 18 proc. europiečių turi aukštą finansinio raštingumo lygį;</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2015 m. rugsėjo mėn. Europos Komisija paskelbė pirmąjį Kapitalo rinkų sąjungos kūrimo veiksmų planą;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93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Thomas Bajada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a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Ga.</w:t>
            </w:r>
            <w:r w:rsidRPr="00D71EF1">
              <w:tab/>
            </w:r>
            <w:r w:rsidRPr="00D71EF1">
              <w:rPr>
                <w:b/>
                <w:i/>
              </w:rPr>
              <w:t>kadangi 2023 m. liepos mėn. „Eurobarometro“ apklausos rezultatai rodo, kad tik 18 proc. ES piliečių finansinio raštingumo lygis yra aukštas;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Gb.</w:t>
            </w:r>
            <w:r w:rsidRPr="00D71EF1">
              <w:tab/>
            </w:r>
            <w:r w:rsidRPr="00D71EF1">
              <w:rPr>
                <w:b/>
                <w:i/>
              </w:rPr>
              <w:t>kadangi dėl tebesitęsiančių prekybos karų ir ginčų dėl tarifų kyla didelių neaiškumų pasaulio rinkose, nes visų pirma jie daro poveikį tarpvalstybinėms investicijoms ir trikdo nusistovėjusias tiekimo grandines; kadangi muitų ir prekybos kliūčių taikymas kenkia laisvosios prekybos ir konkurencingų rinkų principams, kurie yra būtini sklandžiam privataus kapitalo rinkų veikimui; kadangi dėl tokios geopolitinės įtampos kyla papildoma rizika investuotojams, mažėja pasitikėjimas ir trukdoma privačiam kapitalui judėti tarp valstybių, o tai labai svarbu finansuojant inovacijas, startuolius ir augančias įmones; kadangi dėl šių prekybos konfliktų atsiradusio nestabilumo kyla pavojus, kad gali sulėtėti kapitalo rinkų sąjungos kūrimas, nes tai atgraso nuo investicijų į Europos rinką, visų pirma į didelės rizikos sektorius, kurie labai priklauso nuo pasaulinių prekybos tinklų;</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Gb.</w:t>
            </w:r>
            <w:r w:rsidRPr="00D71EF1">
              <w:tab/>
            </w:r>
            <w:r w:rsidRPr="00D71EF1">
              <w:rPr>
                <w:b/>
                <w:i/>
              </w:rPr>
              <w:t>kadangi draudikai atlieka svarbų vaidmenį siekiant kapitalo rinkų sąjungos tikslų, nes užtikrina piliečių ir įmonių apsaugą nuo rizikos, remia pensijų kaupimą ir yra pagrindiniai ilgalaikiai investuotojai į ES ekonomiką;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Gb.</w:t>
            </w:r>
            <w:r w:rsidRPr="00D71EF1">
              <w:tab/>
            </w:r>
            <w:r w:rsidRPr="00D71EF1">
              <w:rPr>
                <w:b/>
                <w:i/>
              </w:rPr>
              <w:t>kadangi sumažinus finansinius suvaržymus būtų remiama novatoriškų, jaunų ir mažų įmonių plėtra</w:t>
            </w:r>
            <w:r w:rsidRPr="00D71EF1">
              <w:rPr>
                <w:b/>
                <w:i/>
                <w:vertAlign w:val="superscript"/>
              </w:rPr>
              <w:t>1a</w:t>
            </w:r>
            <w:r w:rsidRPr="00D71EF1">
              <w:rPr>
                <w:b/>
                <w:i/>
              </w:rPr>
              <w:t>; kadangi M. Draghi pranešime pabrėžiama, kad pernelyg didelis rizikos vengimas trukdo ekonomikos augimui;</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Europos centrinis bankas, European competitiveness: the role of institutions and the case for structural reforms („Europos konkurencingumas. Institucijų vaidmuo ir struktūrinių reformų argumentai“), https://www.ecb.europa.eu/press/economic-bulletin/articles/2025/html/ecb.ebart202501_01~fd1781599d.en.html.</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b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Gb.</w:t>
            </w:r>
            <w:r w:rsidRPr="00D71EF1">
              <w:tab/>
            </w:r>
            <w:r w:rsidRPr="00D71EF1">
              <w:rPr>
                <w:b/>
                <w:i/>
              </w:rPr>
              <w:t>kadangi vidaus kliūtys bendrojoje rinkoje prilygsta daugiau nei 100 proc. tarifui vien tik finansinių paslaugų srityje</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TVF, Regional Economic Outlook, Europe’s Declining Productivity Growth: Diagnoses and Remedies, p. 19.</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c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Gc.</w:t>
            </w:r>
            <w:r w:rsidRPr="00D71EF1">
              <w:tab/>
            </w:r>
            <w:r w:rsidRPr="00D71EF1">
              <w:rPr>
                <w:b/>
                <w:i/>
              </w:rPr>
              <w:t>kadangi 2023 m. kovo mėn. ES buvo 295 prekybos vietos, 14 pagrindinių sandorio šalių ir 32 centriniai vertybinių popierių depozitoriumai; kadangi 2023 m. 56–68 proc. prekybos vietose pasinaudojant penkiais pagrindiniais Vakarų Europos akcijų indeksais (AEX 25, CAC 40, DAX 40, IBEX 35 ir MIB 40) vyko šalies biržoje</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ECB Nereguliarių straipsnių serija, Nr. 232.</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99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c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Gc.</w:t>
            </w:r>
            <w:r w:rsidRPr="00D71EF1">
              <w:tab/>
            </w:r>
            <w:r w:rsidRPr="00D71EF1">
              <w:rPr>
                <w:b/>
                <w:i/>
              </w:rPr>
              <w:t>kadangi Europos kapitalo rinkos yra labai susiskaidžiusios, o žemyne veikia daug prekybos vietų;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d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Gd.</w:t>
            </w:r>
            <w:r w:rsidRPr="00D71EF1">
              <w:tab/>
            </w:r>
            <w:r w:rsidRPr="00D71EF1">
              <w:rPr>
                <w:b/>
                <w:i/>
              </w:rPr>
              <w:t>kadangi nuosavo kapitalo finansavimas turi dideles neišnaudotas galimybes remiant ES įmonių augimą ir inovacijas; kadangi šiuo metu bankams tenka mažiau nei 5 proc. privataus kapitalo investicijų, iš dalies dėl prudencinės tvarkos, taikomos įmonių akcinio kapitalo dalims pagal Kapitalo reikalavimų reglamentą ir sistemą „Bazelis III“;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lastRenderedPageBreak/>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d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Gd.</w:t>
            </w:r>
            <w:r w:rsidRPr="00D71EF1">
              <w:tab/>
            </w:r>
            <w:r w:rsidRPr="00D71EF1">
              <w:rPr>
                <w:b/>
                <w:i/>
              </w:rPr>
              <w:t>kadangi mokesčių ir nemokumo režimai valstybėse narėse iš esmės nesuderinti;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e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Ge.</w:t>
            </w:r>
            <w:r w:rsidRPr="00D71EF1">
              <w:tab/>
            </w:r>
            <w:r w:rsidRPr="00D71EF1">
              <w:rPr>
                <w:b/>
                <w:i/>
              </w:rPr>
              <w:t>kadangi santaupos bus investuojamos Sąjungoje tik tuo atveju, jei Europos ekonomika suteiks pakankamai patrauklių ir pelningų galimybių; kadangi Santaupų ir investicijų sąjungos sėkmė priklauso nuo to, ar labai padidės Sąjungos konkurencingumas ir bendras ekonominis patrauklumas;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e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Ge.</w:t>
            </w:r>
            <w:r w:rsidRPr="00D71EF1">
              <w:tab/>
            </w:r>
            <w:r w:rsidRPr="00D71EF1">
              <w:rPr>
                <w:b/>
                <w:i/>
              </w:rPr>
              <w:t xml:space="preserve">kadangi, kaip teigiama M. Draghi pranešime, ES piliečiai turėtų turėti </w:t>
            </w:r>
            <w:r w:rsidRPr="00D71EF1">
              <w:rPr>
                <w:b/>
                <w:i/>
              </w:rPr>
              <w:lastRenderedPageBreak/>
              <w:t>galimybę investuoti visoje Europoje be sudėtingo apmokestinimo ir „su kapitalo investicijomis susiję mokesčiai turėtų būti kuo labiau sinchronizuojami, kad būtų sumažintas paskatų susiskaidymas“</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M. Draghi, „The Future of European Competitiveness“, Part B - In-depth analysis and recommendations („Europos konkurencingumo ateitis. B dalis. Išsami analizė ir rekomendacijos“), 2024 m. rugsėjis, p. 293.</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f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Gf.</w:t>
            </w:r>
            <w:r w:rsidRPr="00D71EF1">
              <w:tab/>
            </w:r>
            <w:r w:rsidRPr="00D71EF1">
              <w:rPr>
                <w:b/>
                <w:i/>
              </w:rPr>
              <w:t>kadangi Enrico Letta pranešime teigiama, kad mokesčių susiskaidymas tebėra didelė kliūtis ES įmonėms, visų pirma MVĮ, ir geresnis suderinimas taikant suderintą ES mokesčių sistemą yra labai svarbus siekiant palengvinti laisvą darbuotojų, prekių ir paslaugų judėjimą ir remti ekonomikos augimą bei privačias investicijas</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Enrico Letta pranešimas Much more than a market, Speed, Security, Solidarity Empowering the Single Market to deliver a sustainable future and prosperity for all EU Citizens („Daug daugiau nei rinka. Sparta, saugumas ir solidarumas – bendrosios rinkos įgalinimas siekiant tvarios ateities ir klestėjimo visiems ES piliečiams“), 2024 m. balandžio mėn., </w:t>
            </w:r>
            <w:r w:rsidRPr="00D71EF1">
              <w:rPr>
                <w:b/>
                <w:i/>
              </w:rPr>
              <w:lastRenderedPageBreak/>
              <w:t>p. 91, 111.</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f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Gf.</w:t>
            </w:r>
            <w:r w:rsidRPr="00D71EF1">
              <w:tab/>
            </w:r>
            <w:r w:rsidRPr="00D71EF1">
              <w:rPr>
                <w:b/>
                <w:i/>
              </w:rPr>
              <w:t>kadangi Jungtinei Karalystei pasitraukus iš Europos Sąjungos, ji neteko didelės Sąjungos kapitalo rinkos dalies, o šalia atsirado konkurentas, turintis gerai išvystytą finansų infrastruktūrą ir didelio likvidumo fondus;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g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Gg.</w:t>
            </w:r>
            <w:r w:rsidRPr="00D71EF1">
              <w:tab/>
            </w:r>
            <w:r w:rsidRPr="00D71EF1">
              <w:rPr>
                <w:b/>
                <w:i/>
              </w:rPr>
              <w:t>kadangi kapitalo rinkų integracija, nors ir būtina, pati savaime nėra pakankama, kad būtų pasiektas tikslinis investicijų padidėjimas; didesnis kapitalo rinkų veiksmingumas turėtų būti papildytas tinkamomis fiskalinėmis paskatomis ir tikslinėmis viešosiomis investicijomis;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lastRenderedPageBreak/>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g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Gg.</w:t>
            </w:r>
            <w:r w:rsidRPr="00D71EF1">
              <w:tab/>
            </w:r>
            <w:r w:rsidRPr="00D71EF1">
              <w:rPr>
                <w:b/>
                <w:i/>
              </w:rPr>
              <w:t>kadangi galimybių investuotojams pasitraukti stoka yra pagrindinis veiksnys, dėl kurio ES nepakankamai išvystyti rizikos ir augimo kapitalo fondai, kadangi ES yra pernelyg priklausoma nuo bankų finansavimo</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Bankų paskolos sudarė 50,43 proc. ne finansų bendrovių finansavimo (EUROSTAT, ECB, FISMA GD skaičiavimai, 2023 m.), Komunikatas dėl Europos santaupų ir investicijų sąjungos, kvietimas teikti informaciją.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h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Gh.</w:t>
            </w:r>
            <w:r w:rsidRPr="00D71EF1">
              <w:tab/>
            </w:r>
            <w:r w:rsidRPr="00D71EF1">
              <w:rPr>
                <w:b/>
                <w:i/>
              </w:rPr>
              <w:t>kadangi 84 proc.</w:t>
            </w:r>
            <w:r w:rsidRPr="00D71EF1">
              <w:rPr>
                <w:b/>
                <w:i/>
                <w:vertAlign w:val="superscript"/>
              </w:rPr>
              <w:t>1a</w:t>
            </w:r>
            <w:r w:rsidRPr="00D71EF1">
              <w:rPr>
                <w:b/>
                <w:i/>
              </w:rPr>
              <w:t xml:space="preserve"> visų Europos pakeitimo vertybiniais popieriais priemonių bankai pasiliko ir nepardavė investuotojams; kadangi 80 proc. pakeitimo vertybiniais popieriais emisijų sutelkta keturiose valstybėse narėse; kadangi pakeitimo vertybiniais popieriais emisijų rinka yra labai paplitusi tarp rinkos dalyvių</w:t>
            </w:r>
            <w:r w:rsidRPr="00D71EF1">
              <w:rPr>
                <w:b/>
                <w:i/>
                <w:vertAlign w:val="superscript"/>
              </w:rPr>
              <w:t>1b</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Monitoring systemic risks in the EU </w:t>
            </w:r>
            <w:r w:rsidRPr="00D71EF1">
              <w:rPr>
                <w:b/>
                <w:i/>
              </w:rPr>
              <w:lastRenderedPageBreak/>
              <w:t>securitisation market („Sisteminės rizikos stebėsena ES pakeitimo vertybiniais popieriais rinkoje“), Europos sisteminės rizikos valdyba, 2022 m. liepos mėn.</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1b</w:t>
            </w:r>
            <w:r w:rsidRPr="00D71EF1">
              <w:t xml:space="preserve"> </w:t>
            </w:r>
            <w:r w:rsidRPr="00D71EF1">
              <w:rPr>
                <w:b/>
                <w:i/>
              </w:rPr>
              <w:t>Remiantis Europos sisteminės rizikos valdybos (ESRV) ataskaita „Monitoring Systemic Risks in the EU Securitisation Market“ („Sisteminės rizikos stebėsena ES pakeitimo vertybiniais popieriais rinkoje“) (2022 m. liepos mėn.), didžiausiame ES rinkos segmente – būsto hipoteka užtikrintų vertybinių popierių segmente – dešimčiai bankų teko du trečdaliai visų emisijų.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109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i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Gi.</w:t>
            </w:r>
            <w:r w:rsidRPr="00D71EF1">
              <w:tab/>
            </w:r>
            <w:r w:rsidRPr="00D71EF1">
              <w:rPr>
                <w:b/>
                <w:i/>
              </w:rPr>
              <w:t>kadangi taikant ekonomikos gaivinimo ir atsparumo didinimo priemonę iki 2026 m. Europos Sąjungos BVP galėtų padidėti 0,4–0,9 procentinio punkto, o konkrečiais Italijos ir Ispanijos atvejais – 1,2–1,9 procentinio punkto</w:t>
            </w:r>
            <w:r w:rsidRPr="00D71EF1">
              <w:rPr>
                <w:b/>
                <w:i/>
                <w:vertAlign w:val="superscript"/>
              </w:rPr>
              <w:t>1a</w:t>
            </w:r>
            <w:r w:rsidRPr="00D71EF1">
              <w:rPr>
                <w:b/>
                <w:i/>
              </w:rPr>
              <w:t>;</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ECB Nereguliarių straipsnių serija, Nr. 232.</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 xml:space="preserve">Jonás Fernández, René Repasi, Evelyn Regner, Niels Fuglsang, Claire Fita, </w:t>
      </w:r>
      <w:r w:rsidRPr="00D71EF1">
        <w:lastRenderedPageBreak/>
        <w:t>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j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Gj.</w:t>
            </w:r>
            <w:r w:rsidRPr="00D71EF1">
              <w:tab/>
            </w:r>
            <w:r w:rsidRPr="00D71EF1">
              <w:rPr>
                <w:b/>
                <w:i/>
              </w:rPr>
              <w:t>kadangi šiuo metu mokėjimai pagal ekonomikos gaivinimo ir atsparumo didinimo priemonę (angl. RRF) negali būti atliekami po 2026 m. gruodžio mėn.;</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k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Gk.</w:t>
            </w:r>
            <w:r w:rsidRPr="00D71EF1">
              <w:tab/>
            </w:r>
            <w:r w:rsidRPr="00D71EF1">
              <w:rPr>
                <w:b/>
                <w:i/>
              </w:rPr>
              <w:t>kadangi šiuo metu didžiausia Sąjungos rizikos pasidalijimo priemonė yra programa „InvestEU“; kadangi dauguma įgyvendinančiųjų partnerių ir toliau daugiausia dėmesio skiria mažesnės rizikos investicijoms;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G l konstatuojamoji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Gl.</w:t>
            </w:r>
            <w:r w:rsidRPr="00D71EF1">
              <w:tab/>
            </w:r>
            <w:r w:rsidRPr="00D71EF1">
              <w:rPr>
                <w:b/>
                <w:i/>
              </w:rPr>
              <w:t xml:space="preserve">kadangi politinis pasipriešinimas </w:t>
            </w:r>
            <w:r w:rsidRPr="00D71EF1">
              <w:rPr>
                <w:b/>
                <w:i/>
              </w:rPr>
              <w:lastRenderedPageBreak/>
              <w:t>ir skirtingi nacionaliniai interesai neleido pasiekti bendro sutarimo dėl kapitalo rinkų sąjungos sukūrimo;</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paantraštė</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 xml:space="preserve">Bendros Europos našumo ir </w:t>
            </w:r>
            <w:r w:rsidRPr="00D71EF1">
              <w:rPr>
                <w:b/>
                <w:bCs/>
                <w:i/>
                <w:iCs/>
              </w:rPr>
              <w:t>tvaraus</w:t>
            </w:r>
            <w:r w:rsidRPr="00D71EF1">
              <w:rPr>
                <w:b/>
                <w:bCs/>
              </w:rPr>
              <w:t xml:space="preserve"> </w:t>
            </w:r>
            <w:r w:rsidRPr="00D71EF1">
              <w:t>augimo poreikio vizijos kūrimas</w:t>
            </w:r>
          </w:p>
        </w:tc>
        <w:tc>
          <w:tcPr>
            <w:tcW w:w="4876" w:type="dxa"/>
            <w:tcBorders>
              <w:top w:val="nil"/>
              <w:left w:val="nil"/>
              <w:bottom w:val="nil"/>
              <w:right w:val="nil"/>
            </w:tcBorders>
          </w:tcPr>
          <w:p w:rsidR="00E95BBE" w:rsidRPr="00D71EF1" w:rsidRDefault="00E95BBE" w:rsidP="00E95BBE">
            <w:pPr>
              <w:pStyle w:val="Normal6a"/>
            </w:pPr>
            <w:r w:rsidRPr="00D71EF1">
              <w:t>Bendros Europos našumo ir augimo poreikio vizijos kūrimas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Lefteris Nikolaou-Alavanos, Kostas Papadakis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w:t>
            </w:r>
            <w:r w:rsidRPr="00D71EF1">
              <w:tab/>
            </w:r>
            <w:r w:rsidRPr="00D71EF1">
              <w:rPr>
                <w:b/>
                <w:i/>
              </w:rPr>
              <w:t xml:space="preserve">M. Draghi pranešime dėl ES įmonių konkurencingumo siekiama perorientuoti ES kapitalistinę ekonomiką tuo metu, kai stiprėja ES geopolitinė konkurencija su Kinija ir JAV, taip pat ir Rusija, dėl pirmavimo, o kartu ryškėja pirmieji naujos ekonominės krizės požymiai. Juo siekiama sutelkti sukauptas lėšas, kurios nebuvo investuotos, pasitelkiant Europos žaliąjį kursą ir ekonomikos gaivinimo ir atsparumo didinimo fondą, suteikiant papildomų paskatų ekonominėms grupėms, kurių vertė siekia milijardus eurų, ir netgi siūlant paprastų žmonių indėlius, pensijų fondus, darbščių šeimų viso gyvenimo sunkaus darbo vaisius. Pranešimui būdinga tai, kad jame remiamas ES perėjimas prie „karo ekonomikos“, kuris </w:t>
            </w:r>
            <w:r w:rsidRPr="00D71EF1">
              <w:rPr>
                <w:b/>
                <w:i/>
              </w:rPr>
              <w:lastRenderedPageBreak/>
              <w:t>jau pradedamas įgyvendinti ne tik įgyvendinant planus „ReArm Europe“, „EU Preparedness Union“ ir „ProtectEU“ ir reiškia vis didesnį ES įsitraukimą į imperialistinį karą Ukrainoje prieš kapitalistinę Rusiją pagal euroatlantinį planavimą, bet ir savarankiškai, „grobiant“ Ukrainos naudingųjų iškasenų turtus, energijos perdavimo tinklus ir kt. Tai taip pat susiję su ES parama okupacinei Izraelio valstybei, kuri vykdo Palestinos žmonių genocidą. Vadinamajame M. Draghi pranešime konkurencingumo vardan skatinama įšaldyti darbo užmokestį ir pensijas, smarkiai mažinti švietimo, sveikatos, socialinės apsaugos ir civilinės saugos išlaidas ir tuo pačiu metu jas komercializuoti, kad būtų subsidijuojamas tam tikrų grupių pelningumas. Taip pat skatinama toliau naikinti profesinių sąjungų organizavimosi, veiklos ir streiko teises, skatinant „karo grėsmės“ ir „ypatingų aplinkybių“ atmosferą. Remiantis M. Draghi pranešimu, 800 mlrd. EUR sąskaitą už karo ekonomiką labai brangiai sumokės ES darbuotojai, neturtingi dirbančiųjų sluoksniai, kad būtų užtikrintas didelių įmonių pelningumas ir interesai tuo metu, kai „skurstantys dirbantieji“ sudaro daugiau nei trečdalį ES gyventojų ir keturi iš dešimties nuolat arba periodiškai negali vykdyti savo nuolatinių įsipareigojimų.</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Dėl šių priežasčių vadinamasis M. Draghi pranešimas ir ES prieš paprastus žmones nukreiptas planavimas, kuriuo siekiama stiprinti ekonomines grupes mažinant dirbančiųjų teises ir poreikius, yra atmestini;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{EL}</w:t>
      </w:r>
      <w:r w:rsidRPr="00D71EF1">
        <w:t>el</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w:t>
            </w:r>
            <w:r w:rsidRPr="00D71EF1">
              <w:tab/>
            </w:r>
            <w:r w:rsidRPr="00D71EF1">
              <w:rPr>
                <w:b/>
                <w:i/>
              </w:rPr>
              <w:t>yra susirūpinęs dėl tebesitęsiančio geopolitinio netikrumo ir jo poveikio makroekonominiams rodikliams bei socialinių padarinių; pažymi, kad dėl šio netikrumo jau gerokai padidėjo finansų rinkų kintamumas ir krito JAV dolerio kursas; mano, kad dabar yra tinkamiausias laikas paspartinti Europos kapitalo rinkų integraciją, nes labiau integruota kapitalo rinka gali paskatinti didesnius investicijų srautus, pagerinti finansinį stabilumą ir padėti eurui tapti svarbesne pasauline valiuta, sustiprinant Europos ekonominį suverenumą ir atsparumą; pabrėžia, kad teisinė valstybė, teisėkūros stabilumas ir nuspėjamumas yra labai svarbūs tarptautiniams investuotojams; primygtinai ragina Komisiją nesiimti esminių neseniai priimtų teisės aktų pakeitimų; pabrėžia, kad išleidus bendrą ES skolos priemonių emisiją būtų padidintas ES finansų rinkų patrauklumas, nes tarptautiniams investuotojams būtų suteiktas saugus ir likvidus turtas; pabrėžia, kad skaitmeniniu euru, suteikiančiu saugią, nemokamą ir lengvai prieinamą mokėjimo priemonę, būtų labai prisidedama prie monetarinio suverenumo ir skatinamas tarptautinis euro vaidmuo;</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r>
            <w:r w:rsidRPr="00D71EF1">
              <w:rPr>
                <w:b/>
                <w:bCs/>
                <w:i/>
                <w:iCs/>
              </w:rPr>
              <w:t xml:space="preserve">turėdamas omenyje geopolitinį </w:t>
            </w:r>
            <w:r w:rsidRPr="00D71EF1">
              <w:rPr>
                <w:b/>
                <w:bCs/>
                <w:i/>
                <w:iCs/>
              </w:rPr>
              <w:lastRenderedPageBreak/>
              <w:t>nestabilumą ir tarptautinę įtampą</w:t>
            </w:r>
            <w:r w:rsidRPr="00D71EF1">
              <w:rPr>
                <w:b/>
                <w:bCs/>
              </w:rPr>
              <w:t xml:space="preserve"> </w:t>
            </w:r>
            <w:r w:rsidRPr="00D71EF1">
              <w:t xml:space="preserve">ragina bendrai sutelkti visus finansinius išteklius ir turimas priemones, </w:t>
            </w:r>
            <w:r w:rsidRPr="00D71EF1">
              <w:rPr>
                <w:b/>
                <w:bCs/>
                <w:i/>
                <w:iCs/>
              </w:rPr>
              <w:t>kad būtų sustiprintas</w:t>
            </w:r>
            <w:r w:rsidRPr="00D71EF1">
              <w:t xml:space="preserve"> ES </w:t>
            </w:r>
            <w:r w:rsidRPr="00D71EF1">
              <w:rPr>
                <w:b/>
                <w:bCs/>
                <w:i/>
                <w:iCs/>
              </w:rPr>
              <w:t>saugumas</w:t>
            </w:r>
            <w:r w:rsidRPr="00D71EF1">
              <w:t xml:space="preserve"> ir </w:t>
            </w:r>
            <w:r w:rsidRPr="00D71EF1">
              <w:rPr>
                <w:b/>
                <w:bCs/>
                <w:i/>
                <w:iCs/>
              </w:rPr>
              <w:t>pramoninis</w:t>
            </w:r>
            <w:r w:rsidRPr="00D71EF1">
              <w:t xml:space="preserve"> bei </w:t>
            </w:r>
            <w:r w:rsidRPr="00D71EF1">
              <w:rPr>
                <w:b/>
                <w:bCs/>
                <w:i/>
                <w:iCs/>
              </w:rPr>
              <w:t>technologinis suverenumas, palaikoma žalioji pertvarka, kuriamos kokybiškos</w:t>
            </w:r>
            <w:r w:rsidRPr="00D71EF1">
              <w:t xml:space="preserve"> darbo </w:t>
            </w:r>
            <w:r w:rsidRPr="00D71EF1">
              <w:rPr>
                <w:b/>
                <w:bCs/>
                <w:i/>
                <w:iCs/>
              </w:rPr>
              <w:t>vietos</w:t>
            </w:r>
            <w:r w:rsidRPr="00D71EF1">
              <w:t xml:space="preserve"> ir </w:t>
            </w:r>
            <w:r w:rsidRPr="00D71EF1">
              <w:rPr>
                <w:b/>
                <w:bCs/>
                <w:i/>
                <w:iCs/>
              </w:rPr>
              <w:t>prisidedama</w:t>
            </w:r>
            <w:r w:rsidRPr="00D71EF1">
              <w:t xml:space="preserve"> prie </w:t>
            </w:r>
            <w:r w:rsidRPr="00D71EF1">
              <w:rPr>
                <w:b/>
                <w:bCs/>
                <w:i/>
                <w:iCs/>
              </w:rPr>
              <w:t>aukštynkryptės socialinės konvergencijos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1.</w:t>
            </w:r>
            <w:r w:rsidRPr="00D71EF1">
              <w:tab/>
              <w:t xml:space="preserve">ragina </w:t>
            </w:r>
            <w:r w:rsidRPr="00D71EF1">
              <w:rPr>
                <w:b/>
                <w:bCs/>
                <w:i/>
                <w:iCs/>
              </w:rPr>
              <w:t xml:space="preserve">įvykdyti rinkos </w:t>
            </w:r>
            <w:r w:rsidRPr="00D71EF1">
              <w:rPr>
                <w:b/>
                <w:bCs/>
                <w:i/>
                <w:iCs/>
              </w:rPr>
              <w:lastRenderedPageBreak/>
              <w:t xml:space="preserve">liberalizavimą, kuris skatintų </w:t>
            </w:r>
            <w:r w:rsidRPr="00D71EF1">
              <w:t xml:space="preserve">bendrai sutelkti visus finansinius išteklius ir turimas priemones, </w:t>
            </w:r>
            <w:r w:rsidRPr="00D71EF1">
              <w:rPr>
                <w:b/>
                <w:bCs/>
                <w:i/>
                <w:iCs/>
              </w:rPr>
              <w:t>skirtus</w:t>
            </w:r>
            <w:r w:rsidRPr="00D71EF1">
              <w:t xml:space="preserve"> ES </w:t>
            </w:r>
            <w:r w:rsidRPr="00D71EF1">
              <w:rPr>
                <w:b/>
                <w:bCs/>
                <w:i/>
                <w:iCs/>
              </w:rPr>
              <w:t>saugumui</w:t>
            </w:r>
            <w:r w:rsidRPr="00D71EF1">
              <w:t xml:space="preserve"> ir </w:t>
            </w:r>
            <w:r w:rsidRPr="00D71EF1">
              <w:rPr>
                <w:b/>
                <w:bCs/>
                <w:i/>
                <w:iCs/>
              </w:rPr>
              <w:t>pramoniniam</w:t>
            </w:r>
            <w:r w:rsidRPr="00D71EF1">
              <w:t xml:space="preserve"> bei </w:t>
            </w:r>
            <w:r w:rsidRPr="00D71EF1">
              <w:rPr>
                <w:b/>
                <w:bCs/>
                <w:i/>
                <w:iCs/>
              </w:rPr>
              <w:t>technologiniam suverenumui veiksmingai stiprinti, ir kuris būtų pasiektas pritraukiant privačias investicijas, atveriant rinkas ir mažinant kliūtis, taip panaikinant didelę priklausomybę nuo subsidijų;</w:t>
            </w:r>
            <w:r w:rsidRPr="00D71EF1">
              <w:rPr>
                <w:b/>
                <w:i/>
              </w:rPr>
              <w:t xml:space="preserve"> </w:t>
            </w:r>
            <w:r w:rsidRPr="00D71EF1">
              <w:rPr>
                <w:b/>
                <w:bCs/>
                <w:i/>
                <w:iCs/>
              </w:rPr>
              <w:t>primena, kad rinkos liberalizavimas skatina investicijų pritraukimą, įmonių kūrimąsi ir augimą, taip pat kokybiškų</w:t>
            </w:r>
            <w:r w:rsidRPr="00D71EF1">
              <w:t xml:space="preserve"> darbo </w:t>
            </w:r>
            <w:r w:rsidRPr="00D71EF1">
              <w:rPr>
                <w:b/>
                <w:bCs/>
                <w:i/>
                <w:iCs/>
              </w:rPr>
              <w:t>vietų kūrimą</w:t>
            </w:r>
            <w:r w:rsidRPr="00D71EF1">
              <w:t xml:space="preserve"> ir </w:t>
            </w:r>
            <w:r w:rsidRPr="00D71EF1">
              <w:rPr>
                <w:b/>
                <w:bCs/>
                <w:i/>
                <w:iCs/>
              </w:rPr>
              <w:t>prisideda</w:t>
            </w:r>
            <w:r w:rsidRPr="00D71EF1">
              <w:t xml:space="preserve"> prie </w:t>
            </w:r>
            <w:r w:rsidRPr="00D71EF1">
              <w:rPr>
                <w:b/>
                <w:bCs/>
                <w:i/>
                <w:iCs/>
              </w:rPr>
              <w:t>piliečių gyvenimo kokybės gerinimo geopolitinio nestabilumo ir tarptautinės įtampos sąlygomis, o pernelyg didelis reguliavimas neskatina investuoti ir kurti gerovę</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w:t>
            </w:r>
            <w:r w:rsidRPr="00D71EF1">
              <w:rPr>
                <w:b/>
                <w:bCs/>
                <w:i/>
                <w:iCs/>
              </w:rPr>
              <w:t>visus</w:t>
            </w:r>
            <w:r w:rsidRPr="00D71EF1">
              <w:t xml:space="preserve"> finansinius išteklius ir turimas priemones, kad būtų </w:t>
            </w:r>
            <w:r w:rsidRPr="00D71EF1">
              <w:rPr>
                <w:b/>
                <w:bCs/>
                <w:i/>
                <w:iCs/>
              </w:rPr>
              <w:t>sustiprintas ES saugumas ir pramoninis bei technologinis suverenumas, palaikoma žalioji pertvarka, kuriamos kokybiškos</w:t>
            </w:r>
            <w:r w:rsidRPr="00D71EF1">
              <w:t xml:space="preserve"> darbo </w:t>
            </w:r>
            <w:r w:rsidRPr="00D71EF1">
              <w:rPr>
                <w:b/>
                <w:bCs/>
                <w:i/>
                <w:iCs/>
              </w:rPr>
              <w:t>vietos ir prisidedama prie aukštynkryptės socialinės konvergencijos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w:t>
            </w:r>
            <w:r w:rsidRPr="00D71EF1">
              <w:rPr>
                <w:b/>
                <w:bCs/>
                <w:i/>
                <w:iCs/>
              </w:rPr>
              <w:t>teisinius, administracinius ir</w:t>
            </w:r>
            <w:r w:rsidRPr="00D71EF1">
              <w:t xml:space="preserve"> finansinius išteklius, kad būtų </w:t>
            </w:r>
            <w:r w:rsidRPr="00D71EF1">
              <w:rPr>
                <w:b/>
                <w:bCs/>
                <w:i/>
                <w:iCs/>
              </w:rPr>
              <w:t>sukurta stipri Europos kapitalo rinkų sąjunga, kuri skatins privačias investicijas, didins mažmenines investicijas, pavers indėlininkus investuotojais, didins taupymo produktyvumą, kels Europos gyvenimo lygį, didins ekonomikos augimą ir sukurs daugiau kapitalo investicijoms, o tai savo ruožtu padės palaikyti žaliąją ir skaitmeninę pertvarką, kurti kokybiškas darbo vietas, didinti ekonomines galimybes ir socialinį judumą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118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w:t>
            </w:r>
            <w:r w:rsidRPr="00D71EF1">
              <w:rPr>
                <w:b/>
                <w:bCs/>
                <w:i/>
                <w:iCs/>
              </w:rPr>
              <w:t>saugumas ir pramoninis bei technologinis suverenumas, palaikoma žalioji pertvarka, kuriamos kokybiškos darbo vietos ir prisidedama prie aukštynkryptės socialinės konvergencijos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w:t>
            </w:r>
            <w:r w:rsidRPr="00D71EF1">
              <w:rPr>
                <w:b/>
                <w:bCs/>
                <w:i/>
                <w:iCs/>
              </w:rPr>
              <w:t>konkurencingumas ir atviras strateginis savarankiškumas, taikant geresnę ir horizontalią pramonės politiką, orientuotą į inovacijas, ypatingos svarbos technologijas ir gynybos pajėgumus, kad ES įmonės galėtų konkuruoti pasauliniu mastu</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119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bendrai sutelkti visus finansinius išteklius ir turimas priemones, kad būtų sustiprintas</w:t>
            </w:r>
            <w:r w:rsidRPr="00D71EF1">
              <w:t xml:space="preserve"> ES </w:t>
            </w:r>
            <w:r w:rsidRPr="00D71EF1">
              <w:rPr>
                <w:b/>
                <w:bCs/>
                <w:i/>
                <w:iCs/>
              </w:rPr>
              <w:t>saugumas ir pramoninis bei technologinis suverenumas, palaikoma žalioji pertvarka, kuriamos kokybiškos</w:t>
            </w:r>
            <w:r w:rsidRPr="00D71EF1">
              <w:t xml:space="preserve"> darbo </w:t>
            </w:r>
            <w:r w:rsidRPr="00D71EF1">
              <w:rPr>
                <w:b/>
                <w:bCs/>
                <w:i/>
                <w:iCs/>
              </w:rPr>
              <w:t>vietos ir prisidedama</w:t>
            </w:r>
            <w:r w:rsidRPr="00D71EF1">
              <w:t xml:space="preserve">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sustiprinti</w:t>
            </w:r>
            <w:r w:rsidRPr="00D71EF1">
              <w:t xml:space="preserve"> ES </w:t>
            </w:r>
            <w:r w:rsidRPr="00D71EF1">
              <w:rPr>
                <w:b/>
                <w:bCs/>
                <w:i/>
                <w:iCs/>
              </w:rPr>
              <w:t>saugumą, pramoninį ir technologinį suverenumą bei konkurencingumą, kurie padeda kurti kokybiškas</w:t>
            </w:r>
            <w:r w:rsidRPr="00D71EF1">
              <w:t xml:space="preserve"> darbo </w:t>
            </w:r>
            <w:r w:rsidRPr="00D71EF1">
              <w:rPr>
                <w:b/>
                <w:bCs/>
                <w:i/>
                <w:iCs/>
              </w:rPr>
              <w:t>vietas ir prisideda</w:t>
            </w:r>
            <w:r w:rsidRPr="00D71EF1">
              <w:t xml:space="preserve">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w:t>
            </w:r>
            <w:r w:rsidRPr="00D71EF1">
              <w:rPr>
                <w:b/>
                <w:bCs/>
                <w:i/>
                <w:iCs/>
              </w:rPr>
              <w:t xml:space="preserve"> ir</w:t>
            </w:r>
            <w:r w:rsidRPr="00D71EF1">
              <w:t xml:space="preserve"> pramoninis </w:t>
            </w:r>
            <w:r w:rsidRPr="00D71EF1">
              <w:rPr>
                <w:b/>
                <w:bCs/>
                <w:i/>
                <w:iCs/>
              </w:rPr>
              <w:t>bei</w:t>
            </w:r>
            <w:r w:rsidRPr="00D71EF1">
              <w:t xml:space="preserve"> technologinis suverenumas</w:t>
            </w:r>
            <w:r w:rsidRPr="00D71EF1">
              <w:rPr>
                <w:b/>
                <w:bCs/>
                <w:i/>
                <w:iCs/>
              </w:rPr>
              <w:t>, palaikoma žalioji pertvarka,</w:t>
            </w:r>
            <w:r w:rsidRPr="00D71EF1">
              <w:t xml:space="preserve"> kuriamos kokybiškos darbo vietos</w:t>
            </w:r>
            <w:r w:rsidRPr="00D71EF1">
              <w:rPr>
                <w:b/>
                <w:bCs/>
                <w:i/>
                <w:iCs/>
              </w:rPr>
              <w:t xml:space="preserve"> ir prisidedama prie aukštynkryptės socialinės konvergencijos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w:t>
            </w:r>
            <w:r w:rsidRPr="00D71EF1">
              <w:rPr>
                <w:b/>
                <w:bCs/>
                <w:i/>
                <w:iCs/>
              </w:rPr>
              <w:t>,</w:t>
            </w:r>
            <w:r w:rsidRPr="00D71EF1">
              <w:t xml:space="preserve"> pramoninis </w:t>
            </w:r>
            <w:r w:rsidRPr="00D71EF1">
              <w:rPr>
                <w:b/>
                <w:bCs/>
                <w:i/>
                <w:iCs/>
              </w:rPr>
              <w:t>ir</w:t>
            </w:r>
            <w:r w:rsidRPr="00D71EF1">
              <w:t xml:space="preserve"> technologinis suverenumas</w:t>
            </w:r>
            <w:r w:rsidRPr="00D71EF1">
              <w:rPr>
                <w:b/>
                <w:bCs/>
                <w:i/>
                <w:iCs/>
              </w:rPr>
              <w:t xml:space="preserve"> ir</w:t>
            </w:r>
            <w:r w:rsidRPr="00D71EF1">
              <w:t xml:space="preserve"> kuriamos kokybiškos darbo vietos;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bendrai sutelkti visus finansinius išteklius ir turimas priemones,</w:t>
            </w:r>
            <w:r w:rsidRPr="00D71EF1">
              <w:t xml:space="preserve">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w:t>
            </w:r>
            <w:r w:rsidRPr="00D71EF1">
              <w:rPr>
                <w:b/>
                <w:bCs/>
                <w:i/>
                <w:iCs/>
              </w:rPr>
              <w:t xml:space="preserve"> sukurti Santaupų ir investicijų sąjungą</w:t>
            </w:r>
            <w:r w:rsidRPr="00D71EF1">
              <w:t>, kad būtų sustiprintas ES saugumas ir pramoninis bei technologinis suverenumas, palaikoma žalioji pertvarka</w:t>
            </w:r>
            <w:r w:rsidRPr="00D71EF1">
              <w:rPr>
                <w:b/>
                <w:bCs/>
                <w:i/>
                <w:iCs/>
              </w:rPr>
              <w:t>, stiprinamas konkurencingumas, didinamas ekonomikos augimas</w:t>
            </w:r>
            <w:r w:rsidRPr="00D71EF1">
              <w:t>,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w:t>
            </w:r>
            <w:r w:rsidRPr="00D71EF1">
              <w:rPr>
                <w:b/>
                <w:bCs/>
                <w:i/>
                <w:iCs/>
              </w:rPr>
              <w:t>, palaikoma žalioji pertvarka, kuriamos kokybiškos darbo vietos ir prisidedama prie aukštynkryptės socialinės konvergencijos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w:t>
            </w:r>
            <w:r w:rsidRPr="00D71EF1">
              <w:rPr>
                <w:b/>
                <w:bCs/>
                <w:i/>
                <w:iCs/>
              </w:rPr>
              <w:t xml:space="preserve"> ir padidintas Sąjungos konkurencingumas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w:t>
            </w:r>
            <w:r w:rsidRPr="00D71EF1">
              <w:rPr>
                <w:b/>
                <w:bCs/>
                <w:i/>
                <w:iCs/>
              </w:rPr>
              <w:t>palaikoma</w:t>
            </w:r>
            <w:r w:rsidRPr="00D71EF1">
              <w:t xml:space="preserve">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w:t>
            </w:r>
            <w:r w:rsidRPr="00D71EF1">
              <w:rPr>
                <w:b/>
                <w:bCs/>
                <w:i/>
                <w:iCs/>
              </w:rPr>
              <w:t>spartinama</w:t>
            </w:r>
            <w:r w:rsidRPr="00D71EF1">
              <w:t xml:space="preserve"> žalioji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 Kartheiser, Geadis Geadi, Kristoffer Storm, Nora Junco García, Diego Solier, Adrian-George Axinia, Georgiana Teodorescu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w:t>
            </w:r>
            <w:r w:rsidRPr="00D71EF1">
              <w:lastRenderedPageBreak/>
              <w:t xml:space="preserve">ir turimas priemones, kad būtų sustiprintas ES saugumas ir pramoninis bei technologinis suverenumas, palaikoma </w:t>
            </w:r>
            <w:r w:rsidRPr="00D71EF1">
              <w:rPr>
                <w:b/>
                <w:bCs/>
                <w:i/>
                <w:iCs/>
              </w:rPr>
              <w:t>žalioji</w:t>
            </w:r>
            <w:r w:rsidRPr="00D71EF1">
              <w:t xml:space="preserve">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lastRenderedPageBreak/>
              <w:t>1.</w:t>
            </w:r>
            <w:r w:rsidRPr="00D71EF1">
              <w:tab/>
              <w:t xml:space="preserve">turėdamas omenyje geopolitinį nestabilumą ir tarptautinę įtampą ragina bendrai sutelkti visus finansinius išteklius </w:t>
            </w:r>
            <w:r w:rsidRPr="00D71EF1">
              <w:lastRenderedPageBreak/>
              <w:t xml:space="preserve">ir turimas priemones, kad būtų sustiprintas ES saugumas ir pramoninis bei technologinis suverenumas, palaikoma </w:t>
            </w:r>
            <w:r w:rsidRPr="00D71EF1">
              <w:rPr>
                <w:b/>
                <w:bCs/>
                <w:i/>
                <w:iCs/>
              </w:rPr>
              <w:t>skaitmeninė</w:t>
            </w:r>
            <w:r w:rsidRPr="00D71EF1">
              <w:t xml:space="preserve"> pertvarka, kuriamos kokybiškos darbo vietos ir prisidedama prie aukštynkryptės socialinės konvergencijos;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w:t>
            </w:r>
            <w:r w:rsidRPr="00D71EF1">
              <w:rPr>
                <w:b/>
                <w:bCs/>
                <w:i/>
                <w:iCs/>
              </w:rPr>
              <w:t>palaikoma žalioji pertvarka,</w:t>
            </w:r>
            <w:r w:rsidRPr="00D71EF1">
              <w:rPr>
                <w:b/>
                <w:bCs/>
              </w:rPr>
              <w:t xml:space="preserve"> </w:t>
            </w:r>
            <w:r w:rsidRPr="00D71EF1">
              <w:t>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w:t>
            </w:r>
            <w:r w:rsidRPr="00D71EF1">
              <w:rPr>
                <w:b/>
                <w:bCs/>
                <w:i/>
                <w:iCs/>
              </w:rPr>
              <w:t>didinamas ES konkurencingumas,</w:t>
            </w:r>
            <w:r w:rsidRPr="00D71EF1">
              <w:rPr>
                <w:b/>
                <w:bCs/>
              </w:rPr>
              <w:t xml:space="preserve"> </w:t>
            </w:r>
            <w:r w:rsidRPr="00D71EF1">
              <w:t xml:space="preserve">sustiprintas </w:t>
            </w:r>
            <w:r w:rsidRPr="00D71EF1">
              <w:rPr>
                <w:b/>
                <w:bCs/>
                <w:i/>
                <w:iCs/>
              </w:rPr>
              <w:t>jos</w:t>
            </w:r>
            <w:r w:rsidRPr="00D71EF1">
              <w:t xml:space="preserve"> saugumas ir pramoninis bei technologinis suverenumas,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bendrai</w:t>
            </w:r>
            <w:r w:rsidRPr="00D71EF1">
              <w:rPr>
                <w:b/>
                <w:bCs/>
              </w:rPr>
              <w:t xml:space="preserve"> </w:t>
            </w:r>
            <w:r w:rsidRPr="00D71EF1">
              <w:t xml:space="preserve">sutelkti </w:t>
            </w:r>
            <w:r w:rsidRPr="00D71EF1">
              <w:rPr>
                <w:b/>
                <w:bCs/>
                <w:i/>
                <w:iCs/>
              </w:rPr>
              <w:t>visus</w:t>
            </w:r>
            <w:r w:rsidRPr="00D71EF1">
              <w:t xml:space="preserve"> finansinius išteklius</w:t>
            </w:r>
            <w:r w:rsidRPr="00D71EF1">
              <w:rPr>
                <w:b/>
                <w:bCs/>
                <w:i/>
                <w:iCs/>
              </w:rPr>
              <w:t xml:space="preserve"> ir turimas priemones</w:t>
            </w:r>
            <w:r w:rsidRPr="00D71EF1">
              <w:t xml:space="preserve">, kad būtų sustiprintas ES saugumas ir pramoninis bei technologinis suverenumas, </w:t>
            </w:r>
            <w:r w:rsidRPr="00D71EF1">
              <w:rPr>
                <w:b/>
                <w:bCs/>
                <w:i/>
                <w:iCs/>
              </w:rPr>
              <w:t>palaikoma žalioji pertvarka</w:t>
            </w:r>
            <w:r w:rsidRPr="00D71EF1">
              <w:t xml:space="preserve">, kuriamos kokybiškos darbo vietos ir prisidedama prie </w:t>
            </w:r>
            <w:r w:rsidRPr="00D71EF1">
              <w:lastRenderedPageBreak/>
              <w:t>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lastRenderedPageBreak/>
              <w:t>1.</w:t>
            </w:r>
            <w:r w:rsidRPr="00D71EF1">
              <w:tab/>
              <w:t xml:space="preserve">turėdamas omenyje geopolitinį nestabilumą ir tarptautinę įtampą ragina sutelkti </w:t>
            </w:r>
            <w:r w:rsidRPr="00D71EF1">
              <w:rPr>
                <w:b/>
                <w:bCs/>
                <w:i/>
                <w:iCs/>
              </w:rPr>
              <w:t>privačiojo sektoriaus</w:t>
            </w:r>
            <w:r w:rsidRPr="00D71EF1">
              <w:t xml:space="preserve"> finansinius išteklius, kad būtų sustiprintas ES saugumas ir pramoninis bei technologinis suverenumas, </w:t>
            </w:r>
            <w:r w:rsidRPr="00D71EF1">
              <w:rPr>
                <w:b/>
                <w:bCs/>
                <w:i/>
                <w:iCs/>
              </w:rPr>
              <w:t>palaikomas perėjimas prie švarios energijos ir priklausomybės nuo iškastinio kuro mažinimas</w:t>
            </w:r>
            <w:r w:rsidRPr="00D71EF1">
              <w:t xml:space="preserve">, kuriamos </w:t>
            </w:r>
            <w:r w:rsidRPr="00D71EF1">
              <w:lastRenderedPageBreak/>
              <w:t>kokybiškos darbo vietos ir prisidedama prie aukštynkryptės socialinės konvergencijos;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palaikoma </w:t>
            </w:r>
            <w:r w:rsidRPr="00D71EF1">
              <w:rPr>
                <w:b/>
                <w:bCs/>
                <w:i/>
                <w:iCs/>
              </w:rPr>
              <w:t>žalioji</w:t>
            </w:r>
            <w:r w:rsidRPr="00D71EF1">
              <w:t xml:space="preserve">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palaikoma </w:t>
            </w:r>
            <w:r w:rsidRPr="00D71EF1">
              <w:rPr>
                <w:b/>
                <w:bCs/>
                <w:i/>
                <w:iCs/>
              </w:rPr>
              <w:t>energetikos</w:t>
            </w:r>
            <w:r w:rsidRPr="00D71EF1">
              <w:t xml:space="preserve">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Anouk Van Brug, Engin Eroglu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bendrai</w:t>
            </w:r>
            <w:r w:rsidRPr="00D71EF1">
              <w:t xml:space="preserve"> sutelkti </w:t>
            </w:r>
            <w:r w:rsidRPr="00D71EF1">
              <w:rPr>
                <w:b/>
                <w:bCs/>
                <w:i/>
                <w:iCs/>
              </w:rPr>
              <w:t>visus</w:t>
            </w:r>
            <w:r w:rsidRPr="00D71EF1">
              <w:rPr>
                <w:b/>
                <w:bCs/>
              </w:rPr>
              <w:t xml:space="preserve"> </w:t>
            </w:r>
            <w:r w:rsidRPr="00D71EF1">
              <w:t>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w:t>
            </w:r>
            <w:r w:rsidRPr="00D71EF1">
              <w:rPr>
                <w:b/>
                <w:bCs/>
                <w:i/>
                <w:iCs/>
              </w:rPr>
              <w:t xml:space="preserve"> iš esmės</w:t>
            </w:r>
            <w:r w:rsidRPr="00D71EF1">
              <w:t xml:space="preserve"> sutelkti finansinius išteklius ir turimas priemones, kad būtų sustiprintas ES saugumas ir pramoninis bei technologinis suverenumas, palaikoma žalioji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129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palaikoma </w:t>
            </w:r>
            <w:r w:rsidRPr="00D71EF1">
              <w:rPr>
                <w:b/>
                <w:bCs/>
                <w:i/>
                <w:iCs/>
              </w:rPr>
              <w:t xml:space="preserve">skaitmeninė ir </w:t>
            </w:r>
            <w:r w:rsidRPr="00D71EF1">
              <w:t>žalioji pertvarka</w:t>
            </w:r>
            <w:r w:rsidRPr="00D71EF1">
              <w:rPr>
                <w:b/>
                <w:bCs/>
                <w:i/>
                <w:iCs/>
              </w:rPr>
              <w:t>, didinamas konkurencingumas, užtikrinamas tvarus ekonomikos augimas</w:t>
            </w:r>
            <w:r w:rsidRPr="00D71EF1">
              <w:t>, kuriamos kokybiškos darbo vietos ir prisidedama prie aukštynkryptės socialinės konvergencijos</w:t>
            </w:r>
            <w:r w:rsidRPr="00D71EF1">
              <w:rPr>
                <w:b/>
                <w:bCs/>
                <w:i/>
                <w:iCs/>
              </w:rPr>
              <w:t xml:space="preserve"> ir sanglaudos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w:t>
            </w:r>
            <w:r w:rsidRPr="00D71EF1">
              <w:rPr>
                <w:b/>
                <w:bCs/>
                <w:i/>
                <w:iCs/>
              </w:rPr>
              <w:t>, skatinamas MVĮ sektorius</w:t>
            </w:r>
            <w:r w:rsidRPr="00D71EF1">
              <w:t xml:space="preserve"> ir prisidedama prie aukštynkryptės socialinės konvergencijos; </w:t>
            </w:r>
            <w:r w:rsidRPr="00D71EF1">
              <w:rPr>
                <w:b/>
                <w:i/>
              </w:rPr>
              <w:t>pažymi, kad saugumas yra būtina tvaraus augimo sąlyga;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131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Guillaume Peltier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w:t>
            </w:r>
            <w:r w:rsidRPr="00D71EF1">
              <w:rPr>
                <w:b/>
                <w:i/>
              </w:rPr>
              <w:t>, ypač naujų biologinių ir kompostuojamų medžiagų kūrimas,</w:t>
            </w:r>
            <w:r w:rsidRPr="00D71EF1">
              <w:t xml:space="preserve">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w:t>
            </w:r>
            <w:r w:rsidRPr="00D71EF1">
              <w:rPr>
                <w:b/>
                <w:bCs/>
                <w:i/>
                <w:iCs/>
              </w:rPr>
              <w:t>palaikoma</w:t>
            </w:r>
            <w:r w:rsidRPr="00D71EF1">
              <w:t xml:space="preserve">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w:t>
            </w:r>
            <w:r w:rsidRPr="00D71EF1">
              <w:rPr>
                <w:b/>
                <w:bCs/>
                <w:i/>
                <w:iCs/>
              </w:rPr>
              <w:t>atnaujinama ir spartinama</w:t>
            </w:r>
            <w:r w:rsidRPr="00D71EF1">
              <w:t xml:space="preserve"> žalioji pertvarka</w:t>
            </w:r>
            <w:r w:rsidRPr="00D71EF1">
              <w:rPr>
                <w:b/>
                <w:bCs/>
                <w:i/>
                <w:iCs/>
              </w:rPr>
              <w:t xml:space="preserve"> pereinant prie lygių, kurie moksliniu požiūriu laikomi minimaliaisiais tikslais</w:t>
            </w:r>
            <w:r w:rsidRPr="00D71EF1">
              <w:t>,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133</w:t>
      </w:r>
      <w:r w:rsidRPr="00D71EF1">
        <w:rPr>
          <w:rStyle w:val="HideTWBExt"/>
          <w:b w:val="0"/>
        </w:rPr>
        <w:t>&lt;/NumAm&gt;</w:t>
      </w:r>
    </w:p>
    <w:p w:rsidR="00E95BBE" w:rsidRPr="00D71EF1" w:rsidRDefault="00E95BBE" w:rsidP="00E95BBE">
      <w:pPr>
        <w:pStyle w:val="NormalBold"/>
      </w:pPr>
      <w:r w:rsidRPr="00D71EF1">
        <w:rPr>
          <w:rStyle w:val="HideTWBExt"/>
          <w:b w:val="0"/>
        </w:rPr>
        <w:lastRenderedPageBreak/>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w:t>
            </w:r>
            <w:r w:rsidRPr="00D71EF1">
              <w:rPr>
                <w:b/>
                <w:bCs/>
                <w:i/>
                <w:iCs/>
              </w:rPr>
              <w:t xml:space="preserve">skubiai </w:t>
            </w:r>
            <w:r w:rsidRPr="00D71EF1">
              <w:t>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ragina bendrai sutelkti visus finansinius išteklius ir turimas priemones, kad būtų sustiprintas ES saugumas ir pramoninis bei technologinis suverenumas, palaikoma žalioji </w:t>
            </w:r>
            <w:r w:rsidRPr="00D71EF1">
              <w:rPr>
                <w:b/>
                <w:bCs/>
                <w:i/>
                <w:iCs/>
              </w:rPr>
              <w:t xml:space="preserve">ir skaitmeninė </w:t>
            </w:r>
            <w:r w:rsidRPr="00D71EF1">
              <w:t>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Guillaume Peltier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 xml:space="preserve">turėdamas omenyje geopolitinį nestabilumą ir tarptautinę įtampą </w:t>
            </w:r>
            <w:r w:rsidRPr="00D71EF1">
              <w:rPr>
                <w:b/>
                <w:i/>
              </w:rPr>
              <w:t>bei didėjantį įsiskolinimo lygį euro zonoje</w:t>
            </w:r>
            <w:r w:rsidRPr="00D71EF1">
              <w:t xml:space="preserve">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Carla Tavares, Jonás Fernández</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w:t>
            </w:r>
            <w:r w:rsidRPr="00D71EF1">
              <w:rPr>
                <w:b/>
                <w:bCs/>
                <w:i/>
                <w:iCs/>
              </w:rPr>
              <w:t xml:space="preserve"> be kita ko, padidintas ypatingos svarbos infrastruktūros, įskaitant elektros energijos, vandens ir ryšių sistemas, atsparumas ir apsauga, siekiant apsaugoti europiečius ir ES įmones ir sušvelninti elektros energijos tiekimo nutrūkimo ir kitų didelių sutrikimų poveikį, </w:t>
            </w:r>
            <w:r w:rsidRPr="00D71EF1">
              <w:t>palaikoma žalioji pertvarka, kuriamos kokybiškos darbo vietos ir prisidedama prie aukštynkryptės socialinės konvergencijos;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137</w:t>
      </w:r>
      <w:r w:rsidRPr="00D71EF1">
        <w:rPr>
          <w:rStyle w:val="HideTWBExt"/>
          <w:b w:val="0"/>
        </w:rPr>
        <w:t>&lt;/NumAm&gt;</w:t>
      </w:r>
    </w:p>
    <w:p w:rsidR="00E95BBE" w:rsidRPr="00D71EF1" w:rsidRDefault="00E95BBE" w:rsidP="00E95BBE">
      <w:pPr>
        <w:pStyle w:val="NormalBold"/>
      </w:pPr>
      <w:r w:rsidRPr="00D71EF1">
        <w:rPr>
          <w:rStyle w:val="HideTWBExt"/>
          <w:b w:val="0"/>
        </w:rPr>
        <w:lastRenderedPageBreak/>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p>
        </w:tc>
        <w:tc>
          <w:tcPr>
            <w:tcW w:w="4876" w:type="dxa"/>
            <w:tcBorders>
              <w:top w:val="nil"/>
              <w:left w:val="nil"/>
              <w:bottom w:val="nil"/>
              <w:right w:val="nil"/>
            </w:tcBorders>
          </w:tcPr>
          <w:p w:rsidR="00E95BBE" w:rsidRPr="00D71EF1" w:rsidRDefault="00E95BBE" w:rsidP="00E95BBE">
            <w:pPr>
              <w:pStyle w:val="Normal6a"/>
            </w:pPr>
            <w:r w:rsidRPr="00D71EF1">
              <w:t>1.</w:t>
            </w:r>
            <w:r w:rsidRPr="00D71EF1">
              <w:tab/>
              <w:t>turėdamas omenyje geopolitinį nestabilumą ir tarptautinę įtampą ragina bendrai sutelkti visus finansinius išteklius ir turimas priemones, kad būtų sustiprintas ES saugumas ir pramoninis bei technologinis suverenumas, palaikoma žalioji pertvarka, kuriamos kokybiškos darbo vietos ir prisidedama prie aukštynkryptės socialinės konvergencijos</w:t>
            </w:r>
            <w:r w:rsidRPr="00D71EF1">
              <w:rPr>
                <w:b/>
                <w:bCs/>
                <w:i/>
                <w:iCs/>
              </w:rPr>
              <w:t>;</w:t>
            </w:r>
            <w:r w:rsidRPr="00D71EF1">
              <w:t xml:space="preserve"> </w:t>
            </w:r>
            <w:r w:rsidRPr="00D71EF1">
              <w:rPr>
                <w:b/>
                <w:i/>
              </w:rPr>
              <w:t>pažymi, kad pakeitimas vertybiniais popieriais paskirstant riziką investuotojams, kurie geriausiai gali ją prisiimti, yra galingas svertas siekiant didinti privačių investuotojų pajėgumą finansuoti ES strateginius prioritetus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1a.</w:t>
            </w:r>
            <w:r w:rsidRPr="00D71EF1">
              <w:tab/>
            </w:r>
            <w:r w:rsidRPr="00D71EF1">
              <w:rPr>
                <w:b/>
                <w:i/>
              </w:rPr>
              <w:t xml:space="preserve">pabrėžia, kad konkurencingumas nėra iššūkis, kuris bus išspręstas vien naudojant naujas lėšas; pabrėžia, jog ES negali išlaidauti, kad būtų išspręstos santykinio nuosmukio problemos; ragina Komisiją ir visas valstybes nares imtis veiksmų ir įgyvendinti teisines ir administracines reformas, kuriomis būtų didinamas konkurencingumas, skatinamos inovacijos ir dinamiškumas, racionalizuojama biurokratija, mažinamos išlaidos ir reglamentavimo našta novatoriams, supaprastinami ataskaitų teikimo reikalavimai, sukuriamos investicijoms palankios </w:t>
            </w:r>
            <w:r w:rsidRPr="00D71EF1">
              <w:rPr>
                <w:b/>
                <w:i/>
              </w:rPr>
              <w:lastRenderedPageBreak/>
              <w:t>sąlygos Europoje, didinamos prekybos su trečiosiomis šalimis galimybės, sprendžiama perteklinio reglamentavimo problema ir gerinamas valstybių narių administracinis bendradarbiavimas; nepritaria jokiam ES protekcionizmo didinimui; palankiai vertina tai, kad Europos Komisija teikia pirmenybę siekiui 25 proc. sumažinti įmonėms tenkančią naštą, susijusią su teisės aktais nustatytais ataskaitų teikimo reikalavimais, o MVĮ – 35 proc.; ragina šį prioritetą įgyvendinti visuose sektoriuose;</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139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1a.</w:t>
            </w:r>
            <w:r w:rsidRPr="00D71EF1">
              <w:tab/>
            </w:r>
            <w:r w:rsidRPr="00D71EF1">
              <w:rPr>
                <w:b/>
                <w:i/>
              </w:rPr>
              <w:t>pabrėžia, kad pasitikėjimo bankų sistema stiprinimas, finansinio stabilumo užtikrinimas ir veiksmingos bendrosios rinkos skatinimas yra pagrindiniai ES tikslai; primena, kad šiems tikslams pasiekti būtina sąlyga – baigti kurti bankų sąjungą, nes taip ne tik bus padidinta indėlininkų apsauga, bet ir sukurta saugesnė ir labiau nuspėjama aplinka investicijoms, o tai labai svarbu ekonomikos augimui skatinti; pritaria, kad suderinta bankų sąjungos sistema padės sumažinti rinkos susiskaidymą, pagerinti kapitalo paskirstymą ir sustiprinti Sąjungos konkurencingumą pasaulyje; pripažįsta, kad bankų sąjungos sukūrimas turi būti strateginis ekonominės ir pinigų sąjungos stiprinimo prioritetas;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140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1a.</w:t>
            </w:r>
            <w:r w:rsidRPr="00D71EF1">
              <w:tab/>
            </w:r>
            <w:r w:rsidRPr="00D71EF1">
              <w:rPr>
                <w:b/>
                <w:i/>
              </w:rPr>
              <w:t>ragina peržiūrėti žaliosios pertvarkos darbotvarkę atsižvelgiant į administracinę naštą, kuri gniuždo Europos įmones, ypač MVĮ ir startuolius; atsižvelgdamas į tai apgailestauja, kad Komisija nepanaikino Įmonių informacijos apie tvarumą teikimo direktyvos (ĮITTD) ir Įmonių tvarumo išsamaus patikrinimo direktyvos (ĮTIPD) teikiant „Omnibus“ pasiūlymą, nepaisydama jų neigiamo ekonominio poveikio; ragina teisės aktų leidėjus derybose dėl „Omnibus“ dokumentų rinkinio turinio pasiūlymo gerokai sumažinti biurokratizmą;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1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1b.</w:t>
            </w:r>
            <w:r w:rsidRPr="00D71EF1">
              <w:tab/>
            </w:r>
            <w:r w:rsidRPr="00D71EF1">
              <w:rPr>
                <w:b/>
                <w:i/>
              </w:rPr>
              <w:t>ragina Komisiją pateikti daugiau pasiūlymų dėl administracinės naštos mažinimo siekiant padidinti ES įmonių turimus finansinius išteklius; pakartoja, kad svarbu sukurti tikrai verslui ir investicijoms palankią aplinką;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kurias paskatino Draghi ir Lettos pranešimai; </w:t>
            </w:r>
            <w:r w:rsidRPr="00D71EF1">
              <w:rPr>
                <w:b/>
                <w:i/>
              </w:rPr>
              <w:t>primena, kad našumo augimą daugiausia būtų galima pasiekti investuojant į novatorišką veiklą; pripažįsta, kad tvarios ekonomikos kūrimas yra svarbus ES ekonomikos konkurencinis pranašumas ir ES ekonominio suverenumo pagrindas; yra tvirtai įsitikinęs, kad tvirtos ir patikimos tvaraus finansavimo sistemos sukūrimas yra labai svarbus siekiant nukreipti investicijas atsižvelgiant į ilgalaikius ES tikslus ir pritraukti tarptautinius investuotojus;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w:t>
            </w:r>
            <w:r w:rsidRPr="00D71EF1">
              <w:rPr>
                <w:b/>
                <w:bCs/>
                <w:i/>
                <w:iCs/>
              </w:rPr>
              <w:t>atkurti</w:t>
            </w:r>
            <w:r w:rsidRPr="00D71EF1">
              <w:t xml:space="preserve"> ES </w:t>
            </w:r>
            <w:r w:rsidRPr="00D71EF1">
              <w:rPr>
                <w:b/>
                <w:bCs/>
                <w:i/>
                <w:iCs/>
              </w:rPr>
              <w:t>našumą</w:t>
            </w:r>
            <w:r w:rsidRPr="00D71EF1">
              <w:t>,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r>
            <w:r w:rsidRPr="00D71EF1">
              <w:rPr>
                <w:b/>
                <w:i/>
              </w:rPr>
              <w:t>pabrėžia, kad ES per daug kapitalo nepanaudojama našiai; pabrėžia, kad įmonės, ypač MVĮ, negali visapusiškai pasinaudoti esamomis Europos kapitalo rinkomis finansavimo ir investicijų tikslais;</w:t>
            </w:r>
            <w:r w:rsidRPr="00D71EF1">
              <w:t xml:space="preserve"> palankiai vertina atnaujintas diskusijas dėl poreikio </w:t>
            </w:r>
            <w:r w:rsidRPr="00D71EF1">
              <w:rPr>
                <w:b/>
                <w:bCs/>
                <w:i/>
                <w:iCs/>
              </w:rPr>
              <w:t>padidinti</w:t>
            </w:r>
            <w:r w:rsidRPr="00D71EF1">
              <w:t xml:space="preserve"> ES </w:t>
            </w:r>
            <w:r w:rsidRPr="00D71EF1">
              <w:rPr>
                <w:b/>
                <w:bCs/>
                <w:i/>
                <w:iCs/>
              </w:rPr>
              <w:t>konkurencingumą</w:t>
            </w:r>
            <w:r w:rsidRPr="00D71EF1">
              <w:t>, kurias paskatino Draghi ir Lettos pranešimai;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w:t>
            </w:r>
            <w:r w:rsidRPr="00D71EF1">
              <w:rPr>
                <w:b/>
                <w:bCs/>
                <w:i/>
                <w:iCs/>
              </w:rPr>
              <w:t>našumą</w:t>
            </w:r>
            <w:r w:rsidRPr="00D71EF1">
              <w:t>,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w:t>
            </w:r>
            <w:r w:rsidRPr="00D71EF1">
              <w:rPr>
                <w:b/>
                <w:bCs/>
                <w:i/>
                <w:iCs/>
              </w:rPr>
              <w:t>neatidėliotino</w:t>
            </w:r>
            <w:r w:rsidRPr="00D71EF1">
              <w:rPr>
                <w:b/>
                <w:bCs/>
              </w:rPr>
              <w:t xml:space="preserve"> </w:t>
            </w:r>
            <w:r w:rsidRPr="00D71EF1">
              <w:t xml:space="preserve">poreikio atkurti </w:t>
            </w:r>
            <w:r w:rsidRPr="00D71EF1">
              <w:rPr>
                <w:b/>
                <w:bCs/>
                <w:i/>
                <w:iCs/>
              </w:rPr>
              <w:t>ir didinti</w:t>
            </w:r>
            <w:r w:rsidRPr="00D71EF1">
              <w:rPr>
                <w:b/>
                <w:bCs/>
              </w:rPr>
              <w:t xml:space="preserve"> </w:t>
            </w:r>
            <w:r w:rsidRPr="00D71EF1">
              <w:t>ES konkurencingumą ir ekonomikos augimą, kurias paskatino Draghi ir Lettos pranešimai</w:t>
            </w:r>
            <w:r w:rsidRPr="00D71EF1">
              <w:rPr>
                <w:b/>
                <w:bCs/>
                <w:i/>
                <w:iCs/>
              </w:rPr>
              <w:t>, suteikiantys esminį postūmį strateginėms investicijoms ir struktūrinėms reformoms visoje Europos Sąjungoje</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w:t>
            </w:r>
            <w:r w:rsidRPr="00D71EF1">
              <w:rPr>
                <w:b/>
                <w:bCs/>
                <w:i/>
                <w:iCs/>
              </w:rPr>
              <w:t xml:space="preserve">socialiai ir ekologiškai tvariai </w:t>
            </w:r>
            <w:r w:rsidRPr="00D71EF1">
              <w:t>atkurti ES našumą, kurias paskatino Draghi ir Lettos pranešimai;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w:t>
            </w:r>
            <w:r w:rsidRPr="00D71EF1">
              <w:rPr>
                <w:b/>
                <w:bCs/>
                <w:i/>
                <w:iCs/>
              </w:rPr>
              <w:t>našumą</w:t>
            </w:r>
            <w:r w:rsidRPr="00D71EF1">
              <w:t>,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w:t>
            </w:r>
            <w:r w:rsidRPr="00D71EF1">
              <w:rPr>
                <w:b/>
                <w:bCs/>
                <w:i/>
                <w:iCs/>
              </w:rPr>
              <w:t>našumo augimą, taigi ir ekonomikos augimą</w:t>
            </w:r>
            <w:r w:rsidRPr="00D71EF1">
              <w:t>, kurias paskatino Draghi ir Lettos pranešimai;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w:t>
            </w:r>
            <w:r w:rsidRPr="00D71EF1">
              <w:rPr>
                <w:b/>
                <w:bCs/>
                <w:i/>
                <w:iCs/>
              </w:rPr>
              <w:t xml:space="preserve">konkurencingumą ir </w:t>
            </w:r>
            <w:r w:rsidRPr="00D71EF1">
              <w:t>našumą, kurias paskatino Draghi ir Lettos pranešimai;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w:t>
            </w:r>
            <w:r w:rsidRPr="00D71EF1">
              <w:rPr>
                <w:b/>
                <w:i/>
              </w:rPr>
              <w:t>ir konkurencingumą</w:t>
            </w:r>
            <w:r w:rsidRPr="00D71EF1">
              <w:t>, kurias paskatino Draghi ir Lettos pranešimai;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149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w:t>
            </w:r>
            <w:r w:rsidRPr="00D71EF1">
              <w:rPr>
                <w:b/>
                <w:bCs/>
                <w:i/>
                <w:iCs/>
              </w:rPr>
              <w:t xml:space="preserve"> ir konkurencingumą</w:t>
            </w:r>
            <w:r w:rsidRPr="00D71EF1">
              <w:t>, kurias paskatino Draghi ir Lettos pranešimai;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kurias paskatino Draghi ir Lettos pranešimai; </w:t>
            </w:r>
            <w:r w:rsidRPr="00D71EF1">
              <w:rPr>
                <w:b/>
                <w:i/>
              </w:rPr>
              <w:t>pritaria nuomonei, kad Europa atsilieka nuo savo konkurentų dėl perteklinio reglamentavimo ir didelio valstybės kišimosi, kurie iškraipė rinkas ir neskatino naujų įmonių plitimo ir esamų augimo;</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kurias paskatino Draghi ir Lettos pranešimai; </w:t>
            </w:r>
            <w:r w:rsidRPr="00D71EF1">
              <w:rPr>
                <w:b/>
                <w:i/>
              </w:rPr>
              <w:t>pabrėžia, kad Europa atsilieka, ir jei nebus imtasi tolesnių veiksmų, mūsų regionas gali tapti nereikšmingas;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kurias paskatino Draghi ir Lettos pranešimai; </w:t>
            </w:r>
            <w:r w:rsidRPr="00D71EF1">
              <w:rPr>
                <w:b/>
                <w:i/>
              </w:rPr>
              <w:t>pabrėžia, kad našumo atkūrimas reiškia, jog naši Europos ekonomika buvo konkurencinga ir anksčiau, t. y. iki bendrosios rinkos ir bendros valiutos atsiradimo;</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2.</w:t>
            </w:r>
            <w:r w:rsidRPr="00D71EF1">
              <w:tab/>
              <w:t>palankiai vertina atnaujintas diskusijas dėl poreikio atkurti ES našumą, kurias paskatino Draghi ir Lettos pranešimai;</w:t>
            </w:r>
          </w:p>
        </w:tc>
        <w:tc>
          <w:tcPr>
            <w:tcW w:w="4876" w:type="dxa"/>
            <w:tcBorders>
              <w:top w:val="nil"/>
              <w:left w:val="nil"/>
              <w:bottom w:val="nil"/>
              <w:right w:val="nil"/>
            </w:tcBorders>
          </w:tcPr>
          <w:p w:rsidR="00E95BBE" w:rsidRPr="00D71EF1" w:rsidRDefault="00E95BBE" w:rsidP="00E95BBE">
            <w:pPr>
              <w:pStyle w:val="Normal6a"/>
            </w:pPr>
            <w:r w:rsidRPr="00D71EF1">
              <w:t>2.</w:t>
            </w:r>
            <w:r w:rsidRPr="00D71EF1">
              <w:tab/>
              <w:t xml:space="preserve">palankiai vertina atnaujintas diskusijas dėl poreikio atkurti ES našumą, kurias paskatino Draghi ir Lettos pranešimai; </w:t>
            </w:r>
            <w:r w:rsidRPr="00D71EF1">
              <w:rPr>
                <w:b/>
                <w:i/>
              </w:rPr>
              <w:t>pabrėžia, kad konkurencija skatina našumą, investicijas ir inovacijas;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2a.</w:t>
            </w:r>
            <w:r w:rsidRPr="00D71EF1">
              <w:tab/>
            </w:r>
            <w:r w:rsidRPr="00D71EF1">
              <w:rPr>
                <w:b/>
                <w:i/>
              </w:rPr>
              <w:t xml:space="preserve">pabrėžia, kad supaprastinimas ir biurokratinės naštos mažinimas yra vienas iš svarbiausių Sąjungos konkurencingumo didinimo elementų; palankiai vertina Europos Komisijos įsipareigojimą siekti šio tikslo ir </w:t>
            </w:r>
            <w:r w:rsidRPr="00D71EF1">
              <w:rPr>
                <w:b/>
                <w:i/>
              </w:rPr>
              <w:lastRenderedPageBreak/>
              <w:t>pirmuosius su tuo susijusius pasiūlymus, pavyzdžiui, tvarumo bendrąjį rinkinį;</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2b.</w:t>
            </w:r>
            <w:r w:rsidRPr="00D71EF1">
              <w:tab/>
            </w:r>
            <w:r w:rsidRPr="00D71EF1">
              <w:rPr>
                <w:b/>
                <w:i/>
              </w:rPr>
              <w:t>atkreipia dėmesį į tai, kad ypač 2 ir 3 lygių priemonių skaičius ir sudėtingumas tapo pagrindiniu Sąjungos finansinių paslaugų teisės aktų sistemos administracinės naštos veiksniu; ragina Komisiją ir EPI įvertinti, kaip sumažinti būsimų deleguotųjų aktų, įgyvendinimo aktų, klausimų ir atsakymų bei gairių skaičių ir sudėtingumą; pabrėžia, kad EPI turėtų griežtai laikytis Europos teisės aktų leidėjo suteiktų įgaliojimų;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w:t>
            </w:r>
            <w:r w:rsidRPr="00D71EF1">
              <w:rPr>
                <w:b/>
                <w:bCs/>
                <w:i/>
                <w:iCs/>
              </w:rPr>
              <w:t>atspirties</w:t>
            </w:r>
            <w:r w:rsidRPr="00D71EF1">
              <w:t xml:space="preserve"> taškas imtis veiksmų siekiant skatinti </w:t>
            </w:r>
            <w:r w:rsidRPr="00D71EF1">
              <w:rPr>
                <w:b/>
                <w:bCs/>
                <w:i/>
                <w:iCs/>
              </w:rPr>
              <w:t>tiek</w:t>
            </w:r>
            <w:r w:rsidRPr="00D71EF1">
              <w:rPr>
                <w:b/>
                <w:bCs/>
              </w:rPr>
              <w:t xml:space="preserve"> </w:t>
            </w:r>
            <w:r w:rsidRPr="00D71EF1">
              <w:t>privačiąsias</w:t>
            </w:r>
            <w:r w:rsidRPr="00D71EF1">
              <w:rPr>
                <w:b/>
                <w:bCs/>
                <w:i/>
                <w:iCs/>
              </w:rPr>
              <w:t>, tiek</w:t>
            </w:r>
            <w:r w:rsidRPr="00D71EF1">
              <w:t xml:space="preserve">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w:t>
            </w:r>
            <w:r w:rsidRPr="00D71EF1">
              <w:rPr>
                <w:b/>
                <w:bCs/>
                <w:i/>
                <w:iCs/>
              </w:rPr>
              <w:t>lūžio</w:t>
            </w:r>
            <w:r w:rsidRPr="00D71EF1">
              <w:t xml:space="preserve"> taškas imtis veiksmų siekiant skatinti privačiąsias investicijas; </w:t>
            </w:r>
            <w:r w:rsidRPr="00D71EF1">
              <w:rPr>
                <w:b/>
                <w:i/>
              </w:rPr>
              <w:t xml:space="preserve">primena, kad Europos Sąjungos pastangos užbaigti kapitalo rinkų sąjungos kūrimą nuo 2015 m. nedavė galutinio rezultato; ragina visas šalis dėti pastangas, kad kuo greičiau būtų sukurta </w:t>
            </w:r>
            <w:r w:rsidRPr="00D71EF1">
              <w:rPr>
                <w:b/>
                <w:i/>
              </w:rPr>
              <w:lastRenderedPageBreak/>
              <w:t>Santaupų ir investicijų sąjunga;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w:t>
            </w:r>
            <w:r w:rsidRPr="00D71EF1">
              <w:rPr>
                <w:b/>
                <w:bCs/>
                <w:i/>
                <w:iCs/>
              </w:rPr>
              <w:t>įspėjamasis signalas</w:t>
            </w:r>
            <w:r w:rsidRPr="00D71EF1">
              <w:t xml:space="preserve">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w:t>
            </w:r>
            <w:r w:rsidRPr="00D71EF1">
              <w:rPr>
                <w:b/>
                <w:bCs/>
                <w:i/>
                <w:iCs/>
              </w:rPr>
              <w:t>vienas iš daugelio įspėjamųjų signalų</w:t>
            </w:r>
            <w:r w:rsidRPr="00D71EF1">
              <w:t xml:space="preserve"> Europos ir nacionaliniams sprendimus priimantiems asmenims ir atspirties taškas imtis veiksmų siekiant skatinti tiek privačiąsias, tiek viešąsias investicijas</w:t>
            </w:r>
            <w:r w:rsidRPr="00D71EF1">
              <w:rPr>
                <w:b/>
                <w:bCs/>
                <w:i/>
                <w:iCs/>
              </w:rPr>
              <w:t>, visų pirma skaitmeninių ir žaliųjų technologijų sektoriuose, pereinamojo laikotarpio automobilių sektoriuje ir sunkiojoje pramonėje, pavyzdžiui, plieno ir chemijos pramonėje</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tiek privačiąsias, tiek viešąsias </w:t>
            </w:r>
            <w:r w:rsidRPr="00D71EF1">
              <w:rPr>
                <w:b/>
                <w:bCs/>
                <w:i/>
                <w:iCs/>
              </w:rPr>
              <w:t xml:space="preserve">tvarias </w:t>
            </w:r>
            <w:r w:rsidRPr="00D71EF1">
              <w:t>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159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w:t>
            </w:r>
            <w:r w:rsidRPr="00D71EF1">
              <w:rPr>
                <w:b/>
                <w:bCs/>
                <w:i/>
                <w:iCs/>
              </w:rPr>
              <w:t xml:space="preserve">paskutinis </w:t>
            </w:r>
            <w:r w:rsidRPr="00D71EF1">
              <w:t>įspėjamasis signalas Europos ir nacionaliniams sprendimus priimantiems asmenims ir atspirties taškas imtis veiksmų siekiant skatinti tiek privačiąsias, tiek viešąsias 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w:t>
            </w:r>
            <w:r w:rsidRPr="00D71EF1">
              <w:rPr>
                <w:b/>
                <w:bCs/>
                <w:i/>
                <w:iCs/>
              </w:rPr>
              <w:t>tiek privačiąsias, tiek viešąsias</w:t>
            </w:r>
            <w:r w:rsidRPr="00D71EF1">
              <w:rPr>
                <w:b/>
                <w:bCs/>
              </w:rPr>
              <w:t xml:space="preserve"> </w:t>
            </w:r>
            <w:r w:rsidRPr="00D71EF1">
              <w:t>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Eero Heinäluoma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w:t>
            </w:r>
            <w:r w:rsidRPr="00D71EF1">
              <w:lastRenderedPageBreak/>
              <w:t>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lastRenderedPageBreak/>
              <w:t>3.</w:t>
            </w:r>
            <w:r w:rsidRPr="00D71EF1">
              <w:tab/>
              <w:t xml:space="preserve">pripažįsta, kad šie pranešimai yra įspėjamasis signalas Europos ir nacionaliniams sprendimus priimantiems </w:t>
            </w:r>
            <w:r w:rsidRPr="00D71EF1">
              <w:lastRenderedPageBreak/>
              <w:t>asmenims ir atspirties taškas imtis veiksmų siekiant skatinti tiek privačiąsias, tiek viešąsias investicijas;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pažymi, kad profesinių pensijų įstaigos (PPĮ) visoje Europoje beveik 40 proc. savo turto skiria investiciniams fondams, iš kurio tik 33 proc. nukreipiama į fondus, daugiausia investuojančius į nuosavą kapitalą;</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apgailestauja, kad tik apie 30 proc. šių investicinių fondų investicijų yra ES, daugiausia Nyderlanduose, Vokietijoje, Liuksemburge ir Prancūzijoje, o investicijos JAV sudaro 46 proc. visų investicijų.</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yra susirūpinęs, kad Kaimanų salos pritraukia trečią pagal dydį PPĮ netiesioginių ne Europos investicijų dalį;</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(EIOPA pranešimas „Iorps in focus“ („PPĮ dėmesio centre“), 2025 2 11)</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ragina Komisiją pasiūlyti teisėkūros priemones, kuriomis būtų skatinama didesnė PPĮ rizikos pozicija investuojant į nuosavą kapitalą ES;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tiek privačiąsias, tiek viešąsias investicijas; </w:t>
            </w:r>
            <w:r w:rsidRPr="00D71EF1">
              <w:rPr>
                <w:b/>
                <w:i/>
              </w:rPr>
              <w:t>pripažįsta darbą, kuris iki šiol atliktas kuriant kapitalo rinkų sąjungą; primena, kad dabar tokį darbą reikia paspartinti; </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0"/>
        <w:keepNext/>
        <w:rPr>
          <w:lang w:val="lt-LT"/>
        </w:rPr>
      </w:pPr>
      <w:r w:rsidRPr="00D71EF1">
        <w:rPr>
          <w:rStyle w:val="HideTWBExt"/>
          <w:b w:val="0"/>
          <w:szCs w:val="24"/>
          <w:lang w:val="lt-LT" w:eastAsia="en-US"/>
        </w:rPr>
        <w:t>&lt;Amend&gt;</w:t>
      </w:r>
      <w:r w:rsidRPr="00D71EF1">
        <w:rPr>
          <w:lang w:val="lt-LT"/>
        </w:rPr>
        <w:t>Pakeitimas</w:t>
      </w:r>
      <w:r w:rsidRPr="00D71EF1">
        <w:rPr>
          <w:lang w:val="lt-LT"/>
        </w:rPr>
        <w:tab/>
      </w:r>
      <w:r w:rsidRPr="00D71EF1">
        <w:rPr>
          <w:lang w:val="lt-LT"/>
        </w:rPr>
        <w:tab/>
      </w:r>
      <w:r w:rsidRPr="00D71EF1">
        <w:rPr>
          <w:rStyle w:val="HideTWBExt"/>
          <w:b w:val="0"/>
          <w:szCs w:val="24"/>
          <w:lang w:val="lt-LT" w:eastAsia="en-US"/>
        </w:rPr>
        <w:t>&lt;NumAm&gt;</w:t>
      </w:r>
      <w:r w:rsidRPr="00D71EF1">
        <w:rPr>
          <w:lang w:val="lt-LT"/>
        </w:rPr>
        <w:t>163</w:t>
      </w:r>
      <w:r w:rsidRPr="00D71EF1">
        <w:rPr>
          <w:rStyle w:val="HideTWBExt"/>
          <w:b w:val="0"/>
          <w:szCs w:val="24"/>
          <w:lang w:val="lt-LT" w:eastAsia="en-US"/>
        </w:rPr>
        <w:t>&lt;/NumAm&gt;</w:t>
      </w:r>
    </w:p>
    <w:p w:rsidR="00E95BBE" w:rsidRPr="00D71EF1" w:rsidRDefault="00E95BBE" w:rsidP="00E95BBE">
      <w:pPr>
        <w:pStyle w:val="NormalBold"/>
      </w:pPr>
      <w:r w:rsidRPr="00D71EF1">
        <w:rPr>
          <w:rStyle w:val="HideTWBExt"/>
          <w:b w:val="0"/>
        </w:rPr>
        <w:t>&lt;RepeatBlock-By&gt;&lt;Members&gt;</w:t>
      </w:r>
      <w:r w:rsidRPr="00D71EF1">
        <w:t>Danuše Nerudová</w:t>
      </w:r>
      <w:r w:rsidRPr="00D71EF1">
        <w:rPr>
          <w:rStyle w:val="HideTWBExt"/>
          <w:b w:val="0"/>
        </w:rPr>
        <w:t>&lt;/Members&gt;</w:t>
      </w:r>
    </w:p>
    <w:p w:rsidR="00E95BBE" w:rsidRPr="00D71EF1" w:rsidRDefault="00E95BBE" w:rsidP="00E95BBE">
      <w:r w:rsidRPr="00D71EF1">
        <w:rPr>
          <w:rStyle w:val="HideTWBExt"/>
        </w:rPr>
        <w:t>&lt;/RepeatBlock-By&gt;</w:t>
      </w:r>
    </w:p>
    <w:p w:rsidR="00E95BBE" w:rsidRPr="00D71EF1" w:rsidRDefault="00E95BBE" w:rsidP="00E95BBE">
      <w:pPr>
        <w:pStyle w:val="NormalBold"/>
        <w:keepNext/>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BBE" w:rsidRPr="00D71EF1" w:rsidTr="00E95BBE">
        <w:trPr>
          <w:jc w:val="center"/>
        </w:trPr>
        <w:tc>
          <w:tcPr>
            <w:tcW w:w="9752" w:type="dxa"/>
            <w:gridSpan w:val="2"/>
          </w:tcPr>
          <w:p w:rsidR="00E95BBE" w:rsidRPr="00D71EF1" w:rsidRDefault="00E95BBE" w:rsidP="00E95BBE">
            <w:pPr>
              <w:keepNext/>
            </w:pPr>
          </w:p>
        </w:tc>
      </w:tr>
      <w:tr w:rsidR="00E95BBE" w:rsidRPr="00D71EF1" w:rsidTr="00E95BBE">
        <w:trPr>
          <w:jc w:val="center"/>
        </w:trPr>
        <w:tc>
          <w:tcPr>
            <w:tcW w:w="4876" w:type="dxa"/>
          </w:tcPr>
          <w:p w:rsidR="00E95BBE" w:rsidRPr="00D71EF1" w:rsidRDefault="00E95BBE" w:rsidP="00E95BBE">
            <w:pPr>
              <w:pStyle w:val="ColumnHeading"/>
              <w:keepNext/>
              <w:rPr>
                <w:lang w:val="lt-LT"/>
              </w:rPr>
            </w:pPr>
            <w:r w:rsidRPr="00D71EF1">
              <w:rPr>
                <w:lang w:val="lt-LT"/>
              </w:rPr>
              <w:t>Pasiūlymas dėl rezoliucijos</w:t>
            </w:r>
          </w:p>
        </w:tc>
        <w:tc>
          <w:tcPr>
            <w:tcW w:w="4876" w:type="dxa"/>
          </w:tcPr>
          <w:p w:rsidR="00E95BBE" w:rsidRPr="00D71EF1" w:rsidRDefault="00E95BBE" w:rsidP="00E95BBE">
            <w:pPr>
              <w:pStyle w:val="ColumnHeading"/>
              <w:keepNext/>
              <w:rPr>
                <w:lang w:val="lt-LT"/>
              </w:rPr>
            </w:pPr>
            <w:r w:rsidRPr="00D71EF1">
              <w:rPr>
                <w:lang w:val="lt-LT"/>
              </w:rPr>
              <w:t>Pakeitimas</w:t>
            </w:r>
          </w:p>
        </w:tc>
      </w:tr>
      <w:tr w:rsidR="00E95BBE" w:rsidRPr="00D71EF1" w:rsidTr="00E95BBE">
        <w:trPr>
          <w:jc w:val="center"/>
        </w:trPr>
        <w:tc>
          <w:tcPr>
            <w:tcW w:w="4876" w:type="dxa"/>
          </w:tcPr>
          <w:p w:rsidR="00E95BBE" w:rsidRPr="00D71EF1" w:rsidRDefault="00E95BBE" w:rsidP="00E95BBE">
            <w:pPr>
              <w:pStyle w:val="Normal6"/>
              <w:rPr>
                <w:lang w:val="lt-LT"/>
              </w:rPr>
            </w:pPr>
            <w:r w:rsidRPr="00D71EF1">
              <w:rPr>
                <w:lang w:val="lt-LT"/>
              </w:rPr>
              <w:t>3.</w:t>
            </w:r>
            <w:r w:rsidRPr="00D71EF1">
              <w:rPr>
                <w:lang w:val="lt-LT"/>
              </w:rPr>
              <w:tab/>
              <w:t>pripažįsta, kad šie pranešimai yra įspėjamasis signalas Europos ir nacionaliniams sprendimus priimantiems asmenims ir atspirties taškas imtis veiksmų siekiant skatinti tiek privačiąsias, tiek viešąsias investicijas;</w:t>
            </w:r>
          </w:p>
        </w:tc>
        <w:tc>
          <w:tcPr>
            <w:tcW w:w="4876" w:type="dxa"/>
          </w:tcPr>
          <w:p w:rsidR="00E95BBE" w:rsidRPr="00D71EF1" w:rsidRDefault="00E95BBE" w:rsidP="00E95BBE">
            <w:pPr>
              <w:pStyle w:val="Normal6"/>
              <w:rPr>
                <w:szCs w:val="24"/>
                <w:lang w:val="lt-LT"/>
              </w:rPr>
            </w:pPr>
            <w:r w:rsidRPr="00D71EF1">
              <w:rPr>
                <w:lang w:val="lt-LT"/>
              </w:rPr>
              <w:t>3.</w:t>
            </w:r>
            <w:r w:rsidRPr="00D71EF1">
              <w:rPr>
                <w:lang w:val="lt-LT"/>
              </w:rPr>
              <w:tab/>
              <w:t>pripažįsta, kad šie pranešimai yra įspėjamasis signalas Europos ir nacionaliniams sprendimus priimantiems asmenims ir atspirties taškas imtis veiksmų siekiant skatinti tiek privačiąsias, tiek viešąsias investicijas</w:t>
            </w:r>
            <w:r w:rsidRPr="00D71EF1">
              <w:rPr>
                <w:b/>
                <w:bCs/>
                <w:i/>
                <w:iCs/>
                <w:lang w:val="lt-LT"/>
              </w:rPr>
              <w:t xml:space="preserve"> ir didinti ES paramą viešojo ir privačiojo sektorių partnerystei</w:t>
            </w:r>
            <w:r w:rsidRPr="00D71EF1">
              <w:rPr>
                <w:lang w:val="lt-LT"/>
              </w:rPr>
              <w:t xml:space="preserve">; </w:t>
            </w:r>
            <w:r w:rsidRPr="00D71EF1">
              <w:rPr>
                <w:b/>
                <w:i/>
                <w:lang w:val="lt-LT"/>
              </w:rPr>
              <w:t>pabrėžia, kad viešosios investicijos atlieka lemiamą vaidmenį skatinant privačiąsias investicijas; mano, kad finansinės priemonės ir biudžeto garantijos yra veiksmingas išteklių naudojimo būdas siekiant pagrindinių ES politikos tikslų; pakartoja, kad gerai parengtos biudžeto garantijos ir finansinės priemonės, kai jos grindžiamos rinkos poreikiais, yra labai veiksmingas ribotų ES biudžeto išteklių panaudojimo būdas siekiant sumažinti investicijų riziką ir pritraukti privatų kapitalą;</w:t>
            </w:r>
          </w:p>
        </w:tc>
      </w:tr>
    </w:tbl>
    <w:p w:rsidR="00E95BBE" w:rsidRPr="00D71EF1" w:rsidRDefault="00E95BBE" w:rsidP="00E95BBE">
      <w:pPr>
        <w:pStyle w:val="Olang"/>
        <w:rPr>
          <w:sz w:val="24"/>
          <w:szCs w:val="24"/>
          <w:lang w:val="lt-LT"/>
        </w:rPr>
      </w:pPr>
      <w:r w:rsidRPr="00D71EF1">
        <w:rPr>
          <w:sz w:val="24"/>
          <w:lang w:val="lt-LT"/>
        </w:rPr>
        <w:t xml:space="preserve">Or. </w:t>
      </w:r>
      <w:r w:rsidRPr="00D71EF1">
        <w:rPr>
          <w:rStyle w:val="HideTWBExt"/>
          <w:lang w:val="lt-LT"/>
        </w:rPr>
        <w:t>&lt;Original&gt;</w:t>
      </w:r>
      <w:r w:rsidRPr="00D71EF1">
        <w:rPr>
          <w:rStyle w:val="HideTWBInt"/>
          <w:lang w:val="lt-LT"/>
        </w:rPr>
        <w:t>{EN}</w:t>
      </w:r>
      <w:r w:rsidRPr="00D71EF1">
        <w:rPr>
          <w:sz w:val="24"/>
          <w:lang w:val="lt-LT"/>
        </w:rPr>
        <w:t>en</w:t>
      </w:r>
      <w:r w:rsidRPr="00D71EF1">
        <w:rPr>
          <w:rStyle w:val="HideTWBExt"/>
          <w:lang w:val="lt-L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tiek privačiąsias, tiek viešąsias investicijas; </w:t>
            </w:r>
            <w:r w:rsidRPr="00D71EF1">
              <w:rPr>
                <w:b/>
                <w:i/>
              </w:rPr>
              <w:t xml:space="preserve">palankiai vertina tai, kad Komisija pripažįsta, jog reikia sutelkti </w:t>
            </w:r>
            <w:r w:rsidRPr="00D71EF1">
              <w:rPr>
                <w:b/>
                <w:i/>
              </w:rPr>
              <w:lastRenderedPageBreak/>
              <w:t>viešuosius finansus inovacijoms ES remti;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Engin Eroglu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tiek privačiąsias, tiek viešąsias investicijas; </w:t>
            </w:r>
            <w:r w:rsidRPr="00D71EF1">
              <w:rPr>
                <w:b/>
                <w:i/>
              </w:rPr>
              <w:t>taip pat tai yra įspėjamasis signalas iš tiesų mažinti sektoriaus biurokratizmą ir įgyvendinti reikšmingas valstybines patikimų ES biudžetų reformas;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{DE}</w:t>
      </w:r>
      <w:r w:rsidRPr="00D71EF1">
        <w:t>de</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3.</w:t>
            </w:r>
            <w:r w:rsidRPr="00D71EF1">
              <w:tab/>
              <w:t>pripažįsta, kad šie pranešimai yra įspėjamasis signalas Europos ir nacionaliniams sprendimus priimantiems asmenims ir atspirties taškas imtis veiksmų siekiant skatinti tiek privačiąsias, tiek viešąsias investicijas;</w:t>
            </w:r>
          </w:p>
        </w:tc>
        <w:tc>
          <w:tcPr>
            <w:tcW w:w="4876" w:type="dxa"/>
            <w:tcBorders>
              <w:top w:val="nil"/>
              <w:left w:val="nil"/>
              <w:bottom w:val="nil"/>
              <w:right w:val="nil"/>
            </w:tcBorders>
          </w:tcPr>
          <w:p w:rsidR="00E95BBE" w:rsidRPr="00D71EF1" w:rsidRDefault="00E95BBE" w:rsidP="00E95BBE">
            <w:pPr>
              <w:pStyle w:val="Normal6a"/>
            </w:pPr>
            <w:r w:rsidRPr="00D71EF1">
              <w:t>3.</w:t>
            </w:r>
            <w:r w:rsidRPr="00D71EF1">
              <w:tab/>
              <w:t xml:space="preserve">pripažįsta, kad šie pranešimai yra įspėjamasis signalas Europos ir nacionaliniams sprendimus priimantiems asmenims ir atspirties taškas imtis veiksmų siekiant skatinti tiek privačiąsias, tiek viešąsias investicijas; </w:t>
            </w:r>
            <w:r w:rsidRPr="00D71EF1">
              <w:rPr>
                <w:b/>
                <w:i/>
              </w:rPr>
              <w:t>ragina valstybes nares atsižvelgti į Draghi ir Lettos pranešimuose pateiktą įspėjamąjį signalą;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167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3a.</w:t>
            </w:r>
            <w:r w:rsidRPr="00D71EF1">
              <w:tab/>
            </w:r>
            <w:r w:rsidRPr="00D71EF1">
              <w:rPr>
                <w:b/>
                <w:i/>
              </w:rPr>
              <w:t>primena, kad 3 proc. BVP tikslas mokslinių tyrimų ir inovacijų srityje dar toli gražu nepasiektas; ragina Komisiją ir valstybes nares užtikrinti pakankamą finansavimą ir priemones šiam tikslui pasiekti ir finansuoti visus aukštos kokybės projektus per visą inovacijų ciklą – nuo fundamentinių mokslinių tyrimų iki demonstracinės veiklos ir diegimo rinkoje; primygtinai pabrėžia, kad reikia tęstinumo, ilgalaikių investicijų ir specialaus biudžeto moksliniams tyrimams ir inovacijoms, siekiant įtvirtinti Europos lyderystę pasaulyje;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René Repasi, Evelyn Regner, Niels Fuglsang, Claire Fita,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3a.</w:t>
            </w:r>
            <w:r w:rsidRPr="00D71EF1">
              <w:tab/>
            </w:r>
            <w:r w:rsidRPr="00D71EF1">
              <w:rPr>
                <w:b/>
                <w:i/>
              </w:rPr>
              <w:t>susirūpinęs atkreipia dėmesį į neigiamo ekonomikos augimo sukrėtimo riziką</w:t>
            </w:r>
            <w:r w:rsidRPr="00D71EF1">
              <w:rPr>
                <w:b/>
                <w:i/>
                <w:vertAlign w:val="superscript"/>
              </w:rPr>
              <w:t>1a</w:t>
            </w:r>
            <w:r w:rsidRPr="00D71EF1">
              <w:rPr>
                <w:b/>
                <w:i/>
              </w:rPr>
              <w:t xml:space="preserve"> ir tebesitęsiančią sumaištį finansų rinkose, kuri gali kelti grėsmę Europos piliečių, darbuotojų ir įmonių gerovei, pavyzdžiui, socialinę nelygybę, didėjančią įtampą prekybos srityje, klimato kaitą, didėjantį pavojų aplinkai ir bendrosios rinkos susiskaidymą;</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TVF, „Pasaulio ekonomikos </w:t>
            </w:r>
            <w:r w:rsidRPr="00D71EF1">
              <w:rPr>
                <w:b/>
                <w:i/>
              </w:rPr>
              <w:lastRenderedPageBreak/>
              <w:t>perspektyvos“, 2025 m. balandžio mėn.</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169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3a.</w:t>
            </w:r>
            <w:r w:rsidRPr="00D71EF1">
              <w:tab/>
            </w:r>
            <w:r w:rsidRPr="00D71EF1">
              <w:rPr>
                <w:b/>
                <w:i/>
              </w:rPr>
              <w:t>primena, kad 2015 m. rugsėjo mėn. Europos Komisija priėmė savo pirmąjį Kapitalo rinkų sąjungos kūrimo veiksmų planą; apgailestauja, kad nuo to laiko pažanga, daroma integruojant ES kapitalo rinkas, buvo nepakankama;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3b.</w:t>
            </w:r>
            <w:r w:rsidRPr="00D71EF1">
              <w:tab/>
            </w:r>
            <w:r w:rsidRPr="00D71EF1">
              <w:rPr>
                <w:b/>
                <w:i/>
              </w:rPr>
              <w:t>tačiau pabrėžia, kad ES įrodė, jog yra atspari, nes turi tvirtą reglamentavimo sistemą, ir tapo stabilumo zona; mano, kad šis stabilumas gali tapti tikru lyginamuoju ir konkurenciniu pranašumu; pabrėžia, kad teisinės valstybės principas ir tvarus ekonomikos augimas yra glaudžiai tarpusavyje susiję; rekomenduoja Tarybai paspartinti likusių teisės aktų priėmimą, kad būtų užtikrinta ES finansinio stabilumo sistema ir baigta kurti bankų sąjunga;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3b.</w:t>
            </w:r>
            <w:r w:rsidRPr="00D71EF1">
              <w:tab/>
            </w:r>
            <w:r w:rsidRPr="00D71EF1">
              <w:rPr>
                <w:b/>
                <w:i/>
              </w:rPr>
              <w:t>palankiai vertina priimtą Komisijos komunikatą „Santaupų ir investicijų sąjunga. Piliečių gerovės ir ekonomikos konkurencingumo skatinimo ES strategija“, kuriame išdėstytos įvairios politikos iniciatyvos ir kuriuo siekiama integruoti ES finansų rinkas ir veiksmingai nukreipti santaupas į 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3c.</w:t>
            </w:r>
            <w:r w:rsidRPr="00D71EF1">
              <w:tab/>
            </w:r>
            <w:r w:rsidRPr="00D71EF1">
              <w:rPr>
                <w:b/>
                <w:i/>
              </w:rPr>
              <w:t>atkreipia dėmesį, kad pažanga, daroma integruojant ES finansų rinkas, dažnai buvo nepakankama dėl ES valstybių narių išlygų; ragina valstybes nares išnaudoti esamą pagreitį ir bendradarbiauti su Parlamentu, kad ES finansų rinkų integracija iš tiesų būtų spartesnė;</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3c.</w:t>
            </w:r>
            <w:r w:rsidRPr="00D71EF1">
              <w:tab/>
            </w:r>
            <w:r w:rsidRPr="00D71EF1">
              <w:rPr>
                <w:b/>
                <w:i/>
              </w:rPr>
              <w:t>ragina Komisiją pateikti pasiūlymus, kuriais būtų siekiama sutelkti papildomą kapitalą ir kartu paskirstyti finansinius išteklius, kad būtų pasiekti Europos Sąjungos sutarties 3 straipsnyje nustatyti tikslai;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d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3d.</w:t>
            </w:r>
            <w:r w:rsidRPr="00D71EF1">
              <w:tab/>
            </w:r>
            <w:r w:rsidRPr="00D71EF1">
              <w:rPr>
                <w:b/>
                <w:i/>
              </w:rPr>
              <w:t>primygtinai reikalauja, kad būtų skubiai imtasi veiksmų, pagreitintas sprendimų priėmimas, sumažintas įgyvendinimo vėlavimas ir paspartintas sprendimų dėl valstybės pagalbos ir subsidijų priėmimas;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3 e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3e.</w:t>
            </w:r>
            <w:r w:rsidRPr="00D71EF1">
              <w:tab/>
            </w:r>
            <w:r w:rsidRPr="00D71EF1">
              <w:rPr>
                <w:b/>
                <w:i/>
              </w:rPr>
              <w:t>mano, kad Sąjunga turi siekti pažangos kuriant savo kapitalo rinkų sąjungą, kad pritrauktų privačiojo sektoriaus investicijas; pabrėžia, kad reikės viešojo sektoriaus paramos, kad būtų užtikrintos minimalios metinės papildomos investicijos, reikalingos tvariam ir novatoriškam pramonės sektoriui atkurti ir Sąjungos gerovei įtvirtinti; pabrėžia, kad padidėjus našumui taip pat atsirastų daugiau fiskalinio manevravimo galimybių ir kad viešosios investicijos gali paskatinti anticiklinę politiką, skatinančią inovacijas, tvarų integracinį augimą ir darbo vietų kūrimą;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Marco Falcone, Fulvio Martusciello</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apgailestauja dėl to, kad jie kreipiasi į rizikos kapitalo teikėjus už ES ribų ir plečia veiklą užsienio rinkose</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i/>
              </w:rPr>
              <w:t>ragina Europos Komisiją ir valstybes nares aktyviau dėti pastangas siekiant pašalinti bendrąją rinką skaidančias užtvaras ir kliūtis, atgrasančias Europos įmones nuo tolesnės veiklos Sąjungoje, visų pirma susijusias su neproporcinga administracine našta, nevienoda apmokestinimo tvarka valstybėse narėse, nepalankiais aplinkos mokesčiais, per ilgu leidimų ir licencijų gavimo laikotarpiu, sunkumais gaunant finansavimą</w:t>
            </w:r>
            <w:r w:rsidRPr="00D71EF1">
              <w:t xml:space="preserve">; </w:t>
            </w:r>
            <w:r w:rsidRPr="00D71EF1">
              <w:rPr>
                <w:b/>
                <w:i/>
              </w:rPr>
              <w:t>pabrėžia, kad tokie kritiniai klausimai prisideda prie Europos pramonės konkurencingumo praradimo ir verčia daugelį įmonių išsikelti į trečiąsias šalis, kurioms būdingi mažesni reguliavimo suvaržymai ir mažesnės sąnaudos;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{IT}</w:t>
      </w:r>
      <w:r w:rsidRPr="00D71EF1">
        <w:t>it</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apgailestauja dėl to, kad jie kreipiasi į rizikos</w:t>
            </w:r>
            <w:r w:rsidRPr="00D71EF1">
              <w:t xml:space="preserve"> kapitalo</w:t>
            </w:r>
            <w:r w:rsidRPr="00D71EF1">
              <w:rPr>
                <w:b/>
                <w:bCs/>
                <w:i/>
                <w:iCs/>
              </w:rPr>
              <w:t xml:space="preserve"> teikėjus už ES ribų ir plečia veiklą užsienio rinkose</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pripažįsta, kad Europos rinka nepakankamai palengvina verslo augimą ir galimybes gauti</w:t>
            </w:r>
            <w:r w:rsidRPr="00D71EF1">
              <w:t xml:space="preserve"> kapitalo</w:t>
            </w:r>
            <w:r w:rsidRPr="00D71EF1">
              <w:rPr>
                <w:b/>
                <w:bCs/>
                <w:i/>
                <w:iCs/>
              </w:rPr>
              <w:t>;</w:t>
            </w:r>
            <w:r w:rsidRPr="00D71EF1">
              <w:rPr>
                <w:b/>
                <w:i/>
              </w:rPr>
              <w:t xml:space="preserve"> </w:t>
            </w:r>
            <w:r w:rsidRPr="00D71EF1">
              <w:rPr>
                <w:b/>
                <w:bCs/>
                <w:i/>
                <w:iCs/>
              </w:rPr>
              <w:t>vis dėlto primygtinai reikalauja, kad sprendžiant šį klausimą nenukentėtų investuotojų turto saugumas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w:t>
            </w:r>
            <w:r w:rsidRPr="00D71EF1">
              <w:rPr>
                <w:b/>
                <w:bCs/>
                <w:i/>
                <w:iCs/>
              </w:rPr>
              <w:t>turi</w:t>
            </w:r>
            <w:r w:rsidRPr="00D71EF1">
              <w:t xml:space="preserve"> perkelti savo veiklą į užsienį, kad galėtų lengviau gauti finansavimą ir išteklių; </w:t>
            </w:r>
            <w:r w:rsidRPr="00D71EF1">
              <w:rPr>
                <w:b/>
                <w:bCs/>
                <w:i/>
                <w:iCs/>
              </w:rPr>
              <w:t>apgailestauja dėl to, kad jie kreipiasi į</w:t>
            </w:r>
            <w:r w:rsidRPr="00D71EF1">
              <w:t xml:space="preserve"> rizikos kapitalo </w:t>
            </w:r>
            <w:r w:rsidRPr="00D71EF1">
              <w:rPr>
                <w:b/>
                <w:bCs/>
                <w:i/>
                <w:iCs/>
              </w:rPr>
              <w:t>teikėjus už</w:t>
            </w:r>
            <w:r w:rsidRPr="00D71EF1">
              <w:t xml:space="preserve"> ES</w:t>
            </w:r>
            <w:r w:rsidRPr="00D71EF1">
              <w:rPr>
                <w:b/>
                <w:bCs/>
                <w:i/>
                <w:iCs/>
              </w:rPr>
              <w:t xml:space="preserve"> ribų ir plečia veiklą užsienio rinkose</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w:t>
            </w:r>
            <w:r w:rsidRPr="00D71EF1">
              <w:rPr>
                <w:b/>
                <w:bCs/>
                <w:i/>
                <w:iCs/>
              </w:rPr>
              <w:t>yra priversti</w:t>
            </w:r>
            <w:r w:rsidRPr="00D71EF1">
              <w:t xml:space="preserve"> perkelti savo veiklą į užsienį, kad galėtų </w:t>
            </w:r>
            <w:r w:rsidRPr="00D71EF1">
              <w:rPr>
                <w:b/>
                <w:bCs/>
                <w:i/>
                <w:iCs/>
              </w:rPr>
              <w:t xml:space="preserve">plėsti savo verslą ir </w:t>
            </w:r>
            <w:r w:rsidRPr="00D71EF1">
              <w:t xml:space="preserve">lengviau gauti finansavimą ir išteklių; </w:t>
            </w:r>
            <w:r w:rsidRPr="00D71EF1">
              <w:rPr>
                <w:b/>
                <w:bCs/>
                <w:i/>
                <w:iCs/>
              </w:rPr>
              <w:t>todėl pabrėžia, kad svarbu kurti stiprią</w:t>
            </w:r>
            <w:r w:rsidRPr="00D71EF1">
              <w:t xml:space="preserve"> rizikos kapitalo </w:t>
            </w:r>
            <w:r w:rsidRPr="00D71EF1">
              <w:rPr>
                <w:b/>
                <w:bCs/>
                <w:i/>
                <w:iCs/>
              </w:rPr>
              <w:t>ir investicijų ekosistemą</w:t>
            </w:r>
            <w:r w:rsidRPr="00D71EF1">
              <w:t xml:space="preserve"> 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179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r>
            <w:r w:rsidRPr="00D71EF1">
              <w:rPr>
                <w:b/>
                <w:bCs/>
                <w:i/>
                <w:iCs/>
              </w:rPr>
              <w:t>apgailestauja dėl to</w:t>
            </w:r>
            <w:r w:rsidRPr="00D71EF1">
              <w:t xml:space="preserve">, kad daugelis ES įsisteigusių verslininkų </w:t>
            </w:r>
            <w:r w:rsidRPr="00D71EF1">
              <w:rPr>
                <w:b/>
                <w:bCs/>
                <w:i/>
                <w:iCs/>
              </w:rPr>
              <w:t>turi perkelti</w:t>
            </w:r>
            <w:r w:rsidRPr="00D71EF1">
              <w:t xml:space="preserve"> savo veiklą į užsienį, kad galėtų lengviau gauti finansavimą ir išteklių;</w:t>
            </w:r>
            <w:r w:rsidRPr="00D71EF1">
              <w:rPr>
                <w:b/>
                <w:i/>
              </w:rPr>
              <w:t xml:space="preserve"> </w:t>
            </w:r>
            <w:r w:rsidRPr="00D71EF1">
              <w:rPr>
                <w:b/>
                <w:bCs/>
                <w:i/>
                <w:iCs/>
              </w:rPr>
              <w:t>apgailestauja dėl to</w:t>
            </w:r>
            <w:r w:rsidRPr="00D71EF1">
              <w:t>,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r>
            <w:r w:rsidRPr="00D71EF1">
              <w:rPr>
                <w:b/>
                <w:bCs/>
                <w:i/>
                <w:iCs/>
              </w:rPr>
              <w:t>atkreipia dėmesį į tai</w:t>
            </w:r>
            <w:r w:rsidRPr="00D71EF1">
              <w:t xml:space="preserve">, kad daugelis ES įsisteigusių verslininkų </w:t>
            </w:r>
            <w:r w:rsidRPr="00D71EF1">
              <w:rPr>
                <w:b/>
                <w:bCs/>
                <w:i/>
                <w:iCs/>
              </w:rPr>
              <w:t>perkelia</w:t>
            </w:r>
            <w:r w:rsidRPr="00D71EF1">
              <w:t xml:space="preserve"> savo veiklą į užsienį, kad galėtų lengviau gauti finansavimą</w:t>
            </w:r>
            <w:r w:rsidRPr="00D71EF1">
              <w:rPr>
                <w:b/>
                <w:bCs/>
                <w:i/>
                <w:iCs/>
              </w:rPr>
              <w:t>, aukštos kvalifikacijos darbo jėgą</w:t>
            </w:r>
            <w:r w:rsidRPr="00D71EF1">
              <w:t xml:space="preserve"> ir išteklių</w:t>
            </w:r>
            <w:r w:rsidRPr="00D71EF1">
              <w:rPr>
                <w:b/>
                <w:bCs/>
                <w:i/>
                <w:iCs/>
              </w:rPr>
              <w:t xml:space="preserve"> bei išvengti neskaidrių taisyklių, kurios trukdo investuoti ir plėsti verslą;</w:t>
            </w:r>
            <w:r w:rsidRPr="00D71EF1">
              <w:rPr>
                <w:b/>
                <w:i/>
              </w:rPr>
              <w:t xml:space="preserve"> </w:t>
            </w:r>
            <w:r w:rsidRPr="00D71EF1">
              <w:rPr>
                <w:b/>
                <w:bCs/>
                <w:i/>
                <w:iCs/>
              </w:rPr>
              <w:t>pažymi</w:t>
            </w:r>
            <w:r w:rsidRPr="00D71EF1">
              <w:t>, kad jie kreipiasi į rizikos kapitalo teikėjus už ES ribų ir plečia veiklą užsienio rinkose</w:t>
            </w:r>
            <w:r w:rsidRPr="00D71EF1">
              <w:rPr>
                <w:b/>
                <w:bCs/>
                <w:i/>
                <w:iCs/>
              </w:rPr>
              <w:t>, kur investicijos ir plėtra yra vertinamos teigiamai, o ne neigiamai</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w:t>
            </w:r>
            <w:r w:rsidRPr="00D71EF1">
              <w:rPr>
                <w:b/>
                <w:bCs/>
                <w:i/>
                <w:iCs/>
              </w:rPr>
              <w:t>lengviau</w:t>
            </w:r>
            <w:r w:rsidRPr="00D71EF1">
              <w:rPr>
                <w:b/>
                <w:bCs/>
              </w:rPr>
              <w:t xml:space="preserve"> </w:t>
            </w:r>
            <w:r w:rsidRPr="00D71EF1">
              <w:t xml:space="preserve">gauti finansavimą ir išteklių; apgailestauja </w:t>
            </w:r>
            <w:r w:rsidRPr="00D71EF1">
              <w:rPr>
                <w:b/>
                <w:bCs/>
                <w:i/>
                <w:iCs/>
              </w:rPr>
              <w:t>dėl to</w:t>
            </w:r>
            <w:r w:rsidRPr="00D71EF1">
              <w:t>,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gauti finansavimą ir išteklių; apgailestauja, kad jie kreipiasi į rizikos kapitalo teikėjus už ES ribų ir plečia veiklą užsienio rinkose</w:t>
            </w:r>
            <w:r w:rsidRPr="00D71EF1">
              <w:rPr>
                <w:b/>
                <w:bCs/>
                <w:i/>
                <w:iCs/>
              </w:rPr>
              <w:t>, nes mūsų rinka negali patenkinti jų poreikių</w:t>
            </w:r>
            <w:r w:rsidRPr="00D71EF1">
              <w:t xml:space="preserve">; </w:t>
            </w:r>
            <w:r w:rsidRPr="00D71EF1">
              <w:rPr>
                <w:b/>
                <w:i/>
              </w:rPr>
              <w:t>ragina plėtoti rizikos kapitalą, kad įmonės galėtų gauti investicijų mūsų rinkose;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lastRenderedPageBreak/>
              <w:t>4.</w:t>
            </w:r>
            <w:r w:rsidRPr="00D71EF1">
              <w:tab/>
              <w:t>apgailestauja dėl to, kad daugelis ES įsisteigusių verslininkų turi perkelti savo veiklą į užsienį, kad galėtų lengviau gauti finansavimą ir išteklių</w:t>
            </w:r>
            <w:r w:rsidRPr="00D71EF1">
              <w:rPr>
                <w:b/>
                <w:bCs/>
                <w:i/>
                <w:iCs/>
              </w:rPr>
              <w:t>;</w:t>
            </w:r>
            <w:r w:rsidRPr="00D71EF1">
              <w:rPr>
                <w:b/>
                <w:i/>
              </w:rPr>
              <w:t xml:space="preserve"> </w:t>
            </w:r>
            <w:r w:rsidRPr="00D71EF1">
              <w:rPr>
                <w:b/>
                <w:bCs/>
                <w:i/>
                <w:iCs/>
              </w:rPr>
              <w:t>apgailestauja dėl to</w:t>
            </w:r>
            <w:r w:rsidRPr="00D71EF1">
              <w:t>,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ir</w:t>
            </w:r>
            <w:r w:rsidRPr="00D71EF1">
              <w:rPr>
                <w:b/>
                <w:bCs/>
              </w:rPr>
              <w:t xml:space="preserve"> </w:t>
            </w:r>
            <w:r w:rsidRPr="00D71EF1">
              <w:t xml:space="preserve">kad jie kreipiasi į rizikos kapitalo teikėjus už ES ribų ir plečia veiklą užsienio rinkose; </w:t>
            </w:r>
            <w:r w:rsidRPr="00D71EF1">
              <w:rPr>
                <w:b/>
                <w:i/>
              </w:rPr>
              <w:t>pabrėžia, kad pirmenybė turi būti teikiama pagrindinių veiklos perkėlimo į užsienį priežasčių supratimui ir šalinimui skatinant konkurencingesnę ir patrauklesnę vidaus rinką, sudarant ES įsisteigusiems verslininkams sąlygas augti ir plėstis Europos Sąjungoje ir užtikrinant reglamentavimo aplinką, kuri nebūtų pernelyg apsunkinanti ar ribojanti;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apgailestauja dėl to</w:t>
            </w:r>
            <w:r w:rsidRPr="00D71EF1">
              <w:t>,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susirūpinęs pažymi</w:t>
            </w:r>
            <w:r w:rsidRPr="00D71EF1">
              <w:t>, kad jie kreipiasi į rizikos kapitalo teikėjus už ES ribų ir plečia veiklą užsienio rinkose</w:t>
            </w:r>
            <w:r w:rsidRPr="00D71EF1">
              <w:rPr>
                <w:b/>
                <w:bCs/>
                <w:i/>
                <w:iCs/>
              </w:rPr>
              <w:t>, pabrėždamas, kad ES institucijos turi skatinti kurti inovacijoms ir augimui patrauklesnę ir palankesnę aplinką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lastRenderedPageBreak/>
              <w:t>4.</w:t>
            </w:r>
            <w:r w:rsidRPr="00D71EF1">
              <w:tab/>
            </w:r>
            <w:r w:rsidRPr="00D71EF1">
              <w:rPr>
                <w:b/>
                <w:bCs/>
                <w:i/>
                <w:iCs/>
              </w:rPr>
              <w:t>apgailestauja dėl to</w:t>
            </w:r>
            <w:r w:rsidRPr="00D71EF1">
              <w:t xml:space="preserve">, kad daugelis ES įsisteigusių verslininkų turi perkelti savo veiklą į užsienį, kad galėtų lengviau gauti finansavimą ir išteklių; </w:t>
            </w:r>
            <w:r w:rsidRPr="00D71EF1">
              <w:rPr>
                <w:b/>
                <w:bCs/>
                <w:i/>
                <w:iCs/>
              </w:rPr>
              <w:t>apgailestauja dėl to</w:t>
            </w:r>
            <w:r w:rsidRPr="00D71EF1">
              <w:t>,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r>
            <w:r w:rsidRPr="00D71EF1">
              <w:rPr>
                <w:b/>
                <w:bCs/>
                <w:i/>
                <w:iCs/>
              </w:rPr>
              <w:t>pripažįsta</w:t>
            </w:r>
            <w:r w:rsidRPr="00D71EF1">
              <w:t xml:space="preserve">, kad daugelis ES įsisteigusių verslininkų turi perkelti savo veiklą į užsienį, kad galėtų lengviau gauti finansavimą ir išteklių; susirūpinęs pažymi, kad jie </w:t>
            </w:r>
            <w:r w:rsidRPr="00D71EF1">
              <w:rPr>
                <w:b/>
                <w:bCs/>
                <w:i/>
                <w:iCs/>
              </w:rPr>
              <w:t xml:space="preserve">paprastai </w:t>
            </w:r>
            <w:r w:rsidRPr="00D71EF1">
              <w:t>kreipiasi į rizikos kapitalo teikėjus už ES ribų ir plečia veiklą užsienio rinkose</w:t>
            </w:r>
            <w:r w:rsidRPr="00D71EF1">
              <w:rPr>
                <w:b/>
                <w:bCs/>
                <w:i/>
                <w:iCs/>
              </w:rPr>
              <w:t>, daugiausia dėl Europos kapitalo rinkų nepakankamumo ir neefektyvumo</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Pascal Canfin, Stéphanie Yon-Courtin, Gilles Boyer,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dėl to, kad </w:t>
            </w:r>
            <w:r w:rsidRPr="00D71EF1">
              <w:rPr>
                <w:b/>
                <w:bCs/>
                <w:i/>
                <w:iCs/>
              </w:rPr>
              <w:t>jie kreipiasi į</w:t>
            </w:r>
            <w:r w:rsidRPr="00D71EF1">
              <w:t xml:space="preserve"> rizikos kapitalo </w:t>
            </w:r>
            <w:r w:rsidRPr="00D71EF1">
              <w:rPr>
                <w:b/>
                <w:bCs/>
                <w:i/>
                <w:iCs/>
              </w:rPr>
              <w:t>teikėjus už ES ribų ir plečia</w:t>
            </w:r>
            <w:r w:rsidRPr="00D71EF1">
              <w:t xml:space="preserve">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dėl to, kad </w:t>
            </w:r>
            <w:r w:rsidRPr="00D71EF1">
              <w:rPr>
                <w:b/>
                <w:bCs/>
                <w:i/>
                <w:iCs/>
              </w:rPr>
              <w:t>ES trūksta didelių</w:t>
            </w:r>
            <w:r w:rsidRPr="00D71EF1">
              <w:t xml:space="preserve"> rizikos kapitalo </w:t>
            </w:r>
            <w:r w:rsidRPr="00D71EF1">
              <w:rPr>
                <w:b/>
                <w:bCs/>
                <w:i/>
                <w:iCs/>
              </w:rPr>
              <w:t>fondų ir finansiškai gyvybingų pasitraukimo galimybių, todėl jos yra priverstos plėsti</w:t>
            </w:r>
            <w:r w:rsidRPr="00D71EF1">
              <w:t xml:space="preserve"> veiklą </w:t>
            </w:r>
            <w:r w:rsidRPr="00D71EF1">
              <w:rPr>
                <w:b/>
                <w:bCs/>
                <w:i/>
                <w:iCs/>
              </w:rPr>
              <w:t>pasitelkiant užsienio investicijas ir</w:t>
            </w:r>
            <w:r w:rsidRPr="00D71EF1">
              <w:rPr>
                <w:b/>
                <w:bCs/>
              </w:rPr>
              <w:t xml:space="preserve"> </w:t>
            </w:r>
            <w:r w:rsidRPr="00D71EF1">
              <w:t>užsienio rinkose;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Johan Van Overtveldt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bCs/>
                <w:i/>
                <w:iCs/>
              </w:rPr>
              <w:t>apgailestauja dėl to</w:t>
            </w:r>
            <w:r w:rsidRPr="00D71EF1">
              <w:t xml:space="preserve">, kad jie kreipiasi į rizikos kapitalo teikėjus už ES ribų ir plečia veiklą užsienio </w:t>
            </w:r>
            <w:r w:rsidRPr="00D71EF1">
              <w:lastRenderedPageBreak/>
              <w:t>rinkose;</w:t>
            </w:r>
          </w:p>
        </w:tc>
        <w:tc>
          <w:tcPr>
            <w:tcW w:w="4876" w:type="dxa"/>
            <w:tcBorders>
              <w:top w:val="nil"/>
              <w:left w:val="nil"/>
              <w:bottom w:val="nil"/>
              <w:right w:val="nil"/>
            </w:tcBorders>
          </w:tcPr>
          <w:p w:rsidR="00E95BBE" w:rsidRPr="00D71EF1" w:rsidRDefault="00E95BBE" w:rsidP="00E95BBE">
            <w:pPr>
              <w:pStyle w:val="Normal6a"/>
            </w:pPr>
            <w:r w:rsidRPr="00D71EF1">
              <w:lastRenderedPageBreak/>
              <w:t>4.</w:t>
            </w:r>
            <w:r w:rsidRPr="00D71EF1">
              <w:tab/>
              <w:t xml:space="preserve">apgailestauja dėl to, kad daugelis ES įsisteigusių verslininkų turi perkelti savo veiklą į užsienį, kad galėtų lengviau gauti finansavimą ir išteklių; </w:t>
            </w:r>
            <w:r w:rsidRPr="00D71EF1">
              <w:rPr>
                <w:b/>
                <w:bCs/>
                <w:i/>
                <w:iCs/>
              </w:rPr>
              <w:t>pabrėžia</w:t>
            </w:r>
            <w:r w:rsidRPr="00D71EF1">
              <w:t>, kad jie kreipiasi į rizikos kapitalo teikėjus už ES ribų ir plečia veiklą užsienio rinkose</w:t>
            </w:r>
            <w:r w:rsidRPr="00D71EF1">
              <w:rPr>
                <w:b/>
                <w:bCs/>
                <w:i/>
                <w:iCs/>
              </w:rPr>
              <w:t xml:space="preserve">, </w:t>
            </w:r>
            <w:r w:rsidRPr="00D71EF1">
              <w:rPr>
                <w:b/>
                <w:bCs/>
                <w:i/>
                <w:iCs/>
              </w:rPr>
              <w:lastRenderedPageBreak/>
              <w:t>nes ES nėra integruotos kapitalo rinkų sąjungos</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dėl to, kad </w:t>
            </w:r>
            <w:r w:rsidRPr="00D71EF1">
              <w:rPr>
                <w:b/>
                <w:bCs/>
                <w:i/>
                <w:iCs/>
              </w:rPr>
              <w:t>jie kreipiasi į</w:t>
            </w:r>
            <w:r w:rsidRPr="00D71EF1">
              <w:t xml:space="preserve"> rizikos kapitalo </w:t>
            </w:r>
            <w:r w:rsidRPr="00D71EF1">
              <w:rPr>
                <w:b/>
                <w:bCs/>
                <w:i/>
                <w:iCs/>
              </w:rPr>
              <w:t>teikėjus už ES ribų ir plečia veiklą užsienio rinkose</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w:t>
            </w:r>
            <w:r w:rsidRPr="00D71EF1">
              <w:rPr>
                <w:b/>
                <w:i/>
              </w:rPr>
              <w:t>apgailestauja, kad dabartinė ES reguliavimo ir finansų ekosistema dar nesuteikia pakankamai išsamios, prieinamos ir diversifikuotos sistemos, kuri padėtų patenkinti augančių įmonių finansavimo poreikius;</w:t>
            </w:r>
            <w:r w:rsidRPr="00D71EF1">
              <w:t xml:space="preserve"> apgailestauja dėl to, kad </w:t>
            </w:r>
            <w:r w:rsidRPr="00D71EF1">
              <w:rPr>
                <w:b/>
                <w:bCs/>
                <w:i/>
                <w:iCs/>
              </w:rPr>
              <w:t>šis struktūrinis trūkumas verčia daugelį ES įsisteigusių verslininkų ieškoti</w:t>
            </w:r>
            <w:r w:rsidRPr="00D71EF1">
              <w:t xml:space="preserve"> rizikos kapitalo </w:t>
            </w:r>
            <w:r w:rsidRPr="00D71EF1">
              <w:rPr>
                <w:b/>
                <w:bCs/>
                <w:i/>
                <w:iCs/>
              </w:rPr>
              <w:t>ir plėtros galimybių trečiosiose šalyse</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w:t>
            </w:r>
            <w:r w:rsidRPr="00D71EF1">
              <w:rPr>
                <w:b/>
                <w:bCs/>
                <w:i/>
                <w:iCs/>
              </w:rPr>
              <w:t xml:space="preserve"> jie kreipiasi į</w:t>
            </w:r>
            <w:r w:rsidRPr="00D71EF1">
              <w:t xml:space="preserve"> rizikos kapitalo </w:t>
            </w:r>
            <w:r w:rsidRPr="00D71EF1">
              <w:rPr>
                <w:b/>
                <w:bCs/>
                <w:i/>
                <w:iCs/>
              </w:rPr>
              <w:t>teikėjus už ES ribų ir plečia veiklą užsienio rinkose</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dėl to, kad </w:t>
            </w:r>
            <w:r w:rsidRPr="00D71EF1">
              <w:rPr>
                <w:b/>
                <w:bCs/>
                <w:i/>
                <w:iCs/>
              </w:rPr>
              <w:t>nepakanka</w:t>
            </w:r>
            <w:r w:rsidRPr="00D71EF1">
              <w:t xml:space="preserve"> rizikos kapitalo </w:t>
            </w:r>
            <w:r w:rsidRPr="00D71EF1">
              <w:rPr>
                <w:b/>
                <w:bCs/>
                <w:i/>
                <w:iCs/>
              </w:rPr>
              <w:t xml:space="preserve">teikėjų Sąjungoje, ir ragina nedelsiant imtis konkrečių pastangų, kad būtų sukurta tvirta ir prieinama rizikos </w:t>
            </w:r>
            <w:r w:rsidRPr="00D71EF1">
              <w:rPr>
                <w:b/>
                <w:bCs/>
                <w:i/>
                <w:iCs/>
              </w:rPr>
              <w:lastRenderedPageBreak/>
              <w:t>kapitalo ekosistema, pabrėžiant Sąjungos gebėjimą užtikrinti tvarias inovacijas ir ekonomikos augimą</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Eero Heinäluoma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w:t>
            </w:r>
            <w:r w:rsidRPr="00D71EF1">
              <w:rPr>
                <w:b/>
                <w:bCs/>
                <w:i/>
                <w:iCs/>
              </w:rPr>
              <w:t>, nors ES per metus sukuriama daugiau startuolių nei JAV, o rizikos kapitalo investicijų grąža ES yra maždaug 6 proc. didesnė, https://www.ceps.eu/its-finally-time-to-leverage-pension-funds-to-foster-eu-productivity-and-benefit-pensioners/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189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 </w:t>
            </w:r>
            <w:r w:rsidRPr="00D71EF1">
              <w:rPr>
                <w:b/>
                <w:i/>
              </w:rPr>
              <w:t xml:space="preserve">pritaria Draghi ir Lettos pranešimams, kad ES turėtų toliau plėtoti </w:t>
            </w:r>
            <w:r w:rsidRPr="00D71EF1">
              <w:rPr>
                <w:b/>
                <w:i/>
              </w:rPr>
              <w:lastRenderedPageBreak/>
              <w:t>savo rizikos kapitalo rinkas; tačiau pabrėžia, kad viešoji parama rizikos kapitalo rinkoms turėtų būti skiriama tik projektams, suderintiems su žaliojo kurso tikslais ir darantiems teigiamą socialinį poveikį;</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w:t>
            </w:r>
            <w:r w:rsidRPr="00D71EF1">
              <w:rPr>
                <w:b/>
                <w:bCs/>
                <w:i/>
                <w:iCs/>
              </w:rPr>
              <w:t>užsienį</w:t>
            </w:r>
            <w:r w:rsidRPr="00D71EF1">
              <w:t>, kad galėtų lengviau gauti finansavimą ir išteklių; apgailestauja dėl to,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w:t>
            </w:r>
            <w:r w:rsidRPr="00D71EF1">
              <w:rPr>
                <w:b/>
                <w:bCs/>
                <w:i/>
                <w:iCs/>
              </w:rPr>
              <w:t>jurisdikcijas už ES ribų</w:t>
            </w:r>
            <w:r w:rsidRPr="00D71EF1">
              <w:t xml:space="preserve">, kad galėtų lengviau gauti finansavimą ir išteklių; apgailestauja dėl to, kad jie kreipiasi į rizikos kapitalo teikėjus už ES ribų ir plečia veiklą užsienio rinkose; </w:t>
            </w:r>
            <w:r w:rsidRPr="00D71EF1">
              <w:rPr>
                <w:b/>
                <w:i/>
              </w:rPr>
              <w:t>pripažįsta, kad tokie sprendimai rodo bendrą Europos finansavimo ekosistemos konkurencingumo trūkumą, ypač plėtros etape, kurio problemą reikia spręsti;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 xml:space="preserve">apgailestauja dėl to, kad daugelis ES įsisteigusių verslininkų turi perkelti savo veiklą į užsienį, kad galėtų lengviau gauti finansavimą ir išteklių; apgailestauja </w:t>
            </w:r>
            <w:r w:rsidRPr="00D71EF1">
              <w:lastRenderedPageBreak/>
              <w:t>dėl to,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lastRenderedPageBreak/>
              <w:t>4.</w:t>
            </w:r>
            <w:r w:rsidRPr="00D71EF1">
              <w:tab/>
              <w:t xml:space="preserve">apgailestauja dėl to, kad daugelis ES įsisteigusių verslininkų turi perkelti savo veiklą į užsienį, kad galėtų lengviau gauti finansavimą ir išteklių; apgailestauja </w:t>
            </w:r>
            <w:r w:rsidRPr="00D71EF1">
              <w:lastRenderedPageBreak/>
              <w:t xml:space="preserve">dėl to, kad jie kreipiasi į rizikos kapitalo teikėjus už ES ribų ir plečia veiklą užsienio rinkose; </w:t>
            </w:r>
            <w:r w:rsidRPr="00D71EF1">
              <w:rPr>
                <w:b/>
                <w:i/>
              </w:rPr>
              <w:t>palankiai vertina neseniai priimtą Įtraukimo į biržos sąrašus aktą, kuris palengvins visų dydžių įmonių, įskaitant MVĮ, įtraukimą į Europos vertybinių popierių biržų sąrašus;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w:t>
            </w:r>
          </w:p>
        </w:tc>
        <w:tc>
          <w:tcPr>
            <w:tcW w:w="4876" w:type="dxa"/>
            <w:tcBorders>
              <w:top w:val="nil"/>
              <w:left w:val="nil"/>
              <w:bottom w:val="nil"/>
              <w:right w:val="nil"/>
            </w:tcBorders>
          </w:tcPr>
          <w:p w:rsidR="00E95BBE" w:rsidRPr="00D71EF1" w:rsidRDefault="00E95BBE" w:rsidP="00E95BBE">
            <w:pPr>
              <w:pStyle w:val="Normal6a"/>
            </w:pPr>
            <w:r w:rsidRPr="00D71EF1">
              <w:t>4.</w:t>
            </w:r>
            <w:r w:rsidRPr="00D71EF1">
              <w:tab/>
              <w:t>apgailestauja dėl to, kad daugelis ES įsisteigusių verslininkų turi perkelti savo veiklą į užsienį, kad galėtų lengviau gauti finansavimą ir išteklių; apgailestauja dėl to, kad jie kreipiasi į rizikos kapitalo teikėjus už ES ribų ir plečia veiklą užsienio rinkose;</w:t>
            </w:r>
            <w:r w:rsidRPr="00D71EF1">
              <w:rPr>
                <w:b/>
                <w:i/>
              </w:rPr>
              <w:t> todėl ragina daugiau dėmesio skirti tam, kad būtų sudarytos sąlygos pakankamai dideliems Europos augimo ir akcijų išpirkimo fondams susikurti ir veikti;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4a.</w:t>
            </w:r>
            <w:r w:rsidRPr="00D71EF1">
              <w:tab/>
            </w:r>
            <w:r w:rsidRPr="00D71EF1">
              <w:rPr>
                <w:b/>
                <w:i/>
              </w:rPr>
              <w:t xml:space="preserve">apgailestauja dėl to, kad žemo lygio finansinis švietimas daugelyje Europos Sąjungos valstybių narių yra didelis iššūkis piliečių ekonominiam savarankiškumui ir stiprios bei konkurencingos ekonomikos plėtrai; </w:t>
            </w:r>
            <w:r w:rsidRPr="00D71EF1">
              <w:rPr>
                <w:b/>
                <w:i/>
              </w:rPr>
              <w:lastRenderedPageBreak/>
              <w:t>primena, kad prastas finansinis švietimas trukdo gyventojams priimti informacija pagrįstus sprendimus dėl taupymo, investavimo ir pensijų planavimo, taip pat neleidžia piliečiams geriau pasirengti reikalauti vyriausybių atskaitomybės; patvirtina, kad ši finansinio švietimo spraga ne tik kelia grėsmę asmenų ekonominei gerovei, bet ir riboja aktyvų dalyvavimą kapitalo rinkose bei trukdo plėtoti ekonomikos augimui itin svarbią investavimo kultūrą; palankiai vertina Komisijos pasiūlymą dėl naujos strategijos ir ragina, kad ji būtų pakankamai plataus užmojo, kad būtų galima gerokai pakelti švietimo lygį visoje Europoje ir užtikrinti ilgalaikius pokyčius; pritaria, kad būtina skubiai priimti priemones, kuriomis būtų skatinamas prieinamesnis ir teisingesnis finansinis švietimas visoje ES, atsižvelgiant į nacionalinę kompetenciją;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4a.</w:t>
            </w:r>
            <w:r w:rsidRPr="00D71EF1">
              <w:tab/>
            </w:r>
            <w:r w:rsidRPr="00D71EF1">
              <w:rPr>
                <w:b/>
                <w:i/>
              </w:rPr>
              <w:t xml:space="preserve">pabrėžia, kad Europos finansų rinkos turi būti patrauklios ir lengvai prieinamos tiek emitentams, tiek investuotojams; pabrėžia, kad tai taikoma ir pirminėms, ir antrinėms rinkoms; pabrėžia, kad sprendimas įtraukti akcijas į sąrašus reguliuojamose rinkose dažnai susijęs su svarbiais papildomais reikalavimais įmonėms, </w:t>
            </w:r>
            <w:r w:rsidRPr="00D71EF1">
              <w:rPr>
                <w:b/>
              </w:rPr>
              <w:t>inter alia</w:t>
            </w:r>
            <w:r w:rsidRPr="00D71EF1">
              <w:rPr>
                <w:b/>
                <w:i/>
              </w:rPr>
              <w:t xml:space="preserve">, siekiant apsaugoti investuotojus; pažymi, kad tokie reikalavimai gali būti suvokiami kaip pradinio viešo akcijų platinimo trūkumas; ragina Komisiją nuolat stebėti viešai kotiruojamų bendrovių </w:t>
            </w:r>
            <w:r w:rsidRPr="00D71EF1">
              <w:rPr>
                <w:b/>
                <w:i/>
              </w:rPr>
              <w:lastRenderedPageBreak/>
              <w:t>administracines ir reikalavimų laikymosi išlaidas, siekiant jas sumažinti, ypač mažosioms ir vidutinėms įmonėms; palankiai vertina neseniai priimtą Įtraukimo į biržos sąrašus aktą kaip pirmą žingsnį šioje srityje; ragina pragmatiškai įgyvendinti Įtraukimo į biržos sąrašus aktą ir ragina Komisiją toliau remtis šia iniciatyva;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4b.</w:t>
            </w:r>
            <w:r w:rsidRPr="00D71EF1">
              <w:tab/>
            </w:r>
            <w:r w:rsidRPr="00D71EF1">
              <w:rPr>
                <w:b/>
                <w:i/>
              </w:rPr>
              <w:t>pabrėžia, kad visų pirma į biržos prekybos sąrašus įtrauktoms MVĮ yra sudėtinga gauti pakankamos aprėpties įmonių tyrimus; pažymi, kad tyrimų išlaidų atskyrimas nuo prekybos vykdymo mokesčių pagal FPRD II galėjo šią problemą dar labiau paaštrinti; palankiai vertina tai, kad šis reikalavimas vėliau buvo sušvelnintas Įtraukimo į biržos sąrašus aktu; ragina Komisiją ir ESMA toliau stebėti, kaip keičiasi įmonių tyrimų tendencijos, visų pirma dėl MVĮ;</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4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4c.</w:t>
            </w:r>
            <w:r w:rsidRPr="00D71EF1">
              <w:tab/>
            </w:r>
            <w:r w:rsidRPr="00D71EF1">
              <w:rPr>
                <w:b/>
                <w:i/>
              </w:rPr>
              <w:t xml:space="preserve">atkreipia dėmesį į MVĮ augimo rinkų, padedančių mažesnėms įmonėms platinti savo akcijas, svarbą; ragina </w:t>
            </w:r>
            <w:r w:rsidRPr="00D71EF1">
              <w:rPr>
                <w:b/>
                <w:i/>
              </w:rPr>
              <w:lastRenderedPageBreak/>
              <w:t>Komisiją stiprinti MVĮ augimo rinkas, be kita ko, nustatant supaprastintus reikalavimus, taikomus prekybos šiose rinkose sąrašams;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r>
            <w:r w:rsidRPr="00D71EF1">
              <w:rPr>
                <w:b/>
                <w:bCs/>
                <w:i/>
                <w:iCs/>
              </w:rPr>
              <w:t>pabrėžia, kad viešieji ištekliai turėtų būti sutelkti į viešųjų paslaugų ir infrastruktūros tvarumo ir prieinamumo užtikrinimą, sykiu skatinant privačias investicijas į novatorišką ir švarią pramonę aiškiai apibrėžtomis sąlygomis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r>
            <w:r w:rsidRPr="00D71EF1">
              <w:rPr>
                <w:b/>
                <w:bCs/>
                <w:i/>
                <w:iCs/>
              </w:rPr>
              <w:t>remia rinka grindžiamą požiūrį į augimą, skatindamas reglamentavimo aplinką, kuria sudaromos sąlygos privačiojo sektoriaus inovacijoms, kartu užtikrindamas, kad pagrindinės viešosios paslaugos ir infrastruktūra būtų veiksmingai išlaikomos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w:t>
            </w:r>
            <w:r w:rsidRPr="00D71EF1">
              <w:rPr>
                <w:b/>
                <w:bCs/>
                <w:i/>
                <w:iCs/>
              </w:rPr>
              <w:t>sutelkti į</w:t>
            </w:r>
            <w:r w:rsidRPr="00D71EF1">
              <w:t xml:space="preserve"> viešųjų </w:t>
            </w:r>
            <w:r w:rsidRPr="00D71EF1">
              <w:rPr>
                <w:b/>
                <w:bCs/>
                <w:i/>
                <w:iCs/>
              </w:rPr>
              <w:t>paslaugų ir infrastruktūros tvarumo ir prieinamumo užtikrinimą, sykiu</w:t>
            </w:r>
            <w:r w:rsidRPr="00D71EF1">
              <w:t xml:space="preserve"> skatinant privačias investicijas</w:t>
            </w:r>
            <w:r w:rsidRPr="00D71EF1">
              <w:rPr>
                <w:b/>
                <w:bCs/>
                <w:i/>
                <w:iCs/>
              </w:rPr>
              <w:t xml:space="preserve"> į novatorišką ir švarią pramonę aiškiai apibrėžtomis sąlygomis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w:t>
            </w:r>
            <w:r w:rsidRPr="00D71EF1">
              <w:rPr>
                <w:b/>
                <w:bCs/>
                <w:i/>
                <w:iCs/>
              </w:rPr>
              <w:t>naudojami taip, kad Europos mokesčių mokėtojai sutaupytų lėšų, visų pirma teikiant pirmenybę Europos</w:t>
            </w:r>
            <w:r w:rsidRPr="00D71EF1">
              <w:t xml:space="preserve"> viešųjų </w:t>
            </w:r>
            <w:r w:rsidRPr="00D71EF1">
              <w:rPr>
                <w:b/>
                <w:bCs/>
                <w:i/>
                <w:iCs/>
              </w:rPr>
              <w:t>gėrybių teikimui tose srityse, kuriose ES lygmens veiksmai leidžia pasiekti didesnį veiksmingumą ir masto ekonomiją, ir kartu</w:t>
            </w:r>
            <w:r w:rsidRPr="00D71EF1">
              <w:t xml:space="preserve"> skatinant privačias investicijas</w:t>
            </w:r>
            <w:r w:rsidRPr="00D71EF1">
              <w:rPr>
                <w:b/>
                <w:bCs/>
                <w:i/>
                <w:iCs/>
              </w:rPr>
              <w:t>, kad būtų didinamas ES konkurencingumas, našumas ir mažinamas inovacijų atotrūkis</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199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w:t>
            </w:r>
            <w:r w:rsidRPr="00D71EF1">
              <w:rPr>
                <w:b/>
                <w:bCs/>
                <w:i/>
                <w:iCs/>
              </w:rPr>
              <w:t>viešųjų paslaugų ir infrastruktūros tvarumo ir prieinamumo užtikrinimą</w:t>
            </w:r>
            <w:r w:rsidRPr="00D71EF1">
              <w:t>, sykiu skatinant privačias investicijas</w:t>
            </w:r>
            <w:r w:rsidRPr="00D71EF1">
              <w:rPr>
                <w:b/>
                <w:bCs/>
                <w:i/>
                <w:iCs/>
              </w:rPr>
              <w:t xml:space="preserve"> į novatorišką ir švarią pramonę aiškiai apibrėžtomis sąlygomis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w:t>
            </w:r>
            <w:r w:rsidRPr="00D71EF1">
              <w:rPr>
                <w:b/>
                <w:bCs/>
                <w:i/>
                <w:iCs/>
              </w:rPr>
              <w:t>tai, kokį vaidmenį jie gali atlikti</w:t>
            </w:r>
            <w:r w:rsidRPr="00D71EF1">
              <w:t>, sykiu skatinant privačias 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0"/>
        <w:keepNext/>
        <w:rPr>
          <w:lang w:val="lt-LT"/>
        </w:rPr>
      </w:pPr>
      <w:r w:rsidRPr="00D71EF1">
        <w:rPr>
          <w:rStyle w:val="HideTWBExt"/>
          <w:b w:val="0"/>
          <w:szCs w:val="24"/>
          <w:lang w:val="lt-LT" w:eastAsia="en-US"/>
        </w:rPr>
        <w:t>&lt;Amend&gt;</w:t>
      </w:r>
      <w:r w:rsidRPr="00D71EF1">
        <w:rPr>
          <w:lang w:val="lt-LT"/>
        </w:rPr>
        <w:t>Pakeitimas</w:t>
      </w:r>
      <w:r w:rsidRPr="00D71EF1">
        <w:rPr>
          <w:lang w:val="lt-LT"/>
        </w:rPr>
        <w:tab/>
      </w:r>
      <w:r w:rsidRPr="00D71EF1">
        <w:rPr>
          <w:lang w:val="lt-LT"/>
        </w:rPr>
        <w:tab/>
      </w:r>
      <w:r w:rsidRPr="00D71EF1">
        <w:rPr>
          <w:rStyle w:val="HideTWBExt"/>
          <w:b w:val="0"/>
          <w:szCs w:val="24"/>
          <w:lang w:val="lt-LT" w:eastAsia="en-US"/>
        </w:rPr>
        <w:t>&lt;NumAm&gt;</w:t>
      </w:r>
      <w:r w:rsidRPr="00D71EF1">
        <w:rPr>
          <w:lang w:val="lt-LT"/>
        </w:rPr>
        <w:t>200</w:t>
      </w:r>
      <w:r w:rsidRPr="00D71EF1">
        <w:rPr>
          <w:rStyle w:val="HideTWBExt"/>
          <w:b w:val="0"/>
          <w:szCs w:val="24"/>
          <w:lang w:val="lt-LT" w:eastAsia="en-US"/>
        </w:rPr>
        <w:t>&lt;/NumAm&gt;</w:t>
      </w:r>
    </w:p>
    <w:p w:rsidR="00E95BBE" w:rsidRPr="00D71EF1" w:rsidRDefault="00E95BBE" w:rsidP="00E95BBE">
      <w:pPr>
        <w:pStyle w:val="NormalBold"/>
      </w:pPr>
      <w:r w:rsidRPr="00D71EF1">
        <w:rPr>
          <w:rStyle w:val="HideTWBExt"/>
          <w:b w:val="0"/>
        </w:rPr>
        <w:t>&lt;RepeatBlock-By&gt;&lt;Members&gt;</w:t>
      </w:r>
      <w:r w:rsidRPr="00D71EF1">
        <w:t>Danuše Nerudová</w:t>
      </w:r>
      <w:r w:rsidRPr="00D71EF1">
        <w:rPr>
          <w:rStyle w:val="HideTWBExt"/>
          <w:b w:val="0"/>
        </w:rPr>
        <w:t>&lt;/Members&gt;</w:t>
      </w:r>
    </w:p>
    <w:p w:rsidR="00E95BBE" w:rsidRPr="00D71EF1" w:rsidRDefault="00E95BBE" w:rsidP="00E95BBE">
      <w:r w:rsidRPr="00D71EF1">
        <w:rPr>
          <w:rStyle w:val="HideTWBExt"/>
        </w:rPr>
        <w:t>&lt;/RepeatBlock-By&gt;</w:t>
      </w:r>
    </w:p>
    <w:p w:rsidR="00E95BBE" w:rsidRPr="00D71EF1" w:rsidRDefault="00E95BBE" w:rsidP="00E95BBE">
      <w:pPr>
        <w:pStyle w:val="NormalBold"/>
        <w:keepNext/>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BBE" w:rsidRPr="00D71EF1" w:rsidTr="00E95BBE">
        <w:trPr>
          <w:jc w:val="center"/>
        </w:trPr>
        <w:tc>
          <w:tcPr>
            <w:tcW w:w="9752" w:type="dxa"/>
            <w:gridSpan w:val="2"/>
          </w:tcPr>
          <w:p w:rsidR="00E95BBE" w:rsidRPr="00D71EF1" w:rsidRDefault="00E95BBE" w:rsidP="00E95BBE">
            <w:pPr>
              <w:keepNext/>
            </w:pPr>
          </w:p>
        </w:tc>
      </w:tr>
      <w:tr w:rsidR="00E95BBE" w:rsidRPr="00D71EF1" w:rsidTr="00E95BBE">
        <w:trPr>
          <w:jc w:val="center"/>
        </w:trPr>
        <w:tc>
          <w:tcPr>
            <w:tcW w:w="4876" w:type="dxa"/>
          </w:tcPr>
          <w:p w:rsidR="00E95BBE" w:rsidRPr="00D71EF1" w:rsidRDefault="00E95BBE" w:rsidP="00E95BBE">
            <w:pPr>
              <w:pStyle w:val="ColumnHeading"/>
              <w:keepNext/>
              <w:rPr>
                <w:lang w:val="lt-LT"/>
              </w:rPr>
            </w:pPr>
            <w:r w:rsidRPr="00D71EF1">
              <w:rPr>
                <w:lang w:val="lt-LT"/>
              </w:rPr>
              <w:t>Pasiūlymas dėl rezoliucijos</w:t>
            </w:r>
          </w:p>
        </w:tc>
        <w:tc>
          <w:tcPr>
            <w:tcW w:w="4876" w:type="dxa"/>
          </w:tcPr>
          <w:p w:rsidR="00E95BBE" w:rsidRPr="00D71EF1" w:rsidRDefault="00E95BBE" w:rsidP="00E95BBE">
            <w:pPr>
              <w:pStyle w:val="ColumnHeading"/>
              <w:keepNext/>
              <w:rPr>
                <w:lang w:val="lt-LT"/>
              </w:rPr>
            </w:pPr>
            <w:r w:rsidRPr="00D71EF1">
              <w:rPr>
                <w:lang w:val="lt-LT"/>
              </w:rPr>
              <w:t>Pakeitimas</w:t>
            </w:r>
          </w:p>
        </w:tc>
      </w:tr>
      <w:tr w:rsidR="00E95BBE" w:rsidRPr="00D71EF1" w:rsidTr="00E95BBE">
        <w:trPr>
          <w:jc w:val="center"/>
        </w:trPr>
        <w:tc>
          <w:tcPr>
            <w:tcW w:w="4876" w:type="dxa"/>
          </w:tcPr>
          <w:p w:rsidR="00E95BBE" w:rsidRPr="00D71EF1" w:rsidRDefault="00E95BBE" w:rsidP="00E95BBE">
            <w:pPr>
              <w:pStyle w:val="Normal6"/>
              <w:rPr>
                <w:lang w:val="lt-LT"/>
              </w:rPr>
            </w:pPr>
            <w:r w:rsidRPr="00D71EF1">
              <w:rPr>
                <w:lang w:val="lt-LT"/>
              </w:rPr>
              <w:t>5.</w:t>
            </w:r>
            <w:r w:rsidRPr="00D71EF1">
              <w:rPr>
                <w:lang w:val="lt-LT"/>
              </w:rPr>
              <w:tab/>
              <w:t>pabrėžia, kad viešieji ištekliai turėtų būti sutelkti į viešųjų paslaugų ir infrastruktūros tvarumo ir prieinamumo užtikrinimą, sykiu skatinant privačias investicijas į novatorišką ir švarią pramonę aiškiai apibrėžtomis sąlygomis;</w:t>
            </w:r>
          </w:p>
        </w:tc>
        <w:tc>
          <w:tcPr>
            <w:tcW w:w="4876" w:type="dxa"/>
          </w:tcPr>
          <w:p w:rsidR="00E95BBE" w:rsidRPr="00D71EF1" w:rsidRDefault="00E95BBE" w:rsidP="00E95BBE">
            <w:pPr>
              <w:pStyle w:val="Normal6"/>
              <w:rPr>
                <w:szCs w:val="24"/>
                <w:lang w:val="lt-LT"/>
              </w:rPr>
            </w:pPr>
            <w:r w:rsidRPr="00D71EF1">
              <w:rPr>
                <w:lang w:val="lt-LT"/>
              </w:rPr>
              <w:t>5.</w:t>
            </w:r>
            <w:r w:rsidRPr="00D71EF1">
              <w:rPr>
                <w:lang w:val="lt-LT"/>
              </w:rPr>
              <w:tab/>
              <w:t xml:space="preserve">pabrėžia, kad viešieji ištekliai turėtų būti sutelkti į </w:t>
            </w:r>
            <w:r w:rsidRPr="00D71EF1">
              <w:rPr>
                <w:b/>
                <w:bCs/>
                <w:i/>
                <w:iCs/>
                <w:lang w:val="lt-LT"/>
              </w:rPr>
              <w:t xml:space="preserve">Europos viešąsias gėrybes ir pridėtinę vertę bei </w:t>
            </w:r>
            <w:r w:rsidRPr="00D71EF1">
              <w:rPr>
                <w:lang w:val="lt-LT"/>
              </w:rPr>
              <w:t>viešųjų paslaugų ir infrastruktūros tvarumo ir prieinamumo užtikrinimą, sykiu skatinant privačias investicijas į novatorišką ir švarią pramonę aiškiai apibrėžtomis sąlygomis;</w:t>
            </w:r>
          </w:p>
        </w:tc>
      </w:tr>
    </w:tbl>
    <w:p w:rsidR="00E95BBE" w:rsidRPr="00D71EF1" w:rsidRDefault="00E95BBE" w:rsidP="00E95BBE">
      <w:pPr>
        <w:pStyle w:val="Olang"/>
        <w:rPr>
          <w:sz w:val="24"/>
          <w:szCs w:val="24"/>
          <w:lang w:val="lt-LT"/>
        </w:rPr>
      </w:pPr>
      <w:r w:rsidRPr="00D71EF1">
        <w:rPr>
          <w:sz w:val="24"/>
          <w:lang w:val="lt-LT"/>
        </w:rPr>
        <w:t xml:space="preserve">Or. </w:t>
      </w:r>
      <w:r w:rsidRPr="00D71EF1">
        <w:rPr>
          <w:rStyle w:val="HideTWBExt"/>
          <w:lang w:val="lt-LT"/>
        </w:rPr>
        <w:t>&lt;Original&gt;</w:t>
      </w:r>
      <w:r w:rsidRPr="00D71EF1">
        <w:rPr>
          <w:rStyle w:val="HideTWBInt"/>
          <w:lang w:val="lt-LT"/>
        </w:rPr>
        <w:t>{EN}</w:t>
      </w:r>
      <w:r w:rsidRPr="00D71EF1">
        <w:rPr>
          <w:sz w:val="24"/>
          <w:lang w:val="lt-LT"/>
        </w:rPr>
        <w:t>en</w:t>
      </w:r>
      <w:r w:rsidRPr="00D71EF1">
        <w:rPr>
          <w:rStyle w:val="HideTWBExt"/>
          <w:lang w:val="lt-L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w:t>
            </w:r>
            <w:r w:rsidRPr="00D71EF1">
              <w:lastRenderedPageBreak/>
              <w:t xml:space="preserve">būti </w:t>
            </w:r>
            <w:r w:rsidRPr="00D71EF1">
              <w:rPr>
                <w:b/>
                <w:bCs/>
                <w:i/>
                <w:iCs/>
              </w:rPr>
              <w:t>sutelkti į</w:t>
            </w:r>
            <w:r w:rsidRPr="00D71EF1">
              <w:t xml:space="preserve"> viešųjų paslaugų ir infrastruktūros </w:t>
            </w:r>
            <w:r w:rsidRPr="00D71EF1">
              <w:rPr>
                <w:b/>
                <w:bCs/>
                <w:i/>
                <w:iCs/>
              </w:rPr>
              <w:t>tvarumo ir prieinamumo užtikrinimą</w:t>
            </w:r>
            <w:r w:rsidRPr="00D71EF1">
              <w:t xml:space="preserve">, sykiu skatinant privačias investicijas į </w:t>
            </w:r>
            <w:r w:rsidRPr="00D71EF1">
              <w:rPr>
                <w:b/>
                <w:bCs/>
                <w:i/>
                <w:iCs/>
              </w:rPr>
              <w:t>novatorišką ir švarią pramonę aiškiai apibrėžtomis sąlygomis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5.</w:t>
            </w:r>
            <w:r w:rsidRPr="00D71EF1">
              <w:tab/>
              <w:t xml:space="preserve">pabrėžia, kad viešieji ištekliai turėtų </w:t>
            </w:r>
            <w:r w:rsidRPr="00D71EF1">
              <w:lastRenderedPageBreak/>
              <w:t xml:space="preserve">būti </w:t>
            </w:r>
            <w:r w:rsidRPr="00D71EF1">
              <w:rPr>
                <w:b/>
                <w:bCs/>
                <w:i/>
                <w:iCs/>
              </w:rPr>
              <w:t>skirstomi subalansuotai, užtikrinant tiek</w:t>
            </w:r>
            <w:r w:rsidRPr="00D71EF1">
              <w:t xml:space="preserve"> viešųjų paslaugų ir infrastruktūros </w:t>
            </w:r>
            <w:r w:rsidRPr="00D71EF1">
              <w:rPr>
                <w:b/>
                <w:bCs/>
                <w:i/>
                <w:iCs/>
              </w:rPr>
              <w:t>tvarumą, tiek prieinamumą</w:t>
            </w:r>
            <w:r w:rsidRPr="00D71EF1">
              <w:t xml:space="preserve">, sykiu skatinant privačias investicijas į </w:t>
            </w:r>
            <w:r w:rsidRPr="00D71EF1">
              <w:rPr>
                <w:b/>
                <w:bCs/>
                <w:i/>
                <w:iCs/>
              </w:rPr>
              <w:t>pagrindinius pramonės sektorius, įskaitant novatoriškus ir strateginius sektorius, taip, kad būtų visapusiškai atsižvelgta į kiekvienos valstybės narės ekonominius ypatumus ir sektorių prioritetus</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pabrėžia, kad viešieji ištekliai turėtų būti sutelkti į viešųjų paslaugų ir infrastruktūros tvarumo ir prieinamumo užtikrinimą, sykiu skatinant privačias investicijas į novatorišką ir švarią pramonę</w:t>
            </w:r>
            <w:r w:rsidRPr="00D71EF1">
              <w:rPr>
                <w:b/>
                <w:bCs/>
                <w:i/>
                <w:iCs/>
              </w:rPr>
              <w:t xml:space="preserve"> aiškiai apibrėžtomis sąlygomis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w:t>
            </w:r>
            <w:r w:rsidRPr="00D71EF1">
              <w:rPr>
                <w:b/>
                <w:bCs/>
                <w:i/>
                <w:iCs/>
              </w:rPr>
              <w:t xml:space="preserve">investicijas, ekonomikos augimą, racionalaus lėšų panaudojimo užtikrinimą ir </w:t>
            </w:r>
            <w:r w:rsidRPr="00D71EF1">
              <w:t>viešųjų paslaugų ir infrastruktūros tvarumo ir prieinamumo užtikrinimą, sykiu skatinant privačias investicijas į novatorišką ir švarią pramonę;</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 Kartheiser, Geadis Geadi, Kristoffer Storm, Nora Junco García, Diego Solier, Adrian-George Axinia, Georgiana Teodorescu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viešųjų paslaugų ir infrastruktūros tvarumo ir prieinamumo užtikrinimą, sykiu skatinant </w:t>
            </w:r>
            <w:r w:rsidRPr="00D71EF1">
              <w:rPr>
                <w:b/>
                <w:bCs/>
                <w:i/>
                <w:iCs/>
              </w:rPr>
              <w:t>privačias</w:t>
            </w:r>
            <w:r w:rsidRPr="00D71EF1">
              <w:rPr>
                <w:b/>
                <w:bCs/>
              </w:rPr>
              <w:t xml:space="preserve"> </w:t>
            </w:r>
            <w:r w:rsidRPr="00D71EF1">
              <w:t xml:space="preserve">investicijas į novatorišką </w:t>
            </w:r>
            <w:r w:rsidRPr="00D71EF1">
              <w:rPr>
                <w:b/>
                <w:bCs/>
                <w:i/>
                <w:iCs/>
              </w:rPr>
              <w:t>ir švarią</w:t>
            </w:r>
            <w:r w:rsidRPr="00D71EF1">
              <w:rPr>
                <w:b/>
                <w:bCs/>
              </w:rPr>
              <w:t xml:space="preserve"> </w:t>
            </w:r>
            <w:r w:rsidRPr="00D71EF1">
              <w:t xml:space="preserve">pramonę </w:t>
            </w:r>
            <w:r w:rsidRPr="00D71EF1">
              <w:lastRenderedPageBreak/>
              <w:t>aiškiai apibrėžtomis sąlygomis;</w:t>
            </w:r>
          </w:p>
        </w:tc>
        <w:tc>
          <w:tcPr>
            <w:tcW w:w="4876" w:type="dxa"/>
            <w:tcBorders>
              <w:top w:val="nil"/>
              <w:left w:val="nil"/>
              <w:bottom w:val="nil"/>
              <w:right w:val="nil"/>
            </w:tcBorders>
          </w:tcPr>
          <w:p w:rsidR="00E95BBE" w:rsidRPr="00D71EF1" w:rsidRDefault="00E95BBE" w:rsidP="00E95BBE">
            <w:pPr>
              <w:pStyle w:val="Normal6a"/>
            </w:pPr>
            <w:r w:rsidRPr="00D71EF1">
              <w:lastRenderedPageBreak/>
              <w:t>5.</w:t>
            </w:r>
            <w:r w:rsidRPr="00D71EF1">
              <w:tab/>
              <w:t xml:space="preserve">pabrėžia, kad viešieji ištekliai turėtų būti sutelkti į viešųjų paslaugų ir infrastruktūros tvarumo ir prieinamumo užtikrinimą, sykiu skatinant investicijas į novatorišką pramonę aiškiai apibrėžtomis </w:t>
            </w:r>
            <w:r w:rsidRPr="00D71EF1">
              <w:lastRenderedPageBreak/>
              <w:t>sąlygomis;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Thomas Bajada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pabrėžia, kad viešieji ištekliai turėtų būti sutelkti į viešųjų paslaugų ir infrastruktūros tvarumo ir prieinamumo užtikrinimą, sykiu skatinant privačias investicijas į novatorišką ir švarią pramonę aiškiai apibrėžtomis sąlygomis;</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w:t>
            </w:r>
            <w:r w:rsidRPr="00D71EF1">
              <w:rPr>
                <w:b/>
                <w:bCs/>
                <w:i/>
                <w:iCs/>
              </w:rPr>
              <w:t xml:space="preserve">ES piliečių gerovės didinimą, todėl į </w:t>
            </w:r>
            <w:r w:rsidRPr="00D71EF1">
              <w:t>viešųjų paslaugų ir infrastruktūros</w:t>
            </w:r>
            <w:r w:rsidRPr="00D71EF1">
              <w:rPr>
                <w:b/>
                <w:bCs/>
                <w:i/>
                <w:iCs/>
              </w:rPr>
              <w:t>, ypač susijusių su visuotinės svarbos paslaugomis,</w:t>
            </w:r>
            <w:r w:rsidRPr="00D71EF1">
              <w:t xml:space="preserve"> tvarumo ir prieinamumo užtikrinimą, sykiu skatinant privačias investicijas į novatorišką ir švarią pramonę aiškiai apibrėžtomis sąlygomis;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pabrėžia, kad viešieji ištekliai turėtų būti sutelkti į viešųjų paslaugų ir infrastruktūros tvarumo ir prieinamumo užtikrinimą, sykiu skatinant privačias investicijas į novatorišką ir švarią pramonę aiškiai apibrėžtomis sąlygomis;</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viešųjų paslaugų ir infrastruktūros tvarumo ir prieinamumo užtikrinimą, sykiu skatinant privačias investicijas į novatorišką ir švarią pramonę aiškiai apibrėžtomis </w:t>
            </w:r>
            <w:r w:rsidRPr="00D71EF1">
              <w:rPr>
                <w:b/>
                <w:bCs/>
                <w:i/>
                <w:iCs/>
              </w:rPr>
              <w:t xml:space="preserve">socialinėmis ir aplinkos </w:t>
            </w:r>
            <w:r w:rsidRPr="00D71EF1">
              <w:t>sąlygomis;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206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pabrėžia, kad viešieji ištekliai turėtų būti sutelkti į viešųjų paslaugų ir infrastruktūros tvarumo ir prieinamumo užtikrinimą, sykiu skatinant privačias investicijas į novatorišką ir švarią pramonę aiškiai apibrėžtomis sąlygomis;</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viešųjų paslaugų ir infrastruktūros </w:t>
            </w:r>
            <w:r w:rsidRPr="00D71EF1">
              <w:rPr>
                <w:b/>
                <w:bCs/>
                <w:i/>
                <w:iCs/>
              </w:rPr>
              <w:t xml:space="preserve">kokybės, efektyvumo, </w:t>
            </w:r>
            <w:r w:rsidRPr="00D71EF1">
              <w:t>tvarumo ir prieinamumo užtikrinimą, sykiu skatinant privačias investicijas į novatorišką ir švarią pramonę aiškiai apibrėžtomis sąlygomis;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viešųjų paslaugų ir infrastruktūros tvarumo ir prieinamumo užtikrinimą, sykiu skatinant privačias investicijas į </w:t>
            </w:r>
            <w:r w:rsidRPr="00D71EF1">
              <w:rPr>
                <w:b/>
                <w:bCs/>
                <w:i/>
                <w:iCs/>
              </w:rPr>
              <w:t>novatorišką ir švarią</w:t>
            </w:r>
            <w:r w:rsidRPr="00D71EF1">
              <w:t xml:space="preserve"> pramonę aiškiai apibrėžtomis sąlygomis;</w:t>
            </w:r>
          </w:p>
        </w:tc>
        <w:tc>
          <w:tcPr>
            <w:tcW w:w="4876" w:type="dxa"/>
            <w:tcBorders>
              <w:top w:val="nil"/>
              <w:left w:val="nil"/>
              <w:bottom w:val="nil"/>
              <w:right w:val="nil"/>
            </w:tcBorders>
          </w:tcPr>
          <w:p w:rsidR="00E95BBE" w:rsidRPr="00D71EF1" w:rsidRDefault="00E95BBE" w:rsidP="00E95BBE">
            <w:pPr>
              <w:pStyle w:val="Normal6a"/>
            </w:pPr>
            <w:r w:rsidRPr="00D71EF1">
              <w:t>5.</w:t>
            </w:r>
            <w:r w:rsidRPr="00D71EF1">
              <w:tab/>
              <w:t xml:space="preserve">pabrėžia, kad viešieji ištekliai turėtų būti sutelkti į viešųjų paslaugų ir infrastruktūros tvarumo ir prieinamumo užtikrinimą, sykiu skatinant privačias investicijas į </w:t>
            </w:r>
            <w:r w:rsidRPr="00D71EF1">
              <w:rPr>
                <w:b/>
                <w:bCs/>
                <w:i/>
                <w:iCs/>
              </w:rPr>
              <w:t>novatoriškas ir švarias technologijas bei</w:t>
            </w:r>
            <w:r w:rsidRPr="00D71EF1">
              <w:t xml:space="preserve"> pramonę aiškiai apibrėžtomis sąlygomis;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 xml:space="preserve">mano, kad šeimos yra pagrindinis socialinės struktūros ir gerovės Europoje </w:t>
            </w:r>
            <w:r w:rsidRPr="00D71EF1">
              <w:rPr>
                <w:b/>
                <w:i/>
              </w:rPr>
              <w:lastRenderedPageBreak/>
              <w:t>ramstis; primena, kad asmenims, turintiems vaikų ir išlaikomų asmenų, teko neproporcingai didelė pastarųjų penkiolikos metų viena po kitos sekusių ekonominių krizių našta; pritaria, kad šeimos, norėdamos klestėti, kurti savo ateitį ir užtikrintai prisiimti atsakomybę, turi turėti realias galimybes taupyti ir kaupti turtą; šiuo požiūriu pabrėžia, kad reikia plėtoti gilias, prieinamas ir veiksmingas kapitalo rinkas, kurios palengvintų mažmenines investicijas, jas apsaugotų ir skatintų finansinį švietimą; remia namų ūkių galimybes patekti į finansų rinkas kaip prioritetą rengiant Santaupų ir investicijų sąjungos strategiją;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209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 xml:space="preserve">pabrėžia reguliavimo supaprastinimo siekiant padidinti konkurencingumą svarbą; pabrėžia, kad pernelyg sudėtingos ir griežtos taisyklės atgraso nuo investicijų, mažina pasiūlą, didina pragyvenimo išlaidas ir mažina gyvenimo lygį; ragina ir toliau daug dėmesio skirti ES reglamentavimo aplinkos gerinimui, kad būtų skatinamos investicijos ir dinamiškumas bei užtikrinamas didesnis tikrumas; ragina valstybes nares peržiūrėti perteklinį reglamentavimą, jį sumažinti ir kovoti su juo siekiant skatinti konkurencingumą, supaprastinimą ir investicijas, be kita ko, šalinant sudėtingą reglamentavimą, kuris iškraipo konkurenciją bendrojoje rinkoje, didina išlaidas įvairiuose sektoriuose ir yra kliūtis tarpvalstybinėms ir </w:t>
            </w:r>
            <w:r w:rsidRPr="00D71EF1">
              <w:rPr>
                <w:b/>
                <w:i/>
              </w:rPr>
              <w:lastRenderedPageBreak/>
              <w:t>mažmeninėms investicijoms;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Jussi Saramo, Pasquale Tridico, Gaetano Pedulla', Manon Aubry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pripažįsta, kad kapitalo rinkos negali patenkinti visų Europos investicijų poreikių; pabrėžia, kad viešosios investicijos turi būti žaliosios ir skaitmeninės pertvarkos pagrindas ir kad viešųjų investicijų vaidmuo neturėtų būti susiaurintas iki privačiųjų investicijų rizikos mažinimo; todėl pripažįsta, kad reikia pertvarkyti ES viešojo finansavimo struktūrą, ir ragina į kitą daugiametę finansinę programą įtraukti ES investicijų fondą;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Johan Van Overtveldt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investicijų deficito mažinimas – tai ne tik didelių finansinių apimčių sutelkimas, bet ir užtikrinimas, kad ES būtų pasirengusi nukreipti lėšas į produktyvias investicijas; pabrėžia, kad instituciniai gebėjimai, reglamentavimo aiškumas ir projektų kokybė yra labai svarbūs veiksmingam viešojo ir privačiojo kapitalo panaudojimui;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ragina išnaudoti postūmį kuriant naują Europos tvaraus konkurencingumo modelį, grindžiamą tikru žiediškumu ir nepriklausomybe nuo išteklių, įskaitant patikimesnį konkurencingumo ir augimo vertinimą, neapsiribojant bendruoju vidaus produktu, ir jų įtraukimą į ES semestrą ir biudžetą;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Eero Heinäluoma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 mano, kad ES valstybės pagalbos bankininkystei gairės turi būti iš naujo įvertintos, kad būtų geriau atsižvelgta į konkurencijos skirtumus ir sustiprinta rinkos drausmė;</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bet kokia reglamentavimo ar teisėkūros iniciatyva turėtų būti grindžiama išsamiu jos sąnaudų ir naudos įvertinimu; pabrėžia, jog siekiant užtikrinti, kad naujomis priemonėmis būtų veiksmingai remiamas ekonomikos augimas, inovacijos ir konkurencingumas, neužkraunant nepagrįstos administracinės ar reikalavimų laikymosi naštos, būtina atlikti griežtą analizę;</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Anouk Van Brug, Billy Kelleher, Engin Eroglu,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ES verslo aplinka turėtų būti labai patraukli įmonėms ir investuotojams, kad jie galėtų plėtoti novatoriškus verslus palankioje reglamentavimo aplinkoje; pakartoja savo ilgalaikį raginimą mažinti su tuo susijusią bendrą administracinę naštą, ypač tenkančią MVĮ;</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Fabio De Masi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 xml:space="preserve">pabrėžia, kad, nepaisant to, jog vidaus rinka gilėja, ES valstybių narių ekonomikai būdinga didesnė įvairovė, todėl jos mastas, palyginti su JAV </w:t>
            </w:r>
            <w:r w:rsidRPr="00D71EF1">
              <w:rPr>
                <w:b/>
                <w:i/>
              </w:rPr>
              <w:lastRenderedPageBreak/>
              <w:t>ekonomika, yra mažesnis dėl skirtingų kalbų režimų ir teisinių sistemų (pvz., nemokumo įstatymų);</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ES subjektų, piliečių, įmonių ir finansų sektoriaus svarbą sėkmingam Santaupų ir investicijų sąjungos veikimui. Jie padės suderinti ES neprofesionaliųjų investuotojų dalyvavimą ir ES ekonomikos finansavimą, kurie yra du to paties užmojo aspektai;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218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svarbu parengti plataus užmojo, išmatuojamą ir ryžtingą ES strategiją, kuria būtų skatinamas finansinis raštingumas Europoje, kad mūsų piliečiai galėtų geriau apsaugoti ir sutelkti savo santaupas ir remtis patrauklesne kapitalo rinka;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219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įperkamo, tinkamo ir socialinio būsto trūkumas, ypač didelės paklausos vietovėse, tapo struktūrine kliūtimi, trukdančia darbo jėgos judumui ir našumui, o tai mažina Sąjungos konkurencingumą;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Ralf Seekatz</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tolesnes investicijas į ypatingos svarbos infrastruktūrą galėtų paskatinti aktyvesnis viešojo ir privačiojo sektorių partnerystės taikymas; ragina Komisiją pateikti valstybėms narėms rekomendaciją dėl tokių partnerysčių;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 xml:space="preserve">primena, kad ankstesnės finansų krizės buvo tiesioginės pernelyg švelnaus reglamentavimo padariniai; primena, kad ankstesnės finansų krizės turėjo ilgalaikį </w:t>
            </w:r>
            <w:r w:rsidRPr="00D71EF1">
              <w:rPr>
                <w:b/>
                <w:i/>
              </w:rPr>
              <w:lastRenderedPageBreak/>
              <w:t>ekonominį poveikį augimui, našumui ir socialinei įtraukčiai; pabrėžia, kad tvirtais vartotojų apsaugos mechanizmais remiama veiksminga ir visapusiška reglamentavimo sistema yra pagrindinis ES bankininkystės sektoriaus konkurencingumo veiksnys ir yra labai svarbi skatinant aktyvesnį neprofesionaliųjų investuotojų dalyvavimą ES kapitalo rinkose; primena, kad įvairūs Bazelio bankų priežiūros komiteto (BBPK) atlikti tyrimai rodo, kad net ir sunkiais metais po krizės reformos pagal susitarimą „Bazelis III“ padėjo Europos bankams remti savo nacionalinę ekonomiką; mano, kad norint atkurti ES piliečių pasitikėjimą finansų rinkomis ir taip skatinti skaidresnę, teisingesnę ir konkurencingesnę rinkos aplinką, kuri būtų naudinga visiems suinteresuotiesiems subjektams, būtina užtikrinti tinkamą neprofesionaliųjų investuotojų apsaugą ir išspręsti esamą finansų patarėjų interesų konfliktą; pritaria iniciatyvoms, kuriomis siekiama skatinti finansinę įtrauktį ir užtikrinti neprofesionaliųjų investuotojų galimybes naudotis pagrindiniais finansiniais produktais;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 xml:space="preserve">palankiai vertiname Komisijos užsibrėžtą tikslą tapti „investicijų komisija“ ir atverti galimybes gauti finansavimą, reikalingą žaliajai, </w:t>
            </w:r>
            <w:r w:rsidRPr="00D71EF1">
              <w:rPr>
                <w:b/>
                <w:i/>
              </w:rPr>
              <w:lastRenderedPageBreak/>
              <w:t>skaitmeninei ir socialinei pertvarkai, taip pat kuo labiau padidinti viešąsias investicijas, panaudoti privatų kapitalą ir sumažinti jo riziką;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5a.</w:t>
            </w:r>
            <w:r w:rsidRPr="00D71EF1">
              <w:tab/>
            </w:r>
            <w:r w:rsidRPr="00D71EF1">
              <w:rPr>
                <w:b/>
                <w:i/>
              </w:rPr>
              <w:t>pabrėžia, kad reikia spartinti inovacijų diegimą ir ieškoti naujų ekonomikos augimo variklių, mažinti aukštas energijos kainas, kartu toliau mažinti priklausomybę nuo iškastinio kuro ir pereiti prie žiedinės ekonomikos;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5b.</w:t>
            </w:r>
            <w:r w:rsidRPr="00D71EF1">
              <w:tab/>
            </w:r>
            <w:r w:rsidRPr="00D71EF1">
              <w:rPr>
                <w:b/>
                <w:i/>
              </w:rPr>
              <w:t>ragina Komisiją ir valstybes nares stiprinti būsto politikos aspektą Europos semestre ir kitose makroekonominio koordinavimo priemonėse, taip pat sutelkti investicijas ir reformas, kad būtų pagerinta padėtis įperkamo ir socialinio būsto srityje, ypač didelės paklausos vietovėse, nes tai yra būtina Sąjungos konkurencingumo didinimo sąlyga;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225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Johan Van Overtveldt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5b.</w:t>
            </w:r>
            <w:r w:rsidRPr="00D71EF1">
              <w:tab/>
            </w:r>
            <w:r w:rsidRPr="00D71EF1">
              <w:rPr>
                <w:b/>
                <w:i/>
              </w:rPr>
              <w:t>pabrėžia, kad daugeliui reformų, reikalingų investicijų deficitui mažinti, nereikia jokių finansinių išteklių, bet reikia politinio ryžto šias reformas įgyvendinti;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5b.</w:t>
            </w:r>
            <w:r w:rsidRPr="00D71EF1">
              <w:tab/>
            </w:r>
            <w:r w:rsidRPr="00D71EF1">
              <w:rPr>
                <w:b/>
                <w:i/>
              </w:rPr>
              <w:t>ragina vykdyti reformas, kad mažosioms įmonėms būtų lengviau registruotis PVM mokėtojais visoje ES, įskaitant elektroninę registraciją;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5b.</w:t>
            </w:r>
            <w:r w:rsidRPr="00D71EF1">
              <w:tab/>
            </w:r>
            <w:r w:rsidRPr="00D71EF1">
              <w:rPr>
                <w:b/>
                <w:i/>
              </w:rPr>
              <w:t xml:space="preserve">atkreipia dėmesį į EIOPA išvadą, kad 2020–2023 m. laikotarpiu draudimo principu pagrįstų investicinių produktų grąža neviršijo infliacijos lygio, o tai reiškia, kad ES taupytojai realiai prarado turtą; apgailestauja, kad ES taupytojai negauna grąžos, atitinkančios jų </w:t>
            </w:r>
            <w:r w:rsidRPr="00D71EF1">
              <w:rPr>
                <w:b/>
                <w:i/>
              </w:rPr>
              <w:lastRenderedPageBreak/>
              <w:t>prisiimamą riziką, nes jų mokesčiai yra didesni nei kitų šalių taupytojų; yra susirūpinęs dėl to, kad dabartinis platinimo modelis skatina neprofesionaliuosius investuotojus investuoti į neproduktyvų turtą, pvz., kriptoturtą; ragina Komisiją imtis ryžtingų veiksmų, kad būtų reformuotas ES finansinių produktų platinimo modelis; vis dar laikosi nuomonės, kad draudimas skatinti yra geriausias būdas spręsti šią problemą;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5c.</w:t>
            </w:r>
            <w:r w:rsidRPr="00D71EF1">
              <w:tab/>
            </w:r>
            <w:r w:rsidRPr="00D71EF1">
              <w:rPr>
                <w:b/>
                <w:i/>
              </w:rPr>
              <w:t>ragina Komisiją peržiūrėti investicinėms įmonėms pagal Investicinių įmonių reglamentą ir (arba) Investicinių įmonių direktyvą taikomą rizikos ribojimo sistemą ir užtikrinti, kad ji būtų proporcinga ir atitiktų tikslą; pabrėžia, kad investicinės įmonės, veikiančios kaip rinkos formuotojos, užtikrina svarbų rinkos likvidumą; pakartoja, kad apribojimų, kuriais gali būti nepagrįstai sumažintas investicinių įmonių teikiamas likvidumas arba trukdoma mažesnėms įmonėms patekti į rinką, klausimas turėtų būti sprendžiamas teisės aktų pakeitimais;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229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5c.</w:t>
            </w:r>
            <w:r w:rsidRPr="00D71EF1">
              <w:tab/>
            </w:r>
            <w:r w:rsidRPr="00D71EF1">
              <w:rPr>
                <w:b/>
                <w:i/>
              </w:rPr>
              <w:t>ragina stiprinti Europos gerovės valstybę, įskaitant visuotinę galimybę naudotis kokybiškomis viešosiomis paslaugomis, būstu, judumu ir vaikų priežiūra, kaip sąlygą socialinei sanglaudai užtikrinti pereinant prie labiau skaitmeniškesnės ir žalesnės ekonomikos;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5c.</w:t>
            </w:r>
            <w:r w:rsidRPr="00D71EF1">
              <w:tab/>
            </w:r>
            <w:r w:rsidRPr="00D71EF1">
              <w:rPr>
                <w:b/>
                <w:i/>
              </w:rPr>
              <w:t>pažymi, kad ES finansų sektorius atlaikė pastarojo meto ekonominius ir finansinius sukrėtimus, kuriuos sukėlė Rusijos agresija Ukrainoje arba D. Trumpo administracijos sprendimai įvesti vienašališkus muitus; pabrėžia, kad finansų sektoriaus tvirtumas yra pagrindinis jo konkurencingumo elementas; atsižvelgdamas į tai, pabrėžia, kad po finansų krizės vykdytos reformos turėtų būti tęsiamos ir užbaigtos; pabrėžia, kad tik visiškai įgyvendinus Bazelio standartus būtų užtikrintas ES bankų finansinis patikimumas; atkreipia dėmesį į tai, kad 2024 m. didesnę draudikų turto portfelio dalį sudaro įmonių obligacijos ir akcijos nei 2017 m.; pabrėžia, kad tai rodo, jog direktyva „Mokumas II“, t. y. patikima rizikos ribojimo sistema, ne trukdė, o skatino draudikų investicijas į realiąją ekonomiką; mano, kad užbaigus direktyvos „Mokumas II“ peržiūrą turi būti išsaugotas sistemos rizikos ribojimo patikimumas;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5 d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5d.</w:t>
            </w:r>
            <w:r w:rsidRPr="00D71EF1">
              <w:tab/>
            </w:r>
            <w:r w:rsidRPr="00D71EF1">
              <w:rPr>
                <w:b/>
                <w:i/>
              </w:rPr>
              <w:t>primena, kad bankų sąjungos kūrimo užbaigimas yra svarbus Santaupų ir investicijų sąjungos elementas; mano, kad krizių valdymo ir indėlių draudimo (CMDI) sistemos peržiūra yra tik vienas iš būtinų žingsnių šia kryptimi; primena, kad Europos Parlamento ECON komitetas 2024 m. balandžio mėn. priėmė poziciją dėl Komisijos pasiūlymo, kuriuo siekiama sukurti Europos indėlių garantijų sistemą (EIGS); primena, kad EIGS užtikrintų vienodą saugumo lygį kiekvienam indėlininkui, kad ir kur jis būtų Bankų sąjungoje, išardytų bankų ir valstybių sąsajas ir labai prisidėtų prie bankų sektoriaus integracijos; tebėra visiškai įsipareigojęs užbaigti kurti bankų sąjungą, įskaitant visavertę EIGS;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paantraštė</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 xml:space="preserve">Privačių investicijų sutelkimas ir galimybių gauti finansavimą </w:t>
            </w:r>
            <w:r w:rsidRPr="00D71EF1">
              <w:rPr>
                <w:b/>
                <w:bCs/>
                <w:i/>
                <w:iCs/>
              </w:rPr>
              <w:t>gerinimas</w:t>
            </w:r>
          </w:p>
        </w:tc>
        <w:tc>
          <w:tcPr>
            <w:tcW w:w="4876" w:type="dxa"/>
            <w:tcBorders>
              <w:top w:val="nil"/>
              <w:left w:val="nil"/>
              <w:bottom w:val="nil"/>
              <w:right w:val="nil"/>
            </w:tcBorders>
          </w:tcPr>
          <w:p w:rsidR="00E95BBE" w:rsidRPr="00D71EF1" w:rsidRDefault="00E95BBE" w:rsidP="00E95BBE">
            <w:pPr>
              <w:pStyle w:val="Normal6a"/>
            </w:pPr>
            <w:r w:rsidRPr="00D71EF1">
              <w:t xml:space="preserve">Privačių investicijų sutelkimas ir galimybių gauti finansavimą </w:t>
            </w:r>
            <w:r w:rsidRPr="00D71EF1">
              <w:rPr>
                <w:b/>
                <w:bCs/>
                <w:i/>
                <w:iCs/>
              </w:rPr>
              <w:t>skatinimas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233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2 paantraštė</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Privačių investicijų sutelkimas ir galimybių gauti finansavimą gerinimas</w:t>
            </w:r>
          </w:p>
        </w:tc>
        <w:tc>
          <w:tcPr>
            <w:tcW w:w="4876" w:type="dxa"/>
            <w:tcBorders>
              <w:top w:val="nil"/>
              <w:left w:val="nil"/>
              <w:bottom w:val="nil"/>
              <w:right w:val="nil"/>
            </w:tcBorders>
          </w:tcPr>
          <w:p w:rsidR="00E95BBE" w:rsidRPr="00D71EF1" w:rsidRDefault="00E95BBE" w:rsidP="00E95BBE">
            <w:pPr>
              <w:pStyle w:val="Normal6a"/>
            </w:pPr>
            <w:r w:rsidRPr="00D71EF1">
              <w:t>Privačių investicijų sutelkimas ir galimybių gauti finansavimą gerinimas</w:t>
            </w:r>
            <w:r w:rsidRPr="00D71EF1">
              <w:rPr>
                <w:b/>
                <w:bCs/>
                <w:i/>
                <w:iCs/>
              </w:rPr>
              <w:t xml:space="preserve"> kuriant Santaupų ir investicijų sąjungą: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Stéphanie Yon-Courtin, Gilles Boyer,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w:t>
            </w:r>
            <w:r w:rsidRPr="00D71EF1">
              <w:rPr>
                <w:b/>
                <w:bCs/>
                <w:i/>
                <w:iCs/>
              </w:rPr>
              <w:t>integruojant vidaus rinką ir kuriant</w:t>
            </w:r>
            <w:r w:rsidRPr="00D71EF1">
              <w:t xml:space="preserve"> ekonomines galimybes </w:t>
            </w:r>
            <w:r w:rsidRPr="00D71EF1">
              <w:rPr>
                <w:b/>
                <w:bCs/>
                <w:i/>
                <w:iCs/>
              </w:rPr>
              <w:t>privačioms investicijoms ES kapitalo rinkų patrauklumas didės, o tai sudarytų sąlygas didesnei grąžai</w:t>
            </w:r>
            <w:r w:rsidRPr="00D71EF1">
              <w:t>;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r>
            <w:r w:rsidRPr="00D71EF1">
              <w:rPr>
                <w:b/>
                <w:i/>
              </w:rPr>
              <w:t>pripažįsta, kad viena iš pagrindinių kliūčių kurti Santaupų ir investicijų sąjungą tebėra ES finansų rinkų susiskaidymas;</w:t>
            </w:r>
            <w:r w:rsidRPr="00D71EF1">
              <w:t xml:space="preserve"> mano, kad </w:t>
            </w:r>
            <w:r w:rsidRPr="00D71EF1">
              <w:rPr>
                <w:b/>
                <w:bCs/>
                <w:i/>
                <w:iCs/>
              </w:rPr>
              <w:t xml:space="preserve">kuriant patrauklią ir konkurencingą ES kapitalo rinką reikės, be kita ko, </w:t>
            </w:r>
            <w:r w:rsidRPr="00D71EF1">
              <w:t xml:space="preserve">toliau </w:t>
            </w:r>
            <w:r w:rsidRPr="00D71EF1">
              <w:rPr>
                <w:b/>
                <w:bCs/>
                <w:i/>
                <w:iCs/>
              </w:rPr>
              <w:t>integruoti nacionalines kapitalo rinkas, toliau derinti tam tikras politikos sritis, laikytis nuoseklesnio požiūrio į priežiūros praktiką, taip pat sukurti geresnes</w:t>
            </w:r>
            <w:r w:rsidRPr="00D71EF1">
              <w:t xml:space="preserve"> ekonomines galimybes </w:t>
            </w:r>
            <w:r w:rsidRPr="00D71EF1">
              <w:rPr>
                <w:b/>
                <w:bCs/>
                <w:i/>
                <w:iCs/>
              </w:rPr>
              <w:t>privatiems investuotojams, kad jie gautų gerą grąžą;</w:t>
            </w:r>
            <w:r w:rsidRPr="00D71EF1">
              <w:t xml:space="preserve"> ragina Komisiją ir valstybes nares parengti sprendimus, nesvarbu, ar tai būtų teisėkūros sprendimai, ar ne, kuriais būtų skatinama kurti ES masto pakankamo dydžio, likvidumo, gilumo ir skaidrumo kapitalo rinką, kuri pritrauktų tiek ES, tiek tarptautinius investuotojus</w:t>
            </w:r>
            <w:r w:rsidRPr="00D71EF1">
              <w:rPr>
                <w:b/>
                <w:bCs/>
                <w:i/>
                <w:iCs/>
              </w:rPr>
              <w:t xml:space="preserve"> bei įmones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235</w:t>
      </w:r>
      <w:r w:rsidRPr="00D71EF1">
        <w:rPr>
          <w:rStyle w:val="HideTWBExt"/>
          <w:b w:val="0"/>
        </w:rPr>
        <w:t>&lt;/NumAm&gt;</w:t>
      </w:r>
    </w:p>
    <w:p w:rsidR="00E95BBE" w:rsidRPr="00D71EF1" w:rsidRDefault="00E95BBE" w:rsidP="00E95BBE">
      <w:pPr>
        <w:pStyle w:val="NormalBold"/>
      </w:pPr>
      <w:r w:rsidRPr="00D71EF1">
        <w:rPr>
          <w:rStyle w:val="HideTWBExt"/>
          <w:b w:val="0"/>
        </w:rPr>
        <w:lastRenderedPageBreak/>
        <w:t>&lt;RepeatBlock-By&gt;&lt;Members&gt;</w:t>
      </w:r>
      <w:r w:rsidRPr="00D71EF1">
        <w:t>Auke Zijlstra, Enikő Győri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w:t>
            </w:r>
            <w:r w:rsidRPr="00D71EF1">
              <w:rPr>
                <w:b/>
                <w:bCs/>
                <w:i/>
                <w:iCs/>
              </w:rPr>
              <w:t>integruojant</w:t>
            </w:r>
            <w:r w:rsidRPr="00D71EF1">
              <w:t xml:space="preserve"> vidaus rinką ir kuriant ekonomines galimybes privačioms investicijoms ES kapitalo rinkų patrauklumas didės, o tai sudarytų sąlygas </w:t>
            </w:r>
            <w:r w:rsidRPr="00D71EF1">
              <w:rPr>
                <w:b/>
                <w:bCs/>
                <w:i/>
                <w:iCs/>
              </w:rPr>
              <w:t>didesnei grąžai</w:t>
            </w:r>
            <w:r w:rsidRPr="00D71EF1">
              <w:t>;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w:t>
            </w:r>
            <w:r w:rsidRPr="00D71EF1">
              <w:rPr>
                <w:b/>
                <w:bCs/>
                <w:i/>
                <w:iCs/>
              </w:rPr>
              <w:t>gilinant</w:t>
            </w:r>
            <w:r w:rsidRPr="00D71EF1">
              <w:t xml:space="preserve"> vidaus rinką ir kuriant ekonomines galimybes privačioms investicijoms</w:t>
            </w:r>
            <w:r w:rsidRPr="00D71EF1">
              <w:rPr>
                <w:b/>
                <w:bCs/>
                <w:i/>
                <w:iCs/>
              </w:rPr>
              <w:t>, taip pat tikslingai, bet plačiu užmoju panaikinant reguliavimą, pvz., panaikinant Įmonių informacijos apie tvarumą teikimo direktyvą (ĮITTD) ir Įmonių tvarumo išsamaus patikrinimo direktyvą (ĮTIPD),</w:t>
            </w:r>
            <w:r w:rsidRPr="00D71EF1">
              <w:t xml:space="preserve"> ES kapitalo rinkų patrauklumas didės, o tai sudarytų sąlygas </w:t>
            </w:r>
            <w:r w:rsidRPr="00D71EF1">
              <w:rPr>
                <w:b/>
                <w:bCs/>
                <w:i/>
                <w:iCs/>
              </w:rPr>
              <w:t>sumažinti reikalavimų laikymosi išlaidas ir pradėti gauti didesnę grąžą;</w:t>
            </w:r>
            <w:r w:rsidRPr="00D71EF1">
              <w:rPr>
                <w:b/>
                <w:i/>
              </w:rPr>
              <w:t xml:space="preserve"> pabrėžia, kad ekonomines galimybes gali sukurti ne įstatymų leidėjas, o verslininkystė; </w:t>
            </w:r>
            <w:r w:rsidRPr="00D71EF1">
              <w:rPr>
                <w:b/>
                <w:bCs/>
                <w:i/>
                <w:iCs/>
              </w:rPr>
              <w:t>pabrėžia, kad įstatymų leidėjas gali sukurti tik verslumui palankią reglamentavimo aplinką</w:t>
            </w:r>
            <w:r w:rsidRPr="00D71EF1">
              <w:t xml:space="preserve">; ragina Komisiją ir valstybes nares parengti sprendimus, nesvarbu, ar tai būtų teisėkūros sprendimai, ar ne, </w:t>
            </w:r>
            <w:r w:rsidRPr="00D71EF1">
              <w:rPr>
                <w:b/>
                <w:bCs/>
                <w:i/>
                <w:iCs/>
              </w:rPr>
              <w:t xml:space="preserve">įskaitant sprendimus dėl reguliavimo panaikinimo, </w:t>
            </w:r>
            <w:r w:rsidRPr="00D71EF1">
              <w:t>kuriais būtų skatinama kurti ES masto pakankamo dydžio, likvidumo, gilumo ir skaidrumo kapitalo rinką, kuri pritrauktų tiek ES, tiek tarptautinius investuotojus</w:t>
            </w:r>
            <w:r w:rsidRPr="00D71EF1">
              <w:rPr>
                <w:b/>
                <w:bCs/>
                <w:i/>
                <w:iCs/>
              </w:rPr>
              <w:t>, nedarant poveikio poreikiui tinkamai tikrinti užsienio investicijas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pažymi, kad Europos kapitalo rinkos šiuo metu tebėra labai susiskaidžiusios, o Europos investiciniai fondai tebėra beveik septynis kartus mažesni nei JAV fondai</w:t>
            </w:r>
            <w:r w:rsidRPr="00D71EF1">
              <w:rPr>
                <w:b/>
                <w:i/>
                <w:vertAlign w:val="superscript"/>
              </w:rPr>
              <w:t>1a</w:t>
            </w:r>
            <w:r w:rsidRPr="00D71EF1">
              <w:rPr>
                <w:b/>
                <w:i/>
              </w:rPr>
              <w:t>; mano, kad tai kenkia ES investicinių fondų sektoriaus konkurencingumui pasaulinių konkurentų atžvilgiu, nes fondų dydis yra pagrindinis veiksnys, turintis įtakos galutinių investuotojų patiriamoms išlaidoms; mano, kad labiau integravus tarpvalstybinę ES fondų rinką ilgainiui galėtų padidėti fondų dydis ir efektyvumas, o tai, jei būtų panaudota mažmeniniams investuotojams, padėtų sumažinti sąnaudas ir užtikrinti didesnę ekonominę naudą galutiniams investuotojams;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ab/>
            </w:r>
            <w:r w:rsidR="00BE1599" w:rsidRPr="00D71EF1">
              <w:rPr>
                <w:b/>
                <w:i/>
              </w:rPr>
              <w:t>Christiano Noyer</w:t>
            </w:r>
            <w:r w:rsidRPr="00D71EF1">
              <w:rPr>
                <w:b/>
                <w:i/>
              </w:rPr>
              <w:t xml:space="preserve"> pranešimas, p. 62</w:t>
            </w:r>
            <w:r w:rsidR="00BE1599" w:rsidRPr="00D71EF1">
              <w:rPr>
                <w:b/>
                <w:i/>
              </w:rPr>
              <w:t>,</w:t>
            </w:r>
            <w:r w:rsidRPr="00D71EF1">
              <w:rPr>
                <w:b/>
                <w:i/>
              </w:rPr>
              <w:t xml:space="preserve"> https://www.tresor.economie.gouv.fr/Articles/e3283a8f-69de-46c2-9b8a-4b8836394798/files/6b8593b5-ca31-45a3-b61c-11c95cf0fc4b</w:t>
            </w:r>
            <w:r w:rsidR="00BE1599" w:rsidRPr="00D71EF1">
              <w:rPr>
                <w:b/>
                <w:i/>
              </w:rPr>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w:t>
            </w:r>
            <w:r w:rsidRPr="00D71EF1">
              <w:rPr>
                <w:b/>
                <w:bCs/>
                <w:i/>
                <w:iCs/>
              </w:rPr>
              <w:t>didesnei grąžai</w:t>
            </w:r>
            <w:r w:rsidRPr="00D71EF1">
              <w:t xml:space="preserve">; ragina Komisiją ir valstybes nares parengti sprendimus, </w:t>
            </w:r>
            <w:r w:rsidRPr="00D71EF1">
              <w:rPr>
                <w:b/>
                <w:bCs/>
                <w:i/>
                <w:iCs/>
              </w:rPr>
              <w:t>nesvarbu, ar tai būtų teisėkūros sprendimai, ar ne,</w:t>
            </w:r>
            <w:r w:rsidRPr="00D71EF1">
              <w:rPr>
                <w:b/>
                <w:bCs/>
              </w:rPr>
              <w:t xml:space="preserve"> </w:t>
            </w:r>
            <w:r w:rsidRPr="00D71EF1">
              <w:t xml:space="preserve">kuriais būtų skatinama kurti ES masto pakankamo dydžio, likvidumo, gilumo ir skaidrumo </w:t>
            </w:r>
            <w:r w:rsidRPr="00D71EF1">
              <w:lastRenderedPageBreak/>
              <w:t>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lastRenderedPageBreak/>
              <w:t>6.</w:t>
            </w:r>
            <w:r w:rsidRPr="00D71EF1">
              <w:tab/>
              <w:t xml:space="preserve">mano, kad toliau integruojant vidaus rinką ir kuriant ekonomines galimybes privačioms investicijoms ES kapitalo rinkų patrauklumas didės, o tai sudarytų sąlygas </w:t>
            </w:r>
            <w:r w:rsidRPr="00D71EF1">
              <w:rPr>
                <w:b/>
                <w:bCs/>
                <w:i/>
                <w:iCs/>
              </w:rPr>
              <w:t>piliečiams ir įmonėms gauti didesnę grąžą</w:t>
            </w:r>
            <w:r w:rsidRPr="00D71EF1">
              <w:t xml:space="preserve">; ragina Komisiją ir valstybes nares parengti </w:t>
            </w:r>
            <w:r w:rsidRPr="00D71EF1">
              <w:rPr>
                <w:b/>
                <w:bCs/>
                <w:i/>
                <w:iCs/>
              </w:rPr>
              <w:t xml:space="preserve">teisėkūros </w:t>
            </w:r>
            <w:r w:rsidRPr="00D71EF1">
              <w:t xml:space="preserve">sprendimus, kuriais būtų skatinama kurti ES masto pakankamo dydžio, likvidumo, gilumo ir skaidrumo kapitalo rinką, kuri </w:t>
            </w:r>
            <w:r w:rsidRPr="00D71EF1">
              <w:lastRenderedPageBreak/>
              <w:t>pritrauktų tiek ES, tiek tarptautinius investuotojus;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w:t>
            </w:r>
            <w:r w:rsidRPr="00D71EF1">
              <w:rPr>
                <w:b/>
                <w:bCs/>
                <w:i/>
                <w:iCs/>
              </w:rPr>
              <w:t xml:space="preserve">reglamentavimo aplinką, skatinančią ES įmonių konkurencingumą, bei </w:t>
            </w:r>
            <w:r w:rsidRPr="00D71EF1">
              <w:t xml:space="preserve">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 </w:t>
            </w:r>
            <w:r w:rsidRPr="00D71EF1">
              <w:rPr>
                <w:b/>
                <w:i/>
              </w:rPr>
              <w:t>šiuo atžvilgiu primena veiksmingo valstybių narių, finansavimo priemonių ir įvairių politikos sričių tarpusavio koordinavimo svarbą;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239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didesnei grąžai; ragina </w:t>
            </w:r>
            <w:r w:rsidRPr="00D71EF1">
              <w:lastRenderedPageBreak/>
              <w:t>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lastRenderedPageBreak/>
              <w:t>6.</w:t>
            </w:r>
            <w:r w:rsidRPr="00D71EF1">
              <w:tab/>
              <w:t>mano, kad toliau integruojant vidaus rinką</w:t>
            </w:r>
            <w:r w:rsidRPr="00D71EF1">
              <w:rPr>
                <w:b/>
                <w:i/>
              </w:rPr>
              <w:t>, vykdant reguliavimo sistemos supaprastinimą</w:t>
            </w:r>
            <w:r w:rsidRPr="00D71EF1">
              <w:t xml:space="preserve"> ir kuriant ekonomines galimybes privačioms investicijoms ES kapitalo rinkų </w:t>
            </w:r>
            <w:r w:rsidRPr="00D71EF1">
              <w:lastRenderedPageBreak/>
              <w:t>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w:t>
            </w:r>
            <w:r w:rsidRPr="00D71EF1">
              <w:rPr>
                <w:b/>
                <w:bCs/>
                <w:i/>
                <w:iCs/>
              </w:rPr>
              <w:t>;</w:t>
            </w:r>
            <w:r w:rsidRPr="00D71EF1">
              <w:rPr>
                <w:b/>
                <w:i/>
              </w:rPr>
              <w:t xml:space="preserve"> </w:t>
            </w:r>
            <w:r w:rsidRPr="00D71EF1">
              <w:rPr>
                <w:b/>
                <w:bCs/>
                <w:i/>
                <w:iCs/>
              </w:rPr>
              <w:t>pabrėžia, kad kapitalo rinkų integracija yra būtinas Sąjungos investavimo strategijos ramstis, kuris turėtų būti papildytas gerai parengtomis fiskalinėmis paskatomis, kad poveikis būtų kuo didesnis</w:t>
            </w:r>
            <w:r w:rsidRPr="00D71EF1">
              <w:t>;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w:t>
            </w:r>
            <w:r w:rsidRPr="00D71EF1">
              <w:rPr>
                <w:b/>
                <w:bCs/>
                <w:i/>
                <w:iCs/>
              </w:rPr>
              <w:t xml:space="preserve"> sprendimai</w:t>
            </w:r>
            <w:r w:rsidRPr="00D71EF1">
              <w:t>, ar ne</w:t>
            </w:r>
            <w:r w:rsidRPr="00D71EF1">
              <w:rPr>
                <w:b/>
                <w:bCs/>
                <w:i/>
                <w:iCs/>
              </w:rPr>
              <w:t>, kuriai</w:t>
            </w:r>
            <w:r w:rsidRPr="00D71EF1">
              <w:t>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w:t>
            </w:r>
            <w:r w:rsidRPr="00D71EF1">
              <w:rPr>
                <w:b/>
                <w:bCs/>
                <w:i/>
                <w:iCs/>
              </w:rPr>
              <w:t>, supaprastinant jos reglamentavimo sistemą</w:t>
            </w:r>
            <w:r w:rsidRPr="00D71EF1">
              <w:t xml:space="preserve"> ir kuriant ekonomines galimybes privačioms investicijoms ES kapitalo rinkų patrauklumas didės, o tai sudarytų sąlygas didesnei grąžai; ragina Komisiją ir valstybes nares parengti sprendimus, nesvarbu, ar tai būtų teisėkūros, ar ne</w:t>
            </w:r>
            <w:r w:rsidRPr="00D71EF1">
              <w:rPr>
                <w:b/>
                <w:bCs/>
                <w:i/>
                <w:iCs/>
              </w:rPr>
              <w:t xml:space="preserve"> teisėkūros sprendimai, remiantis jau gerai išplėtotomis ir gerai veikiančiomis tam tikrų valstybių narių kapitalo rinkomis, kad</w:t>
            </w:r>
            <w:r w:rsidRPr="00D71EF1">
              <w:t xml:space="preserve"> būtų skatinama kurti ES masto pakankamo dydžio, likvidumo, gilumo ir skaidrumo kapitalo rinką, kuri pritrauktų tiek ES, tiek tarptautinius investuotojus;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w:t>
            </w:r>
            <w:r w:rsidRPr="00D71EF1">
              <w:rPr>
                <w:b/>
                <w:bCs/>
                <w:i/>
                <w:iCs/>
              </w:rPr>
              <w:t xml:space="preserve">integruotą </w:t>
            </w:r>
            <w:r w:rsidRPr="00D71EF1">
              <w:t xml:space="preserve">kapitalo rinką, kuri pritrauktų tiek ES, tiek tarptautinius investuotojus; </w:t>
            </w:r>
            <w:r w:rsidRPr="00D71EF1">
              <w:rPr>
                <w:b/>
                <w:i/>
              </w:rPr>
              <w:t>primena, kad didesnės investicijų grąžos perspektyva yra pagrindinė paskata neprofesionaliesiems investuotojams dalyvauti kapitalo rinkose;</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w:t>
            </w:r>
            <w:r w:rsidRPr="00D71EF1">
              <w:rPr>
                <w:b/>
                <w:bCs/>
                <w:i/>
                <w:iCs/>
              </w:rPr>
              <w:t>;</w:t>
            </w:r>
            <w:r w:rsidRPr="00D71EF1">
              <w:rPr>
                <w:b/>
                <w:i/>
              </w:rPr>
              <w:t xml:space="preserve"> </w:t>
            </w:r>
            <w:r w:rsidRPr="00D71EF1">
              <w:rPr>
                <w:b/>
                <w:bCs/>
                <w:i/>
                <w:iCs/>
              </w:rPr>
              <w:t>pabrėžia, kad vis dėlto grąža mažėja dėl didelių išlaidų, susijusių su investicijomis Europos finansų rinkose</w:t>
            </w:r>
            <w:r w:rsidRPr="00D71EF1">
              <w:t>;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didesnei grąžai; ragina Komisiją ir valstybes nares parengti </w:t>
            </w:r>
            <w:r w:rsidRPr="00D71EF1">
              <w:lastRenderedPageBreak/>
              <w:t>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lastRenderedPageBreak/>
              <w:t>6.</w:t>
            </w:r>
            <w:r w:rsidRPr="00D71EF1">
              <w:tab/>
              <w:t xml:space="preserve">mano, kad toliau integruojant vidaus rinką ir kuriant ekonomines galimybes privačioms investicijoms ES kapitalo rinkų patrauklumas didės, o tai sudarytų sąlygas didesnei grąžai; ragina Komisiją ir valstybes nares parengti </w:t>
            </w:r>
            <w:r w:rsidRPr="00D71EF1">
              <w:lastRenderedPageBreak/>
              <w:t xml:space="preserve">sprendimus, nesvarbu, ar tai būtų teisėkūros sprendimai, ar ne, kuriais būtų skatinama kurti ES masto pakankamo dydžio, likvidumo, gilumo ir skaidrumo kapitalo rinką, kuri pritrauktų tiek ES, tiek tarptautinius investuotojus; </w:t>
            </w:r>
            <w:r w:rsidRPr="00D71EF1">
              <w:rPr>
                <w:b/>
                <w:i/>
              </w:rPr>
              <w:t>primygtinai ragina Komisiją supaprastinti dabartinę prekybos aplinką ir skatinti sąžiningą daugiašalės ir dvišalės prekybos vietų konkurenciją, kad būtų skatinama aktyvesnė veikla skaidriose rinkose; taip pat ragina peržiūrėti FPRD II / FPRR sistemą, kad būtų padidintas dvišalės prekybos skaidrumas ir sprendžiama problema, susijusi su vis dažnesniu perėjimu prie tokių prekybos vietų, nes tai gali pakenkti kainų formavimui, rinkos atsparumui ir teisingumui emitentų ir investuotojų atžvilgiu;</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r w:rsidRPr="00D71EF1">
              <w:rPr>
                <w:b/>
                <w:bCs/>
                <w:i/>
                <w:iCs/>
              </w:rPr>
              <w:t>, kartu užtikrinant vartotojų apsaugą ir finansinį stabilumą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didesnei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 </w:t>
            </w:r>
            <w:r w:rsidRPr="00D71EF1">
              <w:rPr>
                <w:b/>
                <w:i/>
              </w:rPr>
              <w:t>atsižvelgdamas į tai pabrėžia, kad kapitalo rinkų sąjungą nebūtų įmanoma sukurti neužbaigus kurti bankų sąjungos;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w:t>
            </w:r>
            <w:r w:rsidRPr="00D71EF1">
              <w:rPr>
                <w:b/>
                <w:bCs/>
                <w:i/>
                <w:iCs/>
              </w:rPr>
              <w:t>didesnei</w:t>
            </w:r>
            <w:r w:rsidRPr="00D71EF1">
              <w:t xml:space="preserve"> grąžai; ragina Komisiją ir valstybes nares parengti sprendimus, nesvarbu, ar tai būtų teisėkūros sprendimai, ar ne, kuriais būtų skatinama kurti ES masto pakankamo dydžio, likvidumo, gilumo ir skaidrumo kapitalo rinką, kuri pritrauktų tiek ES, tiek tarptautinius investuotojus;</w:t>
            </w:r>
          </w:p>
        </w:tc>
        <w:tc>
          <w:tcPr>
            <w:tcW w:w="4876" w:type="dxa"/>
            <w:tcBorders>
              <w:top w:val="nil"/>
              <w:left w:val="nil"/>
              <w:bottom w:val="nil"/>
              <w:right w:val="nil"/>
            </w:tcBorders>
          </w:tcPr>
          <w:p w:rsidR="00E95BBE" w:rsidRPr="00D71EF1" w:rsidRDefault="00E95BBE" w:rsidP="00E95BBE">
            <w:pPr>
              <w:pStyle w:val="Normal6a"/>
            </w:pPr>
            <w:r w:rsidRPr="00D71EF1">
              <w:t>6.</w:t>
            </w:r>
            <w:r w:rsidRPr="00D71EF1">
              <w:tab/>
              <w:t xml:space="preserve">mano, kad toliau integruojant vidaus rinką ir kuriant ekonomines galimybes privačioms investicijoms ES kapitalo rinkų patrauklumas didės, o tai sudarytų sąlygas </w:t>
            </w:r>
            <w:r w:rsidRPr="00D71EF1">
              <w:rPr>
                <w:b/>
                <w:bCs/>
                <w:i/>
                <w:iCs/>
              </w:rPr>
              <w:t>mažesnėms finansavimo išlaidoms, mažesnei trinčiai ir galiausiai patrauklesnei</w:t>
            </w:r>
            <w:r w:rsidRPr="00D71EF1">
              <w:t xml:space="preserve"> grąžai; ragina Komisiją ir </w:t>
            </w:r>
            <w:r w:rsidRPr="00D71EF1">
              <w:rPr>
                <w:b/>
                <w:bCs/>
                <w:i/>
                <w:iCs/>
              </w:rPr>
              <w:t xml:space="preserve">visų pirma </w:t>
            </w:r>
            <w:r w:rsidRPr="00D71EF1">
              <w:t xml:space="preserve">valstybes nares parengti sprendimus, nesvarbu, ar tai būtų teisėkūros sprendimai, ar ne, kuriais būtų skatinama kurti ES masto pakankamo dydžio, likvidumo, gilumo ir skaidrumo </w:t>
            </w:r>
            <w:r w:rsidRPr="00D71EF1">
              <w:lastRenderedPageBreak/>
              <w:t>kapitalo rinką, kuri pritrauktų tiek ES, tiek tarptautinius investuotojus;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Fabio De Masi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pažymi, kad bankų kreditai paprastai yra pastovesni nei trumpalaikio kapitalo srautai ir tebėra svarbus įmonių finansavimo šaltinis, nes bankai geriau išmano regionines rinkas ir verslo modelius, o kapitalo rinkos kenčia nuo sustiprėjusios minios instinkto padiktuotos elgsenos ir informacijos asimetrijos; nors kapitalo rinkų sąjunga gali padidinti našumą Europos finansų rinkose dėl geresnio paskirstymo ir finansuoti didesnes investicijas, kurioms reikia masto ir apimties, pvz., į dirbtinį intelektą, negalima tikėtis, kad ji labai padidins privačiųjų investicijų paklausą, taip pat dažnai ji yra per brangi MVĮ; mano, kad tam vyriausybės turėtų padidinti viešąsias investicijas ir taip pritraukti privačiąsias investicijas;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249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 xml:space="preserve">pažymi, kad M. Draghi pranešime nurodoma, jog nepakankamai išplėtotos ES valstybių narių investicinio kaupimo </w:t>
            </w:r>
            <w:r w:rsidRPr="00D71EF1">
              <w:rPr>
                <w:b/>
                <w:i/>
              </w:rPr>
              <w:lastRenderedPageBreak/>
              <w:t>valstybinių, profesinių ir privačiųjų pensijų sistemos yra svarbus kapitalo rinkos plėtrą ribojantis veiksnys; pabrėžia, kad investicinio pensijų kaupimo sistemos, kuriose nustatytos įmokos investuojamos į kapitalo rinkas, o ne paskirstomos per einamojo finansavimo sistemas, yra labai svarbios siekiant nukreipti ilgalaikes investicijas į realiąją ekonomiką; remia ES valstybių narių socialinius partnerius, kurie plėtoja profesinių pensijų sistemas; pripažįsta draudikų ir profesinių pensijų fondų didesnio lėšų paskirstymo nuosavybės vertybiniams popieriams ir investiciniams fondams naudą, jei tai finansiškai pagrįsta;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Pascal Canfin, Stéphanie Yon-Courtin, Gilles Boyer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 xml:space="preserve">ragina Komisiją, kaip dalį sprendimų, skirtų investicijoms Europoje didinti, sukurti naują privačiųjų investicijų priemonę, kurios rizika būtų sumažinta suteikiant ES biudžeto garantiją, kad būtų galima atverti finansavimo galimybes masiniam priklausomybės nuo iškastinio kuro mažinimui ir konkurencingumui Europoje didinti; pabrėžia, kad ši priemonė pritrauktų privačių lėšų iš pensijų, draudimo ir santaupų, naudojant investicinio reitingo obligacijas, kurių rizika būtų sumažinta ES viešąja garantija, ir veiktų per subfondus, apimančius ankstyvojo etapo nuosavą kapitalą, augimo nuosavą kapitalą ir projektų finansavimo garantijų </w:t>
            </w:r>
            <w:r w:rsidRPr="00D71EF1">
              <w:rPr>
                <w:b/>
                <w:i/>
              </w:rPr>
              <w:lastRenderedPageBreak/>
              <w:t>priemones;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mano, kad KRS bus naudinga vartotojams ir MVĮ, nes suteiks didelio pajamingumo investicijų į realiąją ekonomiką galimybių, ir galiausiai paskatins rizikos kapitalo rinką, pagerindama prieigą prie diversifikuotų finansavimo šaltinių; mano, kad kaip rodo 2023 m. vasario mėn. pradėta įgyvendinti Europos technologijų lyderių iniciatyva, kuria siekiama finansuoti perspektyvias Europos technologijų įmones, Europos masto įmonių finansavimas Europos kapitalu turėtų būti prioritetas;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 xml:space="preserve">atkreipia dėmesį į tai, kad kapitalo rinkų dydis, gylis ir likvidumas įvairiose valstybėse narėse labai skiriasi, o kai kurios valstybės narės daug sėkmingiau sukūrė patrauklias pirmines ir antrines rinkas įmonėms ir paskatino piliečius investuoti į šias rinkas; ragina Komisiją nustatyti geriausią praktiką ir įtraukti ją į Santaupų ir investicijų sąjungos darbo </w:t>
            </w:r>
            <w:r w:rsidRPr="00D71EF1">
              <w:rPr>
                <w:b/>
                <w:i/>
              </w:rPr>
              <w:lastRenderedPageBreak/>
              <w:t>kryptį;</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ragina Komisiją iš naujo įvertinti dabartinę FPRD II / FPRR reglamentavimo sistemą, kad būtų sumažintas prekybos akcijomis aplinkos sudėtingumas, padidintas dvišalės prekybos skaidrumas ir užtikrintos vienodos sąlygos daugiašalės ir dvišalės prekybos vietoms, galiausiai skatinant aktyvesnę prekybą skaidriose rinkose, kuri būtų naudinga emitentams, investuotojams, veiksmingam kainų formavimui ir ES kapitalo rinkų atsparumui;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 xml:space="preserve">pabrėžia, kad Europos Sąjungos inovacijų finansavimo trūkumo problemos negalima išspręsti vien tik derinant reglamentavimą ar gerinant finansų priežiūrą; atkreipia dėmesį į tai, kad kapitalas ir toliau juda į ne Europos Sąjungos rinkas, kuriose dažnai patiriamos dar didesnės sąnaudos, o tai rodo, kad ES investicijų ekosistemoje kyla gilesnių struktūrinių problemų, kurias </w:t>
            </w:r>
            <w:r w:rsidRPr="00D71EF1">
              <w:rPr>
                <w:b/>
                <w:i/>
              </w:rPr>
              <w:lastRenderedPageBreak/>
              <w:t>reikia spręsti;</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Anouk Van Brug, Billy Kelleher, Engin Eroglu,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mano, kad privatusis kapitalas bus labai svarbus siekiant kuo veiksmingiau sumažinti M. Draghi nurodytą investicijų deficitą; ragina Komisiją pateikti plataus užmojo ir prasmingų pasiūlymų, kaip visiškai integruoti Europos kapitalo rinkas ir pašalinti vidaus kliūtis laisvam kapitalo judėjimui visoje 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pabrėžia, kad svarbu gerinti neprofesionaliųjų investuotojų prieigą prie naujausios informacijos apie kainas ir produktus, taip pat galimybes teikti specialius pasiūlymus; ragina imtis priemonių, kad tokia informacija būtų lengviau prieinama; pabrėžia finansinio raštingumo svarbą ir ragina imtis konkrečių veiksmų finansiniam raštingumui didinti;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lastRenderedPageBreak/>
        <w:t>&lt;Amend&gt;</w:t>
      </w:r>
      <w:r w:rsidRPr="00D71EF1">
        <w:t>Pakeitimas</w:t>
      </w:r>
      <w:r w:rsidRPr="00D71EF1">
        <w:tab/>
      </w:r>
      <w:r w:rsidRPr="00D71EF1">
        <w:tab/>
      </w:r>
      <w:r w:rsidRPr="00D71EF1">
        <w:rPr>
          <w:rStyle w:val="HideTWBExt"/>
          <w:b w:val="0"/>
        </w:rPr>
        <w:t>&lt;NumAm&gt;</w:t>
      </w:r>
      <w:r w:rsidRPr="00D71EF1">
        <w:t>257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Ralf Seekatz</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palankiai vertina Komisijos komunikate dėl Santaupų ir investicijų sąjungos išdėstytą ketinimą skatinti pakeitimo vertybiniais popieriais rinkas, pateikiant pasiūlymą dėl teisės akto, kuriuo būtų pakoreguoti bankams ir draudikams taikomi rizikos ribojimo reikalavimai, atsižvelgiant į tai, kad ES bankų kapitalizacija jau yra pakankama, o nustačius KRR rezultatų apatinės ribos reikalavimus ji bus dar didesnė;</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6a.</w:t>
            </w:r>
            <w:r w:rsidRPr="00D71EF1">
              <w:tab/>
            </w:r>
            <w:r w:rsidRPr="00D71EF1">
              <w:rPr>
                <w:b/>
                <w:i/>
              </w:rPr>
              <w:t>atsižvelgdamas į tai pabrėžia, kad tokia integruota kapitalo rinka turi suteikti vienodas galimybes visoms valstybėms narėms, nesvarbu, koks jų dydis ir jų kapitalo rinkų išsivystymas;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259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Ralf Seekatz</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6b.</w:t>
            </w:r>
            <w:r w:rsidRPr="00D71EF1">
              <w:tab/>
            </w:r>
            <w:r w:rsidRPr="00D71EF1">
              <w:rPr>
                <w:b/>
                <w:i/>
              </w:rPr>
              <w:t>ragina sukurti ES masto indeksų šeimą, kad būtų padidintas ES biržinių bendrovių matomumas, palyginamumas ir skaidrumas, kartu stiprinant rinkos vientisumą. Ši indekso šeima turėtų būti pagrįsta konsoliduota informacine juosta (KIJ), apimti visas ES viešai kotiruojamas akcijas ir leisti sudaryti atskirų šalių, regionų ir sektorių subindeksus, kad būtų patenkinti įvairūs investuotojų, emitentų ir jų biržų poreikiai. Indeksų kūrimas ir valdymas bei rinkos dalyvių naudojimasis jais turi būti ekonomiškai efektyvus, kad rinkos dalyviams tektų kuo mažesnė našta ir kuo labiau padidėtų teigiamas antrinis poveikis, pvz., padaugėtų įtraukimo į biržos sąrašus atvejų ir naujų finansinių produktų;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6b.</w:t>
            </w:r>
            <w:r w:rsidRPr="00D71EF1">
              <w:tab/>
            </w:r>
            <w:r w:rsidRPr="00D71EF1">
              <w:rPr>
                <w:b/>
                <w:i/>
              </w:rPr>
              <w:t>pabrėžia, kad pagrindinė problema yra ne tik investicinio kapitalo pasiūla, bet ir ribotos Europos ekonomikos galimybės panaudoti tokį kapitalą didelės rizikos ir didelės grąžos inovacijoms. Tai atspindi į ilgalaikį augimą neorientuotą makroekonominės politikos derinį, taip pat bendrąją rinką, ypač paslaugų, kuri tebėra susiskaidžiusi kuri nėra pasirinkusi strateginės krypties;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6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6b.</w:t>
            </w:r>
            <w:r w:rsidRPr="00D71EF1">
              <w:tab/>
            </w:r>
            <w:r w:rsidRPr="00D71EF1">
              <w:rPr>
                <w:b/>
                <w:i/>
              </w:rPr>
              <w:t>pažymi, kad likvidumas, gilumas, skaidrumas ir veiksmingas kainų formavimas yra pagrindinės konkurencingų finansų rinkų ypatybės; pažymi, kad ES prekybos vertybiniais popieriais aplinka tebėra susiskaidžiusi, be kita ko, kalbant apie skirtingų tipų prekybos vietas; ragina Europos Komisiją stiprinti daugiašalės prekybos sistemas ir užtikrinti vienodas sąlygas dvišalės prekybos sistemoms;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6b.</w:t>
            </w:r>
            <w:r w:rsidRPr="00D71EF1">
              <w:tab/>
            </w:r>
            <w:r w:rsidRPr="00D71EF1">
              <w:rPr>
                <w:b/>
                <w:i/>
              </w:rPr>
              <w:t>ragina daugiau dėmesio skirti finansiniam raštingumui, nes reikėtų pagerinti ES piliečių supratimo apie atitinkamus investicinius produktus lygį; mano, kad norint sukurti sėkmingą kapitalo rinkų sąjungą ir sutelkti privačias investicijas, būtina didinti finansinį sąmoningumą ir pasitikėjimą;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6b.</w:t>
            </w:r>
            <w:r w:rsidRPr="00D71EF1">
              <w:tab/>
            </w:r>
            <w:r w:rsidRPr="00D71EF1">
              <w:rPr>
                <w:b/>
                <w:i/>
              </w:rPr>
              <w:t>primena, kad kapitalo rinkų sąjunga yra priemonė Sąjungos tikslams pasiekti, o ne savaiminis tikslas; prašo Komisijos savo pasiūlymuose, kuriais siekiama atgaivinti Europos gamybos aparatą, atsižvelgti į ekonominių galimybių svarbą;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Irene Tinagli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6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6c.</w:t>
            </w:r>
            <w:r w:rsidRPr="00D71EF1">
              <w:tab/>
            </w:r>
            <w:r w:rsidRPr="00D71EF1">
              <w:rPr>
                <w:b/>
                <w:i/>
              </w:rPr>
              <w:t>ragina atnaujinti Europos pramonės strategiją, kurioje reglamentavimo derinimas būtų derinamas su aktyvia paklausos politika, kad įmonės galėtų plėsti savo veiklą, diegti naujoves ir konkuruoti pasauliniu mastu besiformuojančių technologijų srityje, kartu išsaugant Sąjungos įsipareigojimą užtikrinti sąžiningą konkurenciją ir socialinį bei aplinkos tvarumą;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7.</w:t>
            </w:r>
            <w:r w:rsidRPr="00D71EF1">
              <w:tab/>
            </w:r>
            <w:r w:rsidRPr="00D71EF1">
              <w:rPr>
                <w:b/>
                <w:i/>
              </w:rPr>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7.</w:t>
            </w:r>
            <w:r w:rsidRPr="00D71EF1">
              <w:tab/>
            </w:r>
            <w:r w:rsidRPr="00D71EF1">
              <w:rPr>
                <w:b/>
                <w:i/>
              </w:rPr>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 Kartheiser, Kristoffer Storm, Nora Junco García, Diego Solier, Geadis Geadi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7.</w:t>
            </w:r>
            <w:r w:rsidRPr="00D71EF1">
              <w:tab/>
            </w:r>
            <w:r w:rsidRPr="00D71EF1">
              <w:rPr>
                <w:b/>
                <w:i/>
              </w:rPr>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w:t>
            </w:r>
            <w:r w:rsidRPr="00D71EF1">
              <w:rPr>
                <w:b/>
                <w:bCs/>
                <w:i/>
                <w:iCs/>
              </w:rPr>
              <w:t>institucinių ir rinkos struktūrų integraciją;</w:t>
            </w:r>
            <w:r w:rsidRPr="00D71EF1">
              <w:rPr>
                <w:b/>
                <w:i/>
              </w:rPr>
              <w:t xml:space="preserve"> </w:t>
            </w:r>
            <w:r w:rsidRPr="00D71EF1">
              <w:rPr>
                <w:b/>
                <w:bCs/>
                <w:i/>
                <w:iCs/>
              </w:rPr>
              <w:t xml:space="preserve">pakartoja savo </w:t>
            </w:r>
            <w:r w:rsidRPr="00D71EF1">
              <w:rPr>
                <w:b/>
                <w:bCs/>
                <w:i/>
                <w:iCs/>
              </w:rPr>
              <w:lastRenderedPageBreak/>
              <w:t>reikalavimą suteikti ESMA tiesioginės</w:t>
            </w:r>
            <w:r w:rsidRPr="00D71EF1">
              <w:t xml:space="preserve"> visos Europos rinkos infrastruktūros priežiūros </w:t>
            </w:r>
            <w:r w:rsidRPr="00D71EF1">
              <w:rPr>
                <w:b/>
                <w:bCs/>
                <w:i/>
                <w:iCs/>
              </w:rPr>
              <w:t>įgaliojimus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7.</w:t>
            </w:r>
            <w:r w:rsidRPr="00D71EF1">
              <w:tab/>
              <w:t xml:space="preserve">remia </w:t>
            </w:r>
            <w:r w:rsidRPr="00D71EF1">
              <w:rPr>
                <w:b/>
                <w:bCs/>
                <w:i/>
                <w:iCs/>
              </w:rPr>
              <w:t xml:space="preserve">pastangas didinti finansų rinkų veiksmingumą stiprinant valstybių </w:t>
            </w:r>
            <w:r w:rsidRPr="00D71EF1">
              <w:rPr>
                <w:b/>
                <w:bCs/>
                <w:i/>
                <w:iCs/>
              </w:rPr>
              <w:lastRenderedPageBreak/>
              <w:t>narių bendradarbiavimą ir pabrėžia, kad bet kokioje</w:t>
            </w:r>
            <w:r w:rsidRPr="00D71EF1">
              <w:t xml:space="preserve"> visos Europos rinkos infrastruktūros priežiūros </w:t>
            </w:r>
            <w:r w:rsidRPr="00D71EF1">
              <w:rPr>
                <w:b/>
                <w:bCs/>
                <w:i/>
                <w:iCs/>
              </w:rPr>
              <w:t>pareigų raidoje turėtų būti laikomasi subsidiarumo principo</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269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Johan Van Overtveldt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w:t>
            </w:r>
            <w:r w:rsidRPr="00D71EF1">
              <w:rPr>
                <w:b/>
                <w:i/>
              </w:rPr>
              <w:t>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w:t>
            </w:r>
            <w:r w:rsidRPr="00D71EF1">
              <w:rPr>
                <w:b/>
                <w:i/>
              </w:rPr>
              <w:t xml:space="preserve">; </w:t>
            </w:r>
            <w:r w:rsidRPr="00D71EF1">
              <w:t xml:space="preserve">pakartoja savo reikalavimą suteikti ESMA tiesioginės </w:t>
            </w:r>
            <w:r w:rsidRPr="00D71EF1">
              <w:rPr>
                <w:b/>
                <w:bCs/>
                <w:i/>
                <w:iCs/>
              </w:rPr>
              <w:t>visos Europos rinkos infrastruktūros</w:t>
            </w:r>
            <w:r w:rsidRPr="00D71EF1">
              <w:rPr>
                <w:b/>
                <w:bCs/>
              </w:rPr>
              <w:t xml:space="preserve"> </w:t>
            </w:r>
            <w:r w:rsidRPr="00D71EF1">
              <w:t xml:space="preserve">priežiūros </w:t>
            </w:r>
            <w:r w:rsidRPr="00D71EF1">
              <w:rPr>
                <w:b/>
                <w:bCs/>
                <w:i/>
                <w:iCs/>
              </w:rPr>
              <w:t>įgaliojimus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w:t>
            </w:r>
            <w:r w:rsidRPr="00D71EF1">
              <w:rPr>
                <w:b/>
                <w:bCs/>
                <w:i/>
                <w:iCs/>
              </w:rPr>
              <w:t>, kai yra svarių Europos pridėtinės vertės įrodymų;</w:t>
            </w:r>
            <w:r w:rsidRPr="00D71EF1">
              <w:rPr>
                <w:b/>
                <w:i/>
              </w:rPr>
              <w:t xml:space="preserve"> </w:t>
            </w:r>
            <w:r w:rsidRPr="00D71EF1">
              <w:rPr>
                <w:b/>
                <w:bCs/>
                <w:i/>
                <w:iCs/>
              </w:rPr>
              <w:t>prašo Europos Komisijos išnagrinėti, kur</w:t>
            </w:r>
            <w:r w:rsidRPr="00D71EF1">
              <w:t xml:space="preserve"> ESMA tiesioginės priežiūros </w:t>
            </w:r>
            <w:r w:rsidRPr="00D71EF1">
              <w:rPr>
                <w:b/>
                <w:bCs/>
                <w:i/>
                <w:iCs/>
              </w:rPr>
              <w:t>įgaliojimai galėtų užtikrinti tokią pridėtinę vertę Europos lygmeniu</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r>
            <w:r w:rsidRPr="00D71EF1">
              <w:rPr>
                <w:b/>
                <w:bCs/>
                <w:i/>
                <w:iCs/>
              </w:rPr>
              <w:t>remia institucinių ir rinkos struktūrų integraciją</w:t>
            </w:r>
            <w:r w:rsidRPr="00D71EF1">
              <w:t>;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r>
            <w:r w:rsidRPr="00D71EF1">
              <w:rPr>
                <w:b/>
                <w:i/>
              </w:rPr>
              <w:t xml:space="preserve">primena, kad ESMA jau turi tiesioginės priežiūros įgaliojimus kelių finansų sektoriaus subjektų, pvz., kredito reitingų agentūrų, sandorių duomenų saugyklų ar 2 lygio pagrindinių sandorio šalių, esančių už ES ribų, atžvilgiu; </w:t>
            </w:r>
            <w:r w:rsidRPr="00D71EF1">
              <w:rPr>
                <w:b/>
                <w:bCs/>
                <w:i/>
                <w:iCs/>
              </w:rPr>
              <w:t>mano, kad labiau europietiška finansų priežiūros institucijų sistema labai prisidėtų prie ES kapitalo rinkų integracijos ir gilinimo;</w:t>
            </w:r>
            <w:r w:rsidRPr="00D71EF1">
              <w:rPr>
                <w:b/>
                <w:i/>
              </w:rPr>
              <w:t xml:space="preserve"> </w:t>
            </w:r>
            <w:r w:rsidRPr="00D71EF1">
              <w:rPr>
                <w:b/>
                <w:bCs/>
                <w:i/>
                <w:iCs/>
              </w:rPr>
              <w:t>mano, kad siekiant šio tikslo būtų galima laikytis laipsniško požiūrio</w:t>
            </w:r>
            <w:r w:rsidRPr="00D71EF1">
              <w:t xml:space="preserve">; pakartoja savo reikalavimą </w:t>
            </w:r>
            <w:r w:rsidRPr="00D71EF1">
              <w:rPr>
                <w:b/>
                <w:bCs/>
                <w:i/>
                <w:iCs/>
              </w:rPr>
              <w:t xml:space="preserve">pirmiausia </w:t>
            </w:r>
            <w:r w:rsidRPr="00D71EF1">
              <w:t xml:space="preserve">suteikti ESMA tiesioginės visos Europos rinkos infrastruktūros priežiūros įgaliojimus; </w:t>
            </w:r>
            <w:r w:rsidRPr="00D71EF1">
              <w:rPr>
                <w:b/>
                <w:i/>
              </w:rPr>
              <w:t>teigia, kad ESMA taip pat galėtų tapti centriniu duomenų centru ir centralizuotai teikti ataskaitas subjektams, kuriems taikomi FPRR ir ERIR nustatyti ataskaitų teikimo reikalavimai; ragina Komisiją išnagrinėti sąlygas, kuriomis antrajame etape ESMA galėtų būti pavestos papildomos papildomų subjektų, pvz., prekybos vietų, investicinių fondų ar didelių turto valdytojų, priežiūros pareigos;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 Martine Kemp, 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w:t>
            </w:r>
            <w:r w:rsidRPr="00D71EF1">
              <w:rPr>
                <w:b/>
                <w:bCs/>
                <w:i/>
                <w:iCs/>
              </w:rPr>
              <w:t>institucinių ir rinkos struktūrų integraciją;</w:t>
            </w:r>
            <w:r w:rsidRPr="00D71EF1">
              <w:rPr>
                <w:b/>
                <w:i/>
              </w:rPr>
              <w:t xml:space="preserve"> </w:t>
            </w:r>
            <w:r w:rsidRPr="00D71EF1">
              <w:rPr>
                <w:b/>
                <w:bCs/>
                <w:i/>
                <w:iCs/>
              </w:rPr>
              <w:t>pakartoja savo reikalavimą suteikti ESMA tiesioginės visos Europos rinkos infrastruktūros</w:t>
            </w:r>
            <w:r w:rsidRPr="00D71EF1">
              <w:t xml:space="preserve"> </w:t>
            </w:r>
            <w:r w:rsidRPr="00D71EF1">
              <w:lastRenderedPageBreak/>
              <w:t xml:space="preserve">priežiūros </w:t>
            </w:r>
            <w:r w:rsidRPr="00D71EF1">
              <w:rPr>
                <w:b/>
                <w:bCs/>
                <w:i/>
                <w:iCs/>
              </w:rPr>
              <w:t>įgaliojimus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7.</w:t>
            </w:r>
            <w:r w:rsidRPr="00D71EF1">
              <w:tab/>
            </w:r>
            <w:r w:rsidRPr="00D71EF1">
              <w:rPr>
                <w:b/>
                <w:bCs/>
                <w:i/>
                <w:iCs/>
              </w:rPr>
              <w:t>remia glaudesnį ESMA ir nacionalinių priežiūros institucijų bendradarbiavimą, grindžiamą lygiateisiškumo principu, pabrėždamas sąžiningo ir subalansuoto</w:t>
            </w:r>
            <w:r w:rsidRPr="00D71EF1">
              <w:t xml:space="preserve"> priežiūros </w:t>
            </w:r>
            <w:r w:rsidRPr="00D71EF1">
              <w:rPr>
                <w:b/>
                <w:bCs/>
                <w:i/>
                <w:iCs/>
              </w:rPr>
              <w:lastRenderedPageBreak/>
              <w:t>įgaliojimų paskirstymo, kuriuo atsižvelgiama į nacionalinius ypatumus ir subsidiarumo principą, svarbą</w:t>
            </w:r>
            <w:r w:rsidRPr="00D71EF1">
              <w:t xml:space="preserve">; </w:t>
            </w:r>
            <w:r w:rsidRPr="00D71EF1">
              <w:rPr>
                <w:b/>
                <w:i/>
              </w:rPr>
              <w:t>pabrėžia esminį nacionalinių priežiūros institucijų vaidmenį, įskaitant jų turimų institucinių žinių vertę, taip pat jų turimus priežiūros gebėjimus ir kompetenciją, dėl kurių jos geriausiai gali suprasti vietos aplinkybes; pabrėžia, kad didesnę priežiūros konvergenciją geriausiai būtų galima pasiekti glaudžiau bendradarbiaujant lygybės ir bendrų tikslų pagrindu, o tai padėtų lengviau keistis geriausia patirtimi, mažinti perteklinį reglamentavimą ir optimaliai panaudoti turimus išteklius; ragina pateikti pasiūlymą, kuriuo būtų skatinamas glaudesnis nacionalinių priežiūros institucijų ir ESMA bendradarbiavimas;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w:t>
            </w:r>
            <w:r w:rsidRPr="00D71EF1">
              <w:rPr>
                <w:b/>
                <w:bCs/>
                <w:i/>
                <w:iCs/>
              </w:rPr>
              <w:t>pakartoja savo reikalavimą suteikti ESMA tiesioginės visos Europos rinkos infrastruktūros</w:t>
            </w:r>
            <w:r w:rsidRPr="00D71EF1">
              <w:t xml:space="preserve"> priežiūros </w:t>
            </w:r>
            <w:r w:rsidRPr="00D71EF1">
              <w:rPr>
                <w:b/>
                <w:bCs/>
                <w:i/>
                <w:iCs/>
              </w:rPr>
              <w:t>įgaliojimus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w:t>
            </w:r>
            <w:r w:rsidRPr="00D71EF1">
              <w:rPr>
                <w:b/>
                <w:bCs/>
                <w:i/>
                <w:iCs/>
              </w:rPr>
              <w:t xml:space="preserve">tolesnę </w:t>
            </w:r>
            <w:r w:rsidRPr="00D71EF1">
              <w:t xml:space="preserve">institucinių ir rinkos struktūrų integraciją; </w:t>
            </w:r>
            <w:r w:rsidRPr="00D71EF1">
              <w:rPr>
                <w:b/>
                <w:bCs/>
                <w:i/>
                <w:iCs/>
              </w:rPr>
              <w:t>ragina Europos</w:t>
            </w:r>
            <w:r w:rsidRPr="00D71EF1">
              <w:t xml:space="preserve"> priežiūros </w:t>
            </w:r>
            <w:r w:rsidRPr="00D71EF1">
              <w:rPr>
                <w:b/>
                <w:bCs/>
                <w:i/>
                <w:iCs/>
              </w:rPr>
              <w:t>institucijas stiprinti savo praktikos konvergenciją, kad būtų skatinama kapitalo rinkų integracija;</w:t>
            </w:r>
            <w:r w:rsidRPr="00D71EF1">
              <w:rPr>
                <w:b/>
                <w:i/>
              </w:rPr>
              <w:t xml:space="preserve"> </w:t>
            </w:r>
            <w:r w:rsidRPr="00D71EF1">
              <w:rPr>
                <w:b/>
                <w:bCs/>
                <w:i/>
                <w:iCs/>
              </w:rPr>
              <w:t>siūlo Europos priežiūros institucijoms aktyviau naudoti savo konvergencijos priemones, kad būtų galima nustatyti ir pašalinti skirtingą praktiką, kuri trukdo</w:t>
            </w:r>
            <w:r w:rsidRPr="00D71EF1">
              <w:t xml:space="preserve"> rinkos </w:t>
            </w:r>
            <w:r w:rsidRPr="00D71EF1">
              <w:rPr>
                <w:b/>
                <w:bCs/>
                <w:i/>
                <w:iCs/>
              </w:rPr>
              <w:t>plėtrai</w:t>
            </w:r>
            <w:r w:rsidRPr="00D71EF1">
              <w:t xml:space="preserve">; </w:t>
            </w:r>
            <w:r w:rsidRPr="00D71EF1">
              <w:rPr>
                <w:b/>
                <w:i/>
              </w:rPr>
              <w:t>ragina sudaryti palankesnes sąlygas nacionalinėms institucijoms gauti technines ekspertines žinias ir operatyvinę paramą iš Europos institucijų, taip skatinant nuoseklesnę, veiksmingesnę ir proporcingesnę priežiūrą visoje Sąjungoje, nesiekiant centralizuoti kompetencijos;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pakartoja savo reikalavimą </w:t>
            </w:r>
            <w:r w:rsidRPr="00D71EF1">
              <w:rPr>
                <w:b/>
                <w:bCs/>
                <w:i/>
                <w:iCs/>
              </w:rPr>
              <w:t>suteikti</w:t>
            </w:r>
            <w:r w:rsidRPr="00D71EF1">
              <w:t xml:space="preserve"> ESMA </w:t>
            </w:r>
            <w:r w:rsidRPr="00D71EF1">
              <w:rPr>
                <w:b/>
                <w:bCs/>
                <w:i/>
                <w:iCs/>
              </w:rPr>
              <w:t>tiesioginės</w:t>
            </w:r>
            <w:r w:rsidRPr="00D71EF1">
              <w:t xml:space="preserve"> visos Europos rinkos infrastruktūros priežiūros </w:t>
            </w:r>
            <w:r w:rsidRPr="00D71EF1">
              <w:rPr>
                <w:b/>
                <w:bCs/>
                <w:i/>
                <w:iCs/>
              </w:rPr>
              <w:t>įgaliojimus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w:t>
            </w:r>
            <w:r w:rsidRPr="00D71EF1">
              <w:rPr>
                <w:b/>
                <w:bCs/>
                <w:i/>
                <w:iCs/>
              </w:rPr>
              <w:t>pakartoja savo reikalavimą skatinti</w:t>
            </w:r>
            <w:r w:rsidRPr="00D71EF1">
              <w:t xml:space="preserve"> ESMA </w:t>
            </w:r>
            <w:r w:rsidRPr="00D71EF1">
              <w:rPr>
                <w:b/>
                <w:bCs/>
                <w:i/>
                <w:iCs/>
              </w:rPr>
              <w:t>vadovaujamą</w:t>
            </w:r>
            <w:r w:rsidRPr="00D71EF1">
              <w:t xml:space="preserve"> visos Europos rinkos infrastruktūros priežiūros </w:t>
            </w:r>
            <w:r w:rsidRPr="00D71EF1">
              <w:rPr>
                <w:b/>
                <w:bCs/>
                <w:i/>
                <w:iCs/>
              </w:rPr>
              <w:t>konvergencijos procesą, kad būtų padidintas priežiūros veiksmingumas ir pagerintas bendradarbiavimas su nacionalinėmis kompetentingomis institucijomis (NKI)</w:t>
            </w:r>
            <w:r w:rsidRPr="00D71EF1">
              <w:t xml:space="preserve">; </w:t>
            </w:r>
            <w:r w:rsidRPr="00D71EF1">
              <w:rPr>
                <w:b/>
                <w:i/>
              </w:rPr>
              <w:t>ragina valstybes nares imtis tolesnių veiksmų ir įsipareigoti ESMA suteikti daugiau tiesioginės kriptovaliutų paslaugų teikėjų, rinkos infrastruktūros ir tarpvalstybinių finansų sektoriaus subjektų priežiūros įgaliojimų;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pakartoja savo reikalavimą suteikti EVPRI tiesioginės </w:t>
            </w:r>
            <w:r w:rsidRPr="00D71EF1">
              <w:rPr>
                <w:b/>
                <w:bCs/>
                <w:i/>
                <w:iCs/>
              </w:rPr>
              <w:t>svarbios</w:t>
            </w:r>
            <w:r w:rsidRPr="00D71EF1">
              <w:rPr>
                <w:b/>
                <w:bCs/>
              </w:rPr>
              <w:t xml:space="preserve"> </w:t>
            </w:r>
            <w:r w:rsidRPr="00D71EF1">
              <w:t xml:space="preserve">visos Europos rinkos infrastruktūros </w:t>
            </w:r>
            <w:r w:rsidRPr="00D71EF1">
              <w:rPr>
                <w:b/>
                <w:bCs/>
                <w:i/>
                <w:iCs/>
              </w:rPr>
              <w:t>ir subjektų</w:t>
            </w:r>
            <w:r w:rsidRPr="00D71EF1">
              <w:rPr>
                <w:b/>
                <w:bCs/>
              </w:rPr>
              <w:t xml:space="preserve"> </w:t>
            </w:r>
            <w:r w:rsidRPr="00D71EF1">
              <w:t>priežiūros įgaliojimus</w:t>
            </w:r>
            <w:r w:rsidRPr="00D71EF1">
              <w:rPr>
                <w:b/>
                <w:bCs/>
                <w:i/>
                <w:iCs/>
              </w:rPr>
              <w:t>, o mažesniems ir nacionaliniu mastu veikiantiems subjektams palikti nacionalinę priežiūrą, užtikrinant nacionalinių sistemų suderinimą, jei tai įmanoma</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Pascal Canfin, Stéphanie Yon-Courtin, Gilles Boyer,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r w:rsidRPr="00D71EF1">
              <w:rPr>
                <w:b/>
                <w:bCs/>
                <w:i/>
                <w:iCs/>
              </w:rPr>
              <w:t>, kad būtų padidintas Europos kotiruojamųjų rinkų konkurencingumas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EVPRI tiesioginės visos Europos rinkos infrastruktūros</w:t>
            </w:r>
            <w:r w:rsidRPr="00D71EF1">
              <w:rPr>
                <w:b/>
                <w:bCs/>
                <w:i/>
                <w:iCs/>
              </w:rPr>
              <w:t>, įskaitant dideles vertybinių popierių biržas, pagrindines sandorio šalis ir vertybinių popierių depozitoriumus, tarpvalstybines turto valdymo grupes, kriptoturto paslaugų teikėjus ir visus naujus produktus bei paslaugas,</w:t>
            </w:r>
            <w:r w:rsidRPr="00D71EF1">
              <w:t xml:space="preserve"> priežiūros įgaliojimus; </w:t>
            </w:r>
            <w:r w:rsidRPr="00D71EF1">
              <w:rPr>
                <w:b/>
                <w:i/>
              </w:rPr>
              <w:t xml:space="preserve">mano, kad reikėtų peržiūrėti ESMA valdymą, kad būtų užtikrintas ESMA sprendimų veiksmingumas ir nepriklausomumas; </w:t>
            </w:r>
            <w:r w:rsidRPr="00D71EF1">
              <w:rPr>
                <w:b/>
                <w:i/>
              </w:rPr>
              <w:lastRenderedPageBreak/>
              <w:t>pritaria M. Draghi pranešime pateiktam pasiūlymui suteikti ESMA europietiškesnę valdymo struktūrą, paremtą Europos Centrinio Banko (ECB) modeliu, ir užmegzti glaudų bendradarbiavimą su nacionalinėmis priežiūros institucijomis pagal Bendro priežiūros mechanizmo modelį;</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r w:rsidRPr="00D71EF1">
              <w:rPr>
                <w:b/>
                <w:bCs/>
                <w:i/>
                <w:iCs/>
              </w:rPr>
              <w:t>;</w:t>
            </w:r>
            <w:r w:rsidRPr="00D71EF1">
              <w:t xml:space="preserve"> </w:t>
            </w:r>
            <w:r w:rsidRPr="00D71EF1">
              <w:rPr>
                <w:b/>
                <w:i/>
              </w:rPr>
              <w:t>ragina, kad konkurencingumas taptų neatsiejama ES teisėkūros proceso dalimi (įskaitant ESMA lygmeniu)</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279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Anouk Van Brug, Engin Eroglu, Stéphanie Yon-Courtin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7.</w:t>
            </w:r>
            <w:r w:rsidRPr="00D71EF1">
              <w:tab/>
              <w:t>remia institucinių ir rinkos struktūrų integraciją; pakartoja savo reikalavimą suteikti ESMA tiesioginės visos Europos rinkos infrastruktūros priežiūros įgaliojimus;</w:t>
            </w:r>
          </w:p>
        </w:tc>
        <w:tc>
          <w:tcPr>
            <w:tcW w:w="4876" w:type="dxa"/>
            <w:tcBorders>
              <w:top w:val="nil"/>
              <w:left w:val="nil"/>
              <w:bottom w:val="nil"/>
              <w:right w:val="nil"/>
            </w:tcBorders>
          </w:tcPr>
          <w:p w:rsidR="00E95BBE" w:rsidRPr="00D71EF1" w:rsidRDefault="00E95BBE" w:rsidP="00E95BBE">
            <w:pPr>
              <w:pStyle w:val="Normal6a"/>
            </w:pPr>
            <w:r w:rsidRPr="00D71EF1">
              <w:t>7.</w:t>
            </w:r>
            <w:r w:rsidRPr="00D71EF1">
              <w:tab/>
              <w:t xml:space="preserve">remia institucinių ir rinkos struktūrų integraciją; pakartoja savo reikalavimą suteikti ESMA tiesioginės visos Europos rinkos infrastruktūros priežiūros įgaliojimus; </w:t>
            </w:r>
            <w:r w:rsidRPr="00D71EF1">
              <w:rPr>
                <w:b/>
                <w:i/>
              </w:rPr>
              <w:t xml:space="preserve">mano, kad suderinus ir centralizavus Europos kapitalo rinkų priežiūrą rinkos dalyviai </w:t>
            </w:r>
            <w:r w:rsidRPr="00D71EF1">
              <w:rPr>
                <w:b/>
                <w:i/>
              </w:rPr>
              <w:lastRenderedPageBreak/>
              <w:t>galėtų taikyti bendrą taisyklių sąvadą ir taip skatinti tikrą bendrą Europos kapitalo rinką;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w:t>
            </w:r>
            <w:r w:rsidRPr="00D71EF1">
              <w:tab/>
            </w:r>
            <w:r w:rsidRPr="00D71EF1">
              <w:rPr>
                <w:b/>
                <w:i/>
              </w:rPr>
              <w:t>yra įsitikinęs, kad prieš išplečiant ESMA priežiūros įgaliojimus būtina iš esmės reformuoti jos valdymą; mano, kad peržiūrėtas ESMA valdymas galėtų būti grindžiamas Bendro priežiūros mechanizmo (BPM) arba neseniai įsteigtos Kovos su pinigų plovimu institucijos (ALMA) valdymo tvarka; pabrėžia, kad bet kokį priežiūros sprendimą turėtų priimti vykdomasis organas, sudarytas iš visiškai nepriklausomų narių, kad būtų išvengta bet kokio nacionalinio šališkumo; mano, kad vietinis pagrindas yra labai svarbus siekiant užtikrinti priežiūros veiksmingumą ir išsaugoti nacionalinių institucijų kompetenciją; mano, kad Jungtines priežiūros grupes (JPG), sudarytas iš ES institucijų ir nacionalinių kompetentingų institucijų darbuotojų, pagal esamų bendro priežiūros mechanizmo (BPM) arba būsimų Kovos su pinigų plovimu institucijos (ALMA) grupių modelį, būtų galima laikyti geru pavyzdžiu;</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Eero Heinäluoma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7 a dalis (nauja)</w:t>
      </w:r>
      <w:r w:rsidRPr="00D71EF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 atsižvelgdama į padidėjusią kriptoturto sektoriaus riziką, ragina Europos Komisiją skubiai peržiūrėti Kriptoturto rinkų reglamentą ir suteikti ESMA tiesioginės kriptoturto paslaugų teikėjų, viršijančių tam tikrą dydį, priežiūros įgaliojimus;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w:t>
            </w:r>
            <w:r w:rsidRPr="00D71EF1">
              <w:tab/>
            </w:r>
            <w:r w:rsidRPr="00D71EF1">
              <w:rPr>
                <w:b/>
                <w:i/>
              </w:rPr>
              <w:t>nurodo, kad viena iš priežiūros rezultatų susiskaidymo priežasčių yra nacionalinių priežiūros institucijų praktika, kai prie Europos taisyklių pridedami papildomi nacionaliniai įpareigojimai, dažnai vadinami pertekliniu reglamentavimu; ragina Komisiją ir Europos priežiūros institucijas spręsti tokius nacionalinių institucijų reglamentavimo viršijimo atvejus, kad būtų pasiekta nuoseklesnių priežiūros rezultatų visoje Sąjungoje;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w:t>
            </w:r>
            <w:r w:rsidRPr="00D71EF1">
              <w:tab/>
            </w:r>
            <w:r w:rsidRPr="00D71EF1">
              <w:rPr>
                <w:b/>
                <w:i/>
              </w:rPr>
              <w:t>pabrėžia, kad pakeitimas vertybiniais popieriais gali atlikti svarbų vaidmenį palengvinant investicijų finansavimą, kuriant alternatyvius finansavimo šaltinius Europos bendrovėms, kad jos galėtų lengviau augti, didinant Europos konkurencingumą ir kuriant gilias ir dinamiškas Europos kapitalo rinkas;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w:t>
            </w:r>
            <w:r w:rsidRPr="00D71EF1">
              <w:tab/>
            </w:r>
            <w:r w:rsidRPr="00D71EF1">
              <w:rPr>
                <w:b/>
                <w:i/>
              </w:rPr>
              <w:t>Yra įsitikinęs, kad ES kapitalo rinka turi kurti nacionalinių institucinių sistemų sinergiją ir šalinti kliūtis, kurios šiuo metu trukdo tarpvalstybiniam investicijų srautui, o centralizuoti institucines, ypač priežiūros, sistemas ir įgaliojimus;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7a.</w:t>
            </w:r>
            <w:r w:rsidRPr="00D71EF1">
              <w:tab/>
            </w:r>
            <w:r w:rsidRPr="00D71EF1">
              <w:rPr>
                <w:b/>
                <w:i/>
              </w:rPr>
              <w:t xml:space="preserve">mano, kad Europos priežiūros institucijos (EPI) turėtų būti tinkamai finansuojamos, kad galėtų vykdyti savo pareigas, be kita ko, turėti galimybę iš prižiūrimų įmonių rinkti mokesčius, </w:t>
            </w:r>
            <w:r w:rsidRPr="00D71EF1">
              <w:rPr>
                <w:b/>
                <w:i/>
              </w:rPr>
              <w:lastRenderedPageBreak/>
              <w:t>surinktus iš finansų įstaigų ir finansų rinkos dalyvių;</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7b.</w:t>
            </w:r>
            <w:r w:rsidRPr="00D71EF1">
              <w:tab/>
            </w:r>
            <w:r w:rsidRPr="00D71EF1">
              <w:rPr>
                <w:b/>
                <w:i/>
              </w:rPr>
              <w:t>pabrėžia, jog svarbu, kad ECB atliktų svarbų vaidmenį prižiūrėdamas sistemiškai svarbią rinkos infrastruktūrą, kaip numatyta jo pareigose pagal SESV ir SSMS reglamentą; mano, kad ECB turėtų aktyviai prisidėti prie visos ES prekybos ir poprekybinių sistemų sąveikos, atsparumo ir integracijos didinimo, ypač prižiūrėdamas tokias platformas kaip TARGET2-Securities platforma;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7b.</w:t>
            </w:r>
            <w:r w:rsidRPr="00D71EF1">
              <w:tab/>
            </w:r>
            <w:r w:rsidRPr="00D71EF1">
              <w:rPr>
                <w:b/>
                <w:i/>
              </w:rPr>
              <w:t>mano, kad kuriant stiprią, patrauklesnę ir geriau veikiančią Europos kapitalo rinką reikia visapusiškai išnaudoti nacionalinių kapitalo rinkų įvairovę; atsižvelgdamas į tai pabrėžia, kad jau įsitikinta, jog universalūs sprendimai yra neveiksmingi;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7b.</w:t>
            </w:r>
            <w:r w:rsidRPr="00D71EF1">
              <w:tab/>
            </w:r>
            <w:r w:rsidRPr="00D71EF1">
              <w:rPr>
                <w:b/>
                <w:i/>
              </w:rPr>
              <w:t>primena, kad per pastaruosius 40 metų Europos pakeistų vertybiniais popieriais produktų rezultatai buvo bent jau tokio pat lygio kaip kitų pastoviųjų pajamų turto klasių</w:t>
            </w:r>
            <w:r w:rsidRPr="00D71EF1">
              <w:rPr>
                <w:b/>
                <w:i/>
                <w:vertAlign w:val="superscript"/>
              </w:rPr>
              <w:t>1a</w:t>
            </w:r>
            <w:r w:rsidRPr="00D71EF1">
              <w:rPr>
                <w:b/>
                <w:i/>
              </w:rPr>
              <w:t xml:space="preserve"> produktai ir jie suteikia įvairių rizikos galimybių;</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rPr>
              <w:t>_________________</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tc>
        <w:tc>
          <w:tcPr>
            <w:tcW w:w="4876" w:type="dxa"/>
            <w:tcBorders>
              <w:top w:val="nil"/>
              <w:left w:val="nil"/>
              <w:bottom w:val="nil"/>
              <w:right w:val="nil"/>
            </w:tcBorders>
          </w:tcPr>
          <w:p w:rsidR="00E95BBE" w:rsidRPr="00D71EF1" w:rsidRDefault="00E95BBE" w:rsidP="00E95BBE">
            <w:pPr>
              <w:pStyle w:val="Normal6a"/>
            </w:pPr>
            <w:r w:rsidRPr="00D71EF1">
              <w:rPr>
                <w:b/>
                <w:i/>
                <w:vertAlign w:val="superscript"/>
              </w:rPr>
              <w:t>1a</w:t>
            </w:r>
            <w:r w:rsidRPr="00D71EF1">
              <w:t xml:space="preserve"> </w:t>
            </w:r>
            <w:r w:rsidRPr="00D71EF1">
              <w:rPr>
                <w:b/>
                <w:i/>
              </w:rPr>
              <w:t xml:space="preserve">https://www.afme.eu/Portals/0/DispatchFeaturedImages/EU%20Securitisation%20back%20on%20track%205%20point%20plan.pdf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289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7b.</w:t>
            </w:r>
            <w:r w:rsidRPr="00D71EF1">
              <w:tab/>
            </w:r>
            <w:r w:rsidRPr="00D71EF1">
              <w:rPr>
                <w:b/>
                <w:i/>
              </w:rPr>
              <w:t>ragina Komisiją išnagrinėti, ar ir kokiomis sąlygomis reikėtų siekti labiau integruotos priežiūros struktūros kituose sektoriuose, pavyzdžiui, draudimo ir pensijų fondų;</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lastRenderedPageBreak/>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7b.</w:t>
            </w:r>
            <w:r w:rsidRPr="00D71EF1">
              <w:tab/>
            </w:r>
            <w:r w:rsidRPr="00D71EF1">
              <w:rPr>
                <w:b/>
                <w:i/>
              </w:rPr>
              <w:t>atkreipia dėmesį į tai, kad bet koks Europos priežiūros institucijų įgaliojimų didinimas turėtų būti siejamas su atitinkamu EPI atskaitomybės lygio didinimu;</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7c.</w:t>
            </w:r>
            <w:r w:rsidRPr="00D71EF1">
              <w:tab/>
            </w:r>
            <w:r w:rsidRPr="00D71EF1">
              <w:rPr>
                <w:b/>
                <w:i/>
              </w:rPr>
              <w:t>atkreipia dėmesį į M.</w:t>
            </w:r>
            <w:r w:rsidR="00BE1599" w:rsidRPr="00D71EF1">
              <w:rPr>
                <w:b/>
                <w:i/>
              </w:rPr>
              <w:t> Draghi, E. Lettos ir Ch. Noyer</w:t>
            </w:r>
            <w:r w:rsidRPr="00D71EF1">
              <w:rPr>
                <w:b/>
                <w:i/>
              </w:rPr>
              <w:t xml:space="preserve"> pranešimuose padarytą išvadą, kad ES rinkos infrastruktūros aplinka tebėra susiskaidžiusi, ypač palyginti su JAV; primena, kad rinkos konsolidacija yra rinkos veikiamas procesas; įspėja dėl rizikos, kad gali atsirasti vadinamųjų per didelių, kad žlugtų subjektų; pabrėžia, kad perėjimas prie bendros ES rinkos infrastruktūros priežiūros institucijos greičiausiai palengvintų rinkos konsolidavimą; pabrėžia, kad pagrindinė kliūtis rinkos infrastruktūros sektoriaus konsolidavimui yra nepakankamas nacionalinių teisės aktų suderinimas;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lastRenderedPageBreak/>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7c.</w:t>
            </w:r>
            <w:r w:rsidRPr="00D71EF1">
              <w:tab/>
            </w:r>
            <w:r w:rsidRPr="00D71EF1">
              <w:rPr>
                <w:b/>
                <w:i/>
              </w:rPr>
              <w:t>pabrėžia, kad administracinę naštą ir reikalavimų laikymosi išlaidas, atsirandančias tarpvalstybiniu mastu, būtų galima sumažinti geriau koordinuojant veiksmus ir bendradarbiaujant nacionalinėms priežiūros institucijoms, pvz., dalijimosi duomenimis srityje; ragina Europos Komisiją ir Europos priežiūros institucijas pereiti prie „pranešimo tik vieną kartą“ tvarkos; mano, kad Europos bendras prieigos punktas yra svarbi iniciatyva šioje srityje, ir ragina ją laiku įgyvendinti;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7c.</w:t>
            </w:r>
            <w:r w:rsidRPr="00D71EF1">
              <w:tab/>
            </w:r>
            <w:r w:rsidRPr="00D71EF1">
              <w:rPr>
                <w:b/>
                <w:i/>
              </w:rPr>
              <w:t>pabrėžia, kad Europos pakeitimo vertybiniais popieriais rinkos plėtra galėtų prisidėti prie neatidėliotino poreikio Europos Sąjungos ekonomikai pereiti nuo finansavimo, grindžiamo visų pirma bankų balansais, prie ekonomikos, kuri visiškai išnaudoja kapitalo rinkų galimybes;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7c.</w:t>
            </w:r>
            <w:r w:rsidRPr="00D71EF1">
              <w:tab/>
            </w:r>
            <w:r w:rsidRPr="00D71EF1">
              <w:rPr>
                <w:b/>
                <w:i/>
              </w:rPr>
              <w:t>mano, kad būsimos kapitalo rinkos reformos turi būti grindžiamos principu „iš apačios į viršų“ ir jas vykdant turi būti atsižvelgiama į geriausią valstybių narių praktiką ir ypatumus;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d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7d.</w:t>
            </w:r>
            <w:r w:rsidRPr="00D71EF1">
              <w:tab/>
            </w:r>
            <w:r w:rsidRPr="00D71EF1">
              <w:rPr>
                <w:b/>
                <w:i/>
              </w:rPr>
              <w:t>primena, kad pakeitimas vertybiniais popieriais yra jungiamoji grandis tarp skolinimo ir kapitalo rinkų, nes investuotojams suteikiama galimybė naudotis įvairių tipų pozicijomis, grąža ir sektoriais; mano, kad pakeitimas vertybiniais popieriais yra universali priemonė, kuria suteikiama galimybė diversifikuoti finansavimo šaltinius, taigi ir riziką, ir aktyviai stiprinamas ES atsparumas, nes bankai, draudikai ir kiti investuotojai įvairina dalijimąsi privačia rizika;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e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7e.</w:t>
            </w:r>
            <w:r w:rsidRPr="00D71EF1">
              <w:tab/>
            </w:r>
            <w:r w:rsidRPr="00D71EF1">
              <w:rPr>
                <w:b/>
                <w:i/>
              </w:rPr>
              <w:t xml:space="preserve">ragina Komisiją 2025 m. II ketvirtyje paskelbti plataus užmojo ir visapusišką pakeitimo vertybiniais popieriais sistemos peržiūrą, kurią </w:t>
            </w:r>
            <w:r w:rsidRPr="00D71EF1">
              <w:rPr>
                <w:b/>
                <w:i/>
              </w:rPr>
              <w:lastRenderedPageBreak/>
              <w:t>paskatino naujausios Europos Vadovų Tarybos išvados, Euro grupės, ECB, EIOPA pareiškimai, taip pat naujausia Europos priežiūros institucijų jungtinio komiteto ataskaita, visų pirma sutelkiant dėmesį į konkrečių rizikos ribojimo reikalavimų, išsamaus patikrinimo taisyklių, ataskaitų teikimo reikalavimų, susijusių su tam tikromis turto rūšimis, paprastų, skaidrių ir standartizuotų kriterijų nuoseklumo, taip pat priežiūros proceso peržiūrą, siekiant užtikrinti, kad pakeitimas vertybiniais popieriais galėtų atlikti esminį vaidmenį finansuojant būsimą Europos ekonomikos augimą;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f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7f.</w:t>
            </w:r>
            <w:r w:rsidRPr="00D71EF1">
              <w:tab/>
            </w:r>
            <w:r w:rsidRPr="00D71EF1">
              <w:rPr>
                <w:b/>
                <w:i/>
              </w:rPr>
              <w:t>primena, kad pakeitimą vertybiniais popieriais galima atgaivinti nesumažinant finansinio stabilumo, jei nebus pakeistos po 2008 m. nustatytos pagrindinės apsaugos priemonės: uždrausti pakartotinį pakeitimą vertybiniais popieriais, uždrausti pakeitimą vertybiniais popieriais be rizikos išlaikymo, griežtai prižiūrėti kredito reitingų agentūras;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Gilles Boyer, Stéphanie Yon-Courtin, Pascal Canfin, Billy Kelleher,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7 g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7g.</w:t>
            </w:r>
            <w:r w:rsidRPr="00D71EF1">
              <w:tab/>
            </w:r>
            <w:r w:rsidRPr="00D71EF1">
              <w:rPr>
                <w:b/>
                <w:i/>
              </w:rPr>
              <w:t>ragina Komisiją įvertinti galimybę sukurti bendrą Europos pakeitimo vertybiniais popieriais platformą, standartizuoti produktus ir pritraukti į rinką daugiau investuotojų, įskaitant mažesnius bankus, kurie šiuo metu neturi galimybės pasinaudoti šiuo finansavimo būdu;</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299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Ralf Seekatz</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8.</w:t>
            </w:r>
            <w:r w:rsidRPr="00D71EF1">
              <w:tab/>
            </w:r>
            <w:r w:rsidRPr="00D71EF1">
              <w:rPr>
                <w:b/>
                <w:i/>
              </w:rPr>
              <w:t>primygtinai ragina Komisiją parengti pasiūlymus, kaip tinkamai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8.</w:t>
            </w:r>
            <w:r w:rsidRPr="00D71EF1">
              <w:tab/>
            </w:r>
            <w:r w:rsidRPr="00D71EF1">
              <w:rPr>
                <w:b/>
                <w:i/>
              </w:rPr>
              <w:t>primygtinai ragina Komisiją parengti pasiūlymus, kaip tinkamai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Johan Van Overtveldt</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rPr>
                <w:b/>
                <w:i/>
              </w:rPr>
              <w:t>8.</w:t>
            </w:r>
            <w:r w:rsidRPr="00D71EF1">
              <w:tab/>
            </w:r>
            <w:r w:rsidRPr="00D71EF1">
              <w:rPr>
                <w:b/>
                <w:i/>
              </w:rPr>
              <w:t>primygtinai ragina Komisiją parengti pasiūlymus, kaip tinkamai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rPr>
                <w:b/>
                <w:i/>
              </w:rPr>
              <w:t>Išbraukta.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parengti pasiūlymus, kaip tinkamai grąžinti</w:t>
            </w:r>
            <w:r w:rsidRPr="00D71EF1">
              <w:t xml:space="preserve"> tarpuskaitos </w:t>
            </w:r>
            <w:r w:rsidRPr="00D71EF1">
              <w:rPr>
                <w:b/>
                <w:bCs/>
                <w:i/>
                <w:iCs/>
              </w:rPr>
              <w:t>veiklą į ES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sklandžiai ir proporcingai įgyvendinti peržiūrėtą ERIR 3.0, pasitelkiant esamas priemones ir tinkamas paskatas, kad būtų veiksmingai skatinamas ES vykdomos</w:t>
            </w:r>
            <w:r w:rsidRPr="00D71EF1">
              <w:t xml:space="preserve"> tarpuskaitos </w:t>
            </w:r>
            <w:r w:rsidRPr="00D71EF1">
              <w:rPr>
                <w:b/>
                <w:bCs/>
                <w:i/>
                <w:iCs/>
              </w:rPr>
              <w:t>veiklos konkurencingumas ir patrauklumas;</w:t>
            </w:r>
            <w:r w:rsidRPr="00D71EF1">
              <w:rPr>
                <w:b/>
                <w:i/>
              </w:rPr>
              <w:t xml:space="preserve"> pabrėžia, kad ES tarpuskaitos vietos turėtų būti patrauklios prekiaujant tiek eurais, tiek ne eurais išreikštomis išvestinėmis finansinėmis priemonėmis, taip užtikrinant Sąjungos svarbą pasauliniu mastu centrinės tarpuskaitos srityje; pabrėžia, kad, atsižvelgiant į reglamentavimo supaprastinimo tikslą, daugiausia dėmesio turėtų būti skiriama veiksmingam esamos sistemos taikymui, o ne naujoms teisėkūros iniciatyvoms; </w:t>
            </w:r>
            <w:r w:rsidRPr="00D71EF1">
              <w:rPr>
                <w:b/>
                <w:bCs/>
                <w:i/>
                <w:iCs/>
              </w:rPr>
              <w:t>be to, pabrėžia, kad norint užtikrinti prasmingą tarpuskaitos veiklos perkėlimą į Sąjungą, labai svarbu didinti ES pagrindinių sandorio šalių paslaugų pasiūlą, produktų asortimentą, įkaito priimtinumą ir sąnaudų konkurencingumą;</w:t>
            </w:r>
            <w:r w:rsidRPr="00D71EF1">
              <w:rPr>
                <w:b/>
                <w:i/>
              </w:rPr>
              <w:t xml:space="preserve"> </w:t>
            </w:r>
            <w:r w:rsidRPr="00D71EF1">
              <w:rPr>
                <w:b/>
                <w:bCs/>
                <w:i/>
                <w:iCs/>
              </w:rPr>
              <w:t xml:space="preserve">primygtinai reikalauja, kad toks perkėlimas būtų vykdomas ne nustatant privalomus įpareigojimus ar verčiant rinkos dalyvius </w:t>
            </w:r>
            <w:r w:rsidRPr="00D71EF1">
              <w:rPr>
                <w:b/>
                <w:bCs/>
                <w:i/>
                <w:iCs/>
              </w:rPr>
              <w:lastRenderedPageBreak/>
              <w:t>atlikti tarpuskaitą ES, bet veikiau užtikrinant, kad ES tarpuskaitos ekosistema būtų patrauklesnė, veiksmingesnė ir platesnė galimybėmis nei konkuruojančių jurisdikcijų, kad įmonės rinktųsi ją kaip pageidaujamą vietą</w:t>
            </w:r>
            <w:r w:rsidRPr="00D71EF1">
              <w:t xml:space="preserve">; </w:t>
            </w:r>
            <w:r w:rsidRPr="00D71EF1">
              <w:rPr>
                <w:b/>
                <w:i/>
              </w:rPr>
              <w:t>ragina ESMA ir Komisiją, įgyvendinant peržiūrėtą ERIR 3.0, stiprinti paklausos ir konkurencingumo principais grindžiamą rinkos procesą, užtikrinant, kad ES tarpuskaita taptų natūralia pasaulio rinkos dalyvių pasirenkama vieta;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r>
            <w:r w:rsidRPr="00D71EF1">
              <w:rPr>
                <w:b/>
                <w:bCs/>
                <w:i/>
                <w:iCs/>
              </w:rPr>
              <w:t>primygtinai ragina Komisiją parengti pasiūlymus, kaip tinkamai grąžinti</w:t>
            </w:r>
            <w:r w:rsidRPr="00D71EF1">
              <w:t xml:space="preserve"> tarpuskaitos </w:t>
            </w:r>
            <w:r w:rsidRPr="00D71EF1">
              <w:rPr>
                <w:b/>
                <w:bCs/>
                <w:i/>
                <w:iCs/>
              </w:rPr>
              <w:t>veiklą</w:t>
            </w:r>
            <w:r w:rsidRPr="00D71EF1">
              <w:t xml:space="preserve"> į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r>
            <w:r w:rsidRPr="00D71EF1">
              <w:rPr>
                <w:b/>
                <w:bCs/>
                <w:i/>
                <w:iCs/>
              </w:rPr>
              <w:t>atkreipia dėmesį į trečią kartą iš eilės priimtus Komisijos sprendimus išplėsti lygiavertiškumo reikalavimus pagrindinėms sandorio šalims Jungtinėje Karalystėje;</w:t>
            </w:r>
            <w:r w:rsidRPr="00D71EF1">
              <w:rPr>
                <w:b/>
                <w:i/>
              </w:rPr>
              <w:t xml:space="preserve"> atkreipia dėmesį į tai, kad praėjus 9 metams po Jungtinės Karalystės sprendimo pradėti taikyti 50 straipsnį ir 5 metams po „Brexit“, eurais išreikštų sutarčių</w:t>
            </w:r>
            <w:r w:rsidRPr="00D71EF1">
              <w:t xml:space="preserve"> tarpuskaitos</w:t>
            </w:r>
            <w:r w:rsidRPr="00D71EF1">
              <w:rPr>
                <w:i/>
              </w:rPr>
              <w:t xml:space="preserve"> </w:t>
            </w:r>
            <w:r w:rsidRPr="00D71EF1">
              <w:rPr>
                <w:b/>
                <w:i/>
              </w:rPr>
              <w:t>paslaugos dar neperkeltos</w:t>
            </w:r>
            <w:r w:rsidRPr="00D71EF1">
              <w:t xml:space="preserve"> į ES;</w:t>
            </w:r>
            <w:r w:rsidRPr="00D71EF1">
              <w:rPr>
                <w:b/>
                <w:i/>
              </w:rPr>
              <w:t xml:space="preserve"> </w:t>
            </w:r>
            <w:r w:rsidRPr="00D71EF1">
              <w:rPr>
                <w:b/>
                <w:bCs/>
                <w:i/>
                <w:iCs/>
              </w:rPr>
              <w:t>pabrėžia, kad tai reiškia, jog tarpuskaitos paslaugų teikėjai nesijaučia laukiami ES;</w:t>
            </w:r>
            <w:r w:rsidRPr="00D71EF1">
              <w:t xml:space="preserve"> </w:t>
            </w:r>
            <w:r w:rsidRPr="00D71EF1">
              <w:rPr>
                <w:b/>
                <w:i/>
              </w:rPr>
              <w:t>pabrėžia, kad ERIR reglamente nenurodyta, jog eurais išreikštų sutarčių tarpuskaitos paslaugos turi būti perkeltos į euro zoną;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lastRenderedPageBreak/>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parengti pasiūlymus</w:t>
            </w:r>
            <w:r w:rsidRPr="00D71EF1">
              <w:t xml:space="preserve">, kaip </w:t>
            </w:r>
            <w:r w:rsidRPr="00D71EF1">
              <w:rPr>
                <w:b/>
                <w:bCs/>
                <w:i/>
                <w:iCs/>
              </w:rPr>
              <w:t>tinkamai grąžinti</w:t>
            </w:r>
            <w:r w:rsidRPr="00D71EF1">
              <w:rPr>
                <w:b/>
                <w:bCs/>
              </w:rPr>
              <w:t xml:space="preserve"> </w:t>
            </w:r>
            <w:r w:rsidRPr="00D71EF1">
              <w:t xml:space="preserve">tarpuskaitos </w:t>
            </w:r>
            <w:r w:rsidRPr="00D71EF1">
              <w:rPr>
                <w:b/>
                <w:bCs/>
                <w:i/>
                <w:iCs/>
              </w:rPr>
              <w:t>veiklą</w:t>
            </w:r>
            <w:r w:rsidRPr="00D71EF1">
              <w:t xml:space="preserve"> į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stebėti</w:t>
            </w:r>
            <w:r w:rsidRPr="00D71EF1">
              <w:t xml:space="preserve">, kaip tarpuskaitos </w:t>
            </w:r>
            <w:r w:rsidRPr="00D71EF1">
              <w:rPr>
                <w:b/>
                <w:bCs/>
                <w:i/>
                <w:iCs/>
              </w:rPr>
              <w:t>veikla grąžinama</w:t>
            </w:r>
            <w:r w:rsidRPr="00D71EF1">
              <w:t xml:space="preserve"> į ES</w:t>
            </w:r>
            <w:r w:rsidRPr="00D71EF1">
              <w:rPr>
                <w:b/>
                <w:bCs/>
                <w:i/>
                <w:iCs/>
              </w:rPr>
              <w:t>, ir prireikus imtis priemonių šiam procesui palengvinti</w:t>
            </w:r>
            <w:r w:rsidRPr="00D71EF1">
              <w:t xml:space="preserve">; </w:t>
            </w:r>
            <w:r w:rsidRPr="00D71EF1">
              <w:rPr>
                <w:b/>
                <w:i/>
              </w:rPr>
              <w:t>atkreipia dėmesį, kad ES poprekybinė aplinka tebėra susiskaidžiusi; ragina konsoliduoti rinką ir pašalinti teisines ir reglamentavimo kliūtis, kad būtų sukurta labiau integruota ir veiksmingesnė poprekybinė aplinka;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r>
            <w:r w:rsidRPr="00D71EF1">
              <w:rPr>
                <w:b/>
                <w:bCs/>
                <w:i/>
                <w:iCs/>
              </w:rPr>
              <w:t>primygtinai</w:t>
            </w:r>
            <w:r w:rsidRPr="00D71EF1">
              <w:rPr>
                <w:b/>
                <w:bCs/>
              </w:rPr>
              <w:t xml:space="preserve"> </w:t>
            </w:r>
            <w:r w:rsidRPr="00D71EF1">
              <w:t xml:space="preserve">ragina Komisiją parengti pasiūlymus, kaip </w:t>
            </w:r>
            <w:r w:rsidRPr="00D71EF1">
              <w:rPr>
                <w:b/>
                <w:bCs/>
                <w:i/>
                <w:iCs/>
              </w:rPr>
              <w:t>tinkamai grąžinti</w:t>
            </w:r>
            <w:r w:rsidRPr="00D71EF1">
              <w:t xml:space="preserve"> tarpuskaitos </w:t>
            </w:r>
            <w:r w:rsidRPr="00D71EF1">
              <w:rPr>
                <w:b/>
                <w:bCs/>
                <w:i/>
                <w:iCs/>
              </w:rPr>
              <w:t>veiklą į</w:t>
            </w:r>
            <w:r w:rsidRPr="00D71EF1">
              <w:t xml:space="preserve">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ragina Komisiją parengti pasiūlymus, kaip </w:t>
            </w:r>
            <w:r w:rsidRPr="00D71EF1">
              <w:rPr>
                <w:b/>
                <w:bCs/>
                <w:i/>
                <w:iCs/>
              </w:rPr>
              <w:t>veiksmingai dalytis geriausia</w:t>
            </w:r>
            <w:r w:rsidRPr="00D71EF1">
              <w:t xml:space="preserve"> tarpuskaitos </w:t>
            </w:r>
            <w:r w:rsidRPr="00D71EF1">
              <w:rPr>
                <w:b/>
                <w:bCs/>
                <w:i/>
                <w:iCs/>
              </w:rPr>
              <w:t>ir atsiskaitymų veiklos praktika tarp</w:t>
            </w:r>
            <w:r w:rsidRPr="00D71EF1">
              <w:t xml:space="preserve"> ES</w:t>
            </w:r>
            <w:r w:rsidRPr="00D71EF1">
              <w:rPr>
                <w:b/>
                <w:bCs/>
                <w:i/>
                <w:iCs/>
              </w:rPr>
              <w:t xml:space="preserve"> tarpuskaitos namų, užtikrinant visapusišką bendradarbiavimą</w:t>
            </w:r>
            <w:r w:rsidRPr="00D71EF1">
              <w:t xml:space="preserve">; </w:t>
            </w:r>
            <w:r w:rsidRPr="00D71EF1">
              <w:rPr>
                <w:b/>
                <w:i/>
              </w:rPr>
              <w:t>pabrėžia tarpuskaitos ir atsiskaitymų namų konkurencijos svarbą, kartu atsižvelgdamas į nacionalinę kompetenciją ir saugodamas laisvą konkurenciją bendroje sistemoje;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Regina Doherty</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lastRenderedPageBreak/>
              <w:t>parengti pasiūlymus, kaip tinkamai grąžinti</w:t>
            </w:r>
            <w:r w:rsidRPr="00D71EF1">
              <w:t xml:space="preserve"> tarpuskaitos veiklą</w:t>
            </w:r>
            <w:r w:rsidRPr="00D71EF1">
              <w:rPr>
                <w:b/>
                <w:bCs/>
                <w:i/>
                <w:iCs/>
              </w:rPr>
              <w:t xml:space="preserve"> į ES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8.</w:t>
            </w:r>
            <w:r w:rsidRPr="00D71EF1">
              <w:tab/>
              <w:t xml:space="preserve">primygtinai ragina Komisiją </w:t>
            </w:r>
            <w:r w:rsidRPr="00D71EF1">
              <w:rPr>
                <w:b/>
                <w:bCs/>
                <w:i/>
                <w:iCs/>
              </w:rPr>
              <w:t xml:space="preserve">ir </w:t>
            </w:r>
            <w:r w:rsidRPr="00D71EF1">
              <w:rPr>
                <w:b/>
                <w:bCs/>
                <w:i/>
                <w:iCs/>
              </w:rPr>
              <w:lastRenderedPageBreak/>
              <w:t>toliau laikytis pagrįsto požiūrio į</w:t>
            </w:r>
            <w:r w:rsidRPr="00D71EF1">
              <w:t xml:space="preserve"> tarpuskaitos veiklą</w:t>
            </w:r>
            <w:r w:rsidRPr="00D71EF1">
              <w:rPr>
                <w:b/>
                <w:bCs/>
                <w:i/>
                <w:iCs/>
              </w:rPr>
              <w:t>, užtikrinti, kad ES rinkos dalyviai ir toliau galėtų naudotis veiksmingomis ir saugiomis centrinės tarpuskaitos ir klientų tarpuskaitos paslaugomis, ir toliau remti ES rinkos dalyviams suteikiamą stabilumą ir tikrumą</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parengti pasiūlymus, kaip tinkamai</w:t>
            </w:r>
            <w:r w:rsidRPr="00D71EF1">
              <w:t xml:space="preserve">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Komisiją </w:t>
            </w:r>
            <w:r w:rsidRPr="00D71EF1">
              <w:rPr>
                <w:b/>
                <w:bCs/>
                <w:i/>
                <w:iCs/>
              </w:rPr>
              <w:t>sukurti konkurencingą ir veiksmingą aplinką, kuri pritrauktų tarpuskaitos veiklą, o ne norminiu pagrindu versti</w:t>
            </w:r>
            <w:r w:rsidRPr="00D71EF1">
              <w:t xml:space="preserve"> grąžinti tarpuskaitos veiklą į 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Stéphanie Yon-Courtin, Gilles Boyer, Pascal Canfin, Anouk Van Brug</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r>
            <w:r w:rsidRPr="00D71EF1">
              <w:rPr>
                <w:b/>
                <w:bCs/>
                <w:i/>
                <w:iCs/>
              </w:rPr>
              <w:t>primygtinai</w:t>
            </w:r>
            <w:r w:rsidRPr="00D71EF1">
              <w:rPr>
                <w:b/>
                <w:bCs/>
              </w:rPr>
              <w:t xml:space="preserve"> </w:t>
            </w:r>
            <w:r w:rsidRPr="00D71EF1">
              <w:t xml:space="preserve">ragina Komisiją </w:t>
            </w:r>
            <w:r w:rsidRPr="00D71EF1">
              <w:rPr>
                <w:b/>
                <w:bCs/>
                <w:i/>
                <w:iCs/>
              </w:rPr>
              <w:t>parengti pasiūlymus, kaip tinkamai</w:t>
            </w:r>
            <w:r w:rsidRPr="00D71EF1">
              <w:t xml:space="preserve">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ragina Komisiją </w:t>
            </w:r>
            <w:r w:rsidRPr="00D71EF1">
              <w:rPr>
                <w:b/>
                <w:bCs/>
                <w:i/>
                <w:iCs/>
              </w:rPr>
              <w:t>įgyvendinti peržiūrėtą ERIR sistemą, kad būtų lengviau</w:t>
            </w:r>
            <w:r w:rsidRPr="00D71EF1">
              <w:t xml:space="preserve"> grąžinti tarpuskaitos veiklą į 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309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lastRenderedPageBreak/>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parengti pasiūlymus, kaip tinkamai grąžinti</w:t>
            </w:r>
            <w:r w:rsidRPr="00D71EF1">
              <w:t xml:space="preserve"> tarpuskaitos </w:t>
            </w:r>
            <w:r w:rsidRPr="00D71EF1">
              <w:rPr>
                <w:b/>
                <w:bCs/>
                <w:i/>
                <w:iCs/>
              </w:rPr>
              <w:t>veiklą į</w:t>
            </w:r>
            <w:r w:rsidRPr="00D71EF1">
              <w:t xml:space="preserve">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rPr>
                <w:b/>
                <w:bCs/>
                <w:i/>
                <w:iCs/>
              </w:rPr>
              <w:t>įvertinti reglamento poveikį</w:t>
            </w:r>
            <w:r w:rsidRPr="00D71EF1">
              <w:t xml:space="preserve"> tarpuskaitos </w:t>
            </w:r>
            <w:r w:rsidRPr="00D71EF1">
              <w:rPr>
                <w:b/>
                <w:bCs/>
                <w:i/>
                <w:iCs/>
              </w:rPr>
              <w:t>veiklai</w:t>
            </w:r>
            <w:r w:rsidRPr="00D71EF1">
              <w:t xml:space="preserve"> 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primygtinai ragina Komisiją parengti pasiūlymus, kaip tinkamai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parengti pasiūlymus, kaip tinkamai grąžinti tarpuskaitos veiklą į ES; </w:t>
            </w:r>
            <w:r w:rsidRPr="00D71EF1">
              <w:rPr>
                <w:b/>
                <w:i/>
              </w:rPr>
              <w:t>apgailestauja dėl dabartinės padėties, kai didžioji dalis ES tarpuskaitos veiklos vykdoma už ES ribų; apgailestauja dėl sprendimo pratęsti Jungtinės Karalystės pagrindinių sandorio šalių lygiavertiškumo taikymą trejiems metams iki 2028 m. birželio 30 d. ir mano, kad toks pratęsimas turėtų būti paskutinis;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8.</w:t>
            </w:r>
            <w:r w:rsidRPr="00D71EF1">
              <w:tab/>
              <w:t xml:space="preserve">primygtinai ragina Komisiją </w:t>
            </w:r>
            <w:r w:rsidRPr="00D71EF1">
              <w:lastRenderedPageBreak/>
              <w:t>parengti pasiūlymus, kaip tinkamai grąžinti tarpuskaitos veiklą į ES;</w:t>
            </w:r>
          </w:p>
        </w:tc>
        <w:tc>
          <w:tcPr>
            <w:tcW w:w="4876" w:type="dxa"/>
            <w:tcBorders>
              <w:top w:val="nil"/>
              <w:left w:val="nil"/>
              <w:bottom w:val="nil"/>
              <w:right w:val="nil"/>
            </w:tcBorders>
          </w:tcPr>
          <w:p w:rsidR="00E95BBE" w:rsidRPr="00D71EF1" w:rsidRDefault="00E95BBE" w:rsidP="00E95BBE">
            <w:pPr>
              <w:pStyle w:val="Normal6a"/>
            </w:pPr>
            <w:r w:rsidRPr="00D71EF1">
              <w:lastRenderedPageBreak/>
              <w:t>8.</w:t>
            </w:r>
            <w:r w:rsidRPr="00D71EF1">
              <w:tab/>
              <w:t xml:space="preserve">primygtinai ragina Komisiją </w:t>
            </w:r>
            <w:r w:rsidRPr="00D71EF1">
              <w:lastRenderedPageBreak/>
              <w:t xml:space="preserve">parengti pasiūlymus, kaip tinkamai grąžinti tarpuskaitos veiklą į ES; </w:t>
            </w:r>
            <w:r w:rsidRPr="00D71EF1">
              <w:rPr>
                <w:b/>
                <w:i/>
              </w:rPr>
              <w:t>laukia plataus užmojo deleguotojo akto dėl aktyvių sąskaitų pagal ERIR 3.0; ragina Europos Komisiją toliau vertinti tarpuskaitos veiklos plėtrą ir pateikti papildomų pasiūlymų dėl teisės aktų, kuriais būtų stiprinama ES tarpuskaitos ekosistema;</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8a.</w:t>
            </w:r>
            <w:r w:rsidRPr="00D71EF1">
              <w:tab/>
            </w:r>
            <w:r w:rsidRPr="00D71EF1">
              <w:rPr>
                <w:b/>
                <w:i/>
              </w:rPr>
              <w:t>palankiai vertina Komisijos paskelbtą plataus užmojo pasiūlymų dėl teisės aktų rinkinį, kuriuo siekiama sustiprinti Europos Sąjungos prekybos ir poprekybinės veiklos ekosistemą, pašalinti tarpvalstybinės veiklos kliūtis ir pritaikyti sistemą naujoms technologijoms; tikisi, kad toks pasiūlymas galėtų padėti spręsti rinkos susiskaidymo ES problemą; vis dėlto pabrėžia, kad bet kokios iniciatyvos, kuriomis siekiama konsoliduoti rinką, turėtų būti grindžiamos rinka; pažymi, kad praeityje pernelyg griežti antimonopoliniai sprendimai kartais trukdė tolesnei rinkos integracijai;</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8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8a.</w:t>
            </w:r>
            <w:r w:rsidRPr="00D71EF1">
              <w:tab/>
            </w:r>
            <w:r w:rsidRPr="00D71EF1">
              <w:rPr>
                <w:b/>
                <w:i/>
              </w:rPr>
              <w:t>susirūpinęs atkreipia dėmesį į rinkos struktūrų susiskaidymą, dėl kurio atskirų akcijų likvidumas yra išsklaidytas keliose prekybos vietose; pripažįsta galimą neigiamą suskaidyto likvidumo poveikį kainų formavimui, vykdymo kokybei ir bendram rinkos gyliui; ragina Komisiją, vykdant darbą, susijusį su kapitalo rinkų sąjunga, pirmenybę teikti likvidumo susiskaidymo vertinimui ir apsvarstyti tikslines priemones, kuriomis būtų skatinama didesnė likvidumo koncentracija ES rinkose;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Fernando Navarrete Rojas,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w:t>
            </w:r>
            <w:r w:rsidRPr="00D71EF1">
              <w:rPr>
                <w:b/>
                <w:bCs/>
                <w:i/>
                <w:iCs/>
              </w:rPr>
              <w:t>ragina Komisiją labiau remtis reglamentais, o ne direktyvomis, taip 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w:t>
            </w:r>
            <w:r w:rsidRPr="00D71EF1">
              <w:rPr>
                <w:b/>
                <w:bCs/>
                <w:i/>
                <w:iCs/>
              </w:rPr>
              <w:t xml:space="preserve">tolesnis </w:t>
            </w:r>
            <w:r w:rsidRPr="00D71EF1">
              <w:t xml:space="preserve">administracinių procedūrų supaprastinimas gali </w:t>
            </w:r>
            <w:r w:rsidRPr="00D71EF1">
              <w:rPr>
                <w:b/>
                <w:bCs/>
                <w:i/>
                <w:iCs/>
              </w:rPr>
              <w:t xml:space="preserve">gerokai </w:t>
            </w:r>
            <w:r w:rsidRPr="00D71EF1">
              <w:t xml:space="preserve">padidinti ES, kaip investicijų vietos, patrauklumą; mano, kad siekiant palengvinti tarpvalstybinę veiklą valstybių narių teisės aktų sistemų suderinimas turėtų būti įtrauktas į supaprastinimo darbotvarkę; </w:t>
            </w:r>
            <w:r w:rsidRPr="00D71EF1">
              <w:rPr>
                <w:b/>
                <w:i/>
              </w:rPr>
              <w:t xml:space="preserve">pabrėžia, kad reikia mažinti reglamentavimo naštą, susijusią su ES tvaraus finansavimo sistema, kaip pabrėžta M. Draghi pranešime, visų pirma didinant aiškumą, nuoseklumą ir gerinant vadovavimą; </w:t>
            </w:r>
            <w:r w:rsidRPr="00D71EF1">
              <w:rPr>
                <w:b/>
                <w:bCs/>
                <w:i/>
                <w:iCs/>
              </w:rPr>
              <w:t>todėl palankiai vertina Komisijos parengtą bendrųjų tvarumo dokumentų rinkinį kaip žingsnį siekiant sumažinti pagrindinių teisinių priemonių sudėtingumą ir pagerinti jų tinkamumą naudoti, visų pirma dėl siūlomo perėjimo prie savanoriško ataskaitų teikimo tam tikrose srityse;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Marco Falcone, Fulvio Martusciello</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w:t>
            </w:r>
            <w:r w:rsidRPr="00D71EF1">
              <w:rPr>
                <w:b/>
                <w:bCs/>
                <w:i/>
                <w:iCs/>
              </w:rPr>
              <w:t>labiau remtis reglamentais, o ne direktyvomis, taip 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w:t>
            </w:r>
            <w:r w:rsidRPr="00D71EF1">
              <w:rPr>
                <w:b/>
                <w:i/>
              </w:rPr>
              <w:t xml:space="preserve">Europos </w:t>
            </w:r>
            <w:r w:rsidRPr="00D71EF1">
              <w:t>Komisiją</w:t>
            </w:r>
            <w:r w:rsidRPr="00D71EF1">
              <w:rPr>
                <w:b/>
                <w:i/>
              </w:rPr>
              <w:t>, kai tinkama, pirmenybę teikti reglamentų kaip teisėkūros priemonės naudojimui siekiant sustiprinti bendrosios rinkos derinimą ir išvengti teisės aktų susiskaidymo tarp valstybių narių, kartu užtikrinant tinkamą lankstumą, kai būtina atsižvelgti į nacionalinius ypatumus bei subsidiarumo principą</w:t>
            </w:r>
            <w:r w:rsidRPr="00D71EF1">
              <w:t>;</w:t>
            </w:r>
            <w:r w:rsidRPr="00D71EF1">
              <w:rPr>
                <w:b/>
                <w:i/>
              </w:rPr>
              <w:t> </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{IT}</w:t>
      </w:r>
      <w:r w:rsidRPr="00D71EF1">
        <w:t>it</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Engin Eroglu</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w:t>
            </w:r>
            <w:r w:rsidRPr="00D71EF1">
              <w:rPr>
                <w:b/>
                <w:i/>
              </w:rPr>
              <w:t>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{DE}</w:t>
      </w:r>
      <w:r w:rsidRPr="00D71EF1">
        <w:t>de</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Christophe Gomart</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w:t>
            </w:r>
            <w:r w:rsidRPr="00D71EF1">
              <w:rPr>
                <w:b/>
                <w:i/>
              </w:rPr>
              <w:t>įtrauktas</w:t>
            </w:r>
            <w:r w:rsidRPr="00D71EF1">
              <w:t xml:space="preserve">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w:t>
            </w:r>
            <w:r w:rsidRPr="00D71EF1">
              <w:rPr>
                <w:b/>
                <w:i/>
              </w:rPr>
              <w:t>ir apskritai reguliavimo sistemos</w:t>
            </w:r>
            <w:r w:rsidRPr="00D71EF1">
              <w:t xml:space="preserve"> supaprastinimas</w:t>
            </w:r>
            <w:r w:rsidRPr="00D71EF1">
              <w:rPr>
                <w:b/>
                <w:i/>
              </w:rPr>
              <w:t>, ypač investuotojų ir finansinių įmonių atžvilgiu,</w:t>
            </w:r>
            <w:r w:rsidRPr="00D71EF1">
              <w:t xml:space="preserve"> gali padidinti ES, kaip investicijų vietos, patrauklumą </w:t>
            </w:r>
            <w:r w:rsidRPr="00D71EF1">
              <w:rPr>
                <w:b/>
                <w:i/>
              </w:rPr>
              <w:t>ES ir užsienio investuotojams</w:t>
            </w:r>
            <w:r w:rsidRPr="00D71EF1">
              <w:t xml:space="preserve">; mano, kad siekiant palengvinti tarpvalstybinę veiklą valstybių narių teisės aktų sistemų suderinimas </w:t>
            </w:r>
            <w:r w:rsidRPr="00D71EF1">
              <w:rPr>
                <w:b/>
                <w:i/>
              </w:rPr>
              <w:t>ir labiau suderinta veiklos nacionalinėse rinkose priežiūra</w:t>
            </w:r>
            <w:r w:rsidRPr="00D71EF1">
              <w:t xml:space="preserve"> turėtų būti </w:t>
            </w:r>
            <w:r w:rsidRPr="00D71EF1">
              <w:rPr>
                <w:b/>
                <w:i/>
              </w:rPr>
              <w:t>įtraukti</w:t>
            </w:r>
            <w:r w:rsidRPr="00D71EF1">
              <w:t xml:space="preserve"> į supaprastinimo darbotvarkę; ragina Komisiją labiau remtis reglamentais, o ne direktyvomis, taip apribojant nacionalinę veiksmų laisvę, nes dėl jos gali atsirasti susiskaidymas</w:t>
            </w:r>
            <w:r w:rsidRPr="00D71EF1">
              <w:rPr>
                <w:b/>
                <w:i/>
              </w:rPr>
              <w:t>;</w:t>
            </w:r>
            <w:r w:rsidRPr="00D71EF1">
              <w:t xml:space="preserve"> </w:t>
            </w:r>
            <w:r w:rsidRPr="00D71EF1">
              <w:rPr>
                <w:b/>
                <w:i/>
              </w:rPr>
              <w:t>ragina Komisiją, išskyrus jos supaprastinimo programą, pirmenybę teikti reguliavimo stabilumui</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{FR}</w:t>
      </w:r>
      <w:r w:rsidRPr="00D71EF1">
        <w:t>fr</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w:t>
            </w:r>
            <w:r w:rsidRPr="00D71EF1">
              <w:rPr>
                <w:b/>
                <w:bCs/>
                <w:i/>
                <w:iCs/>
              </w:rPr>
              <w:t>gali padidinti</w:t>
            </w:r>
            <w:r w:rsidRPr="00D71EF1">
              <w:t xml:space="preserve"> ES, kaip investicijų vietos, patrauklumą; mano, kad siekiant palengvinti tarpvalstybinę veiklą valstybių narių teisės aktų sistemų suderinimas turėtų būti įtrauktas į supaprastinimo darbotvarkę; </w:t>
            </w:r>
            <w:r w:rsidRPr="00D71EF1">
              <w:lastRenderedPageBreak/>
              <w:t xml:space="preserve">ragina Komisiją labiau remtis reglamentais, o ne direktyvomis, taip </w:t>
            </w:r>
            <w:r w:rsidRPr="00D71EF1">
              <w:rPr>
                <w:b/>
                <w:bCs/>
                <w:i/>
                <w:iCs/>
              </w:rPr>
              <w:t>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lastRenderedPageBreak/>
              <w:t>9.</w:t>
            </w:r>
            <w:r w:rsidRPr="00D71EF1">
              <w:tab/>
              <w:t xml:space="preserve">pažymi, kad administracinių procedūrų supaprastinimas </w:t>
            </w:r>
            <w:r w:rsidRPr="00D71EF1">
              <w:rPr>
                <w:b/>
                <w:bCs/>
                <w:i/>
                <w:iCs/>
              </w:rPr>
              <w:t>padidina</w:t>
            </w:r>
            <w:r w:rsidRPr="00D71EF1">
              <w:t xml:space="preserve"> ES, kaip investicijų vietos, patrauklumą</w:t>
            </w:r>
            <w:r w:rsidRPr="00D71EF1">
              <w:rPr>
                <w:b/>
                <w:bCs/>
                <w:i/>
                <w:iCs/>
              </w:rPr>
              <w:t>;</w:t>
            </w:r>
            <w:r w:rsidRPr="00D71EF1">
              <w:rPr>
                <w:b/>
                <w:i/>
              </w:rPr>
              <w:t xml:space="preserve"> </w:t>
            </w:r>
            <w:r w:rsidRPr="00D71EF1">
              <w:rPr>
                <w:b/>
                <w:bCs/>
                <w:i/>
                <w:iCs/>
              </w:rPr>
              <w:t xml:space="preserve">ragina Komisiją imtis plataus masto administracinių supaprastinimų, kad būtų pritrauktos privačiosios investicijos ir skatinamas Europos konkurencingumas, </w:t>
            </w:r>
            <w:r w:rsidRPr="00D71EF1">
              <w:rPr>
                <w:b/>
                <w:bCs/>
                <w:i/>
                <w:iCs/>
              </w:rPr>
              <w:lastRenderedPageBreak/>
              <w:t>palengvinant įmonių kūrimąsi ir plėtrą</w:t>
            </w:r>
            <w:r w:rsidRPr="00D71EF1">
              <w:t>; mano, kad siekiant palengvinti tarpvalstybinę veiklą valstybių narių teisės aktų sistemų suderinimas turėtų būti įtrauktas į supaprastinimo darbotvarkę</w:t>
            </w:r>
            <w:r w:rsidRPr="00D71EF1">
              <w:rPr>
                <w:b/>
                <w:bCs/>
                <w:i/>
                <w:iCs/>
              </w:rPr>
              <w:t>, ypač strateginiuose sektoriuose, pavyzdžiui, finansinių paslaugų sektoriuje, kur dėl nepakankamo suderinimo sunku gauti finansavimą ir investuoti</w:t>
            </w:r>
            <w:r w:rsidRPr="00D71EF1">
              <w:t xml:space="preserve">; ragina Komisiją </w:t>
            </w:r>
            <w:r w:rsidRPr="00D71EF1">
              <w:rPr>
                <w:b/>
                <w:bCs/>
                <w:i/>
                <w:iCs/>
              </w:rPr>
              <w:t xml:space="preserve">finansinių paslaugų sektoriuje </w:t>
            </w:r>
            <w:r w:rsidRPr="00D71EF1">
              <w:t xml:space="preserve">labiau remtis reglamentais, o ne direktyvomis, taip </w:t>
            </w:r>
            <w:r w:rsidRPr="00D71EF1">
              <w:rPr>
                <w:b/>
                <w:bCs/>
                <w:i/>
                <w:iCs/>
              </w:rPr>
              <w:t>sumažinant perteklinio reglamentavimo taikymo tikimybę</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319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Stéphanie Yon-Courtin, Gilles Boyer, Pascal Canfin,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r>
            <w:r w:rsidRPr="00D71EF1">
              <w:rPr>
                <w:b/>
                <w:bCs/>
                <w:i/>
                <w:iCs/>
              </w:rPr>
              <w:t>pažymi</w:t>
            </w:r>
            <w:r w:rsidRPr="00D71EF1">
              <w:t>,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mano, kad administracinių procedūrų supaprastinimas </w:t>
            </w:r>
            <w:r w:rsidRPr="00D71EF1">
              <w:rPr>
                <w:b/>
                <w:bCs/>
                <w:i/>
                <w:iCs/>
              </w:rPr>
              <w:t xml:space="preserve">įmonėms ir piliečiams </w:t>
            </w:r>
            <w:r w:rsidRPr="00D71EF1">
              <w:t xml:space="preserve">gali padidinti ES, kaip investicijų vietos, patrauklumą; </w:t>
            </w:r>
            <w:r w:rsidRPr="00D71EF1">
              <w:rPr>
                <w:b/>
                <w:i/>
              </w:rPr>
              <w:t>mano, kad teisinės sistemos supaprastinimas turi būti suprantamas kaip Europos užmojo išlaikymas, kartu palengvinant jos įgyvendinimą įmonėms ir taisyklių supratimą piliečiams, o tai galiausiai sustiprins ES konkurencingumą ir strateginį savarankiškumą;</w:t>
            </w:r>
            <w:r w:rsidRPr="00D71EF1">
              <w:t xml:space="preserve">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Fernand Kartheiser, Geadis Geadi, Kristoffer Storm, Nora Junco García, Diego Solier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w:t>
            </w:r>
            <w:r w:rsidRPr="00D71EF1">
              <w:rPr>
                <w:b/>
                <w:bCs/>
                <w:i/>
                <w:iCs/>
              </w:rPr>
              <w:t>suderinimas</w:t>
            </w:r>
            <w:r w:rsidRPr="00D71EF1">
              <w:t xml:space="preserve"> turėtų būti įtrauktas į supaprastinimo darbotvarkę; </w:t>
            </w:r>
            <w:r w:rsidRPr="00D71EF1">
              <w:rPr>
                <w:b/>
                <w:i/>
              </w:rPr>
              <w:t>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w:t>
            </w:r>
            <w:r w:rsidRPr="00D71EF1">
              <w:rPr>
                <w:b/>
                <w:bCs/>
                <w:i/>
                <w:iCs/>
              </w:rPr>
              <w:t>koordinavimas</w:t>
            </w:r>
            <w:r w:rsidRPr="00D71EF1">
              <w:t xml:space="preserve"> turėtų būti įtrauktas į supaprastinimo darbotvarkę;</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321</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w:t>
            </w:r>
            <w:r w:rsidRPr="00D71EF1">
              <w:rPr>
                <w:b/>
                <w:bCs/>
                <w:i/>
                <w:iCs/>
              </w:rPr>
              <w:t>suderinimas</w:t>
            </w:r>
            <w:r w:rsidRPr="00D71EF1">
              <w:t xml:space="preserve"> turėtų būti </w:t>
            </w:r>
            <w:r w:rsidRPr="00D71EF1">
              <w:rPr>
                <w:b/>
                <w:bCs/>
                <w:i/>
                <w:iCs/>
              </w:rPr>
              <w:t>įtrauktas</w:t>
            </w:r>
            <w:r w:rsidRPr="00D71EF1">
              <w:t xml:space="preserve"> į supaprastinimo darbotvarkę; ragina Komisiją </w:t>
            </w:r>
            <w:r w:rsidRPr="00D71EF1">
              <w:rPr>
                <w:b/>
                <w:bCs/>
                <w:i/>
                <w:iCs/>
              </w:rPr>
              <w:t>labiau remtis reglamentais, o ne direktyvomis, taip apribojant nacionalinę veiksmų laisvę, nes dėl jos gali atsirasti</w:t>
            </w:r>
            <w:r w:rsidRPr="00D71EF1">
              <w:t xml:space="preserve">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didesnio </w:t>
            </w:r>
            <w:r w:rsidRPr="00D71EF1">
              <w:rPr>
                <w:b/>
                <w:bCs/>
                <w:i/>
                <w:iCs/>
              </w:rPr>
              <w:t>suderinimo</w:t>
            </w:r>
            <w:r w:rsidRPr="00D71EF1">
              <w:t xml:space="preserve"> turėtų būti </w:t>
            </w:r>
            <w:r w:rsidRPr="00D71EF1">
              <w:rPr>
                <w:b/>
                <w:bCs/>
                <w:i/>
                <w:iCs/>
              </w:rPr>
              <w:t>siekiama įtraukiant jį</w:t>
            </w:r>
            <w:r w:rsidRPr="00D71EF1">
              <w:t xml:space="preserve"> į supaprastinimo darbotvarkę; ragina Komisiją </w:t>
            </w:r>
            <w:r w:rsidRPr="00D71EF1">
              <w:rPr>
                <w:b/>
                <w:bCs/>
                <w:i/>
                <w:iCs/>
              </w:rPr>
              <w:t>prireikus įvertinti galimybę taikyti reglamentus, o ne direktyvas, kad būtų sumažintas reglamentavimo</w:t>
            </w:r>
            <w:r w:rsidRPr="00D71EF1">
              <w:t xml:space="preserve"> susiskaidymas</w:t>
            </w:r>
            <w:r w:rsidRPr="00D71EF1">
              <w:rPr>
                <w:b/>
                <w:bCs/>
                <w:i/>
                <w:iCs/>
              </w:rPr>
              <w:t>, kartu laikantis subsidiarumo ir proporcingumo principų</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Arba Kokalari</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w:t>
            </w:r>
            <w:r w:rsidRPr="00D71EF1">
              <w:rPr>
                <w:b/>
                <w:bCs/>
                <w:i/>
                <w:iCs/>
              </w:rPr>
              <w:t>labiau remtis reglamentais</w:t>
            </w:r>
            <w:r w:rsidRPr="00D71EF1">
              <w:t xml:space="preserve">, o ne </w:t>
            </w:r>
            <w:r w:rsidRPr="00D71EF1">
              <w:rPr>
                <w:b/>
                <w:bCs/>
                <w:i/>
                <w:iCs/>
              </w:rPr>
              <w:t>direktyvomis, taip 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w:t>
            </w:r>
            <w:r w:rsidRPr="00D71EF1">
              <w:rPr>
                <w:b/>
                <w:bCs/>
                <w:i/>
                <w:iCs/>
              </w:rPr>
              <w:t xml:space="preserve">tikslinis </w:t>
            </w:r>
            <w:r w:rsidRPr="00D71EF1">
              <w:t xml:space="preserve">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w:t>
            </w:r>
            <w:r w:rsidRPr="00D71EF1">
              <w:rPr>
                <w:b/>
                <w:bCs/>
                <w:i/>
                <w:iCs/>
              </w:rPr>
              <w:t>apsvarstyti galimybę pirmenybę teikti reglamentams, o ne direktyvoms, jei tai tinkamai pagrįsta, siekiant sumažinti nepagrįstus nacionalinius skirtumus ir užtikrinti didesnį suderinamumą visoje bendrojoje rinkoje</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Lídia Pereira,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w:t>
            </w:r>
            <w:r w:rsidRPr="00D71EF1">
              <w:rPr>
                <w:b/>
                <w:bCs/>
                <w:i/>
                <w:iCs/>
              </w:rPr>
              <w:t>labiau remtis reglamentais, o ne direktyvomis, taip 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w:t>
            </w:r>
            <w:r w:rsidRPr="00D71EF1">
              <w:rPr>
                <w:b/>
                <w:bCs/>
                <w:i/>
                <w:iCs/>
              </w:rPr>
              <w:t>taikyti principą „mažiau reglamentavimo, geresnis reglamentavimas“ ir užtikrinti suderinimą tais atvejais, kai poveikio vertinimai rodo aiškią pridėtinę vertę, ir kovoti su susiskaidymu</w:t>
            </w:r>
            <w:r w:rsidRPr="00D71EF1">
              <w:t>;</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Auke Zijlstra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w:t>
            </w:r>
            <w:r w:rsidRPr="00D71EF1">
              <w:rPr>
                <w:b/>
                <w:bCs/>
                <w:i/>
                <w:iCs/>
              </w:rPr>
              <w:t>;</w:t>
            </w:r>
            <w:r w:rsidRPr="00D71EF1">
              <w:rPr>
                <w:b/>
                <w:i/>
              </w:rPr>
              <w:t xml:space="preserve"> </w:t>
            </w:r>
            <w:r w:rsidRPr="00D71EF1">
              <w:rPr>
                <w:b/>
                <w:bCs/>
                <w:i/>
                <w:iCs/>
              </w:rPr>
              <w:t>mano, kad siekiant</w:t>
            </w:r>
            <w:r w:rsidRPr="00D71EF1">
              <w:t xml:space="preserve"> palengvinti tarpvalstybinę veiklą</w:t>
            </w:r>
            <w:r w:rsidRPr="00D71EF1">
              <w:rPr>
                <w:b/>
                <w:bCs/>
                <w:i/>
                <w:iCs/>
              </w:rPr>
              <w:t xml:space="preserve"> valstybių narių teisės aktų sistemų suderinimas turėtų būti įtrauktas į supaprastinimo darbotvarkę</w:t>
            </w:r>
            <w:r w:rsidRPr="00D71EF1">
              <w:t>; ragina Komisiją labiau remtis reglamentais</w:t>
            </w:r>
            <w:r w:rsidRPr="00D71EF1">
              <w:rPr>
                <w:b/>
                <w:bCs/>
                <w:i/>
                <w:iCs/>
              </w:rPr>
              <w:t>, o ne direktyvomis</w:t>
            </w:r>
            <w:r w:rsidRPr="00D71EF1">
              <w:t xml:space="preserve">, taip apribojant </w:t>
            </w:r>
            <w:r w:rsidRPr="00D71EF1">
              <w:rPr>
                <w:b/>
                <w:bCs/>
                <w:i/>
                <w:iCs/>
              </w:rPr>
              <w:t>nacionalinę veiksmų laisvę, nes dėl jos</w:t>
            </w:r>
            <w:r w:rsidRPr="00D71EF1">
              <w:t xml:space="preserve"> gali </w:t>
            </w:r>
            <w:r w:rsidRPr="00D71EF1">
              <w:rPr>
                <w:b/>
                <w:bCs/>
                <w:i/>
                <w:iCs/>
              </w:rPr>
              <w:t>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w:t>
            </w:r>
            <w:r w:rsidRPr="00D71EF1">
              <w:rPr>
                <w:b/>
                <w:bCs/>
                <w:i/>
                <w:iCs/>
              </w:rPr>
              <w:t xml:space="preserve">ir reguliavimo panaikinimas </w:t>
            </w:r>
            <w:r w:rsidRPr="00D71EF1">
              <w:t>gali padidinti ES, kaip investicijų vietos, patrauklumą</w:t>
            </w:r>
            <w:r w:rsidRPr="00D71EF1">
              <w:rPr>
                <w:b/>
                <w:bCs/>
                <w:i/>
                <w:iCs/>
              </w:rPr>
              <w:t xml:space="preserve"> ir palengvinti tarpvalstybinę veiklą</w:t>
            </w:r>
            <w:r w:rsidRPr="00D71EF1">
              <w:t xml:space="preserve">; ragina Komisiją labiau remtis </w:t>
            </w:r>
            <w:r w:rsidRPr="00D71EF1">
              <w:rPr>
                <w:b/>
                <w:bCs/>
                <w:i/>
                <w:iCs/>
              </w:rPr>
              <w:t xml:space="preserve">reguliavimo panaikinimu, o ne </w:t>
            </w:r>
            <w:r w:rsidRPr="00D71EF1">
              <w:t xml:space="preserve">reglamentais, taip apribojant </w:t>
            </w:r>
            <w:r w:rsidRPr="00D71EF1">
              <w:rPr>
                <w:b/>
                <w:bCs/>
                <w:i/>
                <w:iCs/>
              </w:rPr>
              <w:t>ES perteklinį reguliavimą, kuris</w:t>
            </w:r>
            <w:r w:rsidRPr="00D71EF1">
              <w:t xml:space="preserve"> gali </w:t>
            </w:r>
            <w:r w:rsidRPr="00D71EF1">
              <w:rPr>
                <w:b/>
                <w:bCs/>
                <w:i/>
                <w:iCs/>
              </w:rPr>
              <w:t>atgrasyti nuo investicijų ES</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Enikő Győri, Pierre Pimpie, Jorge Martín Frías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r>
            <w:r w:rsidRPr="00D71EF1">
              <w:rPr>
                <w:b/>
                <w:bCs/>
                <w:i/>
                <w:iCs/>
              </w:rPr>
              <w:t>pažymi</w:t>
            </w:r>
            <w:r w:rsidRPr="00D71EF1">
              <w:t xml:space="preserve">, kad </w:t>
            </w:r>
            <w:r w:rsidRPr="00D71EF1">
              <w:rPr>
                <w:b/>
                <w:bCs/>
                <w:i/>
                <w:iCs/>
              </w:rPr>
              <w:t>administracinių procedūrų supaprastinimas gal</w:t>
            </w:r>
            <w:r w:rsidRPr="00D71EF1">
              <w:t xml:space="preserve">i padidinti ES, kaip investicijų vietos, patrauklumą; mano, kad siekiant palengvinti tarpvalstybinę veiklą valstybių narių teisės aktų sistemų </w:t>
            </w:r>
            <w:r w:rsidRPr="00D71EF1">
              <w:rPr>
                <w:b/>
                <w:bCs/>
                <w:i/>
                <w:iCs/>
              </w:rPr>
              <w:t>suderinimas turėtų</w:t>
            </w:r>
            <w:r w:rsidRPr="00D71EF1">
              <w:t xml:space="preserve"> būti įtrauktas į supaprastinimo darbotvarkę; </w:t>
            </w:r>
            <w:r w:rsidRPr="00D71EF1">
              <w:rPr>
                <w:b/>
                <w:i/>
              </w:rPr>
              <w:t>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r>
            <w:r w:rsidRPr="00D71EF1">
              <w:rPr>
                <w:b/>
                <w:bCs/>
                <w:i/>
                <w:iCs/>
              </w:rPr>
              <w:t>pabrėžia</w:t>
            </w:r>
            <w:r w:rsidRPr="00D71EF1">
              <w:t xml:space="preserve">, kad </w:t>
            </w:r>
            <w:r w:rsidRPr="00D71EF1">
              <w:rPr>
                <w:b/>
                <w:bCs/>
                <w:i/>
                <w:iCs/>
              </w:rPr>
              <w:t>norint</w:t>
            </w:r>
            <w:r w:rsidRPr="00D71EF1">
              <w:t xml:space="preserve"> padidinti ES, kaip investicijų vietos, patrauklumą</w:t>
            </w:r>
            <w:r w:rsidRPr="00D71EF1">
              <w:rPr>
                <w:b/>
                <w:bCs/>
                <w:i/>
                <w:iCs/>
              </w:rPr>
              <w:t>, būtina gerokai sumažinti administracinę naštą</w:t>
            </w:r>
            <w:r w:rsidRPr="00D71EF1">
              <w:t>; mano, kad siekiant palengvinti tarpvalstybinę veiklą valstybių narių teisės aktų sistemų</w:t>
            </w:r>
            <w:r w:rsidRPr="00D71EF1">
              <w:rPr>
                <w:b/>
                <w:bCs/>
                <w:i/>
                <w:iCs/>
              </w:rPr>
              <w:t xml:space="preserve"> tarpusavio sinergijos kūrimas galėtų</w:t>
            </w:r>
            <w:r w:rsidRPr="00D71EF1">
              <w:t xml:space="preserve"> būti įtrauktas į supaprastinimo darbotvarkę</w:t>
            </w:r>
            <w:r w:rsidRPr="00D71EF1">
              <w:rPr>
                <w:b/>
                <w:bCs/>
                <w:i/>
                <w:iCs/>
              </w:rPr>
              <w:t>, atsižvelgiant į jų kompetenciją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Pierre Pimpie</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w:t>
            </w:r>
            <w:r w:rsidRPr="00D71EF1">
              <w:rPr>
                <w:b/>
                <w:bCs/>
                <w:i/>
                <w:iCs/>
              </w:rPr>
              <w:t>valstybių narių</w:t>
            </w:r>
            <w:r w:rsidRPr="00D71EF1">
              <w:t xml:space="preserve"> teisės aktų </w:t>
            </w:r>
            <w:r w:rsidRPr="00D71EF1">
              <w:rPr>
                <w:b/>
                <w:bCs/>
                <w:i/>
                <w:iCs/>
              </w:rPr>
              <w:t>sistemų suderinimas turėtų būti įtrauktas į supaprastinimo darbotvarkę</w:t>
            </w:r>
            <w:r w:rsidRPr="00D71EF1">
              <w:t>; ragina Komisiją labiau remtis reglamentais</w:t>
            </w:r>
            <w:r w:rsidRPr="00D71EF1">
              <w:rPr>
                <w:b/>
                <w:bCs/>
                <w:i/>
                <w:iCs/>
              </w:rPr>
              <w:t>, o ne direktyvomis</w:t>
            </w:r>
            <w:r w:rsidRPr="00D71EF1">
              <w:t xml:space="preserve">, taip </w:t>
            </w:r>
            <w:r w:rsidRPr="00D71EF1">
              <w:rPr>
                <w:b/>
                <w:bCs/>
                <w:i/>
                <w:iCs/>
              </w:rPr>
              <w:t>apribojant nacionalinę veiksmų laisvę, nes dėl jos gali atsirasti susiskaidymas</w:t>
            </w:r>
            <w:r w:rsidRPr="00D71EF1">
              <w:t>;</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w:t>
            </w:r>
            <w:r w:rsidRPr="00D71EF1">
              <w:rPr>
                <w:b/>
                <w:bCs/>
                <w:i/>
                <w:iCs/>
              </w:rPr>
              <w:t>valstybės narės turėtų stengtis supaprastinti savo</w:t>
            </w:r>
            <w:r w:rsidRPr="00D71EF1">
              <w:t xml:space="preserve"> teisės aktų </w:t>
            </w:r>
            <w:r w:rsidRPr="00D71EF1">
              <w:rPr>
                <w:b/>
                <w:bCs/>
                <w:i/>
                <w:iCs/>
              </w:rPr>
              <w:t>sistemas</w:t>
            </w:r>
            <w:r w:rsidRPr="00D71EF1">
              <w:t xml:space="preserve">; ragina Komisiją labiau remtis </w:t>
            </w:r>
            <w:r w:rsidRPr="00D71EF1">
              <w:rPr>
                <w:b/>
                <w:bCs/>
                <w:i/>
                <w:iCs/>
              </w:rPr>
              <w:t>direktyvomis, o ne</w:t>
            </w:r>
            <w:r w:rsidRPr="00D71EF1">
              <w:rPr>
                <w:b/>
                <w:bCs/>
              </w:rPr>
              <w:t xml:space="preserve"> </w:t>
            </w:r>
            <w:r w:rsidRPr="00D71EF1">
              <w:t xml:space="preserve">reglamentais, taip </w:t>
            </w:r>
            <w:r w:rsidRPr="00D71EF1">
              <w:rPr>
                <w:b/>
                <w:bCs/>
                <w:i/>
                <w:iCs/>
              </w:rPr>
              <w:t>skatinant valstybes nares mažinti susiskaidymą</w:t>
            </w:r>
            <w:r w:rsidRPr="00D71EF1">
              <w:t>;</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Dirk Gotink</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w:t>
            </w:r>
            <w:r w:rsidRPr="00D71EF1">
              <w:rPr>
                <w:b/>
                <w:bCs/>
                <w:i/>
                <w:iCs/>
              </w:rPr>
              <w:t xml:space="preserve">ir reglamentavimo </w:t>
            </w:r>
            <w:r w:rsidRPr="00D71EF1">
              <w:t xml:space="preserve">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 </w:t>
            </w:r>
            <w:r w:rsidRPr="00D71EF1">
              <w:rPr>
                <w:b/>
                <w:i/>
              </w:rPr>
              <w:t>ragina Komisiją laikytis principo „kiek plius, tiek minus“, kad būtų sumažinta reglamentavimo našta, ir tikrinti kiekvienos naujos politikos iniciatyvos konkurencingumą;</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Michalis Hadjipantela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w:t>
            </w:r>
            <w:r w:rsidRPr="00D71EF1">
              <w:rPr>
                <w:b/>
                <w:bCs/>
                <w:i/>
                <w:iCs/>
              </w:rPr>
              <w:t xml:space="preserve"> ir ragina sumažinti nereikalingą sudėtingumą ir naštą įgyvendinimo partneriams ir naudos gavėjams, ypač MVĮ</w:t>
            </w:r>
            <w:r w:rsidRPr="00D71EF1">
              <w:t>;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329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Kinga Kollár, Isabel Benjumea Benjumea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w:t>
            </w:r>
            <w:r w:rsidRPr="00D71EF1">
              <w:rPr>
                <w:b/>
                <w:bCs/>
                <w:i/>
                <w:iCs/>
              </w:rPr>
              <w:t xml:space="preserve">ir paspartinimas ir administracinės naštos sumažinimas </w:t>
            </w:r>
            <w:r w:rsidRPr="00D71EF1">
              <w:t xml:space="preserve">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w:t>
            </w:r>
            <w:r w:rsidRPr="00D71EF1">
              <w:lastRenderedPageBreak/>
              <w:t>veiksmų laisvę, nes dėl jos gali atsirasti susiskaidymas;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330</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Rasmus Andresen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w:t>
            </w:r>
            <w:r w:rsidRPr="00D71EF1">
              <w:rPr>
                <w:b/>
                <w:bCs/>
                <w:i/>
                <w:iCs/>
              </w:rPr>
              <w:t xml:space="preserve">išsaugant būtiniausius nacionalinius socialinius standartus </w:t>
            </w:r>
            <w:r w:rsidRPr="00D71EF1">
              <w:t>turėtų būti įtrauktas į supaprastinimo darbotvarkę; ragina Komisiją labiau remtis reglamentais, o ne direktyvomis, taip apribojant nacionalinę veiksmų laisvę, nes dėl jos gali atsirasti susiskaidymas;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0"/>
        <w:keepNext/>
        <w:rPr>
          <w:lang w:val="lt-LT"/>
        </w:rPr>
      </w:pPr>
      <w:r w:rsidRPr="00D71EF1">
        <w:rPr>
          <w:rStyle w:val="HideTWBExt"/>
          <w:b w:val="0"/>
          <w:szCs w:val="24"/>
          <w:lang w:val="lt-LT" w:eastAsia="en-US"/>
        </w:rPr>
        <w:t>&lt;Amend&gt;</w:t>
      </w:r>
      <w:r w:rsidRPr="00D71EF1">
        <w:rPr>
          <w:lang w:val="lt-LT"/>
        </w:rPr>
        <w:t>Pakeitimas</w:t>
      </w:r>
      <w:r w:rsidRPr="00D71EF1">
        <w:rPr>
          <w:lang w:val="lt-LT"/>
        </w:rPr>
        <w:tab/>
      </w:r>
      <w:r w:rsidRPr="00D71EF1">
        <w:rPr>
          <w:lang w:val="lt-LT"/>
        </w:rPr>
        <w:tab/>
      </w:r>
      <w:r w:rsidRPr="00D71EF1">
        <w:rPr>
          <w:rStyle w:val="HideTWBExt"/>
          <w:b w:val="0"/>
          <w:szCs w:val="24"/>
          <w:lang w:val="lt-LT" w:eastAsia="en-US"/>
        </w:rPr>
        <w:t>&lt;NumAm&gt;</w:t>
      </w:r>
      <w:r w:rsidRPr="00D71EF1">
        <w:rPr>
          <w:lang w:val="lt-LT"/>
        </w:rPr>
        <w:t>331</w:t>
      </w:r>
      <w:r w:rsidRPr="00D71EF1">
        <w:rPr>
          <w:rStyle w:val="HideTWBExt"/>
          <w:b w:val="0"/>
          <w:szCs w:val="24"/>
          <w:lang w:val="lt-LT" w:eastAsia="en-US"/>
        </w:rPr>
        <w:t>&lt;/NumAm&gt;</w:t>
      </w:r>
    </w:p>
    <w:p w:rsidR="00E95BBE" w:rsidRPr="00D71EF1" w:rsidRDefault="00E95BBE" w:rsidP="00E95BBE">
      <w:pPr>
        <w:pStyle w:val="NormalBold"/>
      </w:pPr>
      <w:r w:rsidRPr="00D71EF1">
        <w:rPr>
          <w:rStyle w:val="HideTWBExt"/>
          <w:b w:val="0"/>
        </w:rPr>
        <w:t>&lt;RepeatBlock-By&gt;&lt;Members&gt;</w:t>
      </w:r>
      <w:r w:rsidRPr="00D71EF1">
        <w:t>Danuše Nerudová</w:t>
      </w:r>
      <w:r w:rsidRPr="00D71EF1">
        <w:rPr>
          <w:rStyle w:val="HideTWBExt"/>
          <w:b w:val="0"/>
        </w:rPr>
        <w:t>&lt;/Members&gt;</w:t>
      </w:r>
    </w:p>
    <w:p w:rsidR="00E95BBE" w:rsidRPr="00D71EF1" w:rsidRDefault="00E95BBE" w:rsidP="00E95BBE">
      <w:r w:rsidRPr="00D71EF1">
        <w:rPr>
          <w:rStyle w:val="HideTWBExt"/>
        </w:rPr>
        <w:t>&lt;/RepeatBlock-By&gt;</w:t>
      </w:r>
    </w:p>
    <w:p w:rsidR="00E95BBE" w:rsidRPr="00D71EF1" w:rsidRDefault="00E95BBE" w:rsidP="00E95BBE">
      <w:pPr>
        <w:pStyle w:val="NormalBold"/>
        <w:keepNext/>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95BBE" w:rsidRPr="00D71EF1" w:rsidTr="00E95BBE">
        <w:trPr>
          <w:jc w:val="center"/>
        </w:trPr>
        <w:tc>
          <w:tcPr>
            <w:tcW w:w="9752" w:type="dxa"/>
            <w:gridSpan w:val="2"/>
          </w:tcPr>
          <w:p w:rsidR="00E95BBE" w:rsidRPr="00D71EF1" w:rsidRDefault="00E95BBE" w:rsidP="00E95BBE">
            <w:pPr>
              <w:keepNext/>
            </w:pPr>
          </w:p>
        </w:tc>
      </w:tr>
      <w:tr w:rsidR="00E95BBE" w:rsidRPr="00D71EF1" w:rsidTr="00E95BBE">
        <w:trPr>
          <w:jc w:val="center"/>
        </w:trPr>
        <w:tc>
          <w:tcPr>
            <w:tcW w:w="4876" w:type="dxa"/>
          </w:tcPr>
          <w:p w:rsidR="00E95BBE" w:rsidRPr="00D71EF1" w:rsidRDefault="00E95BBE" w:rsidP="00E95BBE">
            <w:pPr>
              <w:pStyle w:val="ColumnHeading"/>
              <w:keepNext/>
              <w:rPr>
                <w:lang w:val="lt-LT"/>
              </w:rPr>
            </w:pPr>
            <w:r w:rsidRPr="00D71EF1">
              <w:rPr>
                <w:lang w:val="lt-LT"/>
              </w:rPr>
              <w:t>Pasiūlymas dėl rezoliucijos</w:t>
            </w:r>
          </w:p>
        </w:tc>
        <w:tc>
          <w:tcPr>
            <w:tcW w:w="4876" w:type="dxa"/>
          </w:tcPr>
          <w:p w:rsidR="00E95BBE" w:rsidRPr="00D71EF1" w:rsidRDefault="00E95BBE" w:rsidP="00E95BBE">
            <w:pPr>
              <w:pStyle w:val="ColumnHeading"/>
              <w:keepNext/>
              <w:rPr>
                <w:lang w:val="lt-LT"/>
              </w:rPr>
            </w:pPr>
            <w:r w:rsidRPr="00D71EF1">
              <w:rPr>
                <w:lang w:val="lt-LT"/>
              </w:rPr>
              <w:t>Pakeitimas</w:t>
            </w:r>
          </w:p>
        </w:tc>
      </w:tr>
      <w:tr w:rsidR="00E95BBE" w:rsidRPr="00D71EF1" w:rsidTr="00E95BBE">
        <w:trPr>
          <w:jc w:val="center"/>
        </w:trPr>
        <w:tc>
          <w:tcPr>
            <w:tcW w:w="4876" w:type="dxa"/>
          </w:tcPr>
          <w:p w:rsidR="00E95BBE" w:rsidRPr="00D71EF1" w:rsidRDefault="00E95BBE" w:rsidP="00E95BBE">
            <w:pPr>
              <w:pStyle w:val="Normal6"/>
              <w:rPr>
                <w:lang w:val="lt-LT"/>
              </w:rPr>
            </w:pPr>
            <w:r w:rsidRPr="00D71EF1">
              <w:rPr>
                <w:lang w:val="lt-LT"/>
              </w:rPr>
              <w:t>9.</w:t>
            </w:r>
            <w:r w:rsidRPr="00D71EF1">
              <w:rPr>
                <w:lang w:val="lt-LT"/>
              </w:rPr>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w:t>
            </w:r>
            <w:r w:rsidRPr="00D71EF1">
              <w:rPr>
                <w:lang w:val="lt-LT"/>
              </w:rPr>
              <w:lastRenderedPageBreak/>
              <w:t>nacionalinę veiksmų laisvę, nes dėl jos gali atsirasti susiskaidymas;</w:t>
            </w:r>
          </w:p>
        </w:tc>
        <w:tc>
          <w:tcPr>
            <w:tcW w:w="4876" w:type="dxa"/>
          </w:tcPr>
          <w:p w:rsidR="00E95BBE" w:rsidRPr="00D71EF1" w:rsidRDefault="00E95BBE" w:rsidP="00E95BBE">
            <w:pPr>
              <w:pStyle w:val="Normal6"/>
              <w:rPr>
                <w:szCs w:val="24"/>
                <w:lang w:val="lt-LT"/>
              </w:rPr>
            </w:pPr>
            <w:r w:rsidRPr="00D71EF1">
              <w:rPr>
                <w:lang w:val="lt-LT"/>
              </w:rPr>
              <w:lastRenderedPageBreak/>
              <w:t>9.</w:t>
            </w:r>
            <w:r w:rsidRPr="00D71EF1">
              <w:rPr>
                <w:lang w:val="lt-LT"/>
              </w:rPr>
              <w:tab/>
              <w:t>pažymi, kad administracinių procedūrų supaprastinimas gali padidinti ES, kaip investicijų vietos, patrauklumą</w:t>
            </w:r>
            <w:r w:rsidRPr="00D71EF1">
              <w:rPr>
                <w:b/>
                <w:bCs/>
                <w:i/>
                <w:iCs/>
                <w:lang w:val="lt-LT"/>
              </w:rPr>
              <w:t xml:space="preserve"> ir ragina mažinti biurokratizmą paramos gavėjams ir supaprastint</w:t>
            </w:r>
            <w:r w:rsidR="00BE1599" w:rsidRPr="00D71EF1">
              <w:rPr>
                <w:b/>
                <w:bCs/>
                <w:i/>
                <w:iCs/>
                <w:lang w:val="lt-LT"/>
              </w:rPr>
              <w:t>i</w:t>
            </w:r>
            <w:r w:rsidRPr="00D71EF1">
              <w:rPr>
                <w:b/>
                <w:bCs/>
                <w:i/>
                <w:iCs/>
                <w:lang w:val="lt-LT"/>
              </w:rPr>
              <w:t xml:space="preserve"> ES programas</w:t>
            </w:r>
            <w:r w:rsidRPr="00D71EF1">
              <w:rPr>
                <w:lang w:val="lt-LT"/>
              </w:rPr>
              <w:t xml:space="preserve">; mano, kad siekiant palengvinti tarpvalstybinę veiklą valstybių narių teisės aktų sistemų suderinimas turėtų būti įtrauktas į supaprastinimo darbotvarkę; </w:t>
            </w:r>
            <w:r w:rsidRPr="00D71EF1">
              <w:rPr>
                <w:lang w:val="lt-LT"/>
              </w:rPr>
              <w:lastRenderedPageBreak/>
              <w:t>ragina Komisiją labiau remtis reglamentais, o ne direktyvomis, taip apribojant nacionalinę veiksmų laisvę, nes dėl jos gali atsirasti susiskaidymas;</w:t>
            </w:r>
          </w:p>
        </w:tc>
      </w:tr>
    </w:tbl>
    <w:p w:rsidR="00E95BBE" w:rsidRPr="00D71EF1" w:rsidRDefault="00E95BBE" w:rsidP="00E95BBE">
      <w:pPr>
        <w:pStyle w:val="Olang"/>
        <w:rPr>
          <w:sz w:val="24"/>
          <w:szCs w:val="24"/>
          <w:lang w:val="lt-LT"/>
        </w:rPr>
      </w:pPr>
      <w:r w:rsidRPr="00D71EF1">
        <w:rPr>
          <w:sz w:val="24"/>
          <w:lang w:val="lt-LT"/>
        </w:rPr>
        <w:lastRenderedPageBreak/>
        <w:t xml:space="preserve">Or. </w:t>
      </w:r>
      <w:r w:rsidRPr="00D71EF1">
        <w:rPr>
          <w:rStyle w:val="HideTWBExt"/>
          <w:lang w:val="lt-LT"/>
        </w:rPr>
        <w:t>&lt;Original&gt;</w:t>
      </w:r>
      <w:r w:rsidRPr="00D71EF1">
        <w:rPr>
          <w:rStyle w:val="HideTWBInt"/>
          <w:lang w:val="lt-LT"/>
        </w:rPr>
        <w:t>{EN}</w:t>
      </w:r>
      <w:r w:rsidRPr="00D71EF1">
        <w:rPr>
          <w:sz w:val="24"/>
          <w:lang w:val="lt-LT"/>
        </w:rPr>
        <w:t>en</w:t>
      </w:r>
      <w:r w:rsidRPr="00D71EF1">
        <w:rPr>
          <w:rStyle w:val="HideTWBExt"/>
          <w:lang w:val="lt-L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332</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Ľudovít Ódor, Anouk Van Brug, Billy Kelleher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ragina Komisiją labiau remtis reglamentais, o ne direktyvomis, taip apribojant nacionalinę veiksmų laisvę, nes dėl jos gali atsirasti susiskaidymas; </w:t>
            </w:r>
            <w:r w:rsidRPr="00D71EF1">
              <w:rPr>
                <w:b/>
                <w:i/>
              </w:rPr>
              <w:t>todėl ragina Komisiją nuodugniai ištirti 28-osios taisyklės, kurią taikant galima sumažinti visus esamus suvaržymus, taikymo galimybes;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333</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Markus Ferber</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dalis</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r w:rsidRPr="00D71EF1">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w:t>
            </w:r>
            <w:r w:rsidRPr="00D71EF1">
              <w:lastRenderedPageBreak/>
              <w:t>ragina Komisiją labiau remtis reglamentais, o ne direktyvomis, taip apribojant nacionalinę veiksmų laisvę, nes dėl jos gali atsirasti susiskaidymas;</w:t>
            </w:r>
          </w:p>
        </w:tc>
        <w:tc>
          <w:tcPr>
            <w:tcW w:w="4876" w:type="dxa"/>
            <w:tcBorders>
              <w:top w:val="nil"/>
              <w:left w:val="nil"/>
              <w:bottom w:val="nil"/>
              <w:right w:val="nil"/>
            </w:tcBorders>
          </w:tcPr>
          <w:p w:rsidR="00E95BBE" w:rsidRPr="00D71EF1" w:rsidRDefault="00E95BBE" w:rsidP="00E95BBE">
            <w:pPr>
              <w:pStyle w:val="Normal6a"/>
            </w:pPr>
            <w:r w:rsidRPr="00D71EF1">
              <w:lastRenderedPageBreak/>
              <w:t>9.</w:t>
            </w:r>
            <w:r w:rsidRPr="00D71EF1">
              <w:tab/>
              <w:t xml:space="preserve">pažymi, kad administracinių procedūrų supaprastinimas gali padidinti ES, kaip investicijų vietos, patrauklumą; mano, kad siekiant palengvinti tarpvalstybinę veiklą valstybių narių teisės aktų sistemų suderinimas turėtų būti įtrauktas į supaprastinimo darbotvarkę; </w:t>
            </w:r>
            <w:r w:rsidRPr="00D71EF1">
              <w:lastRenderedPageBreak/>
              <w:t xml:space="preserve">ragina Komisiją labiau remtis reglamentais, o ne direktyvomis, taip apribojant nacionalinę veiksmų laisvę, nes dėl jos gali atsirasti susiskaidymas; </w:t>
            </w:r>
            <w:r w:rsidRPr="00D71EF1">
              <w:rPr>
                <w:b/>
                <w:i/>
              </w:rPr>
              <w:t>ragina Komisiją kovoti su valstybių narių perteklinio reglamentavimo atvejais;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334</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Eero Heinäluoma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a dalis (nauja)</w:t>
      </w:r>
      <w:r w:rsidRPr="00D71EF1">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9a. ragina Komisiją užtikrinti sistemingą Europos priežiūros institucijų (EPI) dalyvavimą priimant sprendimus dėl antrojo ir trečiojo lygio įgaliojimų užtikrinant, kad šie įgaliojimai būtų pagrįsti įrodymais, proporcingi ir pritaikyti finansų sektoriaus poreikiams; ragina Komisiją užtikrinti reikiamą finansavimą, kad EPI galėtų vykdyti šiuos įgaliojimus;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335</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Aurore Lalucq</w:t>
      </w:r>
      <w:r w:rsidRPr="00D71EF1">
        <w:rPr>
          <w:rStyle w:val="HideTWBExt"/>
          <w:b w:val="0"/>
        </w:rPr>
        <w:t>&lt;/Members&gt;</w:t>
      </w:r>
    </w:p>
    <w:p w:rsidR="00E95BBE" w:rsidRPr="00D71EF1" w:rsidRDefault="00E95BBE" w:rsidP="00E95BBE">
      <w:r w:rsidRPr="00D71EF1">
        <w:rPr>
          <w:rStyle w:val="HideTWBExt"/>
        </w:rPr>
        <w:t>&lt;AuNomDe&gt;</w:t>
      </w:r>
      <w:r w:rsidRPr="00D71EF1">
        <w:rPr>
          <w:rStyle w:val="HideTWBInt"/>
        </w:rPr>
        <w:t>{S&amp;D}</w:t>
      </w:r>
      <w:r w:rsidRPr="00D71EF1">
        <w:t>S&amp;D frakcijos vardu</w:t>
      </w:r>
      <w:r w:rsidRPr="00D71EF1">
        <w:rPr>
          <w:rStyle w:val="HideTWBExt"/>
        </w:rPr>
        <w:t>&lt;/AuNomDe&gt;</w:t>
      </w:r>
    </w:p>
    <w:p w:rsidR="00E95BBE" w:rsidRPr="00D71EF1" w:rsidRDefault="00E95BBE" w:rsidP="00E95BBE">
      <w:pPr>
        <w:pStyle w:val="NormalBold"/>
      </w:pPr>
      <w:r w:rsidRPr="00D71EF1">
        <w:rPr>
          <w:rStyle w:val="HideTWBExt"/>
          <w:b w:val="0"/>
        </w:rPr>
        <w:t>&lt;Members&gt;</w:t>
      </w:r>
      <w:r w:rsidRPr="00D71EF1">
        <w:t>Jonás Fernández, René Repasi, Eero Heinäluoma, Evelyn Regner, Niels Fuglsang, Claire Fita, Carla Tavares, Thomas Bajada, Francisco Assis, Lara Wolters</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9a.</w:t>
            </w:r>
            <w:r w:rsidRPr="00D71EF1">
              <w:tab/>
            </w:r>
            <w:r w:rsidRPr="00D71EF1">
              <w:rPr>
                <w:b/>
                <w:i/>
              </w:rPr>
              <w:t xml:space="preserve">mano, kad pirmasis supaprastinimo etapas yra veiksminga teisėkūra; ragina Komisiją užtikrinti EPI dalyvavimą priimant sprendimus dėl </w:t>
            </w:r>
            <w:r w:rsidRPr="00D71EF1">
              <w:rPr>
                <w:b/>
                <w:i/>
              </w:rPr>
              <w:lastRenderedPageBreak/>
              <w:t>antrojo ir trečiojo lygio įgaliojimų užtikrinant, kad šie įgaliojimai būtų pagrįsti įrodymais, proporcingi ir pritaikyti finansų sektoriaus poreikiams;</w:t>
            </w:r>
          </w:p>
        </w:tc>
      </w:tr>
    </w:tbl>
    <w:p w:rsidR="00E95BBE" w:rsidRPr="00D71EF1" w:rsidRDefault="00E95BBE" w:rsidP="00E95BBE">
      <w:pPr>
        <w:pStyle w:val="AmOrLang"/>
      </w:pPr>
      <w:r w:rsidRPr="00D71EF1">
        <w:lastRenderedPageBreak/>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336</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9a.</w:t>
            </w:r>
            <w:r w:rsidRPr="00D71EF1">
              <w:tab/>
            </w:r>
            <w:r w:rsidRPr="00D71EF1">
              <w:rPr>
                <w:b/>
                <w:i/>
              </w:rPr>
              <w:t>ragina mažinti administracinę ir reikalavimų laikymosi naštą bendrovėms, ypatingą dėmesį skiriant į biržos sąrašus įtrauktoms bendrovėms, siekiant didinti jų konkurencingumą ir patrauklumą; pabrėžia, kad perteklinės ataskaitų teikimo pareigos ir procedūrų sudėtingumas gali atgrasyti nuo įtraukimo į biržos sąrašus ir trukdyti patekti į kapitalo rinkas;</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337</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Sirpa Pietikäinen</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a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9a.</w:t>
            </w:r>
            <w:r w:rsidRPr="00D71EF1">
              <w:tab/>
            </w:r>
            <w:r w:rsidRPr="00D71EF1">
              <w:rPr>
                <w:b/>
                <w:i/>
              </w:rPr>
              <w:t>ragina Komisiją užtikrinti vienodas sąlygas, skatinančias investavimo galimybes, kuriant ilgalaikį ir plataus užmojo tvarumo ir kitą reguliavimą, kad būtų užtikrinta ilgalaikė pramonės sektorių ir investuotojų perspektyva;</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lastRenderedPageBreak/>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338</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b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9b.</w:t>
            </w:r>
            <w:r w:rsidRPr="00D71EF1">
              <w:tab/>
            </w:r>
            <w:r w:rsidRPr="00D71EF1">
              <w:rPr>
                <w:b/>
                <w:i/>
              </w:rPr>
              <w:t>ragina Įtraukimo į biržos sąrašus akto įgyvendinimo priemones visiškai suderinti su jo bendr</w:t>
            </w:r>
            <w:bookmarkStart w:id="1" w:name="_GoBack"/>
            <w:bookmarkEnd w:id="1"/>
            <w:r w:rsidRPr="00D71EF1">
              <w:rPr>
                <w:b/>
                <w:i/>
              </w:rPr>
              <w:t>u tikslu – sumažinti reguliavimo sudėtingumą ir reikalavimų laikymosi išlaidas, visų pirma emitentams; pabrėžia, kad 2 lygio nuostatos turėtų padėti užtikrinti prieinamesnę ir ekonomiškai efektyvesnę įtraukimo į biržos sąrašus aplinką visoje Sąjungoje;</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w:t>
      </w:r>
    </w:p>
    <w:p w:rsidR="00E95BBE" w:rsidRPr="00D71EF1" w:rsidRDefault="00E95BBE" w:rsidP="00E95BBE">
      <w:pPr>
        <w:pStyle w:val="AmNumberTabs"/>
      </w:pPr>
      <w:r w:rsidRPr="00D71EF1">
        <w:rPr>
          <w:rStyle w:val="HideTWBExt"/>
          <w:b w:val="0"/>
        </w:rPr>
        <w:t>&lt;Amend&gt;</w:t>
      </w:r>
      <w:r w:rsidRPr="00D71EF1">
        <w:t>Pakeitimas</w:t>
      </w:r>
      <w:r w:rsidRPr="00D71EF1">
        <w:tab/>
      </w:r>
      <w:r w:rsidRPr="00D71EF1">
        <w:tab/>
      </w:r>
      <w:r w:rsidRPr="00D71EF1">
        <w:rPr>
          <w:rStyle w:val="HideTWBExt"/>
          <w:b w:val="0"/>
        </w:rPr>
        <w:t>&lt;NumAm&gt;</w:t>
      </w:r>
      <w:r w:rsidRPr="00D71EF1">
        <w:t>339</w:t>
      </w:r>
      <w:r w:rsidRPr="00D71EF1">
        <w:rPr>
          <w:rStyle w:val="HideTWBExt"/>
          <w:b w:val="0"/>
        </w:rPr>
        <w:t>&lt;/NumAm&gt;</w:t>
      </w:r>
    </w:p>
    <w:p w:rsidR="00E95BBE" w:rsidRPr="00D71EF1" w:rsidRDefault="00E95BBE" w:rsidP="00E95BBE">
      <w:pPr>
        <w:pStyle w:val="NormalBold"/>
      </w:pPr>
      <w:r w:rsidRPr="00D71EF1">
        <w:rPr>
          <w:rStyle w:val="HideTWBExt"/>
          <w:b w:val="0"/>
        </w:rPr>
        <w:t>&lt;RepeatBlock-By&gt;&lt;Members&gt;</w:t>
      </w:r>
      <w:r w:rsidRPr="00D71EF1">
        <w:t>Giovanni Crosetto, Denis Nesci, Francesco Ventola</w:t>
      </w:r>
      <w:r w:rsidRPr="00D71EF1">
        <w:rPr>
          <w:rStyle w:val="HideTWBExt"/>
          <w:b w:val="0"/>
        </w:rPr>
        <w:t>&lt;/Members&gt;</w:t>
      </w:r>
    </w:p>
    <w:p w:rsidR="00E95BBE" w:rsidRPr="00D71EF1" w:rsidRDefault="00E95BBE" w:rsidP="00E95BBE">
      <w:pPr>
        <w:pStyle w:val="NormalBold"/>
      </w:pPr>
      <w:r w:rsidRPr="00D71EF1">
        <w:rPr>
          <w:rStyle w:val="HideTWBExt"/>
          <w:b w:val="0"/>
        </w:rPr>
        <w:t>&lt;/RepeatBlock-By&gt;</w:t>
      </w:r>
    </w:p>
    <w:p w:rsidR="00E95BBE" w:rsidRPr="00D71EF1" w:rsidRDefault="00E95BBE" w:rsidP="00E95BBE">
      <w:pPr>
        <w:pStyle w:val="NormalBold"/>
      </w:pPr>
      <w:r w:rsidRPr="00D71EF1">
        <w:rPr>
          <w:rStyle w:val="HideTWBExt"/>
          <w:b w:val="0"/>
        </w:rPr>
        <w:t>&lt;DocAmend&gt;</w:t>
      </w:r>
      <w:r w:rsidRPr="00D71EF1">
        <w:t>Pasiūlymas dėl rezoliucijos</w:t>
      </w:r>
      <w:r w:rsidRPr="00D71EF1">
        <w:rPr>
          <w:rStyle w:val="HideTWBExt"/>
          <w:b w:val="0"/>
        </w:rPr>
        <w:t>&lt;/DocAmend&gt;</w:t>
      </w:r>
    </w:p>
    <w:p w:rsidR="00E95BBE" w:rsidRPr="00D71EF1" w:rsidRDefault="00E95BBE" w:rsidP="00E95BBE">
      <w:pPr>
        <w:pStyle w:val="NormalBold"/>
      </w:pPr>
      <w:r w:rsidRPr="00D71EF1">
        <w:rPr>
          <w:rStyle w:val="HideTWBExt"/>
          <w:b w:val="0"/>
        </w:rPr>
        <w:t>&lt;Article&gt;</w:t>
      </w:r>
      <w:r w:rsidRPr="00D71EF1">
        <w:t>9 c dalis (nauja)</w:t>
      </w:r>
      <w:r w:rsidRPr="00D71EF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95BBE" w:rsidRPr="00D71EF1" w:rsidTr="00E95BBE">
        <w:trPr>
          <w:trHeight w:hRule="exact" w:val="240"/>
          <w:jc w:val="center"/>
        </w:trPr>
        <w:tc>
          <w:tcPr>
            <w:tcW w:w="9752" w:type="dxa"/>
            <w:gridSpan w:val="2"/>
            <w:tcBorders>
              <w:top w:val="nil"/>
              <w:left w:val="nil"/>
              <w:bottom w:val="nil"/>
              <w:right w:val="nil"/>
            </w:tcBorders>
          </w:tcPr>
          <w:p w:rsidR="00E95BBE" w:rsidRPr="00D71EF1" w:rsidRDefault="00E95BBE" w:rsidP="00E95BBE"/>
        </w:tc>
      </w:tr>
      <w:tr w:rsidR="00E95BBE" w:rsidRPr="00D71EF1" w:rsidTr="00E95BBE">
        <w:trPr>
          <w:trHeight w:val="240"/>
          <w:jc w:val="center"/>
        </w:trPr>
        <w:tc>
          <w:tcPr>
            <w:tcW w:w="4876" w:type="dxa"/>
            <w:tcBorders>
              <w:top w:val="nil"/>
              <w:left w:val="nil"/>
              <w:bottom w:val="nil"/>
              <w:right w:val="nil"/>
            </w:tcBorders>
          </w:tcPr>
          <w:p w:rsidR="00E95BBE" w:rsidRPr="00D71EF1" w:rsidRDefault="00E95BBE" w:rsidP="00E95BBE">
            <w:pPr>
              <w:pStyle w:val="AmColumnHeading"/>
            </w:pPr>
            <w:r w:rsidRPr="00D71EF1">
              <w:t>Pasiūlymas dėl rezoliucijos</w:t>
            </w:r>
          </w:p>
        </w:tc>
        <w:tc>
          <w:tcPr>
            <w:tcW w:w="4876" w:type="dxa"/>
            <w:tcBorders>
              <w:top w:val="nil"/>
              <w:left w:val="nil"/>
              <w:bottom w:val="nil"/>
              <w:right w:val="nil"/>
            </w:tcBorders>
          </w:tcPr>
          <w:p w:rsidR="00E95BBE" w:rsidRPr="00D71EF1" w:rsidRDefault="00E95BBE" w:rsidP="00E95BBE">
            <w:pPr>
              <w:pStyle w:val="AmColumnHeading"/>
            </w:pPr>
            <w:r w:rsidRPr="00D71EF1">
              <w:t>Pakeitimas</w:t>
            </w:r>
          </w:p>
        </w:tc>
      </w:tr>
      <w:tr w:rsidR="00E95BBE" w:rsidRPr="00D71EF1" w:rsidTr="00E95BBE">
        <w:trPr>
          <w:jc w:val="center"/>
        </w:trPr>
        <w:tc>
          <w:tcPr>
            <w:tcW w:w="4876" w:type="dxa"/>
            <w:tcBorders>
              <w:top w:val="nil"/>
              <w:left w:val="nil"/>
              <w:bottom w:val="nil"/>
              <w:right w:val="nil"/>
            </w:tcBorders>
          </w:tcPr>
          <w:p w:rsidR="00E95BBE" w:rsidRPr="00D71EF1" w:rsidRDefault="00E95BBE" w:rsidP="00E95BBE">
            <w:pPr>
              <w:pStyle w:val="Normal6a"/>
            </w:pPr>
          </w:p>
        </w:tc>
        <w:tc>
          <w:tcPr>
            <w:tcW w:w="4876" w:type="dxa"/>
            <w:tcBorders>
              <w:top w:val="nil"/>
              <w:left w:val="nil"/>
              <w:bottom w:val="nil"/>
              <w:right w:val="nil"/>
            </w:tcBorders>
          </w:tcPr>
          <w:p w:rsidR="00E95BBE" w:rsidRPr="00D71EF1" w:rsidRDefault="00E95BBE" w:rsidP="00E95BBE">
            <w:pPr>
              <w:pStyle w:val="Normal6a"/>
            </w:pPr>
            <w:r w:rsidRPr="00D71EF1">
              <w:rPr>
                <w:b/>
                <w:i/>
              </w:rPr>
              <w:t>9c.</w:t>
            </w:r>
            <w:r w:rsidRPr="00D71EF1">
              <w:tab/>
            </w:r>
            <w:r w:rsidRPr="00D71EF1">
              <w:rPr>
                <w:b/>
                <w:i/>
              </w:rPr>
              <w:t>ragina Komisiją spręsti nacionalinių nemokumo sistemų susiskaidymo problemą ir sukurti veiksmingus tarpvalstybinių ginčų sprendimo mechanizmus; pabrėžia, kad didesnė teisinė konvergencija ir procedūrinis aiškumas yra būtini siekiant sumažinti kliūtis tarpvalstybinėms investicijoms ir paremti didesnę ES kapitalo rinkų integraciją;</w:t>
            </w:r>
          </w:p>
        </w:tc>
      </w:tr>
    </w:tbl>
    <w:p w:rsidR="00E95BBE" w:rsidRPr="00D71EF1" w:rsidRDefault="00E95BBE" w:rsidP="00E95BBE">
      <w:pPr>
        <w:pStyle w:val="AmOrLang"/>
      </w:pPr>
      <w:r w:rsidRPr="00D71EF1">
        <w:t xml:space="preserve">Or. </w:t>
      </w:r>
      <w:r w:rsidRPr="00D71EF1">
        <w:rPr>
          <w:rStyle w:val="HideTWBExt"/>
        </w:rPr>
        <w:t>&lt;Original&gt;</w:t>
      </w:r>
      <w:r w:rsidRPr="00D71EF1">
        <w:rPr>
          <w:rStyle w:val="HideTWBInt"/>
        </w:rPr>
        <w:t>{EN}</w:t>
      </w:r>
      <w:r w:rsidRPr="00D71EF1">
        <w:t>en</w:t>
      </w:r>
      <w:r w:rsidRPr="00D71EF1">
        <w:rPr>
          <w:rStyle w:val="HideTWBExt"/>
        </w:rPr>
        <w:t>&lt;/Original&gt;</w:t>
      </w:r>
    </w:p>
    <w:p w:rsidR="00E95BBE" w:rsidRPr="00D71EF1" w:rsidRDefault="00E95BBE" w:rsidP="00E95BBE">
      <w:r w:rsidRPr="00D71EF1">
        <w:rPr>
          <w:rStyle w:val="HideTWBExt"/>
        </w:rPr>
        <w:t>&lt;/Amend&gt;&lt;/RepeatBlock-Amend&gt;</w:t>
      </w:r>
    </w:p>
    <w:p w:rsidR="00F2637A" w:rsidRPr="00D71EF1" w:rsidRDefault="00F2637A" w:rsidP="00E95BBE"/>
    <w:sectPr w:rsidR="00F2637A" w:rsidRPr="00D71EF1" w:rsidSect="0089629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E" w:rsidRPr="00D71EF1" w:rsidRDefault="00E95BBE">
      <w:r w:rsidRPr="00D71EF1">
        <w:separator/>
      </w:r>
    </w:p>
  </w:endnote>
  <w:endnote w:type="continuationSeparator" w:id="0">
    <w:p w:rsidR="00E95BBE" w:rsidRPr="00D71EF1" w:rsidRDefault="00E95BBE">
      <w:r w:rsidRPr="00D71E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95" w:rsidRPr="00D71EF1" w:rsidRDefault="00896295" w:rsidP="00896295">
    <w:pPr>
      <w:pStyle w:val="EPFooter"/>
    </w:pPr>
    <w:r w:rsidRPr="00D71EF1">
      <w:t>PE</w:t>
    </w:r>
    <w:r w:rsidRPr="00D71EF1">
      <w:rPr>
        <w:rStyle w:val="HideTWBExt"/>
      </w:rPr>
      <w:t>&lt;NoPE&gt;</w:t>
    </w:r>
    <w:r w:rsidRPr="00D71EF1">
      <w:t>773.152</w:t>
    </w:r>
    <w:r w:rsidRPr="00D71EF1">
      <w:rPr>
        <w:rStyle w:val="HideTWBExt"/>
      </w:rPr>
      <w:t>&lt;/NoPE&gt;&lt;Version&gt;</w:t>
    </w:r>
    <w:r w:rsidRPr="00D71EF1">
      <w:t>v01-00</w:t>
    </w:r>
    <w:r w:rsidRPr="00D71EF1">
      <w:rPr>
        <w:rStyle w:val="HideTWBExt"/>
      </w:rPr>
      <w:t>&lt;/Version&gt;</w:t>
    </w:r>
    <w:r w:rsidRPr="00D71EF1">
      <w:tab/>
    </w:r>
    <w:r w:rsidRPr="00D71EF1">
      <w:fldChar w:fldCharType="begin"/>
    </w:r>
    <w:r w:rsidRPr="00D71EF1">
      <w:instrText xml:space="preserve"> PAGE  \* MERGEFORMAT </w:instrText>
    </w:r>
    <w:r w:rsidRPr="00D71EF1">
      <w:fldChar w:fldCharType="separate"/>
    </w:r>
    <w:r w:rsidR="0083382D">
      <w:rPr>
        <w:noProof/>
      </w:rPr>
      <w:t>170</w:t>
    </w:r>
    <w:r w:rsidRPr="00D71EF1">
      <w:fldChar w:fldCharType="end"/>
    </w:r>
    <w:r w:rsidRPr="00D71EF1">
      <w:t>/</w:t>
    </w:r>
    <w:fldSimple w:instr=" NUMPAGES  \* MERGEFORMAT ">
      <w:r w:rsidR="0083382D">
        <w:rPr>
          <w:noProof/>
        </w:rPr>
        <w:t>171</w:t>
      </w:r>
    </w:fldSimple>
    <w:r w:rsidRPr="00D71EF1">
      <w:tab/>
    </w:r>
    <w:r w:rsidRPr="00D71EF1">
      <w:rPr>
        <w:rStyle w:val="HideTWBExt"/>
      </w:rPr>
      <w:t>&lt;PathFdR&gt;</w:t>
    </w:r>
    <w:r w:rsidR="00D71EF1" w:rsidRPr="00D71EF1">
      <w:t>AM\1320327LT.docx</w:t>
    </w:r>
    <w:r w:rsidRPr="00D71EF1">
      <w:rPr>
        <w:rStyle w:val="HideTWBExt"/>
      </w:rPr>
      <w:t>&lt;/PathFdR&gt;</w:t>
    </w:r>
  </w:p>
  <w:p w:rsidR="00E95BBE" w:rsidRPr="00D71EF1" w:rsidRDefault="00896295" w:rsidP="00896295">
    <w:pPr>
      <w:pStyle w:val="EPFooter2"/>
    </w:pPr>
    <w:r w:rsidRPr="00D71EF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95" w:rsidRPr="00D71EF1" w:rsidRDefault="00896295" w:rsidP="00896295">
    <w:pPr>
      <w:pStyle w:val="EPFooter"/>
    </w:pPr>
    <w:r w:rsidRPr="00D71EF1">
      <w:rPr>
        <w:rStyle w:val="HideTWBExt"/>
      </w:rPr>
      <w:t>&lt;PathFdR&gt;</w:t>
    </w:r>
    <w:r w:rsidR="00D71EF1" w:rsidRPr="00D71EF1">
      <w:t>AM\1320327LT.docx</w:t>
    </w:r>
    <w:r w:rsidRPr="00D71EF1">
      <w:rPr>
        <w:rStyle w:val="HideTWBExt"/>
      </w:rPr>
      <w:t>&lt;/PathFdR&gt;</w:t>
    </w:r>
    <w:r w:rsidRPr="00D71EF1">
      <w:tab/>
    </w:r>
    <w:r w:rsidRPr="00D71EF1">
      <w:fldChar w:fldCharType="begin"/>
    </w:r>
    <w:r w:rsidRPr="00D71EF1">
      <w:instrText xml:space="preserve"> PAGE  \* MERGEFORMAT </w:instrText>
    </w:r>
    <w:r w:rsidRPr="00D71EF1">
      <w:fldChar w:fldCharType="separate"/>
    </w:r>
    <w:r w:rsidR="0083382D">
      <w:rPr>
        <w:noProof/>
      </w:rPr>
      <w:t>171</w:t>
    </w:r>
    <w:r w:rsidRPr="00D71EF1">
      <w:fldChar w:fldCharType="end"/>
    </w:r>
    <w:r w:rsidRPr="00D71EF1">
      <w:t>/</w:t>
    </w:r>
    <w:fldSimple w:instr=" NUMPAGES  \* MERGEFORMAT ">
      <w:r w:rsidR="0083382D">
        <w:rPr>
          <w:noProof/>
        </w:rPr>
        <w:t>171</w:t>
      </w:r>
    </w:fldSimple>
    <w:r w:rsidRPr="00D71EF1">
      <w:tab/>
      <w:t>PE</w:t>
    </w:r>
    <w:r w:rsidRPr="00D71EF1">
      <w:rPr>
        <w:rStyle w:val="HideTWBExt"/>
      </w:rPr>
      <w:t>&lt;NoPE&gt;</w:t>
    </w:r>
    <w:r w:rsidRPr="00D71EF1">
      <w:t>773.152</w:t>
    </w:r>
    <w:r w:rsidRPr="00D71EF1">
      <w:rPr>
        <w:rStyle w:val="HideTWBExt"/>
      </w:rPr>
      <w:t>&lt;/NoPE&gt;&lt;Version&gt;</w:t>
    </w:r>
    <w:r w:rsidRPr="00D71EF1">
      <w:t>v01-00</w:t>
    </w:r>
    <w:r w:rsidRPr="00D71EF1">
      <w:rPr>
        <w:rStyle w:val="HideTWBExt"/>
      </w:rPr>
      <w:t>&lt;/Version&gt;</w:t>
    </w:r>
  </w:p>
  <w:p w:rsidR="00E95BBE" w:rsidRPr="00D71EF1" w:rsidRDefault="00896295" w:rsidP="00896295">
    <w:pPr>
      <w:pStyle w:val="EPFooter2"/>
    </w:pPr>
    <w:r w:rsidRPr="00D71EF1">
      <w:tab/>
    </w:r>
    <w:r w:rsidRPr="00D71EF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95" w:rsidRPr="00D71EF1" w:rsidRDefault="00896295" w:rsidP="00896295">
    <w:pPr>
      <w:pStyle w:val="EPFooter"/>
    </w:pPr>
    <w:r w:rsidRPr="00D71EF1">
      <w:rPr>
        <w:rStyle w:val="HideTWBExt"/>
      </w:rPr>
      <w:t>&lt;PathFdR&gt;</w:t>
    </w:r>
    <w:r w:rsidR="00D71EF1" w:rsidRPr="00D71EF1">
      <w:t>AM\1320327LT.docx</w:t>
    </w:r>
    <w:r w:rsidRPr="00D71EF1">
      <w:rPr>
        <w:rStyle w:val="HideTWBExt"/>
      </w:rPr>
      <w:t>&lt;/PathFdR&gt;</w:t>
    </w:r>
    <w:r w:rsidRPr="00D71EF1">
      <w:tab/>
    </w:r>
    <w:r w:rsidRPr="00D71EF1">
      <w:tab/>
      <w:t>PE</w:t>
    </w:r>
    <w:r w:rsidRPr="00D71EF1">
      <w:rPr>
        <w:rStyle w:val="HideTWBExt"/>
      </w:rPr>
      <w:t>&lt;NoPE&gt;</w:t>
    </w:r>
    <w:r w:rsidRPr="00D71EF1">
      <w:t>773.152</w:t>
    </w:r>
    <w:r w:rsidRPr="00D71EF1">
      <w:rPr>
        <w:rStyle w:val="HideTWBExt"/>
      </w:rPr>
      <w:t>&lt;/NoPE&gt;&lt;Version&gt;</w:t>
    </w:r>
    <w:r w:rsidRPr="00D71EF1">
      <w:t>v01-00</w:t>
    </w:r>
    <w:r w:rsidRPr="00D71EF1">
      <w:rPr>
        <w:rStyle w:val="HideTWBExt"/>
      </w:rPr>
      <w:t>&lt;/Version&gt;</w:t>
    </w:r>
  </w:p>
  <w:p w:rsidR="00E95BBE" w:rsidRPr="00D71EF1" w:rsidRDefault="00896295" w:rsidP="00896295">
    <w:pPr>
      <w:pStyle w:val="EPFooter2"/>
    </w:pPr>
    <w:r w:rsidRPr="00D71EF1">
      <w:t>LT</w:t>
    </w:r>
    <w:r w:rsidRPr="00D71EF1">
      <w:tab/>
    </w:r>
    <w:r w:rsidRPr="00D71EF1">
      <w:rPr>
        <w:b w:val="0"/>
        <w:i/>
        <w:color w:val="C0C0C0"/>
        <w:sz w:val="22"/>
      </w:rPr>
      <w:t>Suvienijusi įvairovę</w:t>
    </w:r>
    <w:r w:rsidRPr="00D71EF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E" w:rsidRPr="00D71EF1" w:rsidRDefault="00E95BBE">
      <w:r w:rsidRPr="00D71EF1">
        <w:separator/>
      </w:r>
    </w:p>
  </w:footnote>
  <w:footnote w:type="continuationSeparator" w:id="0">
    <w:p w:rsidR="00E95BBE" w:rsidRPr="00D71EF1" w:rsidRDefault="00E95BBE">
      <w:r w:rsidRPr="00D71E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82D" w:rsidRDefault="008338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82D" w:rsidRDefault="008338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82D" w:rsidRDefault="00833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RRCONV"/>
    <w:docVar w:name="strSubDir" w:val="1320"/>
    <w:docVar w:name="TVTAMPART" w:val="Recital Aa (new)"/>
    <w:docVar w:name="TVTMEMBERS1" w:val="Danuše Nerudová"/>
    <w:docVar w:name="TXTLANGUE" w:val="LT"/>
    <w:docVar w:name="TXTLANGUEMIN" w:val="lt"/>
    <w:docVar w:name="TXTNRFIRSTAM" w:val="1"/>
    <w:docVar w:name="TXTNRLASTAM" w:val="339"/>
    <w:docVar w:name="TXTNRPE" w:val="773.152"/>
    <w:docVar w:name="TXTPEorAP" w:val="PE"/>
    <w:docVar w:name="TXTROUTE" w:val="AM\1320327LT.docx"/>
    <w:docVar w:name="TXTVERSION" w:val="01-00"/>
  </w:docVars>
  <w:rsids>
    <w:rsidRoot w:val="00A77B3E"/>
    <w:rsid w:val="000973DD"/>
    <w:rsid w:val="00120A62"/>
    <w:rsid w:val="00202118"/>
    <w:rsid w:val="00252254"/>
    <w:rsid w:val="00256771"/>
    <w:rsid w:val="002B2112"/>
    <w:rsid w:val="002C7302"/>
    <w:rsid w:val="002D6885"/>
    <w:rsid w:val="0032480B"/>
    <w:rsid w:val="0042035E"/>
    <w:rsid w:val="00564D5A"/>
    <w:rsid w:val="005A2C42"/>
    <w:rsid w:val="005B5DE2"/>
    <w:rsid w:val="005F763A"/>
    <w:rsid w:val="00604C7A"/>
    <w:rsid w:val="007238E9"/>
    <w:rsid w:val="007323C4"/>
    <w:rsid w:val="00787CF7"/>
    <w:rsid w:val="007A3961"/>
    <w:rsid w:val="0083382D"/>
    <w:rsid w:val="008777C2"/>
    <w:rsid w:val="00896295"/>
    <w:rsid w:val="008A3022"/>
    <w:rsid w:val="00943645"/>
    <w:rsid w:val="009549BB"/>
    <w:rsid w:val="00971BB6"/>
    <w:rsid w:val="00A77B3E"/>
    <w:rsid w:val="00A96DA3"/>
    <w:rsid w:val="00BB6EBB"/>
    <w:rsid w:val="00BC18FE"/>
    <w:rsid w:val="00BE1599"/>
    <w:rsid w:val="00C80992"/>
    <w:rsid w:val="00CA2A55"/>
    <w:rsid w:val="00D71EF1"/>
    <w:rsid w:val="00DA0672"/>
    <w:rsid w:val="00E17CF9"/>
    <w:rsid w:val="00E95BBE"/>
    <w:rsid w:val="00F2637A"/>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2C2BD"/>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val="fr-FR"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fr-FR" w:eastAsia="en-GB"/>
    </w:rPr>
  </w:style>
  <w:style w:type="paragraph" w:customStyle="1" w:styleId="ColumnHeading">
    <w:name w:val="ColumnHeading"/>
    <w:basedOn w:val="Normal"/>
    <w:rsid w:val="005F763A"/>
    <w:pPr>
      <w:spacing w:after="240"/>
      <w:jc w:val="center"/>
    </w:pPr>
    <w:rPr>
      <w:i/>
      <w:szCs w:val="20"/>
      <w:lang w:val="fr-FR"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eastAsia="en-GB"/>
    </w:rPr>
  </w:style>
  <w:style w:type="paragraph" w:customStyle="1" w:styleId="Olang">
    <w:name w:val="Olang"/>
    <w:rsid w:val="005F763A"/>
    <w:pPr>
      <w:jc w:val="right"/>
    </w:pPr>
    <w:rPr>
      <w:lang w:val="cs-CZ"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ECB21-907E-4470-83F9-61730D110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29002</Words>
  <Characters>198715</Characters>
  <Application>Microsoft Office Word</Application>
  <DocSecurity>0</DocSecurity>
  <Lines>8623</Lines>
  <Paragraphs>3051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2025-05-23T09:03:00Z</dcterms:created>
  <dcterms:modified xsi:type="dcterms:W3CDTF">2025-05-23T09:03:00Z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- 2025/05/23 11:03</vt:lpwstr>
  </property>
  <property fmtid="{D5CDD505-2E9C-101B-9397-08002B2CF9AE}" pid="7" name="dmxml.render.id">
    <vt:lpwstr>173951</vt:lpwstr>
  </property>
  <property fmtid="{D5CDD505-2E9C-101B-9397-08002B2CF9AE}" pid="8" name="dmxml.render.traceId">
    <vt:lpwstr>6814b4ffff221515b528b7fae7ef3a9e</vt:lpwstr>
  </property>
  <property fmtid="{D5CDD505-2E9C-101B-9397-08002B2CF9AE}" pid="9" name="FooterPath">
    <vt:lpwstr>AM\1320327LT.docx</vt:lpwstr>
  </property>
  <property fmtid="{D5CDD505-2E9C-101B-9397-08002B2CF9AE}" pid="10" name="LastEdited with">
    <vt:lpwstr>10.1.1 Build [20250421]</vt:lpwstr>
  </property>
  <property fmtid="{D5CDD505-2E9C-101B-9397-08002B2CF9AE}" pid="11" name="OriLang">
    <vt:lpwstr>EN</vt:lpwstr>
  </property>
  <property fmtid="{D5CDD505-2E9C-101B-9397-08002B2CF9AE}" pid="12" name="PE Number">
    <vt:lpwstr>773.152</vt:lpwstr>
  </property>
  <property fmtid="{D5CDD505-2E9C-101B-9397-08002B2CF9AE}" pid="13" name="SendToEpades">
    <vt:lpwstr>OK(AMNUM) - 2025/05/05 14:11</vt:lpwstr>
  </property>
  <property fmtid="{D5CDD505-2E9C-101B-9397-08002B2CF9AE}" pid="14" name="UID">
    <vt:lpwstr>eu.europa.europarl-TMP1-0000-0000000336_00.00-xm-00.00_text-xml</vt:lpwstr>
  </property>
</Properties>
</file>