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2207" w:rsidRPr="00FC22F0">
        <w:trPr>
          <w:trHeight w:hRule="exact" w:val="1417"/>
          <w:jc w:val="center"/>
        </w:trPr>
        <w:tc>
          <w:tcPr>
            <w:tcW w:w="6804" w:type="dxa"/>
            <w:tcBorders>
              <w:top w:val="nil"/>
              <w:left w:val="nil"/>
              <w:bottom w:val="nil"/>
              <w:right w:val="nil"/>
            </w:tcBorders>
            <w:vAlign w:val="center"/>
          </w:tcPr>
          <w:p w:rsidR="00F2637A" w:rsidRPr="00FC22F0" w:rsidRDefault="00560583">
            <w:pPr>
              <w:pStyle w:val="EPName"/>
            </w:pPr>
            <w:bookmarkStart w:id="0" w:name="_GoBack"/>
            <w:bookmarkEnd w:id="0"/>
            <w:r w:rsidRPr="00FC22F0">
              <w:t>Evropski parlament</w:t>
            </w:r>
          </w:p>
          <w:p w:rsidR="00F2637A" w:rsidRPr="00FC22F0" w:rsidRDefault="00560583">
            <w:pPr>
              <w:pStyle w:val="EPTerm"/>
            </w:pPr>
            <w:r w:rsidRPr="00FC22F0">
              <w:t>2024-2029</w:t>
            </w:r>
          </w:p>
        </w:tc>
        <w:tc>
          <w:tcPr>
            <w:tcW w:w="2268" w:type="dxa"/>
            <w:tcBorders>
              <w:top w:val="nil"/>
              <w:left w:val="nil"/>
              <w:bottom w:val="nil"/>
              <w:right w:val="nil"/>
            </w:tcBorders>
          </w:tcPr>
          <w:p w:rsidR="00F2637A" w:rsidRPr="00FC22F0" w:rsidRDefault="00560583">
            <w:pPr>
              <w:pStyle w:val="EPLogo"/>
            </w:pPr>
            <w:r w:rsidRPr="00FC22F0">
              <w:rPr>
                <w:noProof/>
                <w:lang w:eastAsia="sl-SI"/>
              </w:rPr>
              <w:drawing>
                <wp:anchor distT="0" distB="0" distL="114300" distR="114300" simplePos="0" relativeHeight="251658240" behindDoc="0" locked="0" layoutInCell="1" allowOverlap="1">
                  <wp:simplePos x="0" y="0"/>
                  <wp:positionH relativeFrom="column">
                    <wp:posOffset>139065</wp:posOffset>
                  </wp:positionH>
                  <wp:positionV relativeFrom="paragraph">
                    <wp:posOffset>95250</wp:posOffset>
                  </wp:positionV>
                  <wp:extent cx="1162050" cy="6572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F2637A" w:rsidRPr="00FC22F0" w:rsidRDefault="00560583">
      <w:pPr>
        <w:pStyle w:val="LineTop"/>
      </w:pPr>
      <w:r w:rsidRPr="00FC22F0">
        <w:t xml:space="preserve"> </w:t>
      </w:r>
    </w:p>
    <w:p w:rsidR="00F2637A" w:rsidRPr="0084767A" w:rsidRDefault="00560583">
      <w:pPr>
        <w:pStyle w:val="EPBody"/>
      </w:pPr>
      <w:r w:rsidRPr="0084767A">
        <w:rPr>
          <w:rStyle w:val="HideTWBExt"/>
          <w:i w:val="0"/>
          <w:color w:val="auto"/>
        </w:rPr>
        <w:t>&lt;Commission&gt;</w:t>
      </w:r>
      <w:r w:rsidRPr="0084767A">
        <w:rPr>
          <w:rStyle w:val="HideTWBInt"/>
          <w:i w:val="0"/>
          <w:color w:val="auto"/>
        </w:rPr>
        <w:t>{ECON}</w:t>
      </w:r>
      <w:r w:rsidRPr="0084767A">
        <w:t>Odbor za ekonomske in monetarne zadeve</w:t>
      </w:r>
      <w:r w:rsidRPr="0084767A">
        <w:rPr>
          <w:rStyle w:val="HideTWBExt"/>
          <w:i w:val="0"/>
          <w:color w:val="auto"/>
        </w:rPr>
        <w:t>&lt;/Commission&gt;</w:t>
      </w:r>
    </w:p>
    <w:p w:rsidR="00F2637A" w:rsidRPr="0084767A" w:rsidRDefault="00560583">
      <w:pPr>
        <w:pStyle w:val="LineBottom"/>
      </w:pPr>
      <w:r w:rsidRPr="0084767A">
        <w:t xml:space="preserve"> </w:t>
      </w:r>
    </w:p>
    <w:p w:rsidR="00F2637A" w:rsidRPr="0084767A" w:rsidRDefault="00560583">
      <w:pPr>
        <w:pStyle w:val="CoverReference"/>
      </w:pPr>
      <w:r w:rsidRPr="0084767A">
        <w:rPr>
          <w:rStyle w:val="HideTWBExt"/>
          <w:b w:val="0"/>
          <w:color w:val="auto"/>
        </w:rPr>
        <w:t>&lt;RefProc&gt;</w:t>
      </w:r>
      <w:r w:rsidRPr="0084767A">
        <w:t>2024/2116</w:t>
      </w:r>
      <w:r w:rsidRPr="0084767A">
        <w:rPr>
          <w:rStyle w:val="HideTWBExt"/>
          <w:b w:val="0"/>
          <w:color w:val="auto"/>
        </w:rPr>
        <w:t>&lt;/RefProc&gt;&lt;RefTypeProc&gt;</w:t>
      </w:r>
      <w:r w:rsidRPr="0084767A">
        <w:t>(INI)</w:t>
      </w:r>
      <w:r w:rsidRPr="0084767A">
        <w:rPr>
          <w:rStyle w:val="HideTWBExt"/>
          <w:b w:val="0"/>
          <w:color w:val="auto"/>
        </w:rPr>
        <w:t>&lt;/RefTypeProc&gt;</w:t>
      </w:r>
    </w:p>
    <w:p w:rsidR="00F2637A" w:rsidRPr="0084767A" w:rsidRDefault="00560583">
      <w:pPr>
        <w:pStyle w:val="CoverDate"/>
      </w:pPr>
      <w:r w:rsidRPr="0084767A">
        <w:rPr>
          <w:rStyle w:val="HideTWBExt"/>
          <w:color w:val="auto"/>
        </w:rPr>
        <w:t>&lt;Date&gt;</w:t>
      </w:r>
      <w:r w:rsidRPr="0084767A">
        <w:rPr>
          <w:rStyle w:val="HideTWBInt"/>
          <w:color w:val="auto"/>
        </w:rPr>
        <w:t>{05/05/2025}</w:t>
      </w:r>
      <w:r w:rsidRPr="0084767A">
        <w:t>5.5.2025</w:t>
      </w:r>
      <w:r w:rsidRPr="0084767A">
        <w:rPr>
          <w:rStyle w:val="HideTWBExt"/>
          <w:color w:val="auto"/>
        </w:rPr>
        <w:t>&lt;/Date&gt;</w:t>
      </w:r>
    </w:p>
    <w:p w:rsidR="00F2637A" w:rsidRPr="0084767A" w:rsidRDefault="00560583">
      <w:pPr>
        <w:pStyle w:val="CoverDocType"/>
      </w:pPr>
      <w:r w:rsidRPr="0084767A">
        <w:rPr>
          <w:rStyle w:val="HideTWBExt"/>
          <w:b w:val="0"/>
          <w:color w:val="auto"/>
        </w:rPr>
        <w:t>&lt;TypeAM&gt;</w:t>
      </w:r>
      <w:r w:rsidRPr="0084767A">
        <w:t>PREDLOGI SPREMEMB</w:t>
      </w:r>
      <w:r w:rsidRPr="0084767A">
        <w:rPr>
          <w:rStyle w:val="HideTWBExt"/>
          <w:b w:val="0"/>
          <w:color w:val="auto"/>
        </w:rPr>
        <w:t>&lt;/TypeAM&gt;</w:t>
      </w:r>
    </w:p>
    <w:p w:rsidR="00F2637A" w:rsidRPr="0084767A" w:rsidRDefault="00560583">
      <w:pPr>
        <w:pStyle w:val="CoverDocType24a"/>
      </w:pPr>
      <w:r w:rsidRPr="0084767A">
        <w:rPr>
          <w:rStyle w:val="HideTWBExt"/>
          <w:b w:val="0"/>
          <w:color w:val="auto"/>
        </w:rPr>
        <w:t>&lt;RangeAM&gt;</w:t>
      </w:r>
      <w:r w:rsidRPr="0084767A">
        <w:t>1 - 339</w:t>
      </w:r>
      <w:r w:rsidRPr="0084767A">
        <w:rPr>
          <w:rStyle w:val="HideTWBExt"/>
          <w:b w:val="0"/>
          <w:color w:val="auto"/>
        </w:rPr>
        <w:t>&lt;/RangeAM&gt;</w:t>
      </w:r>
    </w:p>
    <w:p w:rsidR="00F2637A" w:rsidRPr="0084767A" w:rsidRDefault="00560583">
      <w:pPr>
        <w:pStyle w:val="CoverBold"/>
      </w:pPr>
      <w:r w:rsidRPr="0084767A">
        <w:rPr>
          <w:rStyle w:val="HideTWBExt"/>
          <w:b w:val="0"/>
          <w:color w:val="auto"/>
        </w:rPr>
        <w:t>&lt;TitreType&gt;</w:t>
      </w:r>
      <w:r w:rsidRPr="0084767A">
        <w:t>Osnutek poročila</w:t>
      </w:r>
      <w:r w:rsidRPr="0084767A">
        <w:rPr>
          <w:rStyle w:val="HideTWBExt"/>
          <w:b w:val="0"/>
          <w:color w:val="auto"/>
        </w:rPr>
        <w:t>&lt;/TitreType&gt;</w:t>
      </w:r>
    </w:p>
    <w:p w:rsidR="00F2637A" w:rsidRPr="0084767A" w:rsidRDefault="00560583">
      <w:pPr>
        <w:pStyle w:val="CoverBold"/>
      </w:pPr>
      <w:r w:rsidRPr="0084767A">
        <w:rPr>
          <w:rStyle w:val="HideTWBExt"/>
          <w:b w:val="0"/>
          <w:color w:val="auto"/>
        </w:rPr>
        <w:t>&lt;Rapporteur&gt;</w:t>
      </w:r>
      <w:r w:rsidRPr="0084767A">
        <w:t>Aurore Lalucq</w:t>
      </w:r>
      <w:r w:rsidRPr="0084767A">
        <w:rPr>
          <w:rStyle w:val="HideTWBExt"/>
          <w:b w:val="0"/>
          <w:color w:val="auto"/>
        </w:rPr>
        <w:t>&lt;/Rapporteur&gt;</w:t>
      </w:r>
    </w:p>
    <w:p w:rsidR="00F2637A" w:rsidRPr="0084767A" w:rsidRDefault="00560583">
      <w:pPr>
        <w:pStyle w:val="CoverNormal24a"/>
      </w:pPr>
      <w:r w:rsidRPr="0084767A">
        <w:rPr>
          <w:rStyle w:val="HideTWBExt"/>
          <w:color w:val="auto"/>
        </w:rPr>
        <w:t>&lt;DocRefPE&gt;</w:t>
      </w:r>
      <w:r w:rsidRPr="0084767A">
        <w:t>(PE770.112v01-00)</w:t>
      </w:r>
      <w:r w:rsidRPr="0084767A">
        <w:rPr>
          <w:rStyle w:val="HideTWBExt"/>
          <w:color w:val="auto"/>
        </w:rPr>
        <w:t>&lt;/DocRefPE&gt;</w:t>
      </w:r>
    </w:p>
    <w:p w:rsidR="00F2637A" w:rsidRPr="0084767A" w:rsidRDefault="00560583">
      <w:pPr>
        <w:pStyle w:val="CoverNormal"/>
      </w:pPr>
      <w:r w:rsidRPr="0084767A">
        <w:rPr>
          <w:rStyle w:val="HideTWBExt"/>
          <w:color w:val="auto"/>
        </w:rPr>
        <w:t>&lt;Titre&gt;</w:t>
      </w:r>
      <w:r w:rsidRPr="0084767A">
        <w:t>Olajšanje financiranja naložb in reform za povečanje evropske konkurenčnosti ter vzpostavitev unije kapitalskih trgov (Draghijevo poročilo)</w:t>
      </w:r>
      <w:r w:rsidRPr="0084767A">
        <w:rPr>
          <w:rStyle w:val="HideTWBExt"/>
          <w:color w:val="auto"/>
        </w:rPr>
        <w:t>&lt;/Titre&gt;</w:t>
      </w:r>
    </w:p>
    <w:p w:rsidR="00F2637A" w:rsidRPr="0084767A" w:rsidRDefault="00560583">
      <w:pPr>
        <w:pStyle w:val="CoverNormal24a"/>
      </w:pPr>
      <w:r w:rsidRPr="0084767A">
        <w:rPr>
          <w:rStyle w:val="HideTWBExt"/>
          <w:color w:val="auto"/>
        </w:rPr>
        <w:t>&lt;DocRef&gt;</w:t>
      </w:r>
      <w:r w:rsidRPr="0084767A">
        <w:t>(2024/2116(INI))</w:t>
      </w:r>
      <w:r w:rsidRPr="0084767A">
        <w:rPr>
          <w:rStyle w:val="HideTWBExt"/>
          <w:color w:val="auto"/>
        </w:rPr>
        <w:t>&lt;/DocRef&gt;</w:t>
      </w:r>
    </w:p>
    <w:p w:rsidR="00F2637A" w:rsidRPr="00FC22F0" w:rsidRDefault="00560583">
      <w:r w:rsidRPr="0084767A">
        <w:br w:type="page"/>
      </w:r>
      <w:r w:rsidRPr="00FC22F0">
        <w:lastRenderedPageBreak/>
        <w:t>AM_Com_NonLegReport</w:t>
      </w:r>
    </w:p>
    <w:p w:rsidR="0084767A" w:rsidRPr="00FC22F0" w:rsidRDefault="00560583" w:rsidP="0084767A">
      <w:pPr>
        <w:pStyle w:val="AmNumberTabs"/>
      </w:pPr>
      <w:r w:rsidRPr="00FC22F0">
        <w:br w:type="page"/>
      </w:r>
      <w:r w:rsidR="0084767A" w:rsidRPr="0084767A">
        <w:rPr>
          <w:rStyle w:val="HideTWBExt"/>
          <w:b w:val="0"/>
        </w:rPr>
        <w:lastRenderedPageBreak/>
        <w:t>&lt;RepeatBlock-Amend&gt;</w:t>
      </w:r>
      <w:r w:rsidR="0084767A">
        <w:rPr>
          <w:rStyle w:val="HideTWBExt"/>
          <w:b w:val="0"/>
        </w:rPr>
        <w:t>&lt;Amend&gt;</w:t>
      </w:r>
      <w:r w:rsidR="0084767A">
        <w:t>Predlog spremembe</w:t>
      </w:r>
      <w:r w:rsidR="0084767A">
        <w:tab/>
      </w:r>
      <w:r w:rsidR="0084767A">
        <w:tab/>
      </w:r>
      <w:r w:rsidR="0084767A">
        <w:rPr>
          <w:rStyle w:val="HideTWBExt"/>
          <w:b w:val="0"/>
        </w:rPr>
        <w:t>&lt;NumAm&gt;</w:t>
      </w:r>
      <w:r w:rsidR="0084767A">
        <w:t>1</w:t>
      </w:r>
      <w:r w:rsidR="0084767A">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Pascal Canfin, Billy Kelleher, Stéphanie Yon-Courtin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19. marca 2025 z naslovom Unija prihrankov in naložb – Strategija za povečanje blaginje prebivalstva in spodbujanje gospodarske konkurenčnosti v EU (COM(2025)0124),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29. januarja 2025 z naslovom Kompas za konkurenčnost za EU (COM(2025)0030),</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26. februarja 2025 z naslovom Dogovor o čisti industriji: skupni načrt za konkurenčnost in razogljičenje (COM(2025)0085),</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11. decembra 2019 o evropskem zelenem dogovoru (COM(2019)0640),</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6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svoje resolucije z dne 15. januarja 2020 o evropskem zelenem dogovoru (P9.TA(2020)0005),</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6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11. marca 2020 z naslovom Novi akcijski načrt za krožno gospodarstvo – Za čistejšo in konkurenčnejšo Evropo (COM(2020)0098),</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6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svoje resolucije z dne 10. februarja 2021 o novem akcijskem načrtu za krožno gospodarstvo (P9.TA(2021)0640),</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19. marca 2025 z naslovom Unija prihrankov in naložb – Strategija za povečanje blaginje prebivalstva in spodbujanje gospodarske konkurenčnosti v EU (COM(2025)0124),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29. januarja 2025 z naslovom Kompas za konkurenčnost za EU (COM(2025)0030),</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w:t>
      </w:r>
      <w:r>
        <w:rPr>
          <w:rStyle w:val="HideTWBExt"/>
          <w:b w:val="0"/>
        </w:rPr>
        <w:t>&lt;/NumAm&gt;</w:t>
      </w:r>
    </w:p>
    <w:p w:rsidR="0084767A" w:rsidRPr="00FC22F0" w:rsidRDefault="0084767A" w:rsidP="0084767A">
      <w:pPr>
        <w:pStyle w:val="NormalBold"/>
      </w:pPr>
      <w:r>
        <w:rPr>
          <w:rStyle w:val="HideTWBExt"/>
          <w:b w:val="0"/>
        </w:rPr>
        <w:t>&lt;RepeatBlock-By&gt;&lt;Members&gt;</w:t>
      </w:r>
      <w:r>
        <w:t>Dirk Gotink</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29. januarja 2025 z naslovom Kompas za konkurenčnost za EU (COM(2025)0030),</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w:t>
      </w:r>
      <w:r>
        <w:rPr>
          <w:rStyle w:val="HideTWBExt"/>
          <w:b w:val="0"/>
        </w:rPr>
        <w:t>&lt;/NumAm&gt;</w:t>
      </w:r>
    </w:p>
    <w:p w:rsidR="0084767A" w:rsidRPr="00FC22F0" w:rsidRDefault="0084767A" w:rsidP="0084767A">
      <w:pPr>
        <w:pStyle w:val="NormalBold"/>
      </w:pPr>
      <w:r>
        <w:rPr>
          <w:rStyle w:val="HideTWBExt"/>
          <w:b w:val="0"/>
        </w:rPr>
        <w:t>&lt;RepeatBlock-By&gt;&lt;Members&gt;</w:t>
      </w:r>
      <w:r>
        <w:t>Dirk Gotink</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8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19. marca 2025 z naslovom Unija prihrankov in naložb – Strategija za povečanje blaginje prebivalstva in spodbujanje gospodarske konkurenčnosti v EU (COM(2025)0124),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raziskovalnega mnenja Evropskega ekonomsko-socialnega odbora o naložbah in reformah za spodbuditev evropske konkurenčnosti in vzpostavitev unije kapitalskih trgov (ECO/665),</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poročila o trgu organa ESMA z naslovom „Costs and Performance of EU Retail Investment Products 2023“ (Stroški in uspešnost naložbenih produktov EU za male vlagatelje za leto 2023) iz decembra 2023,</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11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mnenja ESMA z naslovom „Sustainable investments: Facilitating the investor journey - A holistic vision for the long term“ (Trajnostne naložbe: Olajšanje poti za vlagatelje – celostna dolgoročna vizija) iz julija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11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delovnega dokumenta Evropskega organa za zavarovanja in poklicne pokojnine (EIOPA) iz septembra 2024 z naslovom „The Future Pan-European Pension Product“ (Prihodnji vseevropski pokojninski produkt),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11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poročila EIOPA o stroških in pretekli donosnosti iz aprila 2025,</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11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končnega poročila EIOPA o bonitetni obravnavi tveganj glede trajnostnosti za zavarovatelje iz novembra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19. marca 2025 z naslovom Unija prihrankov in naložb – Strategija za povečanje blaginje prebivalstva in spodbujanje gospodarske konkurenčnosti v EU (COM(2025)0129),</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Anouk Van Brug, Billy Kelleher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poročila skupnega odbora evropskih nadzornih agencij o izvajanju in delovanju uredbe o listinjenju,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šestega ocenjevalnega poročila Medvladnega foruma o podnebnih spremembah (IPCC),</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12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poročila Evropskega organa za vrednostne papirje in trge z dne 21. septembra 2023 z naslovom „The EU Securitisation Market – An Overview“ (Trg listinjenja v EU – pregled)</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ESMA50-524821-2908</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12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sklepa Konvencije Združenih narodov o biološki raznovrstnosti iz decembra 2022 o Kunminško-montrealskem svetovnem okviru za biotsko raznovrstnost,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12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zakonodajnega predloga Komisije z dne 12. februarja 2025 za skrajšanje cikla poravnave za vrednostne papirje EU z dveh dni na enega</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COM(2025)0038</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sporočila Komisije z dne 19. marca 2025 z naslovom Unija prihrankov in naložb – Strategija za povečanje blaginje prebivalstva in spodbujanje gospodarske konkurenčnosti v EU (COM(2025)0124),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Navedba sklicevanja 17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w:t>
            </w:r>
            <w:r>
              <w:tab/>
            </w:r>
            <w:r>
              <w:rPr>
                <w:b/>
                <w:i/>
              </w:rPr>
              <w:t>ob upoštevanju pobude za evropske tehnološke prvake, ki se je začela izvajati februarja 2023,</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w:t>
            </w:r>
            <w:r>
              <w:tab/>
            </w:r>
            <w:r>
              <w:rPr>
                <w:b/>
                <w:i/>
              </w:rPr>
              <w:t>ker sta evropska rast in konkurenčnost zelo odvisni od zunanjih surovin in kritičnih mineralov, zato sta nujno potrebni učinkovitejša uporaba virov in resnična krožnost; ker ni trajnostne konkurenčnosti brez upoštevanja podnebne krize brez primere, izgube biotske raznovrstnosti in socialne trajnostnosti;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-Aa.</w:t>
            </w:r>
            <w:r>
              <w:tab/>
            </w:r>
            <w:r>
              <w:rPr>
                <w:b/>
                <w:i/>
              </w:rPr>
              <w:t>ker je te izzive mogoče rešiti le z usmerjanjem finančnih tokov v novo in trajnostno rast, letna svetovna naložbena vrzel, da bi do leta 2050 dosegli neto ničelne emisije, pa presega 8000 milijard EUR; ker je le 3,1 % upravljanih svetovnih sredstev namenjenih jasno trajnostnim naložbam, do 70 % pa je usmerjenih v dejavnosti, ki škodujejo podnebju ali okolju;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w:t>
      </w:r>
      <w:r>
        <w:rPr>
          <w:rStyle w:val="HideTWBExt"/>
          <w:b w:val="0"/>
        </w:rPr>
        <w:t>&lt;/NumAm&gt;</w:t>
      </w:r>
    </w:p>
    <w:p w:rsidR="0084767A" w:rsidRPr="00FC22F0" w:rsidRDefault="0084767A" w:rsidP="0084767A">
      <w:pPr>
        <w:pStyle w:val="NormalBold"/>
      </w:pPr>
      <w:r>
        <w:rPr>
          <w:rStyle w:val="HideTWBExt"/>
          <w:b w:val="0"/>
        </w:rPr>
        <w:t>&lt;RepeatBlock-By&gt;&lt;Members&gt;</w:t>
      </w:r>
      <w:r>
        <w:t>Pierre Pimpie</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 da bi lahko EU oživila svojo produktivnost ter uresničila svoje okoljske in socialne cilje;</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lahko EU oživila svojo produktivnost in </w:t>
            </w:r>
            <w:r>
              <w:rPr>
                <w:b/>
                <w:i/>
              </w:rPr>
              <w:t>konkurenčnost</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w:t>
            </w:r>
            <w:r>
              <w:rPr>
                <w:b/>
                <w:i/>
              </w:rPr>
              <w:t>treba vsako leto vložiti najmanj dodatnih 750 do 800 milijard EUR</w:t>
            </w:r>
            <w:r>
              <w:t xml:space="preserve">, da bi lahko EU oživila svojo </w:t>
            </w:r>
            <w:r>
              <w:rPr>
                <w:b/>
                <w:i/>
              </w:rPr>
              <w:t>produktivnost ter uresničila svoje okoljske in socialne</w:t>
            </w:r>
            <w:r>
              <w:t xml:space="preserve"> cilje;</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w:t>
            </w:r>
            <w:r>
              <w:rPr>
                <w:b/>
                <w:i/>
              </w:rPr>
              <w:t>potrebnih vse več finančnih sredstev</w:t>
            </w:r>
            <w:r>
              <w:t xml:space="preserve">, da bi lahko EU oživila svojo </w:t>
            </w:r>
            <w:r>
              <w:rPr>
                <w:b/>
                <w:i/>
              </w:rPr>
              <w:t>konkurenčnost in gospodarsko rast ter uresničila svoje</w:t>
            </w:r>
            <w:r>
              <w:t xml:space="preserve"> cilje;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w:t>
      </w:r>
      <w:r>
        <w:rPr>
          <w:rStyle w:val="HideTWBExt"/>
          <w:b w:val="0"/>
        </w:rPr>
        <w:t>&lt;/NumAm&gt;</w:t>
      </w:r>
    </w:p>
    <w:p w:rsidR="0084767A" w:rsidRPr="00FC22F0" w:rsidRDefault="0084767A" w:rsidP="0084767A">
      <w:pPr>
        <w:pStyle w:val="NormalBold"/>
      </w:pPr>
      <w:r>
        <w:rPr>
          <w:rStyle w:val="HideTWBExt"/>
          <w:b w:val="0"/>
        </w:rPr>
        <w:t>&lt;RepeatBlock-By&gt;&lt;Members&gt;</w:t>
      </w:r>
      <w:r>
        <w:t>Anouk Van Brug, Engin Eroglu</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lahko EU oživila svojo produktivnost </w:t>
            </w:r>
            <w:r>
              <w:rPr>
                <w:b/>
                <w:i/>
              </w:rPr>
              <w:t xml:space="preserve">ter uresničila svoje okoljske </w:t>
            </w:r>
            <w:r>
              <w:t xml:space="preserve">in </w:t>
            </w:r>
            <w:r>
              <w:rPr>
                <w:b/>
                <w:i/>
              </w:rPr>
              <w:t>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 da bi lahko EU oživila svojo produktivnost in</w:t>
            </w:r>
            <w:r>
              <w:rPr>
                <w:b/>
                <w:i/>
              </w:rPr>
              <w:t xml:space="preserve"> evropsko konkurenčnost</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w:t>
      </w:r>
      <w:r>
        <w:rPr>
          <w:rStyle w:val="HideTWBExt"/>
          <w:b w:val="0"/>
        </w:rPr>
        <w:t>&lt;/NumAm&gt;</w:t>
      </w:r>
    </w:p>
    <w:p w:rsidR="0084767A" w:rsidRPr="00FC22F0" w:rsidRDefault="0084767A" w:rsidP="0084767A">
      <w:pPr>
        <w:pStyle w:val="NormalBold"/>
      </w:pPr>
      <w:r>
        <w:rPr>
          <w:rStyle w:val="HideTWBExt"/>
          <w:b w:val="0"/>
        </w:rPr>
        <w:t>&lt;RepeatBlock-By&gt;&lt;Members&gt;</w:t>
      </w:r>
      <w:r>
        <w:t>Dirk Gotink</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w:t>
            </w:r>
            <w:r>
              <w:rPr>
                <w:b/>
                <w:i/>
              </w:rPr>
              <w:t>lahko EU oživila svojo</w:t>
            </w:r>
            <w:r>
              <w:t xml:space="preserve"> produktivnost</w:t>
            </w:r>
            <w:r>
              <w:rPr>
                <w:b/>
                <w:i/>
              </w:rPr>
              <w:t xml:space="preserve"> ter uresničila svoje okoljske</w:t>
            </w:r>
            <w:r>
              <w:t xml:space="preserve"> in </w:t>
            </w:r>
            <w:r>
              <w:rPr>
                <w:b/>
                <w:i/>
              </w:rPr>
              <w:t>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w:t>
            </w:r>
            <w:r>
              <w:rPr>
                <w:b/>
                <w:i/>
              </w:rPr>
              <w:t>ponovno spodbudili trajnostno rast, oživili</w:t>
            </w:r>
            <w:r>
              <w:t xml:space="preserve"> produktivnost</w:t>
            </w:r>
            <w:r>
              <w:rPr>
                <w:b/>
                <w:i/>
              </w:rPr>
              <w:t>, podprli konkurenčnost, spodbudili inovacije, izboljšali varnost</w:t>
            </w:r>
            <w:r>
              <w:t xml:space="preserve"> in </w:t>
            </w:r>
            <w:r>
              <w:rPr>
                <w:b/>
                <w:i/>
              </w:rPr>
              <w:t>obrambo ter zmanjšali odvisnosti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w:t>
            </w:r>
            <w:r>
              <w:rPr>
                <w:b/>
                <w:i/>
              </w:rPr>
              <w:t>, da bi lahko</w:t>
            </w:r>
            <w:r>
              <w:t xml:space="preserve"> EU</w:t>
            </w:r>
            <w:r>
              <w:rPr>
                <w:b/>
                <w:i/>
              </w:rPr>
              <w:t xml:space="preserve"> oživila svojo produktivnost ter uresničila svoje okoljske</w:t>
            </w:r>
            <w:r>
              <w:t xml:space="preserve"> in </w:t>
            </w:r>
            <w:r>
              <w:rPr>
                <w:b/>
                <w:i/>
              </w:rPr>
              <w:t>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w:t>
            </w:r>
            <w:r>
              <w:rPr>
                <w:b/>
                <w:i/>
              </w:rPr>
              <w:t xml:space="preserve"> za podporo energetskemu prehodu</w:t>
            </w:r>
            <w:r>
              <w:t xml:space="preserve"> EU</w:t>
            </w:r>
            <w:r>
              <w:rPr>
                <w:b/>
                <w:i/>
              </w:rPr>
              <w:t>, okrepitev njene vodilne vlogo na področju digitalnih tehnologij, okrepitev varnosti</w:t>
            </w:r>
            <w:r>
              <w:t xml:space="preserve"> in </w:t>
            </w:r>
            <w:r>
              <w:rPr>
                <w:b/>
                <w:i/>
              </w:rPr>
              <w:t>obrambe ter povečanje produktivnosti EU</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lahko EU oživila svojo produktivnost </w:t>
            </w:r>
            <w:r>
              <w:rPr>
                <w:b/>
                <w:i/>
              </w:rPr>
              <w:t xml:space="preserve">ter uresničila svoje okoljske </w:t>
            </w:r>
            <w:r>
              <w:t xml:space="preserve">in </w:t>
            </w:r>
            <w:r>
              <w:rPr>
                <w:b/>
                <w:i/>
              </w:rPr>
              <w:t>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lahko EU oživila svojo produktivnost in </w:t>
            </w:r>
            <w:r>
              <w:rPr>
                <w:b/>
                <w:i/>
              </w:rPr>
              <w:t>si povrnila konkurenčnost</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34</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Ba.</w:t>
            </w:r>
            <w:r>
              <w:tab/>
              <w:t>ker je bilo v Draghijevem poročilu ugotovljeno, da je treba vsako leto vložiti najmanj dodatnih 750 do 800 milijard EUR, da bi lahko EU oživila svojo produktivnost ter uresničila svoje okoljske in socialne cilje;</w:t>
            </w:r>
          </w:p>
        </w:tc>
        <w:tc>
          <w:tcPr>
            <w:tcW w:w="4876" w:type="dxa"/>
            <w:tcBorders>
              <w:top w:val="nil"/>
              <w:left w:val="nil"/>
              <w:bottom w:val="nil"/>
              <w:right w:val="nil"/>
            </w:tcBorders>
          </w:tcPr>
          <w:p w:rsidR="0084767A" w:rsidRPr="00FC22F0" w:rsidRDefault="0084767A" w:rsidP="003E4EAF">
            <w:pPr>
              <w:pStyle w:val="Normal6a"/>
            </w:pPr>
            <w:r>
              <w:t>Ba.</w:t>
            </w:r>
            <w:r>
              <w:tab/>
              <w:t xml:space="preserve">ker je bilo v Draghijevem poročilu ugotovljeno, da je treba vsako leto vložiti najmanj dodatnih 750 do 800 milijard EUR, da bi lahko EU oživila svojo produktivnost </w:t>
            </w:r>
            <w:r>
              <w:rPr>
                <w:b/>
                <w:i/>
              </w:rPr>
              <w:t xml:space="preserve">in si povrnila konkurenčnost </w:t>
            </w:r>
            <w:r>
              <w:t>ter uresničila svoje</w:t>
            </w:r>
            <w:r>
              <w:rPr>
                <w:b/>
                <w:i/>
              </w:rPr>
              <w:t xml:space="preserve"> gospodarske,</w:t>
            </w:r>
            <w:r>
              <w:t xml:space="preserve"> okoljske in socialne cilje;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35</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w:t>
            </w:r>
            <w:r>
              <w:rPr>
                <w:b/>
                <w:i/>
              </w:rPr>
              <w:t>, da bi lahko</w:t>
            </w:r>
            <w:r>
              <w:t xml:space="preserve"> EU </w:t>
            </w:r>
            <w:r>
              <w:rPr>
                <w:b/>
                <w:i/>
              </w:rPr>
              <w:t>oživila svojo produktivnost ter uresničila svoje okoljske in 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w:t>
            </w:r>
            <w:r>
              <w:rPr>
                <w:b/>
                <w:i/>
              </w:rPr>
              <w:t xml:space="preserve">da bi si EU lahko </w:t>
            </w:r>
            <w:r>
              <w:t xml:space="preserve">povrnila konkurenčnost </w:t>
            </w:r>
            <w:r>
              <w:rPr>
                <w:b/>
                <w:i/>
              </w:rPr>
              <w:t>in za strukturno preobrazbo evropskega gospodarstva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36</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 xml:space="preserve">ker </w:t>
            </w:r>
            <w:r>
              <w:rPr>
                <w:b/>
                <w:i/>
              </w:rPr>
              <w:t>je bilo v Draghijevem poročilu ugotovljeno, da je treba vsako leto vložiti najmanj dodatnih 750 do 800 milijard EUR</w:t>
            </w:r>
            <w:r>
              <w:t xml:space="preserve">, </w:t>
            </w:r>
            <w:r>
              <w:rPr>
                <w:b/>
                <w:i/>
              </w:rPr>
              <w:t>da bi lahko EU oživila svojo produktivnost</w:t>
            </w:r>
            <w:r>
              <w:t xml:space="preserve"> ter </w:t>
            </w:r>
            <w:r>
              <w:rPr>
                <w:b/>
                <w:i/>
              </w:rPr>
              <w:t>uresničila svoje okoljske in 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 xml:space="preserve">ker </w:t>
            </w:r>
            <w:r>
              <w:rPr>
                <w:b/>
                <w:i/>
              </w:rPr>
              <w:t>Draghijevo poročilo med temeljnimi vzroki za nizko financiranje naložb v EU vidi visoko stopnjo razdrobljenosti trga</w:t>
            </w:r>
            <w:r>
              <w:t xml:space="preserve">, </w:t>
            </w:r>
            <w:r>
              <w:rPr>
                <w:b/>
                <w:i/>
              </w:rPr>
              <w:t>nedoslednosti v davčni politiki in insolvenčnem pravu</w:t>
            </w:r>
            <w:r>
              <w:t xml:space="preserve"> ter </w:t>
            </w:r>
            <w:r>
              <w:rPr>
                <w:b/>
                <w:i/>
              </w:rPr>
              <w:t>pretirano zanašanje na dolžniško financiranje</w:t>
            </w:r>
            <w:r>
              <w:t xml:space="preserve">;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37</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w:t>
            </w:r>
            <w:r>
              <w:rPr>
                <w:b/>
                <w:i/>
              </w:rPr>
              <w:t>ugotovljeno</w:t>
            </w:r>
            <w:r>
              <w:t xml:space="preserve">, da je treba vsako leto vložiti najmanj dodatnih 750 do 800 milijard EUR, da bi lahko EU </w:t>
            </w:r>
            <w:r>
              <w:rPr>
                <w:b/>
                <w:i/>
              </w:rPr>
              <w:t>oživila svojo produktivnost ter uresničila svoje okoljske in socialne cilje</w:t>
            </w:r>
            <w:r>
              <w:t>;</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w:t>
            </w:r>
            <w:r>
              <w:rPr>
                <w:b/>
                <w:i/>
              </w:rPr>
              <w:t>predlagano</w:t>
            </w:r>
            <w:r>
              <w:t xml:space="preserve">, da je treba vsako leto vložiti najmanj dodatnih 750 do 800 milijard EUR, da bi lahko </w:t>
            </w:r>
            <w:r>
              <w:rPr>
                <w:b/>
                <w:i/>
              </w:rPr>
              <w:t>ohranili konkurenčnost EU; da ta znesek ustreza letnemu BDP desetih držav članic za leto 2023 v tekočih cenah</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38</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 da bi lahko EU oživila svojo produktivnost ter uresničila svoje okoljske in socialne cilje;</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lahko EU oživila svojo produktivnost ter uresničila svoje okoljske in socialne cilje; </w:t>
            </w:r>
            <w:r>
              <w:rPr>
                <w:b/>
                <w:i/>
              </w:rPr>
              <w:t>ker to ustreza med 4,4 % in 4,7 % BDP EU v letu 2023</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1a M. Draghi: The future of European competitiveness, Part A, A competitiveness strategy for Europe (Prihodnost evropske konkurenčnosti, del A, Strategija za konkurenčnost za Evropo),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39</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A.</w:t>
            </w:r>
            <w:r>
              <w:tab/>
              <w:t>ker je bilo v Draghijevem poročilu ugotovljeno, da je treba vsako leto vložiti najmanj dodatnih 750 do 800 milijard EUR, da bi lahko EU oživila svojo produktivnost ter uresničila svoje okoljske in socialne cilje;</w:t>
            </w:r>
          </w:p>
        </w:tc>
        <w:tc>
          <w:tcPr>
            <w:tcW w:w="4876" w:type="dxa"/>
            <w:tcBorders>
              <w:top w:val="nil"/>
              <w:left w:val="nil"/>
              <w:bottom w:val="nil"/>
              <w:right w:val="nil"/>
            </w:tcBorders>
          </w:tcPr>
          <w:p w:rsidR="0084767A" w:rsidRPr="00FC22F0" w:rsidRDefault="0084767A" w:rsidP="003E4EAF">
            <w:pPr>
              <w:pStyle w:val="Normal6a"/>
            </w:pPr>
            <w:r>
              <w:t>A.</w:t>
            </w:r>
            <w:r>
              <w:tab/>
              <w:t xml:space="preserve">ker je bilo v Draghijevem poročilu ugotovljeno, da je treba vsako leto vložiti najmanj dodatnih 750 do 800 milijard EUR, da bi lahko EU oživila svojo produktivnost ter uresničila svoje okoljske in socialne cilje; </w:t>
            </w:r>
            <w:r>
              <w:rPr>
                <w:b/>
                <w:i/>
              </w:rPr>
              <w:t>od tega bi moralo biti 450 milijard EUR namenjenih samo za energetski prehod, od česar bi moral po mnenju inštituta Rousseau 260 milijard EUR prispevati javni sektor;</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40</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Aa.</w:t>
            </w:r>
            <w:r>
              <w:tab/>
            </w:r>
            <w:r>
              <w:rPr>
                <w:b/>
                <w:i/>
              </w:rPr>
              <w:t>ker so številni zelo tehnični, obremenjujoči in pogosto nasprotujoči si predpisi, skupaj s političnim pristopom „ena rešitev za vse“ in prizadevanji za centralizacijo, glavni razlogi za to, da prejšnji poskusi oblikovanja podjetjem in naložbam prijazne unije kapitalskih trgov niso prinesli znatnih rezultatov;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41</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Aa.</w:t>
            </w:r>
            <w:r>
              <w:tab/>
            </w:r>
            <w:r>
              <w:rPr>
                <w:b/>
                <w:i/>
              </w:rPr>
              <w:t>ker poročilo ugotavlja, da v zadnjih 50 letih v Uniji ni bilo ustanovljeno nobeno novo podjetje s tržno kapitalizacijo nad 100 milijard EUR, medtem ko je bilo v istem obdobju v ZDA ustanovljenih šest ameriških podjetij s tržno kapitalizacijo več kot 1 bilijon USD;</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Aa.</w:t>
            </w:r>
            <w:r>
              <w:tab/>
            </w:r>
            <w:r>
              <w:rPr>
                <w:b/>
                <w:i/>
              </w:rPr>
              <w:t>ker je v Draghijevem poročilu poudarjeno, da je splošna konkurenčnost evropskega gospodarstva zelo pomanjkljiva in da zlasti primanjkuje rasti produktivnosti;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René Repasi, Niels Fuglsang, Claire Fita,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Aa.</w:t>
            </w:r>
            <w:r>
              <w:tab/>
            </w:r>
            <w:r>
              <w:rPr>
                <w:b/>
                <w:i/>
              </w:rPr>
              <w:t>ker bo Unija morda morala kratkoročno vsaj 250 milijard EUR letno nameniti za obrambo, da bi Rusijo odvrnila od agresije;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keepNext/>
      </w:pPr>
      <w:bookmarkStart w:id="1" w:name="restart"/>
      <w:r>
        <w:rPr>
          <w:rStyle w:val="HideTWBExt"/>
          <w:b w:val="0"/>
        </w:rPr>
        <w:t>&lt;Amend&gt;</w:t>
      </w:r>
      <w:r>
        <w:t>Predlog spremembe</w:t>
      </w:r>
      <w:r>
        <w:tab/>
      </w:r>
      <w:r>
        <w:tab/>
      </w:r>
      <w:r>
        <w:rPr>
          <w:rStyle w:val="HideTWBExt"/>
          <w:b w:val="0"/>
        </w:rPr>
        <w:t>&lt;NumAm&gt;</w:t>
      </w:r>
      <w:r>
        <w:t>44</w:t>
      </w:r>
      <w:r>
        <w:rPr>
          <w:rStyle w:val="HideTWBExt"/>
          <w:b w:val="0"/>
        </w:rPr>
        <w:t>&lt;/NumAm&gt;</w:t>
      </w:r>
    </w:p>
    <w:p w:rsidR="0084767A" w:rsidRPr="00FC22F0" w:rsidRDefault="0084767A" w:rsidP="0084767A">
      <w:pPr>
        <w:pStyle w:val="NormalBold"/>
      </w:pPr>
      <w:r>
        <w:rPr>
          <w:rStyle w:val="HideTWBExt"/>
          <w:b w:val="0"/>
        </w:rPr>
        <w:t>&lt;RepeatBlock-By&gt;&lt;Members&gt;</w:t>
      </w:r>
      <w:r>
        <w:t>Danuše Nerudová</w:t>
      </w:r>
      <w:r>
        <w:rPr>
          <w:rStyle w:val="HideTWBExt"/>
          <w:b w:val="0"/>
        </w:rPr>
        <w:t>&lt;/Members&gt;</w:t>
      </w:r>
    </w:p>
    <w:p w:rsidR="0084767A" w:rsidRPr="00FC22F0" w:rsidRDefault="0084767A" w:rsidP="0084767A">
      <w:r>
        <w:rPr>
          <w:rStyle w:val="HideTWBExt"/>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767A" w:rsidTr="003E4EAF">
        <w:trPr>
          <w:jc w:val="center"/>
        </w:trPr>
        <w:tc>
          <w:tcPr>
            <w:tcW w:w="9752" w:type="dxa"/>
            <w:gridSpan w:val="2"/>
          </w:tcPr>
          <w:p w:rsidR="0084767A" w:rsidRPr="00FC22F0" w:rsidRDefault="0084767A" w:rsidP="003E4EAF">
            <w:pPr>
              <w:keepNext/>
            </w:pPr>
          </w:p>
        </w:tc>
      </w:tr>
      <w:tr w:rsidR="0084767A" w:rsidTr="003E4EAF">
        <w:trPr>
          <w:jc w:val="center"/>
        </w:trPr>
        <w:tc>
          <w:tcPr>
            <w:tcW w:w="4876" w:type="dxa"/>
          </w:tcPr>
          <w:p w:rsidR="0084767A" w:rsidRPr="00FC22F0" w:rsidRDefault="0084767A" w:rsidP="003E4EAF">
            <w:pPr>
              <w:pStyle w:val="AmColumnHeading"/>
              <w:keepNext/>
            </w:pPr>
            <w:r>
              <w:t>Predlog resolucije</w:t>
            </w:r>
          </w:p>
        </w:tc>
        <w:tc>
          <w:tcPr>
            <w:tcW w:w="4876" w:type="dxa"/>
          </w:tcPr>
          <w:p w:rsidR="0084767A" w:rsidRPr="00FC22F0" w:rsidRDefault="0084767A" w:rsidP="003E4EAF">
            <w:pPr>
              <w:pStyle w:val="AmColumnHeading"/>
              <w:keepNext/>
            </w:pPr>
            <w:r>
              <w:t>Predlog spremembe</w:t>
            </w:r>
          </w:p>
        </w:tc>
      </w:tr>
      <w:tr w:rsidR="0084767A" w:rsidTr="003E4EAF">
        <w:trPr>
          <w:jc w:val="center"/>
        </w:trPr>
        <w:tc>
          <w:tcPr>
            <w:tcW w:w="4876" w:type="dxa"/>
          </w:tcPr>
          <w:p w:rsidR="0084767A" w:rsidRPr="00FC22F0" w:rsidRDefault="0084767A" w:rsidP="003E4EAF">
            <w:pPr>
              <w:pStyle w:val="Normal6a"/>
            </w:pPr>
          </w:p>
        </w:tc>
        <w:tc>
          <w:tcPr>
            <w:tcW w:w="4876" w:type="dxa"/>
          </w:tcPr>
          <w:p w:rsidR="0084767A" w:rsidRPr="00FC22F0" w:rsidRDefault="0084767A" w:rsidP="003E4EAF">
            <w:pPr>
              <w:pStyle w:val="Normal6a"/>
            </w:pPr>
            <w:r>
              <w:rPr>
                <w:b/>
                <w:i/>
              </w:rPr>
              <w:t>Aa.</w:t>
            </w:r>
            <w:r>
              <w:rPr>
                <w:b/>
                <w:i/>
              </w:rPr>
              <w:tab/>
              <w:t>ker letni proračun EU zagotavlja omejen fiskalni manevrski prostor za izvajanje dogovora o evropski konkurenčnosti;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bookmarkEnd w:id="1"/>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45</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Ab.</w:t>
            </w:r>
            <w:r>
              <w:tab/>
            </w:r>
            <w:r>
              <w:rPr>
                <w:b/>
                <w:i/>
              </w:rPr>
              <w:t>ker evropski tvegani kapital močno zaostaja za ZDA, in sicer za 80 % v fazi zasnove, 73 % v zgodnji fazi in 82 % v fazi rasti; ker se je produktivnost v Evropi v obdobju med letoma 2000 in 2019 zmanjšala za več kot 0,5 %; ker se je zaradi upada rodnosti od devetdesetih letih prejšnjega stoletja upočasnila rast delovno sposobnega prebivalstva, v zadnjem desetletju pa se je njegovo število začelo zmanjševati;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46</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Ac.</w:t>
            </w:r>
            <w:r>
              <w:tab/>
            </w:r>
            <w:r>
              <w:rPr>
                <w:b/>
                <w:i/>
              </w:rPr>
              <w:t>ker Mario Draghi predlaga, da je rešitev v privabljanju naložb, predvsem s sprostitvijo zasebnega kapitala, z ustanovitvijo unije prihrankov in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47</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A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Ad.</w:t>
            </w:r>
            <w:r>
              <w:tab/>
            </w:r>
            <w:r>
              <w:rPr>
                <w:b/>
                <w:i/>
              </w:rPr>
              <w:t>ker so pokojninska sredstva v Evropski uniji leta 2022 predstavljala le 32 % BDP v primerjavi s 142 % v Združenih državah, kar kaže na velike razlike v globini in razvoju zasebnih pokojninskih sistemov po vsej Evropi; ker ta vrzel odraža nerazvitost pokojninskih sistemov drugega stebra v mnogih državah članicah, kar omejuje možnosti dolgoročnega varčevanja za evropske državljane; ker imajo zasebni pokojninski sistemi ključno vlogo pri zagotavljanju finančne varnosti v pokoju, saj zmanjšujejo pritisk na javne pokojninske sisteme in krepijo splošno odpornost evropskih finančnih trgov; ker so nujno potrebni konkretni ukrepi za spodbujanje razvoja zasebnih pokojnin v Evropi, vključno s spodbudami za dolgoročno varčevanje, olajševanjem čezmejnih pokojninskih naložb in odpravo ovir za rast pokojninskih skladov, da bi okrepili prihodnjo ekonomsko varnost evropskih državljanov in zagotovili vzdržnost pokojninskih sistemov;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48</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B.</w:t>
            </w:r>
            <w:r>
              <w:tab/>
              <w:t xml:space="preserve">ker je načrt za ponovno oborožitev Evrope ReArm Europe sestavljen iz petih stebrov, namenjenih financiranju evropske varnosti in obrambe, </w:t>
            </w:r>
            <w:r>
              <w:rPr>
                <w:b/>
                <w:i/>
              </w:rPr>
              <w:t>ki se bo krilo tako z javnimi naložbami kot s sredstvi</w:t>
            </w:r>
            <w:r>
              <w:t xml:space="preserve"> unije prihrankov in naložb;</w:t>
            </w:r>
          </w:p>
        </w:tc>
        <w:tc>
          <w:tcPr>
            <w:tcW w:w="4876" w:type="dxa"/>
            <w:tcBorders>
              <w:top w:val="nil"/>
              <w:left w:val="nil"/>
              <w:bottom w:val="nil"/>
              <w:right w:val="nil"/>
            </w:tcBorders>
          </w:tcPr>
          <w:p w:rsidR="0084767A" w:rsidRPr="00FC22F0" w:rsidRDefault="0084767A" w:rsidP="003E4EAF">
            <w:pPr>
              <w:pStyle w:val="Normal6a"/>
            </w:pPr>
            <w:r>
              <w:t>B.</w:t>
            </w:r>
            <w:r>
              <w:tab/>
              <w:t xml:space="preserve">ker je načrt za ponovno oborožitev Evrope ReArm Europe sestavljen iz petih stebrov, namenjenih financiranju evropske varnosti in obrambe, </w:t>
            </w:r>
            <w:r>
              <w:rPr>
                <w:b/>
                <w:i/>
              </w:rPr>
              <w:t>in vključuje sinergije med javnim in zasebnim sektorjem za privabljanje naložb z razvojem</w:t>
            </w:r>
            <w:r>
              <w:t xml:space="preserve"> unije prihrankov in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49</w:t>
      </w:r>
      <w:r>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Billy Kelleher, Stéphanie Yon-Courtin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B.</w:t>
            </w:r>
            <w:r>
              <w:tab/>
              <w:t>ker je načrt za ponovno oborožitev Evrope ReArm Europe sestavljen iz petih stebrov, namenjenih financiranju evropske varnosti in obrambe, ki se bo krilo tako z javnimi naložbami kot s sredstvi unije prihrankov in naložb;</w:t>
            </w:r>
          </w:p>
        </w:tc>
        <w:tc>
          <w:tcPr>
            <w:tcW w:w="4876" w:type="dxa"/>
            <w:tcBorders>
              <w:top w:val="nil"/>
              <w:left w:val="nil"/>
              <w:bottom w:val="nil"/>
              <w:right w:val="nil"/>
            </w:tcBorders>
          </w:tcPr>
          <w:p w:rsidR="0084767A" w:rsidRPr="00FC22F0" w:rsidRDefault="0084767A" w:rsidP="003E4EAF">
            <w:pPr>
              <w:pStyle w:val="Normal6a"/>
            </w:pPr>
            <w:r>
              <w:rPr>
                <w:i/>
              </w:rPr>
              <w:t>(Ne zadeva slovenske različice.)</w:t>
            </w:r>
            <w:r>
              <w:tab/>
              <w:t xml:space="preserve"> </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i/>
              </w:rPr>
              <w:t xml:space="preserve">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50</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B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Ba.</w:t>
            </w:r>
            <w:r>
              <w:tab/>
            </w:r>
            <w:r>
              <w:rPr>
                <w:b/>
                <w:i/>
              </w:rPr>
              <w:t>ker so nedavne odločitve ameriške administracije, vključno s tistimi o zvišanju carin, ustvarile precejšnjo negotovost, kar negativno vpliva na napovedi rasti, inflacije in zaposlovanja; ker so se finančni trgi močno odzvali na novo politično stališče ZDA; ker se je vrednost dolarja od januarja 2025 močno znižala, donosi ameriških državnih obveznic pa so se povečali, kar kaže na to, da vlagatelji morda preusmerjajo kapitalske tokove;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51</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C.</w:t>
            </w:r>
            <w:r>
              <w:tab/>
              <w:t xml:space="preserve">ker </w:t>
            </w:r>
            <w:r>
              <w:rPr>
                <w:b/>
                <w:i/>
              </w:rPr>
              <w:t xml:space="preserve">je </w:t>
            </w:r>
            <w:r>
              <w:t xml:space="preserve">zasebni sektor v Evropi </w:t>
            </w:r>
            <w:r>
              <w:rPr>
                <w:b/>
                <w:i/>
              </w:rPr>
              <w:t>v preteklosti prispeval</w:t>
            </w:r>
            <w:r>
              <w:t xml:space="preserve"> približno štiri petine produktivnih naložb, preostali del pa </w:t>
            </w:r>
            <w:r>
              <w:rPr>
                <w:b/>
                <w:i/>
              </w:rPr>
              <w:t>je zagotovil</w:t>
            </w:r>
            <w:r>
              <w:t xml:space="preserve"> javni sektor</w:t>
            </w:r>
            <w:r>
              <w:rPr>
                <w:vertAlign w:val="superscript"/>
              </w:rPr>
              <w:t>3</w:t>
            </w:r>
            <w:r>
              <w:rPr>
                <w:b/>
                <w:i/>
              </w:rPr>
              <w:t xml:space="preserve"> </w:t>
            </w:r>
            <w:r>
              <w:t>;</w:t>
            </w:r>
          </w:p>
        </w:tc>
        <w:tc>
          <w:tcPr>
            <w:tcW w:w="4876" w:type="dxa"/>
            <w:tcBorders>
              <w:top w:val="nil"/>
              <w:left w:val="nil"/>
              <w:bottom w:val="nil"/>
              <w:right w:val="nil"/>
            </w:tcBorders>
          </w:tcPr>
          <w:p w:rsidR="0084767A" w:rsidRPr="00FC22F0" w:rsidRDefault="0084767A" w:rsidP="003E4EAF">
            <w:pPr>
              <w:pStyle w:val="Normal6a"/>
            </w:pPr>
            <w:r>
              <w:t>C.</w:t>
            </w:r>
            <w:r>
              <w:tab/>
              <w:t xml:space="preserve">ker zasebni sektor v Evropi </w:t>
            </w:r>
            <w:r>
              <w:rPr>
                <w:b/>
                <w:i/>
              </w:rPr>
              <w:t>prispeva</w:t>
            </w:r>
            <w:r>
              <w:t xml:space="preserve"> približno štiri petine produktivnih naložb, preostali del pa </w:t>
            </w:r>
            <w:r>
              <w:rPr>
                <w:b/>
                <w:i/>
              </w:rPr>
              <w:t>zagotavlja</w:t>
            </w:r>
            <w:r>
              <w:t xml:space="preserve"> javni sektor</w:t>
            </w:r>
            <w:r>
              <w:rPr>
                <w:vertAlign w:val="superscript"/>
              </w:rPr>
              <w:t>3</w:t>
            </w:r>
            <w:r>
              <w:t>;</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vertAlign w:val="superscript"/>
              </w:rPr>
              <w:t>3</w:t>
            </w:r>
            <w:r>
              <w:t xml:space="preserve"> Draghi, Mario: The future of European competitiveness, Part A | A competitiveness strategy for Europe (Prihodnost evropske konkurenčnosti, del A | Strategija za konkurenčnost Evrope), 2024.</w:t>
            </w:r>
          </w:p>
        </w:tc>
        <w:tc>
          <w:tcPr>
            <w:tcW w:w="4876" w:type="dxa"/>
            <w:tcBorders>
              <w:top w:val="nil"/>
              <w:left w:val="nil"/>
              <w:bottom w:val="nil"/>
              <w:right w:val="nil"/>
            </w:tcBorders>
          </w:tcPr>
          <w:p w:rsidR="0084767A" w:rsidRPr="00FC22F0" w:rsidRDefault="0084767A" w:rsidP="003E4EAF">
            <w:pPr>
              <w:pStyle w:val="Normal6a"/>
            </w:pPr>
            <w:r>
              <w:rPr>
                <w:vertAlign w:val="superscript"/>
              </w:rPr>
              <w:t>3</w:t>
            </w:r>
            <w:r>
              <w:t xml:space="preserve"> Draghi, Mario: The future of European competitiveness, Part A | A competitiveness strategy for Europe (Prihodnost evropske konkurenčnosti, del A | Strategija za konkurenčnost Evrope),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C.</w:t>
            </w:r>
            <w:r>
              <w:tab/>
              <w:t>ker je zasebni sektor v Evropi v preteklosti prispeval približno štiri petine produktivnih naložb, preostali del pa je zagotovil javni sektor</w:t>
            </w:r>
            <w:r>
              <w:rPr>
                <w:vertAlign w:val="superscript"/>
              </w:rPr>
              <w:t>3</w:t>
            </w:r>
            <w:r>
              <w:t xml:space="preserve"> ;</w:t>
            </w:r>
          </w:p>
        </w:tc>
        <w:tc>
          <w:tcPr>
            <w:tcW w:w="4876" w:type="dxa"/>
            <w:tcBorders>
              <w:top w:val="nil"/>
              <w:left w:val="nil"/>
              <w:bottom w:val="nil"/>
              <w:right w:val="nil"/>
            </w:tcBorders>
          </w:tcPr>
          <w:p w:rsidR="0084767A" w:rsidRPr="00FC22F0" w:rsidRDefault="0084767A" w:rsidP="003E4EAF">
            <w:pPr>
              <w:pStyle w:val="Normal6a"/>
            </w:pPr>
            <w:r>
              <w:t>C.</w:t>
            </w:r>
            <w:r>
              <w:tab/>
              <w:t>ker je zasebni sektor v Evropi v preteklosti prispeval približno štiri petine produktivnih naložb, preostali del pa je zagotovil javni sektor</w:t>
            </w:r>
            <w:r>
              <w:rPr>
                <w:vertAlign w:val="superscript"/>
              </w:rPr>
              <w:t>3</w:t>
            </w:r>
            <w:r>
              <w:t xml:space="preserve">; </w:t>
            </w:r>
            <w:r>
              <w:rPr>
                <w:b/>
                <w:i/>
              </w:rPr>
              <w:t>ker je bila splošna raven produktivnih naložb v EU v zadnjih dveh desetletjih bistveno nižja kot v ZDA;</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vertAlign w:val="superscript"/>
              </w:rPr>
              <w:t>3</w:t>
            </w:r>
            <w:r>
              <w:t xml:space="preserve"> Draghi, Mario: The future of European competitiveness, Part A | A competitiveness strategy for Europe (Prihodnost evropske konkurenčnosti, del A | Strategija za konkurenčnost Evrope), 2024.</w:t>
            </w:r>
          </w:p>
        </w:tc>
        <w:tc>
          <w:tcPr>
            <w:tcW w:w="4876" w:type="dxa"/>
            <w:tcBorders>
              <w:top w:val="nil"/>
              <w:left w:val="nil"/>
              <w:bottom w:val="nil"/>
              <w:right w:val="nil"/>
            </w:tcBorders>
          </w:tcPr>
          <w:p w:rsidR="0084767A" w:rsidRPr="00FC22F0" w:rsidRDefault="0084767A" w:rsidP="003E4EAF">
            <w:pPr>
              <w:pStyle w:val="Normal6a"/>
            </w:pPr>
            <w:r>
              <w:rPr>
                <w:vertAlign w:val="superscript"/>
              </w:rPr>
              <w:t>3</w:t>
            </w:r>
            <w:r>
              <w:t xml:space="preserve"> Draghi, Mario: The future of European competitiveness, Part A | A competitiveness strategy for Europe (Prihodnost evropske konkurenčnosti, del A | Strategija za konkurenčnost Evrope),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53</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C.</w:t>
            </w:r>
            <w:r>
              <w:tab/>
              <w:t>ker je zasebni sektor v Evropi v preteklosti prispeval približno štiri petine produktivnih naložb, preostali del pa je zagotovil javni sektor</w:t>
            </w:r>
            <w:r>
              <w:rPr>
                <w:vertAlign w:val="superscript"/>
              </w:rPr>
              <w:t>3</w:t>
            </w:r>
            <w:r>
              <w:t xml:space="preserve"> ;</w:t>
            </w:r>
          </w:p>
        </w:tc>
        <w:tc>
          <w:tcPr>
            <w:tcW w:w="4876" w:type="dxa"/>
            <w:tcBorders>
              <w:top w:val="nil"/>
              <w:left w:val="nil"/>
              <w:bottom w:val="nil"/>
              <w:right w:val="nil"/>
            </w:tcBorders>
          </w:tcPr>
          <w:p w:rsidR="0084767A" w:rsidRPr="00FC22F0" w:rsidRDefault="0084767A" w:rsidP="003E4EAF">
            <w:pPr>
              <w:pStyle w:val="Normal6a"/>
            </w:pPr>
            <w:r>
              <w:t>C.</w:t>
            </w:r>
            <w:r>
              <w:tab/>
              <w:t>ker je zasebni sektor v Evropi v preteklosti prispeval približno štiri petine produktivnih naložb, preostali del pa je zagotovil javni sektor</w:t>
            </w:r>
            <w:r>
              <w:rPr>
                <w:vertAlign w:val="superscript"/>
              </w:rPr>
              <w:t>3</w:t>
            </w:r>
            <w:r>
              <w:t xml:space="preserve"> ;</w:t>
            </w:r>
            <w:r>
              <w:rPr>
                <w:b/>
                <w:i/>
              </w:rPr>
              <w:t> ker lahko po podatkih organizacije Finance Watch kapitalski trgi zagotovijo le tretjino naložbenih potreb EU</w:t>
            </w:r>
            <w:r>
              <w:rPr>
                <w:b/>
                <w:i/>
                <w:vertAlign w:val="superscript"/>
              </w:rPr>
              <w:t>3a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vertAlign w:val="superscript"/>
              </w:rPr>
              <w:t>3</w:t>
            </w:r>
            <w:r>
              <w:t xml:space="preserve"> Draghi, Mario: The future of European competitiveness, Part A | A competitiveness strategy for Europe (Prihodnost evropske konkurenčnosti, del A | Strategija za konkurenčnost Evrope), 2024.</w:t>
            </w:r>
          </w:p>
        </w:tc>
        <w:tc>
          <w:tcPr>
            <w:tcW w:w="4876" w:type="dxa"/>
            <w:tcBorders>
              <w:top w:val="nil"/>
              <w:left w:val="nil"/>
              <w:bottom w:val="nil"/>
              <w:right w:val="nil"/>
            </w:tcBorders>
          </w:tcPr>
          <w:p w:rsidR="0084767A" w:rsidRPr="00FC22F0" w:rsidRDefault="0084767A" w:rsidP="003E4EAF">
            <w:pPr>
              <w:pStyle w:val="Normal6a"/>
            </w:pPr>
            <w:r>
              <w:rPr>
                <w:vertAlign w:val="superscript"/>
              </w:rPr>
              <w:t>3</w:t>
            </w:r>
            <w:r>
              <w:t xml:space="preserve"> Draghi, Mario: The future of European competitiveness, Part A | A competitiveness strategy for Europe (Prihodnost evropske konkurenčnosti, del A | Strategija za konkurenčnost Evrope), 2024.</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Philipponnat, Europe’s coming investment crisis (Prihajajoča naložbena kriza v Evropi). Kaj če bi kapitalski trgi lahko zadovoljili le tretjino osnovnih evropskih potreb po financiranju? Poročilo združenja Finance Watch,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54</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C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Ca.</w:t>
            </w:r>
            <w:r>
              <w:tab/>
            </w:r>
            <w:r>
              <w:rPr>
                <w:b/>
                <w:i/>
              </w:rPr>
              <w:t>ker ima le 18 % evropskih državljanov visoko raven finančne pismenosti, kot je poudarjeno v evropski raziskavi o finančni pismenosti, ki jo je pripravila Evropska komisija; ker ima večina, tj. 64 %, povprečno raven finančnega znanja, 18 % pa nizko raven finančne pismenosti, kar povzroča znatno vrzel v finančnih zmožnostih evropskih državljanov; ker imajo le štiri države članice, ki predstavljajo več kot četrtino prebivalstva EU, visoko raven finančnega znanja, in sicer Nizozemska, Danska, Švedska in Slovenija; ker je izboljšanje finančne pismenosti bistveno, da se bodo ljudje lahko informirano odločali o varčevanju, naložbah in načrtovanju upokojitve, s čimer se bo povečala njihova dolgoročna finančna blaginja; ker je po vsej EU potrebna poglobljena finančna izobrazba, da bi državljane opremili z veščinami, potrebnimi za krmarjenje po vse bolj kompleksnih finančnih trgih in da bi lahko v celoti izkoristili naložbene priložnosti, kar bo prispevalo h gospodarski rasti;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55</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C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Ca.</w:t>
            </w:r>
            <w:r>
              <w:tab/>
            </w:r>
            <w:r>
              <w:rPr>
                <w:b/>
                <w:i/>
              </w:rPr>
              <w:t>ker je BDP EU leta 2023 predstavljal 17 % svetovnega BDP, kar je podobno kot Kitajska, a 9 odstotnih točk manj kot ZDA; ker ima Unija enega najnižjih Ginijevih koeficientov na svetu</w:t>
            </w:r>
            <w:r>
              <w:rPr>
                <w:b/>
                <w:i/>
                <w:vertAlign w:val="superscript"/>
              </w:rPr>
              <w:t>1a</w:t>
            </w:r>
            <w:r>
              <w:rPr>
                <w:b/>
                <w:i/>
              </w:rPr>
              <w:t>, kar kaže na razmeroma nizko dohodkovno neenakost v primerjavi z drugimi večjimi gospodarstvi; ker je počasnejša rast produktivnosti povezana s počasnejšo rastjo dohodka in šibkejšim domačim povpraševanjem v Evropi</w:t>
            </w:r>
            <w:r>
              <w:rPr>
                <w:b/>
                <w:i/>
                <w:vertAlign w:val="superscript"/>
              </w:rPr>
              <w:t>1b</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 xml:space="preserve">https://data.worldbank.org/indicator/SI.POV.GINI?locations=EU </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1b</w:t>
            </w:r>
            <w:r>
              <w:t xml:space="preserve"> </w:t>
            </w:r>
            <w:r>
              <w:rPr>
                <w:b/>
                <w:i/>
              </w:rPr>
              <w:t>M. Draghi, Mario: The future of European competitiveness, Part A | A competitiveness strategy for Europe (Prihodnost evropske konkurenčnosti, del A|Strategija za konkurenčnost Evrope),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56</w:t>
      </w:r>
      <w:r>
        <w:rPr>
          <w:rStyle w:val="HideTWBExt"/>
          <w:b w:val="0"/>
        </w:rPr>
        <w:t>&lt;/NumAm&gt;</w:t>
      </w:r>
    </w:p>
    <w:p w:rsidR="0084767A" w:rsidRPr="00FC22F0" w:rsidRDefault="0084767A" w:rsidP="0084767A">
      <w:pPr>
        <w:pStyle w:val="NormalBold"/>
      </w:pPr>
      <w:r>
        <w:rPr>
          <w:rStyle w:val="HideTWBExt"/>
          <w:b w:val="0"/>
        </w:rPr>
        <w:t>&lt;RepeatBlock-By&gt;&lt;Members&gt;</w:t>
      </w:r>
      <w:r>
        <w:t>Auke Zijlstra,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D.</w:t>
            </w:r>
            <w:r>
              <w:tab/>
              <w:t>ker so po podatkih iz Draghijevega poročila prihranki gospodinjstev v EU leta 2022 znašali 1 390 milijard EUR, medtem ko so gospodinjstva v ZDA prihranila 840 milijard EUR;</w:t>
            </w:r>
          </w:p>
        </w:tc>
        <w:tc>
          <w:tcPr>
            <w:tcW w:w="4876" w:type="dxa"/>
            <w:tcBorders>
              <w:top w:val="nil"/>
              <w:left w:val="nil"/>
              <w:bottom w:val="nil"/>
              <w:right w:val="nil"/>
            </w:tcBorders>
          </w:tcPr>
          <w:p w:rsidR="0084767A" w:rsidRPr="00FC22F0" w:rsidRDefault="0084767A" w:rsidP="003E4EAF">
            <w:pPr>
              <w:pStyle w:val="Normal6a"/>
            </w:pPr>
            <w:r>
              <w:t>D.</w:t>
            </w:r>
            <w:r>
              <w:tab/>
              <w:t>ker so po podatkih iz Draghijevega poročila prihranki gospodinjstev v EU leta 2022 znašali 1 390 milijard EUR, medtem ko so gospodinjstva v ZDA prihranila 840 milijard EUR</w:t>
            </w:r>
            <w:r>
              <w:rPr>
                <w:b/>
                <w:i/>
              </w:rPr>
              <w:t>, kar kaže na razlike v varčevalni in naložbeni strategiji, to pa izhaja iz velikih razlik v finančni kulturi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57</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D.</w:t>
            </w:r>
            <w:r>
              <w:tab/>
              <w:t>ker so po podatkih iz Draghijevega poročila prihranki gospodinjstev v EU leta 2022 znašali 1 390 milijard EUR, medtem ko so gospodinjstva v ZDA prihranila 840 milijard EUR;</w:t>
            </w:r>
          </w:p>
        </w:tc>
        <w:tc>
          <w:tcPr>
            <w:tcW w:w="4876" w:type="dxa"/>
            <w:tcBorders>
              <w:top w:val="nil"/>
              <w:left w:val="nil"/>
              <w:bottom w:val="nil"/>
              <w:right w:val="nil"/>
            </w:tcBorders>
          </w:tcPr>
          <w:p w:rsidR="0084767A" w:rsidRPr="00FC22F0" w:rsidRDefault="0084767A" w:rsidP="003E4EAF">
            <w:pPr>
              <w:pStyle w:val="Normal6a"/>
            </w:pPr>
            <w:r>
              <w:t>D.</w:t>
            </w:r>
            <w:r>
              <w:tab/>
              <w:t>ker so po podatkih iz Draghijevega poročila prihranki gospodinjstev v EU leta 2022 znašali 1 390 milijard EUR, medtem ko so gospodinjstva v ZDA prihranila 840 milijard EUR</w:t>
            </w:r>
            <w:r>
              <w:rPr>
                <w:b/>
                <w:i/>
              </w:rPr>
              <w:t>, vseeno pa imajo gospodinjstva EU precej manj premoženja kot ameriška gospodinjstva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58</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D.</w:t>
            </w:r>
            <w:r>
              <w:tab/>
              <w:t>ker so po podatkih iz Draghijevega poročila prihranki gospodinjstev v EU leta 2022 znašali 1 390 milijard EUR, medtem ko so gospodinjstva v ZDA prihranila 840 milijard EUR;</w:t>
            </w:r>
          </w:p>
        </w:tc>
        <w:tc>
          <w:tcPr>
            <w:tcW w:w="4876" w:type="dxa"/>
            <w:tcBorders>
              <w:top w:val="nil"/>
              <w:left w:val="nil"/>
              <w:bottom w:val="nil"/>
              <w:right w:val="nil"/>
            </w:tcBorders>
          </w:tcPr>
          <w:p w:rsidR="0084767A" w:rsidRPr="00FC22F0" w:rsidRDefault="0084767A" w:rsidP="003E4EAF">
            <w:pPr>
              <w:pStyle w:val="Normal6a"/>
            </w:pPr>
            <w:r>
              <w:t>D.</w:t>
            </w:r>
            <w:r>
              <w:tab/>
              <w:t xml:space="preserve">ker so po podatkih iz Draghijevega poročila prihranki gospodinjstev v EU leta 2022 znašali 1 390 milijard EUR, medtem ko so gospodinjstva v ZDA prihranila 840 milijard EUR; </w:t>
            </w:r>
            <w:r>
              <w:rPr>
                <w:b/>
                <w:i/>
              </w:rPr>
              <w:t>ker je na leto v povprečju 300 milijard EUR prihrankov gospodinjstev v EU preusmerjenih v ameriško gospodarstvo;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59</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Da.</w:t>
            </w:r>
            <w:r>
              <w:tab/>
            </w:r>
            <w:r>
              <w:rPr>
                <w:b/>
                <w:i/>
              </w:rPr>
              <w:t>ker je za spodbujanje inovacij, rasti in naložb bistveno tržno usmerjeno gospodarstvo in ker je spoštovanje tega načela ključnega pomena za gospodarsko konkurenčnost Evrope; ker ima v tržno usmerjenem gospodarstvu osrednjo vlogo pri spodbujanju inovacij, podjetništva in ustvarjanja novih delovnih mest zasebni kapital, kar je izrazito pomembno za razvoj sektorja tveganega kapitala; ker zasebne naložbe, zlasti v tvegani kapital, kljub močni evropski varčevalni osnovi še vedno znatno zaostajajo za naložbami v ZDA; ker so politike, ki omogočajo svobodno in konkurenčno tržno okolje, bistvene za zapolnitev te vrzeli in zagotovitev, da bo lahko Evropa v celoti izkoristila svoj gospodarski potencial ter privabila domače in mednarodne naložbe;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60</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Da.</w:t>
            </w:r>
            <w:r>
              <w:tab/>
            </w:r>
            <w:r>
              <w:rPr>
                <w:b/>
                <w:i/>
              </w:rPr>
              <w:t>ker finančni vrednostni papirji, ki so v neposredni lasti gospodinjstev (delnice, ki kotirajo na borzi, obveznice, vzajemni skladi in izvedeni finančni instrumenti), v tem trenutku tvorijo 43 % premoženja gospodinjstev v ZDA, a le 17 % premoženja gospodinjstev v EU</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M. Draghi: The future of European competitiveness, Part A | A competitiveness strategy for Europe (Prihodnost evropske konkurenčnosti, del A|Strategija za konkurenčnost Evrope),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61</w:t>
      </w:r>
      <w:r>
        <w:rPr>
          <w:rStyle w:val="HideTWBExt"/>
          <w:b w:val="0"/>
        </w:rPr>
        <w:t>&lt;/NumAm&gt;</w:t>
      </w:r>
    </w:p>
    <w:p w:rsidR="0084767A" w:rsidRPr="00FC22F0" w:rsidRDefault="0084767A" w:rsidP="0084767A">
      <w:pPr>
        <w:pStyle w:val="NormalBold"/>
      </w:pPr>
      <w:r>
        <w:rPr>
          <w:rStyle w:val="HideTWBExt"/>
          <w:b w:val="0"/>
        </w:rPr>
        <w:t>&lt;RepeatBlock-By&gt;&lt;Members&gt;</w:t>
      </w:r>
      <w:r>
        <w:t>Auke Zijlstra,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Da.</w:t>
            </w:r>
            <w:r>
              <w:tab/>
            </w:r>
            <w:r>
              <w:rPr>
                <w:b/>
                <w:i/>
              </w:rPr>
              <w:t>ker inflacijo v EU glede na tisto v ZDA omejujejo tudi obsežnejši prihranki v Evropi kot v ZDA in je s tem kupna moč evropskih gospodinjstev bolje zaščitena;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62</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D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Db.</w:t>
            </w:r>
            <w:r>
              <w:tab/>
            </w:r>
            <w:r>
              <w:rPr>
                <w:b/>
                <w:i/>
              </w:rPr>
              <w:t>ker je 70 % prihrankov malih vlagateljev v Uniji deponiranih v bančnih vlogah in le 30 % v obliki instrumentov kapitalskega trga, medtem ko je v Združenih državah ravno narobe;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63</w:t>
      </w:r>
      <w:r>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Billy Kelleher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 ker so imeli 36 % svojih prihrankov (oziroma 13,42 bilijona EUR) v obliki lastniškega kapitala in delnic investicijskih skladov, 27 % svojih prihrankov (oziroma 10,06 bilijona EUR) pa v obliki zavarovanj, pokojnin in standardiziranih jamstev</w:t>
            </w:r>
            <w:r>
              <w:rPr>
                <w:b/>
                <w:i/>
                <w:vertAlign w:val="superscript"/>
              </w:rPr>
              <w:t>4</w:t>
            </w:r>
            <w:r>
              <w:t>;</w:t>
            </w:r>
          </w:p>
        </w:tc>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w:t>
            </w:r>
            <w:r>
              <w:rPr>
                <w:b/>
                <w:i/>
              </w:rPr>
              <w:t xml:space="preserve"> (več kot trikrat več v primerjavi s 4,7 % v ZDA</w:t>
            </w:r>
            <w:r>
              <w:rPr>
                <w:b/>
                <w:i/>
                <w:vertAlign w:val="superscript"/>
              </w:rPr>
              <w:t>2a</w:t>
            </w:r>
            <w:r>
              <w:rPr>
                <w:b/>
                <w:i/>
              </w:rPr>
              <w:t>)</w:t>
            </w:r>
            <w:r>
              <w:t>, državljani EU pa so imeli 31,01 % svojih prihrankov (oziroma 11,63 bilijona EUR) v obliki gotovine in vlog</w:t>
            </w:r>
            <w:r>
              <w:rPr>
                <w:b/>
                <w:i/>
              </w:rPr>
              <w:t xml:space="preserve"> (12,1 % v ZDA), a le </w:t>
            </w:r>
            <w:r>
              <w:t>z nizkimi donosi; ker so imeli 36 % svojih prihrankov (oziroma 13,42 bilijona EUR) v obliki lastniškega kapitala in delnic investicijskih skladov</w:t>
            </w:r>
            <w:r>
              <w:rPr>
                <w:b/>
                <w:i/>
              </w:rPr>
              <w:t>(49,1 % v ZDA)</w:t>
            </w:r>
            <w:r>
              <w:t>, 27 % svojih prihrankov (oziroma 10,06 bilijona EUR) pa v obliki zavarovanj, pokojnin in standardiziranih jamstev</w:t>
            </w:r>
            <w:r>
              <w:rPr>
                <w:b/>
                <w:i/>
              </w:rPr>
              <w:t xml:space="preserve"> (27,5 % v ZDA)</w:t>
            </w:r>
            <w:r>
              <w:t>;</w:t>
            </w:r>
            <w:r>
              <w:rPr>
                <w:b/>
                <w:i/>
                <w:vertAlign w:val="superscript"/>
              </w:rPr>
              <w:t>3a</w:t>
            </w:r>
            <w:r>
              <w:t xml:space="preserve"> </w:t>
            </w:r>
            <w:r>
              <w:rPr>
                <w:b/>
                <w:i/>
                <w:vertAlign w:val="superscript"/>
              </w:rPr>
              <w:t>4</w:t>
            </w:r>
            <w:r>
              <w:t>;</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2a</w:t>
            </w:r>
            <w:r>
              <w:t xml:space="preserve"> </w:t>
            </w:r>
            <w:r>
              <w:rPr>
                <w:b/>
                <w:i/>
              </w:rPr>
              <w:t>Ameriški zvezni urad za ekonomsko analizo, „Personal Income and Its Disposition, Monthly“ (Osebni dohodki in razpolaganje z njimi, mesečno), 2025</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3a</w:t>
            </w:r>
            <w:r>
              <w:t xml:space="preserve"> </w:t>
            </w:r>
            <w:r>
              <w:rPr>
                <w:b/>
                <w:i/>
              </w:rPr>
              <w:t>Svet guvernerjev ameriške centralne banke, Balance Sheet of Households and Nonprofit Organizations (Bilanca stanja gospodinjstev in neprofitnih organizacij), 2025</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vertAlign w:val="superscript"/>
              </w:rPr>
              <w:t>4</w:t>
            </w:r>
            <w:r>
              <w:t xml:space="preserve"> Eurostat: Financial flows and stocks (Finančni tokovi in stanja), 2023 (https://ec.europa.eu/eurostat/databrowser/view/NASA_10_F_BS__custom_13650774/default/table?lang=en).</w:t>
            </w:r>
          </w:p>
        </w:tc>
        <w:tc>
          <w:tcPr>
            <w:tcW w:w="4876" w:type="dxa"/>
            <w:tcBorders>
              <w:top w:val="nil"/>
              <w:left w:val="nil"/>
              <w:bottom w:val="nil"/>
              <w:right w:val="nil"/>
            </w:tcBorders>
          </w:tcPr>
          <w:p w:rsidR="0084767A" w:rsidRPr="00FC22F0" w:rsidRDefault="0084767A" w:rsidP="003E4EAF">
            <w:pPr>
              <w:pStyle w:val="Normal6a"/>
            </w:pPr>
            <w:r>
              <w:rPr>
                <w:b/>
                <w:i/>
                <w:vertAlign w:val="superscript"/>
              </w:rPr>
              <w:t>4</w:t>
            </w:r>
            <w:r>
              <w:t xml:space="preserve"> Eurostat: Financial flows and stocks (Finančni tokovi in stanja), 2023 (https://ec.europa.eu/eurostat/databrowser/view/NASA_10_F_BS__custom_13650774/default/table?lang=en).</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64</w:t>
      </w:r>
      <w:r>
        <w:rPr>
          <w:rStyle w:val="HideTWBExt"/>
          <w:b w:val="0"/>
        </w:rPr>
        <w:t>&lt;/NumAm&gt;</w:t>
      </w:r>
    </w:p>
    <w:p w:rsidR="0084767A" w:rsidRPr="00FC22F0" w:rsidRDefault="0084767A" w:rsidP="0084767A">
      <w:pPr>
        <w:pStyle w:val="NormalBold"/>
      </w:pPr>
      <w:r>
        <w:rPr>
          <w:rStyle w:val="HideTWBExt"/>
          <w:b w:val="0"/>
        </w:rPr>
        <w:t>&lt;RepeatBlock-By&gt;&lt;Members&gt;</w:t>
      </w:r>
      <w:r>
        <w:t>Auke Zijlstra,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 ker so imeli 36 % svojih prihrankov (oziroma 13,42 bilijona EUR) v obliki lastniškega kapitala in delnic investicijskih skladov, 27 % svojih prihrankov (oziroma 10,06 bilijona EUR) pa v obliki zavarovanj, pokojnin in standardiziranih jamstev</w:t>
            </w:r>
            <w:r>
              <w:rPr>
                <w:vertAlign w:val="superscript"/>
              </w:rPr>
              <w:t>4</w:t>
            </w:r>
            <w:r>
              <w:t>;</w:t>
            </w:r>
          </w:p>
        </w:tc>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w:t>
            </w:r>
            <w:r>
              <w:rPr>
                <w:b/>
                <w:i/>
              </w:rPr>
              <w:t>, deloma zaradi zviševanja storitvenih stroškov bank, ki pa so posledica nepreglednih predpisov na ravni EU</w:t>
            </w:r>
            <w:r>
              <w:t>; ker so imeli 36 % svojih prihrankov (oziroma 13,42 bilijona EUR) v obliki lastniškega kapitala in delnic investicijskih skladov, 27 % svojih prihrankov (oziroma 10,06 bilijona EUR) pa v obliki zavarovanj, pokojnin in standardiziranih jamstev</w:t>
            </w:r>
            <w:r>
              <w:rPr>
                <w:vertAlign w:val="superscript"/>
              </w:rPr>
              <w:t>4</w:t>
            </w:r>
            <w:r>
              <w:t>;</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vertAlign w:val="superscript"/>
              </w:rPr>
              <w:t>4</w:t>
            </w:r>
            <w:r>
              <w:t xml:space="preserve"> Eurostat: Financial flows and stocks (Finančni tokovi in stanja), 2023 (https://ec.europa.eu/eurostat/databrowser/view/NASA_10_F_BS__custom_13650774/default/table?lang=en).</w:t>
            </w:r>
          </w:p>
        </w:tc>
        <w:tc>
          <w:tcPr>
            <w:tcW w:w="4876" w:type="dxa"/>
            <w:tcBorders>
              <w:top w:val="nil"/>
              <w:left w:val="nil"/>
              <w:bottom w:val="nil"/>
              <w:right w:val="nil"/>
            </w:tcBorders>
          </w:tcPr>
          <w:p w:rsidR="0084767A" w:rsidRPr="00FC22F0" w:rsidRDefault="0084767A" w:rsidP="003E4EAF">
            <w:pPr>
              <w:pStyle w:val="Normal6a"/>
            </w:pPr>
            <w:r>
              <w:rPr>
                <w:vertAlign w:val="superscript"/>
              </w:rPr>
              <w:t>4</w:t>
            </w:r>
            <w:r>
              <w:t xml:space="preserve"> Eurostat: Financial flows and stocks (Finančni tokovi in stanja), 2023 (https://ec.europa.eu/eurostat/databrowser/view/NASA_10_F_BS__custom_13650774/default/table?lang=en).</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65</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 ker so imeli 36 % svojih prihrankov (oziroma 13,42 bilijona EUR) v obliki lastniškega kapitala in delnic investicijskih skladov, 27 % svojih prihrankov (oziroma 10,06 bilijona EUR) pa v obliki zavarovanj, pokojnin in standardiziranih jamstev</w:t>
            </w:r>
            <w:r>
              <w:rPr>
                <w:vertAlign w:val="superscript"/>
              </w:rPr>
              <w:t>4</w:t>
            </w:r>
            <w:r>
              <w:t>;</w:t>
            </w:r>
          </w:p>
        </w:tc>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 ker so imeli 36 % svojih prihrankov (oziroma 13,42 bilijona EUR) v obliki lastniškega kapitala in delnic investicijskih skladov, 27 % svojih prihrankov (oziroma 10,06 bilijona EUR) pa v obliki zavarovanj, pokojnin in standardiziranih jamstev</w:t>
            </w:r>
            <w:r>
              <w:rPr>
                <w:vertAlign w:val="superscript"/>
              </w:rPr>
              <w:t>4</w:t>
            </w:r>
            <w:r>
              <w:t>;</w:t>
            </w:r>
            <w:r>
              <w:rPr>
                <w:b/>
                <w:i/>
              </w:rPr>
              <w:t> ker bi lahko, če bi vloge z evropskih bančnih računov učinkoviteje uporabili na kapitalskih trgih, pridobili dodatnih 350 milijard EUR letno za naložbe;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vertAlign w:val="superscript"/>
              </w:rPr>
              <w:t>4</w:t>
            </w:r>
            <w:r>
              <w:t xml:space="preserve"> Eurostat: Financial flows and stocks (Finančni tokovi in stanja), 2023 (https://ec.europa.eu/eurostat/databrowser/view/NASA_10_F_BS__custom_13650774/default/table?lang=en).</w:t>
            </w:r>
          </w:p>
        </w:tc>
        <w:tc>
          <w:tcPr>
            <w:tcW w:w="4876" w:type="dxa"/>
            <w:tcBorders>
              <w:top w:val="nil"/>
              <w:left w:val="nil"/>
              <w:bottom w:val="nil"/>
              <w:right w:val="nil"/>
            </w:tcBorders>
          </w:tcPr>
          <w:p w:rsidR="0084767A" w:rsidRPr="00FC22F0" w:rsidRDefault="0084767A" w:rsidP="003E4EAF">
            <w:pPr>
              <w:pStyle w:val="Normal6a"/>
            </w:pPr>
            <w:r>
              <w:rPr>
                <w:vertAlign w:val="superscript"/>
              </w:rPr>
              <w:t>4</w:t>
            </w:r>
            <w:r>
              <w:t xml:space="preserve"> Eurostat: Financial flows and stocks (Finančni tokovi in stanja), 2023 (https://ec.europa.eu/eurostat/databrowser/view/NASA_10_F_BS__custom_13650774/default/table?lang=en).</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66</w:t>
      </w:r>
      <w:r>
        <w:rPr>
          <w:rStyle w:val="HideTWBExt"/>
          <w:b w:val="0"/>
        </w:rPr>
        <w:t>&lt;/NumAm&gt;</w:t>
      </w:r>
    </w:p>
    <w:p w:rsidR="0084767A" w:rsidRPr="00FC22F0" w:rsidRDefault="0084767A" w:rsidP="0084767A">
      <w:pPr>
        <w:pStyle w:val="NormalBold"/>
      </w:pPr>
      <w:r>
        <w:rPr>
          <w:rStyle w:val="HideTWBExt"/>
          <w:b w:val="0"/>
        </w:rPr>
        <w:t>&lt;RepeatBlock-By&gt;&lt;Members&gt;</w:t>
      </w:r>
      <w:r>
        <w:t>Pascal Canfin, Stéphanie Yon-Courtin, Gilles Boyer,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 ker so imeli 36 % svojih prihrankov (oziroma 13,42 bilijona EUR) v obliki lastniškega kapitala in delnic investicijskih skladov, 27 % svojih prihrankov (oziroma 10,06 bilijona EUR) pa v obliki zavarovanj, pokojnin in standardiziranih jamstev</w:t>
            </w:r>
            <w:r>
              <w:rPr>
                <w:vertAlign w:val="superscript"/>
              </w:rPr>
              <w:t>4</w:t>
            </w:r>
            <w:r>
              <w:t>;</w:t>
            </w:r>
          </w:p>
        </w:tc>
        <w:tc>
          <w:tcPr>
            <w:tcW w:w="4876" w:type="dxa"/>
            <w:tcBorders>
              <w:top w:val="nil"/>
              <w:left w:val="nil"/>
              <w:bottom w:val="nil"/>
              <w:right w:val="nil"/>
            </w:tcBorders>
          </w:tcPr>
          <w:p w:rsidR="0084767A" w:rsidRPr="00FC22F0" w:rsidRDefault="0084767A" w:rsidP="003E4EAF">
            <w:pPr>
              <w:pStyle w:val="Normal6a"/>
            </w:pPr>
            <w:r>
              <w:t>E.</w:t>
            </w:r>
            <w:r>
              <w:tab/>
              <w:t>ker so gospodinjstva v EU prihranila 14,79 % svojega razpoložljivega dohodka, državljani EU pa so imeli 31,01 % svojih prihrankov (oziroma 11,63 bilijona EUR) v obliki gotovine in vlog z nizkimi donosi; ker so imeli 36 % svojih prihrankov (oziroma 13,42 bilijona EUR) v obliki lastniškega kapitala in delnic investicijskih skladov, 27 % svojih prihrankov (oziroma 10,06 bilijona EUR) pa v obliki zavarovanj, pokojnin in standardiziranih jamstev</w:t>
            </w:r>
            <w:r>
              <w:rPr>
                <w:vertAlign w:val="superscript"/>
              </w:rPr>
              <w:t>4</w:t>
            </w:r>
            <w:r>
              <w:t xml:space="preserve">; </w:t>
            </w:r>
            <w:r>
              <w:rPr>
                <w:b/>
                <w:i/>
              </w:rPr>
              <w:t>ker se po podatkih Lettovega poročila 300 milijard EUR prihrankov evropskih družin preusmeri s trga EU na tuje finančne trge;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_________________</w:t>
            </w:r>
          </w:p>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vertAlign w:val="superscript"/>
              </w:rPr>
              <w:t>4</w:t>
            </w:r>
            <w:r>
              <w:t xml:space="preserve"> Eurostat: Financial flows and stocks (Finančni tokovi in stanja), 2023 (https://ec.europa.eu/eurostat/databrowser/view/NASA_10_F_BS__custom_13650774/default/table?lang=en).</w:t>
            </w:r>
          </w:p>
        </w:tc>
        <w:tc>
          <w:tcPr>
            <w:tcW w:w="4876" w:type="dxa"/>
            <w:tcBorders>
              <w:top w:val="nil"/>
              <w:left w:val="nil"/>
              <w:bottom w:val="nil"/>
              <w:right w:val="nil"/>
            </w:tcBorders>
          </w:tcPr>
          <w:p w:rsidR="0084767A" w:rsidRPr="00FC22F0" w:rsidRDefault="0084767A" w:rsidP="003E4EAF">
            <w:pPr>
              <w:pStyle w:val="Normal6a"/>
            </w:pPr>
            <w:r>
              <w:rPr>
                <w:vertAlign w:val="superscript"/>
              </w:rPr>
              <w:t>4</w:t>
            </w:r>
            <w:r>
              <w:t xml:space="preserve"> Eurostat: Financial flows and stocks (Finančni tokovi in stanja), 2023 (https://ec.europa.eu/eurostat/databrowser/view/NASA_10_F_BS__custom_13650774/default/table?lang=en).</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67</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Ea.</w:t>
            </w:r>
            <w:r>
              <w:tab/>
            </w:r>
            <w:r>
              <w:rPr>
                <w:b/>
                <w:i/>
              </w:rPr>
              <w:t>ker je finančna ureditev EU od finančne krize leta 2008 osredotočena predvsem na zagotavljanje finančne stabilnosti in zaščito vlagateljev; ker se ta cilja, čeprav sta bistvena, nista vedno uresničevala z najučinkovitejšimi ali najbolj sorazmernimi pristopi; ker bi bilo treba pri prihodnjih ukrepih nameniti večji poudarek povečanju privlačnosti, dostopnosti in konkurenčnosti evropskih kapitalskih trgov za izdajatelje in vlagatelje; ker je zaščita vlagateljev popolnoma združljiva z regulativnim okvirom, ki bolj temelji na tveganju in spodbuja donosnost, razvoj trga ter večjo udeležbo malih vlagateljev v dobro razpršenih, po možnosti evropskih naložbenih portfeljih;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68</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Ea.</w:t>
            </w:r>
            <w:r>
              <w:tab/>
            </w:r>
            <w:r>
              <w:rPr>
                <w:b/>
                <w:i/>
              </w:rPr>
              <w:t>ker je po podatkih iz Noyerjevega poročila trg listinjenja v Evropi od leta 2008 v zatonu, saj je njegova vrednost z 2000 milijard EUR, kolikor je znašala v letu 2008, do leta 2023 padla na 1200 milijard EUR, medtem ko je v ZDA tekoče stanje (13.700 milijard EUR leta 2021) preseglo 11.300 milijard EUR, kolikor je znašalo leta 2008;</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69</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Ea.</w:t>
            </w:r>
            <w:r>
              <w:tab/>
            </w:r>
            <w:r>
              <w:rPr>
                <w:b/>
                <w:i/>
              </w:rPr>
              <w:t xml:space="preserve">ker bi se lahko kar 8 bilijonov EUR preusmerilo v tržne naložbene instrumente – oziroma tok približno 350 milijard EUR letno </w:t>
            </w:r>
            <w:r>
              <w:rPr>
                <w:b/>
                <w:i/>
                <w:vertAlign w:val="superscript"/>
              </w:rPr>
              <w:t>1a</w:t>
            </w:r>
            <w:r>
              <w:rPr>
                <w:b/>
                <w:i/>
              </w:rPr>
              <w:t>, če bi gospodinjstva v EU svojo porazdelitev med vlogami in finančnimi sredstvi prilagodila tako, da bi odražala podobno strukturo, kot jo je zaznati pri ameriških gospodinjstvih;</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European Central Bank, „Follow the money: channelling savings into investment and innovation in Europe,“ (Sledimo denarju: usmerjanje prihrankov v naložbe in inovacije v Evropi), govor Christine Lagarde, predsednice Evropske centralne banke, 22. novembra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70</w:t>
      </w:r>
      <w:r>
        <w:rPr>
          <w:rStyle w:val="HideTWBExt"/>
          <w:b w:val="0"/>
        </w:rPr>
        <w:t>&lt;/NumAm&gt;</w:t>
      </w:r>
    </w:p>
    <w:p w:rsidR="0084767A" w:rsidRPr="00FC22F0" w:rsidRDefault="0084767A" w:rsidP="0084767A">
      <w:pPr>
        <w:pStyle w:val="NormalBold"/>
      </w:pPr>
      <w:r>
        <w:rPr>
          <w:rStyle w:val="HideTWBExt"/>
          <w:b w:val="0"/>
        </w:rPr>
        <w:t>&lt;RepeatBlock-By&gt;&lt;Members&gt;</w:t>
      </w:r>
      <w:r>
        <w:t>Stéphanie Yon-Courtin, Gilles Boyer,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Ea.</w:t>
            </w:r>
            <w:r>
              <w:tab/>
            </w:r>
            <w:r>
              <w:rPr>
                <w:b/>
                <w:i/>
              </w:rPr>
              <w:t>ker bi se lahko glede na analizo ECB do 8 bilijonov EUR vlog preusmerilo v tržne naložbe, če bi gospodinjstva v EU razmerje med bančnimi vlogami in dolgoročnimi tržnimi naložbami izenačila z razmerjem ameriških gospodinjstev, kar bi bilo enakovredno toku v višini približno 350 milijard EUR letno;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71</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Ea.</w:t>
            </w:r>
            <w:r>
              <w:tab/>
            </w:r>
            <w:r>
              <w:rPr>
                <w:b/>
                <w:i/>
              </w:rPr>
              <w:t>ker je ECB izračunala, da če bi se gospodinjstva v Uniji približala razmerje med bančnimi vlogami in finančnimi sredstvi, kot ga imajo ameriška gospodinjstva, bi bilo mogoče do 8 bilijonov EUR preusmeriti v tržne naložbe, kar bi znašalo približno 350 milijard EUR letno;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72</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Ea.</w:t>
            </w:r>
            <w:r>
              <w:tab/>
            </w:r>
            <w:r>
              <w:rPr>
                <w:b/>
                <w:i/>
              </w:rPr>
              <w:t>ker se približno 70 % podjetniškega financiranja v EU izvede v obliki zadolževanja pri bankah, v nasprotju z ZDA, kjer se približno 77 % podjetij financira prek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Eb.</w:t>
            </w:r>
            <w:r>
              <w:tab/>
            </w:r>
            <w:r>
              <w:rPr>
                <w:b/>
                <w:i/>
              </w:rPr>
              <w:t>ker evropska gospodinjstva letno vložijo približno 300 milijard EUR</w:t>
            </w:r>
            <w:r>
              <w:rPr>
                <w:b/>
                <w:i/>
                <w:vertAlign w:val="superscript"/>
              </w:rPr>
              <w:t> 1a</w:t>
            </w:r>
            <w:r>
              <w:rPr>
                <w:b/>
                <w:i/>
              </w:rPr>
              <w:t xml:space="preserve"> zunaj EU, predvsem v Združenih državah Amerike; ker je ta znesek primerljiv z dodatnim kapitalom, ki bi se lahko pod bolj tržno usmerjenimi pogoji mobiliziral v EU;</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Much More Than A Market (Veliko več kot trg), Enrico Letta, april 2024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74</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E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Eb.</w:t>
            </w:r>
            <w:r>
              <w:tab/>
            </w:r>
            <w:r>
              <w:rPr>
                <w:b/>
                <w:i/>
              </w:rPr>
              <w:t>ker na evropskih trgih vlada znaten likvidnostni primanjkljaj, za razliko od drugih regij, zlasti ZDA;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75</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F.</w:t>
            </w:r>
            <w:r>
              <w:tab/>
              <w:t xml:space="preserve">ker je po podatkih iz Draghijevega poročila med letoma 2008 in 2021 </w:t>
            </w:r>
            <w:r>
              <w:rPr>
                <w:b/>
                <w:i/>
              </w:rPr>
              <w:t>skoraj 30 %</w:t>
            </w:r>
            <w:r>
              <w:t xml:space="preserve"> „samorogov“, tj. zagonskih podjetij, katerih ocenjena vrednost presega milijardo USD, </w:t>
            </w:r>
            <w:r>
              <w:rPr>
                <w:b/>
                <w:i/>
              </w:rPr>
              <w:t>svoj sedež</w:t>
            </w:r>
            <w:r>
              <w:t xml:space="preserve"> preselilo v tujino, predvsem v ZDA;</w:t>
            </w:r>
          </w:p>
        </w:tc>
        <w:tc>
          <w:tcPr>
            <w:tcW w:w="4876" w:type="dxa"/>
            <w:tcBorders>
              <w:top w:val="nil"/>
              <w:left w:val="nil"/>
              <w:bottom w:val="nil"/>
              <w:right w:val="nil"/>
            </w:tcBorders>
          </w:tcPr>
          <w:p w:rsidR="0084767A" w:rsidRPr="00FC22F0" w:rsidRDefault="0084767A" w:rsidP="003E4EAF">
            <w:pPr>
              <w:pStyle w:val="Normal6a"/>
            </w:pPr>
            <w:r>
              <w:t>F.</w:t>
            </w:r>
            <w:r>
              <w:tab/>
              <w:t xml:space="preserve">ker je po podatkih iz Draghijevega poročila med letoma 2008 in 2021 </w:t>
            </w:r>
            <w:r>
              <w:rPr>
                <w:b/>
                <w:i/>
              </w:rPr>
              <w:t>ustanovljenih 147</w:t>
            </w:r>
            <w:r>
              <w:t xml:space="preserve"> „samorogov“, tj. zagonskih podjetij, katerih ocenjena vrednost presega milijardo USD, </w:t>
            </w:r>
            <w:r>
              <w:rPr>
                <w:b/>
                <w:i/>
              </w:rPr>
              <w:t>in od tega jih je 40</w:t>
            </w:r>
            <w:r>
              <w:t xml:space="preserve"> preselilo </w:t>
            </w:r>
            <w:r>
              <w:rPr>
                <w:b/>
                <w:i/>
              </w:rPr>
              <w:t xml:space="preserve">sedež </w:t>
            </w:r>
            <w:r>
              <w:t xml:space="preserve">v tujino, predvsem v ZDA; </w:t>
            </w:r>
            <w:r>
              <w:rPr>
                <w:b/>
                <w:i/>
              </w:rPr>
              <w:t>ker je upravno breme Unije ocenjeno na približno 150 milijard EUR (1,3 % letnega BDP), notranje ovire pa Mednarodni denarni sklad tolmači kot 100-odstotno tarifo na notranjem trgu;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76</w:t>
      </w:r>
      <w:r>
        <w:rPr>
          <w:rStyle w:val="HideTWBExt"/>
          <w:b w:val="0"/>
        </w:rPr>
        <w:t>&lt;/NumAm&gt;</w:t>
      </w:r>
    </w:p>
    <w:p w:rsidR="0084767A" w:rsidRPr="00FC22F0" w:rsidRDefault="0084767A" w:rsidP="0084767A">
      <w:pPr>
        <w:pStyle w:val="NormalBold"/>
      </w:pPr>
      <w:r>
        <w:rPr>
          <w:rStyle w:val="HideTWBExt"/>
          <w:b w:val="0"/>
        </w:rPr>
        <w:t>&lt;RepeatBlock-By&gt;&lt;Members&gt;</w:t>
      </w:r>
      <w:r>
        <w:t>Auke Zijlstra,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F.</w:t>
            </w:r>
            <w:r>
              <w:tab/>
              <w:t>ker je po podatkih iz Draghijevega poročila med letoma 2008 in 2021 skoraj 30 % „samorogov“, tj. zagonskih podjetij, katerih ocenjena vrednost presega milijardo USD, svoj sedež preselilo v tujino, predvsem v ZDA;</w:t>
            </w:r>
          </w:p>
        </w:tc>
        <w:tc>
          <w:tcPr>
            <w:tcW w:w="4876" w:type="dxa"/>
            <w:tcBorders>
              <w:top w:val="nil"/>
              <w:left w:val="nil"/>
              <w:bottom w:val="nil"/>
              <w:right w:val="nil"/>
            </w:tcBorders>
          </w:tcPr>
          <w:p w:rsidR="0084767A" w:rsidRPr="00FC22F0" w:rsidRDefault="0084767A" w:rsidP="003E4EAF">
            <w:pPr>
              <w:pStyle w:val="Normal6a"/>
            </w:pPr>
            <w:r>
              <w:t>F.</w:t>
            </w:r>
            <w:r>
              <w:tab/>
              <w:t>ker je po podatkih iz Draghijevega poročila med letoma 2008 in 2021 skoraj 30 % „samorogov“, tj. zagonskih podjetij, katerih ocenjena vrednost presega milijardo USD, svoj sedež preselilo v tujino, predvsem v ZDA</w:t>
            </w:r>
            <w:r>
              <w:rPr>
                <w:b/>
                <w:i/>
              </w:rPr>
              <w:t>, in sicer zaradi ugodnejšega kulturnega in regulativnega podjetniškega okolja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77</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F.</w:t>
            </w:r>
            <w:r>
              <w:tab/>
              <w:t>ker je po podatkih iz Draghijevega poročila med letoma 2008 in 2021 skoraj 30 % „samorogov“, tj. zagonskih podjetij, katerih ocenjena vrednost presega milijardo USD, svoj sedež preselilo v tujino, predvsem v ZDA;</w:t>
            </w:r>
          </w:p>
        </w:tc>
        <w:tc>
          <w:tcPr>
            <w:tcW w:w="4876" w:type="dxa"/>
            <w:tcBorders>
              <w:top w:val="nil"/>
              <w:left w:val="nil"/>
              <w:bottom w:val="nil"/>
              <w:right w:val="nil"/>
            </w:tcBorders>
          </w:tcPr>
          <w:p w:rsidR="0084767A" w:rsidRPr="00FC22F0" w:rsidRDefault="0084767A" w:rsidP="003E4EAF">
            <w:pPr>
              <w:pStyle w:val="Normal6a"/>
            </w:pPr>
            <w:r>
              <w:t>F.</w:t>
            </w:r>
            <w:r>
              <w:tab/>
              <w:t xml:space="preserve">ker je po podatkih iz Draghijevega poročila med letoma 2008 in 2021 skoraj 30 % „samorogov“, tj. zagonskih podjetij, katerih ocenjena vrednost presega milijardo USD, svoj sedež preselilo v tujino, predvsem v ZDA; </w:t>
            </w:r>
            <w:r>
              <w:rPr>
                <w:b/>
                <w:i/>
              </w:rPr>
              <w:t>želi opozoriti, da so le štiri od 50 vodilnih tehnoloških podjetij na svetu evropska;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78</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F.</w:t>
            </w:r>
            <w:r>
              <w:tab/>
              <w:t xml:space="preserve">ker je po podatkih iz Draghijevega poročila med letoma 2008 in 2021 skoraj 30 % „samorogov“, tj. zagonskih podjetij, katerih ocenjena vrednost </w:t>
            </w:r>
            <w:r>
              <w:rPr>
                <w:b/>
                <w:i/>
              </w:rPr>
              <w:t>presega milijardo</w:t>
            </w:r>
            <w:r>
              <w:t xml:space="preserve"> USD, svoj sedež preselilo v tujino, predvsem v ZDA;</w:t>
            </w:r>
          </w:p>
        </w:tc>
        <w:tc>
          <w:tcPr>
            <w:tcW w:w="4876" w:type="dxa"/>
            <w:tcBorders>
              <w:top w:val="nil"/>
              <w:left w:val="nil"/>
              <w:bottom w:val="nil"/>
              <w:right w:val="nil"/>
            </w:tcBorders>
          </w:tcPr>
          <w:p w:rsidR="0084767A" w:rsidRPr="00FC22F0" w:rsidRDefault="0084767A" w:rsidP="003E4EAF">
            <w:pPr>
              <w:pStyle w:val="Normal6a"/>
            </w:pPr>
            <w:r>
              <w:t>F.</w:t>
            </w:r>
            <w:r>
              <w:tab/>
              <w:t xml:space="preserve">ker je po podatkih iz Draghijevega poročila med letoma 2008 in 2021 skoraj 30 % </w:t>
            </w:r>
            <w:r>
              <w:rPr>
                <w:b/>
                <w:i/>
              </w:rPr>
              <w:t xml:space="preserve">evropskih </w:t>
            </w:r>
            <w:r>
              <w:t xml:space="preserve">„samorogov“, tj. zagonskih podjetij, katerih ocenjena vrednost </w:t>
            </w:r>
            <w:r>
              <w:rPr>
                <w:b/>
                <w:i/>
              </w:rPr>
              <w:t>je milijarda</w:t>
            </w:r>
            <w:r>
              <w:t xml:space="preserve"> USD</w:t>
            </w:r>
            <w:r>
              <w:rPr>
                <w:b/>
                <w:i/>
              </w:rPr>
              <w:t xml:space="preserve"> ali več</w:t>
            </w:r>
            <w:r>
              <w:t>, svoj sedež preselilo v tujino, predvsem v ZDA;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79</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F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Fa.</w:t>
            </w:r>
            <w:r>
              <w:tab/>
            </w:r>
            <w:r>
              <w:rPr>
                <w:b/>
                <w:i/>
              </w:rPr>
              <w:t>ker oportunitetni stroški zaradi neusklajenosti na evropski ravni skupaj nanesejo 200 milijard EUR letno, predvsem zaradi zapletenosti in preobsežnosti evropske zakonodaje; ker je ameriški kongres med letoma 2019 in 2024 sprejel 3500 zakonodajnih besedil in 2000 resolucij, na evropski ravni pa je bilo sprejetih 13.000 aktov;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80</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F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Fa.</w:t>
            </w:r>
            <w:r>
              <w:tab/>
            </w:r>
            <w:r>
              <w:rPr>
                <w:b/>
                <w:i/>
              </w:rPr>
              <w:t>ker Evropska centralna banka poudarja, da tveganja, povezana s podnebjem, vplivajo na makroekonomske kazalnike, kot so inflacija, gospodarska rast, finančna stabilnost in transmisijski mehanizem denarne politike, in da lahko izguba biotske raznovrstnosti in degradacija naravnih ekosistemov povečata tveganja, povezana s podnebjem;</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81</w:t>
      </w:r>
      <w:r>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Billy Kelleher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G.</w:t>
            </w:r>
            <w:r>
              <w:tab/>
              <w:t>ker je bil v lizbonski strategiji iz leta 2000 določen cilj, da bi EU za raziskave in razvoj namenila 3 % svojega BDP, a je leta </w:t>
            </w:r>
            <w:r>
              <w:rPr>
                <w:b/>
                <w:i/>
              </w:rPr>
              <w:t>2021</w:t>
            </w:r>
            <w:r>
              <w:t xml:space="preserve"> za to področje namenila </w:t>
            </w:r>
            <w:r>
              <w:rPr>
                <w:b/>
                <w:i/>
              </w:rPr>
              <w:t>2,1</w:t>
            </w:r>
            <w:r>
              <w:t> % svojega BDP, medtem ko so ZDA zanj namenile </w:t>
            </w:r>
            <w:r>
              <w:rPr>
                <w:b/>
                <w:i/>
              </w:rPr>
              <w:t>3,5</w:t>
            </w:r>
            <w:r>
              <w:t> % svojega BDP, Kitajska pa </w:t>
            </w:r>
            <w:r>
              <w:rPr>
                <w:b/>
                <w:i/>
              </w:rPr>
              <w:t>2,4</w:t>
            </w:r>
            <w:r>
              <w:t> %;</w:t>
            </w:r>
          </w:p>
        </w:tc>
        <w:tc>
          <w:tcPr>
            <w:tcW w:w="4876" w:type="dxa"/>
            <w:tcBorders>
              <w:top w:val="nil"/>
              <w:left w:val="nil"/>
              <w:bottom w:val="nil"/>
              <w:right w:val="nil"/>
            </w:tcBorders>
          </w:tcPr>
          <w:p w:rsidR="0084767A" w:rsidRPr="00FC22F0" w:rsidRDefault="0084767A" w:rsidP="003E4EAF">
            <w:pPr>
              <w:pStyle w:val="Normal6a"/>
            </w:pPr>
            <w:r>
              <w:t>G.</w:t>
            </w:r>
            <w:r>
              <w:tab/>
              <w:t>ker je bil v lizbonski strategiji iz leta 2000 določen cilj, da bi EU za raziskave in razvoj namenila 3 % svojega BDP, a je leta </w:t>
            </w:r>
            <w:r>
              <w:rPr>
                <w:b/>
                <w:i/>
              </w:rPr>
              <w:t>2023</w:t>
            </w:r>
            <w:r>
              <w:t xml:space="preserve"> za to področje namenila </w:t>
            </w:r>
            <w:r>
              <w:rPr>
                <w:b/>
                <w:i/>
              </w:rPr>
              <w:t>2,2</w:t>
            </w:r>
            <w:r>
              <w:t> % svojega BDP, medtem ko so ZDA zanj namenile </w:t>
            </w:r>
            <w:r>
              <w:rPr>
                <w:b/>
                <w:i/>
              </w:rPr>
              <w:t>3,4</w:t>
            </w:r>
            <w:r>
              <w:t> % svojega BDP, Kitajska pa </w:t>
            </w:r>
            <w:r>
              <w:rPr>
                <w:b/>
                <w:i/>
              </w:rPr>
              <w:t>2,6</w:t>
            </w:r>
            <w:r>
              <w:t xml:space="preserve"> %; </w:t>
            </w:r>
            <w:r>
              <w:rPr>
                <w:b/>
                <w:i/>
              </w:rPr>
              <w:t>ker je delež zasebnega sektorja v celokupnih izdatkih za raziskave in razvoj v EU znašal 66 % v primerjavi z 78 % v ZDA in 77,7 % na Kitajskem;</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82</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je privabljanje zasebnih naložb bistveno za spodbujanje gospodarske rasti, inovacij in ustvarjanja delovnih mest po vsej Evropi, kar bi bilo mogoče doseči z izvajanjem davčnih spodbud; ker bi takšne spodbude zmanjšale odvisnost Evrope od javnih sredstev, spodbujale učinkovito dodeljevanje kapitala in omogočile financiranje odločilno pomembnih sektorjev, kot so tvegani kapital, infrastruktura in tehnologija; ker bi morali biti fiskalni ukrepi zasnovani tako, da se spoštovale pristojnosti držav članic na področju davčne politike, tako da bi lahko ohranile prožnost pri oblikovanju svojega davčnega sistema, tako da bo ustrezal njihovim prednostnim nalogam, hkrati pa bi se spodbujala konkurenca in enaki konkurenčni pogoji po vsej Uniji; ker bi z oblikovanjem skladnega okvira davčnih spodbud na evropski ravni, ki ne bo ogrožal suverenosti držav članic, omogočilo bolj dinamično in odporno gospodarstvo ter podprlo prehod na tržno usmerjeno gospodarstvo;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83</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temelj finančnega sistema EU in poglavitni kanal za financiranje realnega gospodarstva ostajajo banke; ker je dobro umerjen regulativni okvir bistven za zaščito finančne stabilnosti, vendar lahko prestroge zahteve omejijo posojanje in zmanjšajo konkurenčnost; ker je EU v več primerih presegla mednarodne baselske standarde, kar je privedlo do razmeroma večjega bremena skladnosti za banke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84</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se glede na Draghijevo poročilo položaj Evrope v naprednih tehnologijah, ki bodo gonilo prihodnje rasti, zmanjšuje, poudarjeno pa je, da so le štiri od 50 vodilnih tehnoloških podjetij na svetu evropska, medtem ko se svetovni položaj EU na področju tehnologije slabša; ker se je med letoma 2013 in 2023 delež EU v svetovnih prihodkih od tehnologije zmanjšal z 22 % na 18 %, medtem ko se je delež ZDA povečal s 30 % na 38 %</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Draghijevo poročilo: A competitiveness strategy for Europe (Part A), (Strategija za konkurenčnost za Evropo, del A), str. 14.</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85</w:t>
      </w:r>
      <w:r>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Billy Kelleher, Stéphanie Yon-Courtin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po podatkih Mednarodnega denarnega sklada preostale netarifne ovire, ki zavirajo trgovino znotraj EU, po ocenah znašajo približno 45 % za povprečni proizvodni sektor (kar trikrat toliko, kot se ocenjuje za trgovino med ameriškimi zveznimi državami) in 110 % za povprečni storitveni sektor</w:t>
            </w:r>
            <w:r>
              <w:rPr>
                <w:b/>
                <w:i/>
                <w:vertAlign w:val="superscript"/>
              </w:rPr>
              <w:t>5a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5a</w:t>
            </w:r>
            <w:r>
              <w:t xml:space="preserve"> </w:t>
            </w:r>
            <w:r>
              <w:rPr>
                <w:b/>
                <w:i/>
              </w:rPr>
              <w:t>Mednarodni denarni sklad, Regional Economic Outlook Notes – Europe, november 2024 „Europe’s Declining Productivity Growth: Diagnoses and Remedies“ (Regionalni gospodarski obeti - Evropa, november 2024. Padajoča rast evropske produktivnosti: diagnoze in rešitve), str. 19, https://www.elibrary.imf.org/supplemental/book/9798400287312/9798400287312.xml/REOEUREA2024002-S001_SOURCE_PDF.pdf</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86</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naj bi se po napovedih zaradi neublaženih podnebnih sprememb svetovni BDP do leta 2060 v povprečju zmanjšal za več kot 2 %, pri čemer bi lahko nekatere regije utrpele do 6-odstotno izgubo zaradi negativnih učinkov na delovno produktivnost, kmetijsko proizvodnjo, zdravje ljudi in infrastrukturo</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The Economic Consequences of Climate Change (Ekonomske posledice podnebnih sprememb), OECD, 2015, https://www.oecd.org/env/the-economic-consequences-of-climate-change-9789264235410-en.htm</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87</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EU doživlja beg kapitala v Združene države Amerike, ko se na kapitalske trge ZDA vsako leto preseli približno 300 milijard EUR evropskih prihrankov; ker je treba evropska gospodinjstva nujno spodbuditi k varčevanju in vlaganju v Evropi;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88</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se ta čas več kot 80 % evropske digitalne tehnologije uvozi iz tretjih držav, kar povzroča sistemsko ranljivost ter zmanjšuje evropsko konkurenčnost in inovacijski potencial;</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89</w:t>
      </w:r>
      <w:r>
        <w:rPr>
          <w:rStyle w:val="HideTWBExt"/>
          <w:b w:val="0"/>
        </w:rPr>
        <w:t>&lt;/NumAm&gt;</w:t>
      </w:r>
    </w:p>
    <w:p w:rsidR="0084767A" w:rsidRPr="00FC22F0" w:rsidRDefault="0084767A" w:rsidP="0084767A">
      <w:pPr>
        <w:pStyle w:val="NormalBold"/>
      </w:pPr>
      <w:r>
        <w:rPr>
          <w:rStyle w:val="HideTWBExt"/>
          <w:b w:val="0"/>
        </w:rPr>
        <w:t>&lt;RepeatBlock-By&gt;&lt;Members&gt;</w:t>
      </w:r>
      <w:r>
        <w:t>Fabio De Masi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je ECB v anketi o bančnih posojilih v euroobmočju (januar 2025) in poročilu SAFE (november 2024) ugotovila, da je glavna ovira za večjo rast posojil premajhno povpraševanje po njih;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90</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René Repasi, Evelyn Regner, Niels Fuglsang, Claire Fita,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so mala in srednja podjetja kot ovire na enotnem trgu navedla DDV (17 %), dostop do trga (12 %), financiranje (10 %) in tržne zahteve za (6 %)</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Letno poročilo o enotnem trgu in konkurenčnosti za leto 2025, COM(2025)0026</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91</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ima glede na raziskavo Evropske komisije z dne 19. julija 2023 le 18 % Evropejcev visoko raven finančne pismenosti;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je Evropska komisija septembra 2015 objavila prvi akcijski načrt za oblikovanje unije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93</w:t>
      </w:r>
      <w:r>
        <w:rPr>
          <w:rStyle w:val="HideTWBExt"/>
          <w:b w:val="0"/>
        </w:rPr>
        <w:t>&lt;/NumAm&gt;</w:t>
      </w:r>
    </w:p>
    <w:p w:rsidR="0084767A" w:rsidRPr="00FC22F0" w:rsidRDefault="0084767A" w:rsidP="0084767A">
      <w:pPr>
        <w:pStyle w:val="NormalBold"/>
      </w:pPr>
      <w:r>
        <w:rPr>
          <w:rStyle w:val="HideTWBExt"/>
          <w:b w:val="0"/>
        </w:rPr>
        <w:t>&lt;RepeatBlock-By&gt;&lt;Members&gt;</w:t>
      </w:r>
      <w:r>
        <w:t>Thomas Bajada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Ga.</w:t>
            </w:r>
            <w:r>
              <w:tab/>
            </w:r>
            <w:r>
              <w:rPr>
                <w:b/>
                <w:i/>
              </w:rPr>
              <w:t>ker raziskava Eurobarometra iz julija 2023 kaže, da je le 18 % državljanov EU dobro finančno opismenjena;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94</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Gb.</w:t>
            </w:r>
            <w:r>
              <w:tab/>
            </w:r>
            <w:r>
              <w:rPr>
                <w:b/>
                <w:i/>
              </w:rPr>
              <w:t>ker nepretrgane trgovinske vojne in tarifni spori na svetovnih trgih povzročajo precejšnjo negotovost, kar negativno vpliva zlasti na čezmejne naložbe in povzroča motnje v uveljavljenih dobavnih verigah; ker uvedba tarif in trgovinskih ovir spodkopava načela proste trgovine in konkurenčnih trgov, ki so bistveni za nemoteno delovanje trgov zasebnega kapitala; ker tovrstne geopolitične napetosti ustvarjajo dodatna tveganja za vlagatelje, zmanjšujejo zaupanje in ovirajo čezmejni pretok zasebnega kapitala, kar je bistveno za financiranje inovacij, zagonskih podjetij in rastočih podjetij; ker lahko nestabilnost, ki jo povzročajo ti trgovinski konflikti, upočasni razvoj unije kapitalskih trgov, saj odvrača od naložb na evropskem trgu, zlasti v sektorjih z visokim tveganjem, ki so močno odvisni od svetovnih trgovinskih mrež;</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95</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Gb.</w:t>
            </w:r>
            <w:r>
              <w:tab/>
            </w:r>
            <w:r>
              <w:rPr>
                <w:b/>
                <w:i/>
              </w:rPr>
              <w:t>ker imajo temeljno vlogo pri doseganju ciljev unije kapitalskih trgov zavarovatelji, saj državljanom in podjetjem zagotavljajo zaščito pred tveganji, podpirajo pokojninsko varčevanje in delujejo kot veliki dolgoročni vlagatelji v gospodarstvo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96</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Gb.</w:t>
            </w:r>
            <w:r>
              <w:tab/>
            </w:r>
            <w:r>
              <w:rPr>
                <w:b/>
                <w:i/>
              </w:rPr>
              <w:t>ker bi zmanjšanje finančnih omejitev podpiralo razvoj inovativnih, mladih in manjših podjetij</w:t>
            </w:r>
            <w:r>
              <w:rPr>
                <w:b/>
                <w:i/>
                <w:vertAlign w:val="superscript"/>
              </w:rPr>
              <w:t>1a</w:t>
            </w:r>
            <w:r>
              <w:rPr>
                <w:b/>
                <w:i/>
              </w:rPr>
              <w:t>; ker je v Draghijevem poročilu poudarjeno, da prevelika nenaklonjenost tveganju ovira rast;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Evropska centralna banka, European competitiveness: the role of institutions and the case for structural reforms (Evropska konkurenčnost: vloga institucij in argumenti za strukturne reforme), https://www.ecb.europa.eu/press/economic-bulletin/articles/2025/html/ecb.ebart202501_01~fd1781599d.en.html</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97</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Gb.</w:t>
            </w:r>
            <w:r>
              <w:tab/>
            </w:r>
            <w:r>
              <w:rPr>
                <w:b/>
                <w:i/>
              </w:rPr>
              <w:t>ker so notranje ovire za enotni trg ekvivalentne tarifam, ki bi samo pri finančnih storitvah presegale 100 %</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Mednarodni denarni sklad, Regional Economic Outlook, Europe’s Declining Productivity Growth: Diagnoses and Remedies (Regionalni gospodarski obeti – Padajoča rast evropske produktivnosti: diagnoza in rešitve), str. 19.</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98</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Gc.</w:t>
            </w:r>
            <w:r>
              <w:tab/>
            </w:r>
            <w:r>
              <w:rPr>
                <w:b/>
                <w:i/>
              </w:rPr>
              <w:t>ker je bilo marca 2023 v EU 295 mest trgovanja, 14 centralnih nasprotnih strank in 32 centralnih depotnih družb; ker je bilo 56–68 % trgovanja na mestu trgovanja v letu 2023 opravljenih na domači borzi petih največjih zahodnoevropskih delniških indeksov (AEX 25, CAC 40, DAX 40, IBEX 35 in MIB 40)</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Evropska centralna banka, ECB Occasional Paper Series (serija občasnih zvezkov ECB), št. 369</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99</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Gc.</w:t>
            </w:r>
            <w:r>
              <w:tab/>
            </w:r>
            <w:r>
              <w:rPr>
                <w:b/>
                <w:i/>
              </w:rPr>
              <w:t>ker so evropski kapitalski trgi zelo razdrobljeni, saj po vsej celini deluje veliko mest trgovanja;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100</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Gd.</w:t>
            </w:r>
            <w:r>
              <w:tab/>
            </w:r>
            <w:r>
              <w:rPr>
                <w:b/>
                <w:i/>
              </w:rPr>
              <w:t>ker ima lastniško financiranje velik neizkoriščen potencial za podpiranje rasti in inovacij podjetij EU; ker banke v tem trenutku tvorijo manj kot 5 % naložb zasebnega kapitala, deloma zaradi bonitetne obravnave deležev v lastniškem kapitalu podjetij v skladu z uredbo o kapitalskih zahtevah in okvirom Basel III;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101</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Gd.</w:t>
            </w:r>
            <w:r>
              <w:tab/>
            </w:r>
            <w:r>
              <w:rPr>
                <w:b/>
                <w:i/>
              </w:rPr>
              <w:t>ker sta davčna ureditev in ureditev na področju insolventnosti med državami članicami še vedno precej neusklajeni;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102</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Ge.</w:t>
            </w:r>
            <w:r>
              <w:tab/>
            </w:r>
            <w:r>
              <w:rPr>
                <w:b/>
                <w:i/>
              </w:rPr>
              <w:t>ker se bodo prihranki v Uniji vlagali le, če bo evropsko gospodarstvo ponujalo dovolj privlačne in dobičkonosne priložnosti; ker je uspešnost unije prihrankov in naložb odvisen od znatnega izboljšanja konkurenčnosti in splošne gospodarske privlačnosti Unije;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Ge.</w:t>
            </w:r>
            <w:r>
              <w:tab/>
            </w:r>
            <w:r>
              <w:rPr>
                <w:b/>
                <w:i/>
              </w:rPr>
              <w:t>ker bi bilo treba v skladu z Draghijevim poročilom državljanom EU omogočiti naložbe po vsej Evropi brez zapletene obdavčitve in ker „bi bilo treba obdavčitev, povezano s kapitalskimi naložbami, čim bolj uskladiti, da bi zmanjšali razdrobljenost v smislu spodbud“</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Mario Draghi, “The Future of European Competitiveness”, Part B - In-depth analysis and recommendations (Prihodnost evropske konkurenčnosti, del B – poglobljena analiza in priporočila), september 2024, str. 293</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104</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f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Gf.</w:t>
            </w:r>
            <w:r>
              <w:tab/>
            </w:r>
            <w:r>
              <w:rPr>
                <w:b/>
                <w:i/>
              </w:rPr>
              <w:t>ker Lettovo poročilo navaja, da je davčna razdrobljenost še vedno velika ovira za podjetja EU, zlasti za mala in srednja podjetja, in ker je boljša uskladitev v harmoniziranem davčnem okviru EU ključna za omogočenje čim lažjega prostega pretoka delavcev, blaga in storitev ter za podporo rasti in zasebnim naložbam</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Enrico Letta, Much more than a market – Speed, Security, Solidarity – Empowering the Single Market to deliver a sustainable future and prosperity for all EU Citizens (Mnogo več kot le trg – hitrost, varnost, solidarnost – krepitev enotnega trga za trajnostno prihodnost in blaginjo vseh državljanov EU), april 2024, str. 91, 111</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105</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f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Gf.</w:t>
            </w:r>
            <w:r>
              <w:tab/>
            </w:r>
            <w:r>
              <w:rPr>
                <w:b/>
                <w:i/>
              </w:rPr>
              <w:t>ker je bil zaradi izstopa Združenega kraljestva iz Evropske unije izgubljen znaten delež kapitalskega trga Unije, hkrati pa je s tem nastal bližnji konkurent z dobro razvito finančno infrastrukturo in velikimi likvidnostnimi rezervami;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106</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g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Gg.</w:t>
            </w:r>
            <w:r>
              <w:tab/>
            </w:r>
            <w:r>
              <w:rPr>
                <w:b/>
                <w:i/>
              </w:rPr>
              <w:t>ker je povezovanje kapitalskih trgov sicer potrebno, samo po sebi pa ne zadostuje za dosego želenega povečanja naložb; ker bi bilo treba večjo učinkovitost kapitalskih trgov dopolniti z ustreznimi davčnimi spodbudami in ciljno usmerjenimi javnimi naložbami;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107</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g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Gg.</w:t>
            </w:r>
            <w:r>
              <w:tab/>
            </w:r>
            <w:r>
              <w:rPr>
                <w:b/>
                <w:i/>
              </w:rPr>
              <w:t>ker je neobstoj možnosti za izstop vlagateljev poglavitni dejavnik za nerazvitost skladov tveganega kapitala in kapitala za rast v EU, ker se Unija preveč zanaša na bančno financiranje</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Bančna posojila so tvorila 50,43 % financiranja non-finančnih korporacij (izračuni Eurostat, ECB, GD FISMA Komisije za leto 2023), sporočilo o evropski uniji prihrankov in naložb, poziv k predložitvi dokazov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108</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h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Gh.</w:t>
            </w:r>
            <w:r>
              <w:tab/>
            </w:r>
            <w:r>
              <w:rPr>
                <w:b/>
                <w:i/>
              </w:rPr>
              <w:t>ker so banke obdržale 84 %</w:t>
            </w:r>
            <w:r>
              <w:rPr>
                <w:b/>
                <w:i/>
                <w:vertAlign w:val="superscript"/>
              </w:rPr>
              <w:t>1a</w:t>
            </w:r>
            <w:r>
              <w:rPr>
                <w:b/>
                <w:i/>
              </w:rPr>
              <w:t xml:space="preserve"> vseh evropskih listinjenj in jih niso prodale vlagateljem; ker je 80 % izdaj listinjenja skoncentriranih v štirih državah članicah; ker je trg za izdaje listinjenja zelo skoncentriran le na nekaj maloštevilnih udeležencev na trgu</w:t>
            </w:r>
            <w:r>
              <w:rPr>
                <w:b/>
                <w:i/>
                <w:vertAlign w:val="superscript"/>
              </w:rPr>
              <w:t>1b</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Monitoring systemic risks in the EU securitisation market (Spremljanje sistemskih tveganj na trgu listinjenja v EU), Evropski odbor za sistemska tveganja, julij 2022</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1b</w:t>
            </w:r>
            <w:r>
              <w:t xml:space="preserve"> </w:t>
            </w:r>
            <w:r>
              <w:rPr>
                <w:b/>
                <w:i/>
              </w:rPr>
              <w:t>Po mnenju Evropskega odbora za sistemska tveganja (ESRB) “Monitoring Systemic Risks in the EU Securitisation Market“ (Spremljanje sistemskih tveganj na trgu listinjenja EU) iz julija 2022 je v največjem segmentu trga EU RMBS dve tretjini skupne izdaje pokrivalo deset bank.</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109</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i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Gi.</w:t>
            </w:r>
            <w:r>
              <w:tab/>
            </w:r>
            <w:r>
              <w:rPr>
                <w:b/>
                <w:i/>
              </w:rPr>
              <w:t>ker bi lahko mehanizem za okrevanje in odpornost prispeval h kumulativnemu povečanju BDP Evropske unije za 0,4 do 0,9 odstotne točke do leta 2026, v posebnem primeru Italije oziroma Španije pa za 1,2 do 1,9 odstotne točke</w:t>
            </w:r>
            <w:r>
              <w:rPr>
                <w:b/>
                <w:i/>
                <w:vertAlign w:val="superscript"/>
              </w:rPr>
              <w:t>1a</w:t>
            </w:r>
            <w:r>
              <w:rPr>
                <w:b/>
                <w:i/>
              </w:rPr>
              <w:t>;</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Evropska centralna banka, ECB Occasional Paper Series (serija občasnih zvezkov ECB), št. 362</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110</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j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Gj.</w:t>
            </w:r>
            <w:r>
              <w:tab/>
            </w:r>
            <w:r>
              <w:rPr>
                <w:b/>
                <w:i/>
              </w:rPr>
              <w:t>ker plačil v okviru mehanizma za okrevanje in odpornost v tem trenutku po decembru 2026 ne bo mogoče izvršiti;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111</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k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Gk.</w:t>
            </w:r>
            <w:r>
              <w:tab/>
            </w:r>
            <w:r>
              <w:rPr>
                <w:b/>
                <w:i/>
              </w:rPr>
              <w:t>ker je sedanji največji instrument Unije za porazdelitev tveganja program InvestEU; ker je večina izvajalskih partnerjev še vedno osredotočena predvsem na obseg naložb z manjšim tveganjem;</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112</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Uvodna izjava G l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Gl.</w:t>
            </w:r>
            <w:r>
              <w:tab/>
            </w:r>
            <w:r>
              <w:rPr>
                <w:b/>
                <w:i/>
              </w:rPr>
              <w:t>ker zaradi političnega odpora in različnih nacionalnih interesov še ni bilo doseženo soglasje o dokončanju unije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113</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Podnaslov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 xml:space="preserve">Oblikovanje skupne vizije za evropsko produktivnost in potreba po </w:t>
            </w:r>
            <w:r>
              <w:rPr>
                <w:b/>
                <w:i/>
              </w:rPr>
              <w:t xml:space="preserve">trajnostni </w:t>
            </w:r>
            <w:r>
              <w:t>rasti</w:t>
            </w:r>
          </w:p>
        </w:tc>
        <w:tc>
          <w:tcPr>
            <w:tcW w:w="4876" w:type="dxa"/>
            <w:tcBorders>
              <w:top w:val="nil"/>
              <w:left w:val="nil"/>
              <w:bottom w:val="nil"/>
              <w:right w:val="nil"/>
            </w:tcBorders>
          </w:tcPr>
          <w:p w:rsidR="0084767A" w:rsidRPr="00FC22F0" w:rsidRDefault="0084767A" w:rsidP="003E4EAF">
            <w:pPr>
              <w:pStyle w:val="Normal6a"/>
            </w:pPr>
            <w:r>
              <w:t>Oblikovanje skupne vizije za evropsko produktivnost in potreba po rasti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202118" w:rsidRDefault="0084767A" w:rsidP="0084767A">
      <w:pPr>
        <w:pStyle w:val="AmNumberTabs"/>
      </w:pPr>
      <w:r>
        <w:rPr>
          <w:rStyle w:val="HideTWBExt"/>
          <w:b w:val="0"/>
        </w:rPr>
        <w:t>&lt;Amend&gt;</w:t>
      </w:r>
      <w:r>
        <w:t>Predlog spremembe</w:t>
      </w:r>
      <w:r>
        <w:tab/>
      </w:r>
      <w:r>
        <w:tab/>
      </w:r>
      <w:r>
        <w:rPr>
          <w:rStyle w:val="HideTWBExt"/>
          <w:b w:val="0"/>
        </w:rPr>
        <w:t>&lt;NumAm&gt;</w:t>
      </w:r>
      <w:r>
        <w:t>114</w:t>
      </w:r>
      <w:r>
        <w:rPr>
          <w:rStyle w:val="HideTWBExt"/>
          <w:b w:val="0"/>
        </w:rPr>
        <w:t>&lt;/NumAm&gt;</w:t>
      </w:r>
    </w:p>
    <w:p w:rsidR="0084767A" w:rsidRPr="00202118" w:rsidRDefault="0084767A" w:rsidP="0084767A">
      <w:pPr>
        <w:pStyle w:val="NormalBold"/>
      </w:pPr>
      <w:r>
        <w:rPr>
          <w:rStyle w:val="HideTWBExt"/>
          <w:b w:val="0"/>
        </w:rPr>
        <w:t>&lt;RepeatBlock-By&gt;&lt;Members&gt;</w:t>
      </w:r>
      <w:r>
        <w:t>Levteris Nikolau-Alavanos (Lefteris Nikolaou-Alavanos), Kostas Papadakis</w:t>
      </w:r>
      <w:r>
        <w:rPr>
          <w:rStyle w:val="HideTWBExt"/>
          <w:b w:val="0"/>
        </w:rPr>
        <w:t>&lt;/Members&gt;</w:t>
      </w:r>
    </w:p>
    <w:p w:rsidR="0084767A" w:rsidRPr="00202118" w:rsidRDefault="0084767A" w:rsidP="0084767A">
      <w:pPr>
        <w:pStyle w:val="NormalBold"/>
      </w:pPr>
      <w:r>
        <w:rPr>
          <w:rStyle w:val="HideTWBExt"/>
          <w:b w:val="0"/>
        </w:rPr>
        <w:t>&lt;/RepeatBlock-By&gt;</w:t>
      </w:r>
    </w:p>
    <w:p w:rsidR="0084767A" w:rsidRPr="00202118" w:rsidRDefault="0084767A" w:rsidP="0084767A">
      <w:pPr>
        <w:pStyle w:val="NormalBold"/>
      </w:pPr>
      <w:r>
        <w:rPr>
          <w:rStyle w:val="HideTWBExt"/>
          <w:b w:val="0"/>
        </w:rPr>
        <w:t>&lt;DocAmend&gt;</w:t>
      </w:r>
      <w:r>
        <w:t>Predlog resolucije</w:t>
      </w:r>
      <w:r>
        <w:rPr>
          <w:rStyle w:val="HideTWBExt"/>
          <w:b w:val="0"/>
        </w:rPr>
        <w:t>&lt;/DocAmend&gt;</w:t>
      </w:r>
    </w:p>
    <w:p w:rsidR="0084767A" w:rsidRPr="00202118" w:rsidRDefault="0084767A" w:rsidP="0084767A">
      <w:pPr>
        <w:pStyle w:val="NormalBold"/>
      </w:pPr>
      <w:r>
        <w:rPr>
          <w:rStyle w:val="HideTWBExt"/>
          <w:b w:val="0"/>
        </w:rPr>
        <w:t>&lt;Article&gt;</w:t>
      </w:r>
      <w:r>
        <w:t>Odstavek -1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202118" w:rsidRDefault="0084767A" w:rsidP="003E4EAF"/>
        </w:tc>
      </w:tr>
      <w:tr w:rsidR="0084767A" w:rsidTr="003E4EAF">
        <w:trPr>
          <w:trHeight w:val="240"/>
          <w:jc w:val="center"/>
        </w:trPr>
        <w:tc>
          <w:tcPr>
            <w:tcW w:w="4876" w:type="dxa"/>
            <w:tcBorders>
              <w:top w:val="nil"/>
              <w:left w:val="nil"/>
              <w:bottom w:val="nil"/>
              <w:right w:val="nil"/>
            </w:tcBorders>
          </w:tcPr>
          <w:p w:rsidR="0084767A" w:rsidRPr="00202118" w:rsidRDefault="0084767A" w:rsidP="003E4EAF">
            <w:pPr>
              <w:pStyle w:val="AmColumnHeading"/>
            </w:pPr>
            <w:r>
              <w:t>Predlog resolucije</w:t>
            </w:r>
          </w:p>
        </w:tc>
        <w:tc>
          <w:tcPr>
            <w:tcW w:w="4876" w:type="dxa"/>
            <w:tcBorders>
              <w:top w:val="nil"/>
              <w:left w:val="nil"/>
              <w:bottom w:val="nil"/>
              <w:right w:val="nil"/>
            </w:tcBorders>
          </w:tcPr>
          <w:p w:rsidR="0084767A" w:rsidRPr="00202118"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202118" w:rsidRDefault="0084767A" w:rsidP="003E4EAF">
            <w:pPr>
              <w:pStyle w:val="Normal6a"/>
            </w:pPr>
          </w:p>
        </w:tc>
        <w:tc>
          <w:tcPr>
            <w:tcW w:w="4876" w:type="dxa"/>
            <w:tcBorders>
              <w:top w:val="nil"/>
              <w:left w:val="nil"/>
              <w:bottom w:val="nil"/>
              <w:right w:val="nil"/>
            </w:tcBorders>
          </w:tcPr>
          <w:p w:rsidR="0084767A" w:rsidRPr="00202118" w:rsidRDefault="0084767A" w:rsidP="003E4EAF">
            <w:pPr>
              <w:pStyle w:val="Normal6a"/>
            </w:pPr>
            <w:r>
              <w:rPr>
                <w:b/>
                <w:i/>
              </w:rPr>
              <w:t>-1.</w:t>
            </w:r>
            <w:r>
              <w:tab/>
            </w:r>
            <w:r>
              <w:rPr>
                <w:b/>
                <w:i/>
              </w:rPr>
              <w:t>Cilj Draghijevega poročila o konkurenčnosti podjetij EU je doseči, da bi se kapitalistično usmerjeno gospodarstvo EU preusmerilo, živimo namreč v času, ko se geopolitična konkurenca EU – zaradi boja Kitajske in ZDA za prevlado – z ZDA, pa tudi z Rusijo, zaostruje, hkrati pa se tudi že kažejo prvi znaki nove gospodarske krize. Namen poročila je mobilizirati zbrana sredstva, ki niso bila vložena v okviru evropskega zelenega dogovora ter mehanizma za okrevanje in odpornost, ter gospodarskim koncernom tako zagotoviti dodatne spodbude v vrednosti več milijard eurov, hkrati pa v ta namen žrtvovati celo depozite državljanov, sredstva iz pokojninskih skladov in sadove, ki so si jih delavske družine prigarale skozi življenje. Poročilo je napisano v duhu podpore prehodu EU na „vojno gospodarstvo“, ki se že uresničuje s pomočjo načrta za ponovno oborožitev Evrope (ReArm Europe), strategije EU za unijo pripravljenosti in strategije ProtectEU, in kaže, da je Unija vse bolj vpletena v imperialistično vojno v Ukrajini proti kapitalistični Rusiji, in sicer tako v okviru evroatlantskih načrtov kot tudi ločeno od njih, s „plenjenjem“ ukrajinskega mineralnega bogastva, omrežij za prenos energije itd. V njem je poleg tega obravnavana podpora EU Izraelu kot okupacijski državi, ki izvaja genocid nad Palestinci. Draghijevo poročilo spodbuja, da bi bile plače in pokojnine v imenu konkurenčnosti zamrznjene, sredstva za izobraževanje, zdravstvo, socialno varstvo in civilno zaščito pa dramatično zmanjšana in hkrati komercializirana, da bi se dobiček koncernov tako še povečal. Poleg tega spodbuja, da bi se pravice do sindikalnega organiziranja in delovanja ter stavke še bolj oklestile, pri čemer se ustvarja ozračje, ki je v znamenju „nevarnosti vojne“ in „izrednih razmer“. V skladu z Draghijevim poročilom bodo morali to vojno gospodarstvo z 800 milijardami EUR drago plačati delavci EU, tj. revni delavski sloji, da bi zaščitili dobičkonosnost in interese velikih podjetij, in to v času, ko revni zaposleni predstavljajo več kot tretjino prebivalstva EU, štirje od desetih prebivalcev pa nikoli ali redno ne morejo izpolniti svojih rednih finančnih obveznosti.</w:t>
            </w:r>
          </w:p>
        </w:tc>
      </w:tr>
      <w:tr w:rsidR="0084767A" w:rsidTr="003E4EAF">
        <w:trPr>
          <w:jc w:val="center"/>
        </w:trPr>
        <w:tc>
          <w:tcPr>
            <w:tcW w:w="4876" w:type="dxa"/>
            <w:tcBorders>
              <w:top w:val="nil"/>
              <w:left w:val="nil"/>
              <w:bottom w:val="nil"/>
              <w:right w:val="nil"/>
            </w:tcBorders>
          </w:tcPr>
          <w:p w:rsidR="0084767A" w:rsidRPr="00202118" w:rsidRDefault="0084767A" w:rsidP="003E4EAF">
            <w:pPr>
              <w:pStyle w:val="Normal6a"/>
            </w:pPr>
          </w:p>
        </w:tc>
        <w:tc>
          <w:tcPr>
            <w:tcW w:w="4876" w:type="dxa"/>
            <w:tcBorders>
              <w:top w:val="nil"/>
              <w:left w:val="nil"/>
              <w:bottom w:val="nil"/>
              <w:right w:val="nil"/>
            </w:tcBorders>
          </w:tcPr>
          <w:p w:rsidR="0084767A" w:rsidRPr="00202118" w:rsidRDefault="0084767A" w:rsidP="003E4EAF">
            <w:pPr>
              <w:pStyle w:val="Normal6a"/>
            </w:pPr>
            <w:r>
              <w:rPr>
                <w:b/>
                <w:i/>
              </w:rPr>
              <w:t>Zato zavračamo Draghijevo poročilo in protisocialno načrtovanje EU, katerega cilj je povečati moč gospodarskih koncernov v škodo pravic in potreb delavcev.</w:t>
            </w:r>
          </w:p>
        </w:tc>
      </w:tr>
    </w:tbl>
    <w:p w:rsidR="0084767A" w:rsidRPr="00202118" w:rsidRDefault="0084767A" w:rsidP="0084767A">
      <w:pPr>
        <w:pStyle w:val="AmOrLang"/>
      </w:pPr>
      <w:r w:rsidRPr="00202118">
        <w:t xml:space="preserve">Or. </w:t>
      </w:r>
      <w:r w:rsidRPr="00202118">
        <w:rPr>
          <w:rStyle w:val="HideTWBExt"/>
        </w:rPr>
        <w:t>&lt;Original&gt;</w:t>
      </w:r>
      <w:r w:rsidRPr="00202118">
        <w:rPr>
          <w:rStyle w:val="HideTWBInt"/>
        </w:rPr>
        <w:t>{EL}</w:t>
      </w:r>
      <w:r w:rsidRPr="00202118">
        <w:t>el</w:t>
      </w:r>
      <w:r w:rsidRPr="00202118">
        <w:rPr>
          <w:rStyle w:val="HideTWBExt"/>
        </w:rPr>
        <w:t>&lt;/Original&gt;</w:t>
      </w:r>
    </w:p>
    <w:p w:rsidR="0084767A" w:rsidRPr="00202118"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115</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-1.</w:t>
            </w:r>
            <w:r>
              <w:tab/>
            </w:r>
            <w:r>
              <w:rPr>
                <w:b/>
                <w:i/>
              </w:rPr>
              <w:t>je zaskrbljen zaradi sedanje geopolitične negotovosti in njenega vpliva na makroekonomske kazalnike ter njenih socialnih posledic; ugotavlja, da se je zaradi te negotovosti že znatno povečala nestanovitnost na finančnih trgih in privedla do oslabitve ameriškega dolarja meni, da je zdaj idealen trenutek za pospešitev povezovanja evropskih kapitalskih trgov, saj lahko bolj povezan kapitalski trg spodbudi večje naložbene tokove, izboljša finančno stabilnost in uveljavi euro kot pomembnejšo svetovno valuto, s čimer bi okrepili evropsko gospodarsko suverenost in odpornost; poudarja, da so pravna država, zakonodajna stabilnost in predvidljivost ključnega pomena za mednarodne vlagatelje; poziva Komisijo, naj ne uvaja večjih sprememb nedavno sprejete zakonodaje; poudarja, da bi izdaja skupnih dolžniških instrumentov EU prispevala k privlačnosti finančnih trgov EU, saj bi mednarodnim vlagateljem zagotovila varno in likvidno sredstvo; poudarja, da bi digitalni evro predstavljal varno, brezplačno in lahko dostopno plačilno sredstvo in tako pomembno prispeval k monetarni suverenosti in okrepil mednarodno vlogo evra;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116</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w:t>
            </w:r>
            <w:r>
              <w:rPr>
                <w:b/>
                <w:i/>
              </w:rPr>
              <w:t>, naj se začnejo v kontekstu geopolitične nestabilnosti in mednarodnih napetosti vsa finančna sredstva in vsi razpoložljivi instrumenti uporabljati</w:t>
            </w:r>
            <w:r>
              <w:t xml:space="preserve"> za krepitev varnosti ter industrijske in tehnološke suverenosti EU, </w:t>
            </w:r>
            <w:r>
              <w:rPr>
                <w:b/>
                <w:i/>
              </w:rPr>
              <w:t>podpiranje zelenega prehoda</w:t>
            </w:r>
            <w:r>
              <w:t xml:space="preserve">, </w:t>
            </w:r>
            <w:r>
              <w:rPr>
                <w:b/>
                <w:i/>
              </w:rPr>
              <w:t>ustvarjanje kakovostnih delovnih mest</w:t>
            </w:r>
            <w:r>
              <w:t xml:space="preserve"> in </w:t>
            </w:r>
            <w:r>
              <w:rPr>
                <w:b/>
                <w:i/>
              </w:rPr>
              <w:t>spodbujanje navzgor usmerjene socialne konvergence</w:t>
            </w:r>
            <w:r>
              <w:t>;</w:t>
            </w:r>
          </w:p>
        </w:tc>
        <w:tc>
          <w:tcPr>
            <w:tcW w:w="4876" w:type="dxa"/>
            <w:tcBorders>
              <w:top w:val="nil"/>
              <w:left w:val="nil"/>
              <w:bottom w:val="nil"/>
              <w:right w:val="nil"/>
            </w:tcBorders>
          </w:tcPr>
          <w:p w:rsidR="0084767A" w:rsidRPr="00FC22F0" w:rsidRDefault="0084767A" w:rsidP="003E4EAF">
            <w:pPr>
              <w:pStyle w:val="Normal6a"/>
            </w:pPr>
            <w:r>
              <w:t>1.</w:t>
            </w:r>
            <w:r>
              <w:tab/>
              <w:t>poziva</w:t>
            </w:r>
            <w:r>
              <w:rPr>
                <w:b/>
                <w:i/>
              </w:rPr>
              <w:t xml:space="preserve"> k liberalizaciji trga, ki bo spodbudila splošno mobilizacijo vseh finančnih sredstev in razpoložljivih instrumentov, ki so bili učinkovito dodeljeni</w:t>
            </w:r>
            <w:r>
              <w:t xml:space="preserve"> za krepitev varnosti ter industrijske in tehnološke suverenosti EU, </w:t>
            </w:r>
            <w:r>
              <w:rPr>
                <w:b/>
                <w:i/>
              </w:rPr>
              <w:t>doseženo z zasebnimi naložbami, odpiranjem trga in zmanjšanjem ovir</w:t>
            </w:r>
            <w:r>
              <w:t xml:space="preserve">, </w:t>
            </w:r>
            <w:r>
              <w:rPr>
                <w:b/>
                <w:i/>
              </w:rPr>
              <w:t>s čimer bi odpravili močno odvisnost od subvencij; opozarja, da liberalizacija trga vodi k privabljanju naložb ter spodbuja ustanavljanje</w:t>
            </w:r>
            <w:r>
              <w:t xml:space="preserve"> in </w:t>
            </w:r>
            <w:r>
              <w:rPr>
                <w:b/>
                <w:i/>
              </w:rPr>
              <w:t>rast podjetij, kar ustvarja tudi kakovostna delovna mesta in prispeva k izboljšanju kakovosti življenja državljanov v kontekstu geopolitične nestabilnosti in mednarodnih napetosti, medtem ko pretirana regulacija odvrača od naložb in ustvarjanja bogastva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117</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w:t>
            </w:r>
            <w:r>
              <w:rPr>
                <w:b/>
                <w:i/>
              </w:rPr>
              <w:t>naj se začnejo</w:t>
            </w:r>
            <w:r>
              <w:t xml:space="preserve"> v </w:t>
            </w:r>
            <w:r>
              <w:rPr>
                <w:b/>
                <w:i/>
              </w:rPr>
              <w:t>kontekstu geopolitične nestabilnosti in mednarodnih napetosti vsa finančna sredstva in vsi razpoložljivi instrumenti uporabljati za krepitev varnosti ter industrijske</w:t>
            </w:r>
            <w:r>
              <w:t xml:space="preserve"> in </w:t>
            </w:r>
            <w:r>
              <w:rPr>
                <w:b/>
                <w:i/>
              </w:rPr>
              <w:t>tehnološke suverenosti EU</w:t>
            </w:r>
            <w:r>
              <w:t xml:space="preserve">, </w:t>
            </w:r>
            <w:r>
              <w:rPr>
                <w:b/>
                <w:i/>
              </w:rPr>
              <w:t>podpiranje zelenega prehoda</w:t>
            </w:r>
            <w:r>
              <w:t xml:space="preserve">, </w:t>
            </w:r>
            <w:r>
              <w:rPr>
                <w:b/>
                <w:i/>
              </w:rPr>
              <w:t>ustvarjanje kakovostnih delovnih mest in spodbujanje navzgor usmerjene socialne konvergence</w:t>
            </w:r>
            <w:r>
              <w:t>;</w:t>
            </w:r>
          </w:p>
        </w:tc>
        <w:tc>
          <w:tcPr>
            <w:tcW w:w="4876" w:type="dxa"/>
            <w:tcBorders>
              <w:top w:val="nil"/>
              <w:left w:val="nil"/>
              <w:bottom w:val="nil"/>
              <w:right w:val="nil"/>
            </w:tcBorders>
          </w:tcPr>
          <w:p w:rsidR="0084767A" w:rsidRPr="00FC22F0" w:rsidRDefault="0084767A" w:rsidP="003E4EAF">
            <w:pPr>
              <w:pStyle w:val="Normal6a"/>
            </w:pPr>
            <w:r>
              <w:t>1.</w:t>
            </w:r>
            <w:r>
              <w:tab/>
              <w:t>poziva</w:t>
            </w:r>
            <w:r>
              <w:rPr>
                <w:b/>
                <w:i/>
              </w:rPr>
              <w:t xml:space="preserve"> k splošni mobilizaciji pravnih</w:t>
            </w:r>
            <w:r>
              <w:t xml:space="preserve">, </w:t>
            </w:r>
            <w:r>
              <w:rPr>
                <w:b/>
                <w:i/>
              </w:rPr>
              <w:t>upravnih in finančnih sredstev za vzpostavitev močne unije kapitalskih trgov</w:t>
            </w:r>
            <w:r>
              <w:t xml:space="preserve"> v </w:t>
            </w:r>
            <w:r>
              <w:rPr>
                <w:b/>
                <w:i/>
              </w:rPr>
              <w:t>Evropi, ki bo spodbudila zasebne naložbe, povečala naložbe malih vlagateljev, varčevalce spremenila v vlagatelje, povečala produktivnost varčevanja, izboljšala življenjski standard v Evropi, povečala gospodarsko rast</w:t>
            </w:r>
            <w:r>
              <w:t xml:space="preserve"> in </w:t>
            </w:r>
            <w:r>
              <w:rPr>
                <w:b/>
                <w:i/>
              </w:rPr>
              <w:t>zagotovila več kapitala za naložbe</w:t>
            </w:r>
            <w:r>
              <w:t xml:space="preserve">, </w:t>
            </w:r>
            <w:r>
              <w:rPr>
                <w:b/>
                <w:i/>
              </w:rPr>
              <w:t>kar bo v kontekstu geopolitične nestabilnosti in mednarodnih napetosti podprlo zeleni in digitalni prehod</w:t>
            </w:r>
            <w:r>
              <w:t xml:space="preserve">, </w:t>
            </w:r>
            <w:r>
              <w:rPr>
                <w:b/>
                <w:i/>
              </w:rPr>
              <w:t>ustvarilo kakovostna delovna mesta ter povečalo gospodarske priložnosti in socialno mobilnost</w:t>
            </w:r>
            <w:r>
              <w:t xml:space="preserve">;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118</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w:t>
            </w:r>
            <w:r>
              <w:rPr>
                <w:b/>
                <w:i/>
              </w:rPr>
              <w:t>varnosti ter industrijske</w:t>
            </w:r>
            <w:r>
              <w:t xml:space="preserve"> in </w:t>
            </w:r>
            <w:r>
              <w:rPr>
                <w:b/>
                <w:i/>
              </w:rPr>
              <w:t>tehnološke suverenosti EU</w:t>
            </w:r>
            <w:r>
              <w:t xml:space="preserve">, </w:t>
            </w:r>
            <w:r>
              <w:rPr>
                <w:b/>
                <w:i/>
              </w:rPr>
              <w:t>podpiranje zelenega prehoda</w:t>
            </w:r>
            <w:r>
              <w:t xml:space="preserve">, </w:t>
            </w:r>
            <w:r>
              <w:rPr>
                <w:b/>
                <w:i/>
              </w:rPr>
              <w:t>ustvarjanje kakovostnih delovnih mest in spodbujanje navzgor usmerjene socialne konvergence</w:t>
            </w:r>
            <w:r>
              <w:t>;</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vsa finančna sredstva in vsi razpoložljivi instrumenti uporabljati za krepitev </w:t>
            </w:r>
            <w:r>
              <w:rPr>
                <w:b/>
                <w:i/>
              </w:rPr>
              <w:t>konkurenčnosti EU in odprte strateške avtonomije z močnejšo</w:t>
            </w:r>
            <w:r>
              <w:t xml:space="preserve"> in </w:t>
            </w:r>
            <w:r>
              <w:rPr>
                <w:b/>
                <w:i/>
              </w:rPr>
              <w:t>horizontalno industrijsko politiko</w:t>
            </w:r>
            <w:r>
              <w:t xml:space="preserve">, </w:t>
            </w:r>
            <w:r>
              <w:rPr>
                <w:b/>
                <w:i/>
              </w:rPr>
              <w:t>osredotočeno na inovacije, kritične tehnologije in obrambne zmogljivosti</w:t>
            </w:r>
            <w:r>
              <w:t xml:space="preserve">, </w:t>
            </w:r>
            <w:r>
              <w:rPr>
                <w:b/>
                <w:i/>
              </w:rPr>
              <w:t>da bi lahko podjetja v EU v kontekstu geopolitične nestabilnosti in mednarodnih napetosti konkurirala na svetovni ravni</w:t>
            </w:r>
            <w:r>
              <w:t xml:space="preserve">;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119</w:t>
      </w:r>
      <w:r>
        <w:rPr>
          <w:rStyle w:val="HideTWBExt"/>
          <w:b w:val="0"/>
        </w:rPr>
        <w:t>&lt;/NumAm&gt;</w:t>
      </w:r>
    </w:p>
    <w:p w:rsidR="0084767A" w:rsidRPr="00FC22F0" w:rsidRDefault="0084767A" w:rsidP="0084767A">
      <w:pPr>
        <w:pStyle w:val="NormalBold"/>
      </w:pPr>
      <w:r>
        <w:rPr>
          <w:rStyle w:val="HideTWBExt"/>
          <w:b w:val="0"/>
        </w:rPr>
        <w:t>&lt;RepeatBlock-By&gt;&lt;Members&gt;</w:t>
      </w:r>
      <w:r>
        <w:t>Auke Zijlstra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w:t>
            </w:r>
            <w:r>
              <w:rPr>
                <w:b/>
                <w:i/>
              </w:rPr>
              <w:t>, naj se začnejo v kontekstu geopolitične nestabilnosti</w:t>
            </w:r>
            <w:r>
              <w:t xml:space="preserve"> in </w:t>
            </w:r>
            <w:r>
              <w:rPr>
                <w:b/>
                <w:i/>
              </w:rPr>
              <w:t>mednarodnih napetosti vsa finančna sredstva in vsi razpoložljivi instrumenti uporabljati za krepitev varnosti ter industrijske</w:t>
            </w:r>
            <w:r>
              <w:t xml:space="preserve"> in </w:t>
            </w:r>
            <w:r>
              <w:rPr>
                <w:b/>
                <w:i/>
              </w:rPr>
              <w:t>tehnološke suverenosti EU, podpiranje zelenega prehoda, ustvarjanje</w:t>
            </w:r>
            <w:r>
              <w:t xml:space="preserve"> kakovostnih delovnih mest in </w:t>
            </w:r>
            <w:r>
              <w:rPr>
                <w:b/>
                <w:i/>
              </w:rPr>
              <w:t>spodbujanje</w:t>
            </w:r>
            <w:r>
              <w:t xml:space="preserve"> navzgor </w:t>
            </w:r>
            <w:r>
              <w:rPr>
                <w:b/>
                <w:i/>
              </w:rPr>
              <w:t>usmerjene</w:t>
            </w:r>
            <w:r>
              <w:t xml:space="preserve"> socialne konvergence;</w:t>
            </w:r>
          </w:p>
        </w:tc>
        <w:tc>
          <w:tcPr>
            <w:tcW w:w="4876" w:type="dxa"/>
            <w:tcBorders>
              <w:top w:val="nil"/>
              <w:left w:val="nil"/>
              <w:bottom w:val="nil"/>
              <w:right w:val="nil"/>
            </w:tcBorders>
          </w:tcPr>
          <w:p w:rsidR="0084767A" w:rsidRPr="00FC22F0" w:rsidRDefault="0084767A" w:rsidP="003E4EAF">
            <w:pPr>
              <w:pStyle w:val="Normal6a"/>
            </w:pPr>
            <w:r>
              <w:t>1.</w:t>
            </w:r>
            <w:r>
              <w:tab/>
              <w:t>poziva</w:t>
            </w:r>
            <w:r>
              <w:rPr>
                <w:b/>
                <w:i/>
              </w:rPr>
              <w:t xml:space="preserve"> h krepitvi varnosti, industrijske</w:t>
            </w:r>
            <w:r>
              <w:t xml:space="preserve"> in </w:t>
            </w:r>
            <w:r>
              <w:rPr>
                <w:b/>
                <w:i/>
              </w:rPr>
              <w:t>tehnološke suverenosti ter konkurenčnosti EU, s čimer bi v kontekstu geopolitične nestabilnosti</w:t>
            </w:r>
            <w:r>
              <w:t xml:space="preserve"> in </w:t>
            </w:r>
            <w:r>
              <w:rPr>
                <w:b/>
                <w:i/>
              </w:rPr>
              <w:t>mednarodnih napetosti prispevali k ustvarjanju</w:t>
            </w:r>
            <w:r>
              <w:t xml:space="preserve"> kakovostnih delovnih mest in </w:t>
            </w:r>
            <w:r>
              <w:rPr>
                <w:b/>
                <w:i/>
              </w:rPr>
              <w:t>k</w:t>
            </w:r>
            <w:r>
              <w:t xml:space="preserve"> navzgor </w:t>
            </w:r>
            <w:r>
              <w:rPr>
                <w:b/>
                <w:i/>
              </w:rPr>
              <w:t>usmerjeni</w:t>
            </w:r>
            <w:r>
              <w:t xml:space="preserv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120</w:t>
      </w:r>
      <w:r>
        <w:rPr>
          <w:rStyle w:val="HideTWBExt"/>
          <w:b w:val="0"/>
        </w:rPr>
        <w:t>&lt;/NumAm&gt;</w:t>
      </w:r>
    </w:p>
    <w:p w:rsidR="0084767A" w:rsidRPr="00FC22F0" w:rsidRDefault="0084767A" w:rsidP="0084767A">
      <w:pPr>
        <w:pStyle w:val="NormalBold"/>
      </w:pPr>
      <w:r>
        <w:rPr>
          <w:rStyle w:val="HideTWBExt"/>
          <w:b w:val="0"/>
        </w:rPr>
        <w:t>&lt;RepeatBlock-By&gt;&lt;Members&gt;</w:t>
      </w:r>
      <w:r>
        <w:t>Pierre Pimpie</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w:t>
            </w:r>
            <w:r>
              <w:rPr>
                <w:b/>
                <w:i/>
              </w:rPr>
              <w:t xml:space="preserve"> ter</w:t>
            </w:r>
            <w:r>
              <w:t xml:space="preserve"> industrijske in tehnološke suverenosti EU</w:t>
            </w:r>
            <w:r>
              <w:rPr>
                <w:b/>
                <w:i/>
              </w:rPr>
              <w:t>, podpiranje zelenega prehoda,</w:t>
            </w:r>
            <w:r>
              <w:t xml:space="preserve"> ustvarjanje kakovostnih delovnih mest</w:t>
            </w:r>
            <w:r>
              <w:rPr>
                <w:b/>
                <w:i/>
              </w:rPr>
              <w:t xml:space="preserve"> in spodbujanje navzgor usmerjene socialne konvergence</w:t>
            </w:r>
            <w:r>
              <w:t>;</w:t>
            </w:r>
          </w:p>
        </w:tc>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w:t>
            </w:r>
            <w:r>
              <w:rPr>
                <w:b/>
                <w:i/>
              </w:rPr>
              <w:t>,</w:t>
            </w:r>
            <w:r>
              <w:t xml:space="preserve"> industrijske in tehnološke suverenosti EU</w:t>
            </w:r>
            <w:r>
              <w:rPr>
                <w:b/>
                <w:i/>
              </w:rPr>
              <w:t xml:space="preserve"> ter</w:t>
            </w:r>
            <w:r>
              <w:t xml:space="preserve"> ustvarjanje kakovostnih delovnih mest;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121</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w:t>
            </w:r>
            <w:r>
              <w:rPr>
                <w:b/>
                <w:i/>
              </w:rPr>
              <w:t>, naj se začnejo v kontekstu geopolitične nestabilnosti in mednarodnih napetosti vsa finančna sredstva</w:t>
            </w:r>
            <w:r>
              <w:t xml:space="preserve"> in </w:t>
            </w:r>
            <w:r>
              <w:rPr>
                <w:b/>
                <w:i/>
              </w:rPr>
              <w:t>vsi razpoložljivi instrumenti uporabljati</w:t>
            </w:r>
            <w:r>
              <w:t xml:space="preserve">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poziva</w:t>
            </w:r>
            <w:r>
              <w:rPr>
                <w:b/>
                <w:i/>
              </w:rPr>
              <w:t xml:space="preserve"> k razvoju unije prihrankov in naložb za krepitev varnosti ter industrijske</w:t>
            </w:r>
            <w:r>
              <w:t xml:space="preserve"> in </w:t>
            </w:r>
            <w:r>
              <w:rPr>
                <w:b/>
                <w:i/>
              </w:rPr>
              <w:t>tehnološke suverenosti EU</w:t>
            </w:r>
            <w:r>
              <w:t xml:space="preserve"> za krepitev varnosti ter industrijske in tehnološke suverenosti EU, podpiranje zelenega prehoda</w:t>
            </w:r>
            <w:r>
              <w:rPr>
                <w:b/>
                <w:i/>
              </w:rPr>
              <w:t>, krepitev konkurenčnosti, povečanje gospodarske rasti</w:t>
            </w:r>
            <w:r>
              <w:t>,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w:t>
            </w:r>
            <w:r>
              <w:rPr>
                <w:b/>
                <w:i/>
              </w:rPr>
              <w:t>, podpiranje zelenega prehoda, ustvarjanje kakovostnih delovnih mest in spodbujanje navzgor usmerjene socialne konvergence</w:t>
            </w:r>
            <w:r>
              <w:t>;</w:t>
            </w:r>
          </w:p>
        </w:tc>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w:t>
            </w:r>
            <w:r>
              <w:rPr>
                <w:b/>
                <w:i/>
              </w:rPr>
              <w:t xml:space="preserve"> ter izboljšanje konkurenčnosti Unije</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123</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w:t>
            </w:r>
            <w:r>
              <w:rPr>
                <w:b/>
                <w:i/>
              </w:rPr>
              <w:t>podpiranje</w:t>
            </w:r>
            <w:r>
              <w:t xml:space="preserv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w:t>
            </w:r>
            <w:r>
              <w:rPr>
                <w:b/>
                <w:i/>
              </w:rPr>
              <w:t>pospešitev</w:t>
            </w:r>
            <w:r>
              <w:t xml:space="preserve"> zelenega 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124</w:t>
      </w:r>
      <w:r>
        <w:rPr>
          <w:rStyle w:val="HideTWBExt"/>
          <w:b w:val="0"/>
        </w:rPr>
        <w:t>&lt;/NumAm&gt;</w:t>
      </w:r>
    </w:p>
    <w:p w:rsidR="0084767A" w:rsidRPr="00FC22F0" w:rsidRDefault="0084767A" w:rsidP="0084767A">
      <w:pPr>
        <w:pStyle w:val="NormalBold"/>
      </w:pPr>
      <w:r>
        <w:rPr>
          <w:rStyle w:val="HideTWBExt"/>
          <w:b w:val="0"/>
        </w:rPr>
        <w:t>&lt;RepeatBlock-By&gt;&lt;Members&gt;</w:t>
      </w:r>
      <w:r>
        <w:t>Fernand Kartheiser, Jeadis Jeadi (Geadis Geadi), Kristoffer Storm, Nora Junco García, Diego Solier, Adrian-George Axinia, Georgiana Teodorescu</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w:t>
            </w:r>
            <w:r>
              <w:rPr>
                <w:b/>
                <w:i/>
              </w:rPr>
              <w:t>zelenega</w:t>
            </w:r>
            <w:r>
              <w:t xml:space="preserve">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w:t>
            </w:r>
            <w:r>
              <w:rPr>
                <w:b/>
                <w:i/>
              </w:rPr>
              <w:t>digitalnega</w:t>
            </w:r>
            <w:r>
              <w:t xml:space="preserve"> 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125</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w:t>
            </w:r>
            <w:r>
              <w:rPr>
                <w:b/>
                <w:i/>
              </w:rPr>
              <w:t>, podpiranje zelenega prehoda</w:t>
            </w:r>
            <w:r>
              <w:t>,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w:t>
            </w:r>
            <w:r>
              <w:rPr>
                <w:b/>
                <w:i/>
              </w:rPr>
              <w:t xml:space="preserve">konkurenčnosti, </w:t>
            </w:r>
            <w:r>
              <w:t>varnosti ter industrijske in tehnološke suverenosti EU,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126</w:t>
      </w:r>
      <w:r>
        <w:rPr>
          <w:rStyle w:val="HideTWBExt"/>
          <w:b w:val="0"/>
        </w:rPr>
        <w:t>&lt;/NumAm&gt;</w:t>
      </w:r>
    </w:p>
    <w:p w:rsidR="0084767A" w:rsidRPr="00FC22F0" w:rsidRDefault="0084767A" w:rsidP="0084767A">
      <w:pPr>
        <w:pStyle w:val="NormalBold"/>
      </w:pPr>
      <w:r>
        <w:rPr>
          <w:rStyle w:val="HideTWBExt"/>
          <w:b w:val="0"/>
        </w:rPr>
        <w:t>&lt;RepeatBlock-By&gt;&lt;Members&gt;</w:t>
      </w:r>
      <w:r>
        <w:t>Dirk Gotink</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w:t>
            </w:r>
            <w:r>
              <w:rPr>
                <w:b/>
                <w:i/>
              </w:rPr>
              <w:t xml:space="preserve">vsa </w:t>
            </w:r>
            <w:r>
              <w:t xml:space="preserve">finančna sredstva </w:t>
            </w:r>
            <w:r>
              <w:rPr>
                <w:b/>
                <w:i/>
              </w:rPr>
              <w:t>in vsi razpoložljivi instrumenti</w:t>
            </w:r>
            <w:r>
              <w:t xml:space="preserve"> uporabljati za krepitev varnosti ter industrijske in tehnološke suverenosti EU, podpiranje </w:t>
            </w:r>
            <w:r>
              <w:rPr>
                <w:b/>
                <w:i/>
              </w:rPr>
              <w:t>zelenega</w:t>
            </w:r>
            <w:r>
              <w:t xml:space="preserve">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finančna sredstva </w:t>
            </w:r>
            <w:r>
              <w:rPr>
                <w:b/>
                <w:i/>
              </w:rPr>
              <w:t>zasebnega sektorja</w:t>
            </w:r>
            <w:r>
              <w:t xml:space="preserve"> uporabljati za krepitev varnosti ter industrijske in tehnološke suverenosti EU, podpiranje </w:t>
            </w:r>
            <w:r>
              <w:rPr>
                <w:b/>
                <w:i/>
              </w:rPr>
              <w:t>čistega</w:t>
            </w:r>
            <w:r>
              <w:t xml:space="preserve"> prehoda</w:t>
            </w:r>
            <w:r>
              <w:rPr>
                <w:b/>
                <w:i/>
              </w:rPr>
              <w:t xml:space="preserve"> in razogljičenja</w:t>
            </w:r>
            <w:r>
              <w:t>,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127</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w:t>
            </w:r>
            <w:r>
              <w:rPr>
                <w:b/>
                <w:i/>
              </w:rPr>
              <w:t>zelenega</w:t>
            </w:r>
            <w:r>
              <w:t xml:space="preserve">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w:t>
            </w:r>
            <w:r>
              <w:rPr>
                <w:b/>
                <w:i/>
              </w:rPr>
              <w:t>energetskega</w:t>
            </w:r>
            <w:r>
              <w:t xml:space="preserve"> 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128</w:t>
      </w:r>
      <w:r>
        <w:rPr>
          <w:rStyle w:val="HideTWBExt"/>
          <w:b w:val="0"/>
        </w:rPr>
        <w:t>&lt;/NumAm&gt;</w:t>
      </w:r>
    </w:p>
    <w:p w:rsidR="0084767A" w:rsidRPr="00FC22F0" w:rsidRDefault="0084767A" w:rsidP="0084767A">
      <w:pPr>
        <w:pStyle w:val="NormalBold"/>
      </w:pPr>
      <w:r>
        <w:rPr>
          <w:rStyle w:val="HideTWBExt"/>
          <w:b w:val="0"/>
        </w:rPr>
        <w:t>&lt;RepeatBlock-By&gt;&lt;Members&gt;</w:t>
      </w:r>
      <w:r>
        <w:t>Anouk Van Brug, Engin Eroglu</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w:t>
            </w:r>
            <w:r>
              <w:rPr>
                <w:b/>
                <w:i/>
              </w:rPr>
              <w:t>vsa</w:t>
            </w:r>
            <w:r>
              <w:t xml:space="preserve">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w:t>
            </w:r>
            <w:r>
              <w:rPr>
                <w:b/>
                <w:i/>
              </w:rPr>
              <w:t>znatna</w:t>
            </w:r>
            <w:r>
              <w:t xml:space="preserve"> finančna sredstva in vsi razpoložljivi instrumenti uporabljati za krepitev varnosti ter industrijske in tehnološke suverenosti EU, podpiranje zelenega 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129</w:t>
      </w:r>
      <w:r>
        <w:rPr>
          <w:rStyle w:val="HideTWBExt"/>
          <w:b w:val="0"/>
        </w:rPr>
        <w:t>&lt;/NumAm&gt;</w:t>
      </w:r>
    </w:p>
    <w:p w:rsidR="0084767A" w:rsidRPr="00FC22F0" w:rsidRDefault="0084767A" w:rsidP="0084767A">
      <w:pPr>
        <w:pStyle w:val="NormalBold"/>
      </w:pPr>
      <w:r>
        <w:rPr>
          <w:rStyle w:val="HideTWBExt"/>
          <w:b w:val="0"/>
        </w:rPr>
        <w:t>&lt;RepeatBlock-By&gt;&lt;Members&gt;</w:t>
      </w:r>
      <w:r>
        <w:t>Lídia Pereira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w:t>
            </w:r>
            <w:r>
              <w:rPr>
                <w:b/>
                <w:i/>
              </w:rPr>
              <w:t xml:space="preserve">digitalnega in </w:t>
            </w:r>
            <w:r>
              <w:t xml:space="preserve">zelenega prehoda, </w:t>
            </w:r>
            <w:r>
              <w:rPr>
                <w:b/>
                <w:i/>
              </w:rPr>
              <w:t xml:space="preserve">povečanje konkurenčnosti, ustvarjanje trajne gospodarske rasti, </w:t>
            </w:r>
            <w:r>
              <w:t>ustvarjanje kakovostnih delovnih mest in spodbujanje navzgor usmerjene socialne konvergence</w:t>
            </w:r>
            <w:r>
              <w:rPr>
                <w:b/>
                <w:i/>
              </w:rPr>
              <w:t xml:space="preserve"> in kohezije</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130</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w:t>
            </w:r>
            <w:r>
              <w:rPr>
                <w:b/>
                <w:i/>
              </w:rPr>
              <w:t>, spodbujanje malih</w:t>
            </w:r>
            <w:r>
              <w:t xml:space="preserve"> in </w:t>
            </w:r>
            <w:r>
              <w:rPr>
                <w:b/>
                <w:i/>
              </w:rPr>
              <w:t xml:space="preserve">srednjih podjetij ter </w:t>
            </w:r>
            <w:r>
              <w:t xml:space="preserve">spodbujanje navzgor usmerjene socialne konvergence; </w:t>
            </w:r>
            <w:r>
              <w:rPr>
                <w:b/>
                <w:i/>
              </w:rPr>
              <w:t>ugotavlja, da je varnost osnovni pogoj za trajnostno rast;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131</w:t>
      </w:r>
      <w:r>
        <w:rPr>
          <w:rStyle w:val="HideTWBExt"/>
          <w:b w:val="0"/>
        </w:rPr>
        <w:t>&lt;/NumAm&gt;</w:t>
      </w:r>
    </w:p>
    <w:p w:rsidR="0084767A" w:rsidRPr="00FC22F0" w:rsidRDefault="0084767A" w:rsidP="0084767A">
      <w:pPr>
        <w:pStyle w:val="NormalBold"/>
      </w:pPr>
      <w:r>
        <w:rPr>
          <w:rStyle w:val="HideTWBExt"/>
          <w:b w:val="0"/>
        </w:rPr>
        <w:t>&lt;RepeatBlock-By&gt;&lt;Members&gt;</w:t>
      </w:r>
      <w:r>
        <w:t>Guillaume Peltier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zelenega prehoda, </w:t>
            </w:r>
            <w:r>
              <w:rPr>
                <w:b/>
                <w:i/>
              </w:rPr>
              <w:t xml:space="preserve">zlasti ustvarjanja novih materialov na biološki osnovi, primernih za kompostiranje, </w:t>
            </w:r>
            <w:r>
              <w:t>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132</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w:t>
            </w:r>
            <w:r>
              <w:rPr>
                <w:b/>
                <w:i/>
              </w:rPr>
              <w:t>podpiranje</w:t>
            </w:r>
            <w:r>
              <w:t xml:space="preserv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w:t>
            </w:r>
            <w:r>
              <w:rPr>
                <w:b/>
                <w:i/>
              </w:rPr>
              <w:t>nadgradnjo in pospešitev</w:t>
            </w:r>
            <w:r>
              <w:t xml:space="preserve"> zelenega prehoda</w:t>
            </w:r>
            <w:r>
              <w:rPr>
                <w:b/>
                <w:i/>
              </w:rPr>
              <w:t xml:space="preserve"> na raven, ki velja za minimalni znanstveni cilj</w:t>
            </w:r>
            <w:r>
              <w:t>,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w:t>
            </w:r>
            <w:r>
              <w:rPr>
                <w:b/>
                <w:i/>
              </w:rPr>
              <w:t xml:space="preserve">nujno </w:t>
            </w:r>
            <w:r>
              <w:t>krepitev varnosti ter industrijske in tehnološke suverenosti EU, podpiranje zelenega prehoda</w:t>
            </w:r>
            <w:r>
              <w:rPr>
                <w:b/>
                <w:i/>
              </w:rPr>
              <w:t xml:space="preserve"> in vlaganje vanj</w:t>
            </w:r>
            <w:r>
              <w:t>,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134</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zelenega </w:t>
            </w:r>
            <w:r>
              <w:rPr>
                <w:b/>
                <w:i/>
              </w:rPr>
              <w:t xml:space="preserve">in digitalnega </w:t>
            </w:r>
            <w:r>
              <w:t>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135</w:t>
      </w:r>
      <w:r>
        <w:rPr>
          <w:rStyle w:val="HideTWBExt"/>
          <w:b w:val="0"/>
        </w:rPr>
        <w:t>&lt;/NumAm&gt;</w:t>
      </w:r>
    </w:p>
    <w:p w:rsidR="0084767A" w:rsidRPr="00FC22F0" w:rsidRDefault="0084767A" w:rsidP="0084767A">
      <w:pPr>
        <w:pStyle w:val="NormalBold"/>
      </w:pPr>
      <w:r>
        <w:rPr>
          <w:rStyle w:val="HideTWBExt"/>
          <w:b w:val="0"/>
        </w:rPr>
        <w:t>&lt;RepeatBlock-By&gt;&lt;Members&gt;</w:t>
      </w:r>
      <w:r>
        <w:t>Guillaume Peltier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w:t>
            </w:r>
            <w:r>
              <w:rPr>
                <w:b/>
                <w:i/>
              </w:rPr>
              <w:t xml:space="preserve">ter povišane stopnje zadolženosti </w:t>
            </w:r>
            <w:r>
              <w:t>vsa finančna sredstva in vsi razpoložljivi instrumenti uporabljati za krepitev varnosti ter industrijske in tehnološke suverenosti EU, podpiranje zelenega 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136</w:t>
      </w:r>
      <w:r>
        <w:rPr>
          <w:rStyle w:val="HideTWBExt"/>
          <w:b w:val="0"/>
        </w:rPr>
        <w:t>&lt;/NumAm&gt;</w:t>
      </w:r>
    </w:p>
    <w:p w:rsidR="0084767A" w:rsidRPr="00FC22F0" w:rsidRDefault="0084767A" w:rsidP="0084767A">
      <w:pPr>
        <w:pStyle w:val="NormalBold"/>
      </w:pPr>
      <w:r>
        <w:rPr>
          <w:rStyle w:val="HideTWBExt"/>
          <w:b w:val="0"/>
        </w:rPr>
        <w:t>&lt;RepeatBlock-By&gt;&lt;Members&gt;</w:t>
      </w:r>
      <w:r>
        <w:t>Carla Tavares, Jonás Fernández</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w:t>
            </w:r>
            <w:r>
              <w:rPr>
                <w:b/>
                <w:i/>
              </w:rPr>
              <w:t xml:space="preserve"> vključno s povečanjem odpornosti in zaščite kritične infrastrukture, vključno z elektroenergetskimi, vodooskrbnimi in komunikacijskimi sistemi, da bi zaščitili Evropejce in podjetja v EU ter ublažili posledice izpadov in drugih večjih motenj;</w:t>
            </w:r>
            <w:r>
              <w:t xml:space="preserve"> podpiranje zelenega prehoda, ustvarjanje kakovostnih delovnih mest in spodbujanje navzgor usmerjene socialne konvergence;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137</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1.</w:t>
            </w:r>
            <w:r>
              <w:tab/>
              <w:t>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w:t>
            </w:r>
          </w:p>
        </w:tc>
        <w:tc>
          <w:tcPr>
            <w:tcW w:w="4876" w:type="dxa"/>
            <w:tcBorders>
              <w:top w:val="nil"/>
              <w:left w:val="nil"/>
              <w:bottom w:val="nil"/>
              <w:right w:val="nil"/>
            </w:tcBorders>
          </w:tcPr>
          <w:p w:rsidR="0084767A" w:rsidRPr="00FC22F0" w:rsidRDefault="0084767A" w:rsidP="003E4EAF">
            <w:pPr>
              <w:pStyle w:val="Normal6a"/>
            </w:pPr>
            <w:r>
              <w:t>1.</w:t>
            </w:r>
            <w:r>
              <w:tab/>
              <w:t xml:space="preserve">poziva, naj se začnejo v kontekstu geopolitične nestabilnosti in mednarodnih napetosti vsa finančna sredstva in vsi razpoložljivi instrumenti uporabljati za krepitev varnosti ter industrijske in tehnološke suverenosti EU, podpiranje zelenega prehoda, ustvarjanje kakovostnih delovnih mest in spodbujanje navzgor usmerjene socialne konvergence; </w:t>
            </w:r>
            <w:r>
              <w:rPr>
                <w:b/>
                <w:i/>
              </w:rPr>
              <w:t>v zvezi s tem ugotavlja, da je listinjenje, pri katerem se tveganje porazdeli med najprimernejše vlagatelje za prevzem tveganja, močan vzvod, ki zasebnim vlagateljem omogoča, da v večjem obsegu financirajo strateške prednostne naloge Unije;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138</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1a.</w:t>
            </w:r>
            <w:r>
              <w:tab/>
            </w:r>
            <w:r>
              <w:rPr>
                <w:b/>
                <w:i/>
              </w:rPr>
              <w:t>poudarja, da konkurenčnost ni izziv, ki ga bo mogoče rešiti samo z novim denarjem; poudarja, da se EU ne more izogniti poslabšanju na tem področju zgolj s povečanjem izdatkov; poziva Komisijo in vse države članice, naj ukrepajo in izvedejo pravne in upravne reforme, ki bodo povečale konkurenčnost, spodbujale inovacije in dinamiko, racionalizirale birokracijo, zmanjšale stroške in regulativna bremena za inovatorje, poenostavile zahteve glede poročanja, ustvarile naložbam prijazno okolje v Evropi, povečale priložnosti za trgovanje s tretjimi državami, odpravile čezmerno prenašanje zakonodaje in izboljšale upravno sodelovanje med državami članicami; zavrača vsakršen premik k večjemu protekcionizmu EU; pozdravlja dejstvo, da je Evropska komisija dala prednost zmanjšanju bremena zakonsko predpisanih zahtev glede poročanja za podjetja, in sicer za 25 % in 35 % za mala in srednja podjetja; poziva, naj se ta prednostna naloga izvaja v vseh sektorjih;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139</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1a.</w:t>
            </w:r>
            <w:r>
              <w:tab/>
            </w:r>
            <w:r>
              <w:rPr>
                <w:b/>
                <w:i/>
              </w:rPr>
              <w:t>poudarja, da je zelo pomembno okrepiti zaupanje v bančni sistem, zagotoviti finančno stabilnost in spodbujati učinkovit enotni trg, kar so temeljni cilji EU; opozarja, da je dokončanje bančne unije nujen pogoj za dosego teh ciljev, saj ne bo le izboljšalo zaščite varčevalcev, temveč bo ustvarilo tudi varnejše in predvidljivejše naložbeno okolje, kar je bistveno za spodbujanje gospodarske rasti; se strinja, da bo usklajen sistem bančne unije pomagal zmanjšati razdrobljenost trga, izboljšal razporeditev kapitala in okrepil svetovno konkurenčnost Unije; priznava, da mora biti dokončanje bančne unije strateška prednostna naloga pri poglobitvi ekonomske in monetarne unije;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140</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1a.</w:t>
            </w:r>
            <w:r>
              <w:tab/>
            </w:r>
            <w:r>
              <w:rPr>
                <w:b/>
                <w:i/>
              </w:rPr>
              <w:t>poziva k reviziji agende za zeleni prehod glede na upravno breme, ki bremeni evropska podjetja, zlasti mala in srednja ter zagonska podjetja; v zvezi s tem obžaluje, da Komisija v okviru predloga omnibus kljub negativnim gospodarskim učinkom ni razveljavila direktiv o poročanju podjetij o trajnostnosti in  o skrbnem pregledu v podjetjih glede trajnostnosti; poziva sozakonodajalca, naj med pogajanji o „vsebinskem predlogu“ svežnja omnibus znatno zmanjšata birokracijo;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141</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1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1b.</w:t>
            </w:r>
            <w:r>
              <w:tab/>
            </w:r>
            <w:r>
              <w:rPr>
                <w:b/>
                <w:i/>
              </w:rPr>
              <w:t>poziva Komisijo, naj predstavi nadaljnje predloge za zmanjšanje upravnega bremena, da bi povečala razpoložljiva finančna sredstva podjetij EU; ponovno poudarja, kako pomembno je ustvariti resnično podjetjem in naložbam prijazno okolje;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142</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 EU; </w:t>
            </w:r>
            <w:r>
              <w:rPr>
                <w:b/>
                <w:i/>
              </w:rPr>
              <w:t>opozarja, da bi bilo povečanje produktivnosti mogoče doseči predvsem z naložbami v inovativne dejavnosti; priznava, da je izgradnja trajnostnega gospodarstva pomembna konkurenčna prednost gospodarstva EU in temelj gospodarske suverenosti EU; je trdno prepričan, da je razvoj trdnega in verodostojnega okvira za trajnostno financiranje ključnega pomena za usmerjanje naložb v skladu z dolgoročnimi cilji EU in za privabljanje mednarodnih vlagateljev;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143</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Draghija in Lette – ponovno razpravlja o tem, da bi bilo treba </w:t>
            </w:r>
            <w:r>
              <w:rPr>
                <w:b/>
                <w:i/>
              </w:rPr>
              <w:t>oživiti produktivnost</w:t>
            </w:r>
            <w:r>
              <w:t xml:space="preserve"> EU;</w:t>
            </w:r>
          </w:p>
        </w:tc>
        <w:tc>
          <w:tcPr>
            <w:tcW w:w="4876" w:type="dxa"/>
            <w:tcBorders>
              <w:top w:val="nil"/>
              <w:left w:val="nil"/>
              <w:bottom w:val="nil"/>
              <w:right w:val="nil"/>
            </w:tcBorders>
          </w:tcPr>
          <w:p w:rsidR="0084767A" w:rsidRPr="00FC22F0" w:rsidRDefault="0084767A" w:rsidP="003E4EAF">
            <w:pPr>
              <w:pStyle w:val="Normal6a"/>
            </w:pPr>
            <w:r>
              <w:t>2.</w:t>
            </w:r>
            <w:r>
              <w:tab/>
            </w:r>
            <w:r>
              <w:rPr>
                <w:b/>
                <w:i/>
              </w:rPr>
              <w:t>poudarja, da se v EU preveč kapitala ne uporabi produktivno; poudarja, da podjetja, zlasti mala in srednja, ne morejo v celoti izkoristiti obstoječih kapitalskih trgov v Evropi za financiranje in naložbe;</w:t>
            </w:r>
            <w:r>
              <w:t xml:space="preserve"> pozdravlja, da se – zahvaljujoč poročiloma </w:t>
            </w:r>
            <w:r>
              <w:rPr>
                <w:b/>
                <w:i/>
              </w:rPr>
              <w:t xml:space="preserve">Maria </w:t>
            </w:r>
            <w:r>
              <w:t>Draghija in</w:t>
            </w:r>
            <w:r>
              <w:rPr>
                <w:b/>
                <w:i/>
              </w:rPr>
              <w:t xml:space="preserve"> Enrica</w:t>
            </w:r>
            <w:r>
              <w:t xml:space="preserve"> Lette – ponovno razpravlja o tem, da bi bilo treba </w:t>
            </w:r>
            <w:r>
              <w:rPr>
                <w:b/>
                <w:i/>
              </w:rPr>
              <w:t>izboljšati konkurenčnost</w:t>
            </w:r>
            <w:r>
              <w:t xml:space="preserve">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144</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 xml:space="preserve">pozdravlja, da se </w:t>
            </w:r>
            <w:r>
              <w:rPr>
                <w:b/>
                <w:i/>
              </w:rPr>
              <w:t xml:space="preserve">– zahvaljujoč poročiloma Draghija in Lette – </w:t>
            </w:r>
            <w:r>
              <w:t xml:space="preserve">ponovno razpravlja o tem, da bi bilo treba </w:t>
            </w:r>
            <w:r>
              <w:rPr>
                <w:b/>
                <w:i/>
              </w:rPr>
              <w:t>oživiti produktivnost</w:t>
            </w:r>
            <w:r>
              <w:t xml:space="preserve">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ponovno razpravlja o tem, da bi bilo treba </w:t>
            </w:r>
            <w:r>
              <w:rPr>
                <w:b/>
                <w:i/>
              </w:rPr>
              <w:t>nujno obnoviti in okrepiti konkurenčnost in gospodarsko rast</w:t>
            </w:r>
            <w:r>
              <w:t xml:space="preserve"> EU</w:t>
            </w:r>
            <w:r>
              <w:rPr>
                <w:b/>
                <w:i/>
              </w:rPr>
              <w:t>, k čemur spodbujata poročili Maria Draghija in Enrica Lette, ki zagotavljata ključno spodbudo za strateške naložbe in strukturne reforme po vsej Evropski uniji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145</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 EU</w:t>
            </w:r>
            <w:r>
              <w:rPr>
                <w:b/>
                <w:i/>
              </w:rPr>
              <w:t xml:space="preserve"> na družbeno in ekološko trajnosten način</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146</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Draghija in Lette – ponovno razpravlja o tem, da bi bilo treba oživiti </w:t>
            </w:r>
            <w:r>
              <w:rPr>
                <w:b/>
                <w:i/>
              </w:rPr>
              <w:t>produktivnost</w:t>
            </w:r>
            <w:r>
              <w:t xml:space="preserve">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w:t>
            </w:r>
            <w:r>
              <w:rPr>
                <w:b/>
                <w:i/>
              </w:rPr>
              <w:t>rast produktivnosti in s tem gospodarsko rast v</w:t>
            </w:r>
            <w:r>
              <w:t xml:space="preserve">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147</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w:t>
            </w:r>
            <w:r>
              <w:rPr>
                <w:b/>
                <w:i/>
              </w:rPr>
              <w:t xml:space="preserve"> konkurenčnost in</w:t>
            </w:r>
            <w:r>
              <w:t xml:space="preserve"> produktivnost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148</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Draghija in Lette – ponovno razpravlja o tem, da bi bilo treba oživiti produktivnost </w:t>
            </w:r>
            <w:r>
              <w:rPr>
                <w:b/>
                <w:i/>
              </w:rPr>
              <w:t xml:space="preserve">in konkurenčnost </w:t>
            </w:r>
            <w:r>
              <w:t>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149</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w:t>
            </w:r>
            <w:r>
              <w:rPr>
                <w:b/>
                <w:i/>
              </w:rPr>
              <w:t xml:space="preserve"> in konkurenčnost</w:t>
            </w:r>
            <w:r>
              <w:t xml:space="preserve">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150</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 EU; </w:t>
            </w:r>
            <w:r>
              <w:rPr>
                <w:b/>
                <w:i/>
              </w:rPr>
              <w:t>se strinja, da Evropa zaostaja za svojimi konkurenti zaradi prekomerne regulacije in močnega državnega posredovanja, kar izkrivlja trge in ovira širjenje novih podjetij in rast obstoječih;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151</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 EU; </w:t>
            </w:r>
            <w:r>
              <w:rPr>
                <w:b/>
                <w:i/>
              </w:rPr>
              <w:t>poudarja, da Evropa zaostaja in da bi naša regija lahko postala nepomembna, če ne bodo sprejeti nadaljnji ukrepi;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152</w:t>
      </w:r>
      <w:r>
        <w:rPr>
          <w:rStyle w:val="HideTWBExt"/>
          <w:b w:val="0"/>
        </w:rPr>
        <w:t>&lt;/NumAm&gt;</w:t>
      </w:r>
    </w:p>
    <w:p w:rsidR="0084767A" w:rsidRPr="00FC22F0" w:rsidRDefault="0084767A" w:rsidP="0084767A">
      <w:pPr>
        <w:pStyle w:val="NormalBold"/>
      </w:pPr>
      <w:r>
        <w:rPr>
          <w:rStyle w:val="HideTWBExt"/>
          <w:b w:val="0"/>
        </w:rPr>
        <w:t>&lt;RepeatBlock-By&gt;&lt;Members&gt;</w:t>
      </w:r>
      <w:r>
        <w:t>Auke Zijlstra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 EU; </w:t>
            </w:r>
            <w:r>
              <w:rPr>
                <w:b/>
                <w:i/>
              </w:rPr>
              <w:t>poudarja, da oživitev produktivnosti pomeni, da je bilo evropsko produktivno gospodarstvo konkurenčno že prej, torej pred uvedbo enotnega trga in enotne valute;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153</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2.</w:t>
            </w:r>
            <w:r>
              <w:tab/>
              <w:t>pozdravlja, da se – zahvaljujoč poročiloma Draghija in Lette – ponovno razpravlja o tem, da bi bilo treba oživiti produktivnost EU;</w:t>
            </w:r>
          </w:p>
        </w:tc>
        <w:tc>
          <w:tcPr>
            <w:tcW w:w="4876" w:type="dxa"/>
            <w:tcBorders>
              <w:top w:val="nil"/>
              <w:left w:val="nil"/>
              <w:bottom w:val="nil"/>
              <w:right w:val="nil"/>
            </w:tcBorders>
          </w:tcPr>
          <w:p w:rsidR="0084767A" w:rsidRPr="00FC22F0" w:rsidRDefault="0084767A" w:rsidP="003E4EAF">
            <w:pPr>
              <w:pStyle w:val="Normal6a"/>
            </w:pPr>
            <w:r>
              <w:t>2.</w:t>
            </w:r>
            <w:r>
              <w:tab/>
              <w:t xml:space="preserve">pozdravlja, da se – zahvaljujoč poročiloma </w:t>
            </w:r>
            <w:r>
              <w:rPr>
                <w:b/>
                <w:i/>
              </w:rPr>
              <w:t xml:space="preserve">Maria </w:t>
            </w:r>
            <w:r>
              <w:t>Draghija in</w:t>
            </w:r>
            <w:r>
              <w:rPr>
                <w:b/>
                <w:i/>
              </w:rPr>
              <w:t xml:space="preserve"> Enrica</w:t>
            </w:r>
            <w:r>
              <w:t xml:space="preserve"> Lette – ponovno razpravlja o tem, da bi bilo treba oživiti produktivnost EU; </w:t>
            </w:r>
            <w:r>
              <w:rPr>
                <w:b/>
                <w:i/>
              </w:rPr>
              <w:t>poudarja, da konkurenca spodbuja produktivnost, naložbe in inovacije;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154</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2a.</w:t>
            </w:r>
            <w:r>
              <w:tab/>
            </w:r>
            <w:r>
              <w:rPr>
                <w:b/>
                <w:i/>
              </w:rPr>
              <w:t>poudarja, da sta poenostavitev in zmanjšanje birokratskih bremen ključna za izboljšanje konkurenčnosti Unije; pozdravlja zavezanost Evropske komisije temu cilju in prvim predlogom v zvezi s tem, kot je zbirni sveženj o trajnostnosti;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155</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2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2b.</w:t>
            </w:r>
            <w:r>
              <w:tab/>
            </w:r>
            <w:r>
              <w:rPr>
                <w:b/>
                <w:i/>
              </w:rPr>
              <w:t>poudarja, da so zlasti ukrepi na ravneh 2 in 3 zaradi svojega števila in kompleksnosti postali glavni vir upravnega bremena v zakonodaji Unije o finančnih storitvah; poziva Komisijo in evropske nadzorne organe, naj ocenijo, kako zmanjšati število in zapletenost prihodnjih delegiranih aktov, izvedbenih aktov, vprašanj in odgovorov ter smernic; poudarja, da bi se morali evropski nadzorni organi dosledno držati mandata, ki jim ga je zaupal evropski zakonodajalec;</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156</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w:t>
            </w:r>
            <w:r>
              <w:rPr>
                <w:b/>
                <w:i/>
              </w:rPr>
              <w:t>izhodišče</w:t>
            </w:r>
            <w:r>
              <w:t xml:space="preserv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w:t>
            </w:r>
            <w:r>
              <w:rPr>
                <w:b/>
                <w:i/>
              </w:rPr>
              <w:t>prelomnica</w:t>
            </w:r>
            <w:r>
              <w:t xml:space="preserve"> za ukrepanje, da bi spodbudili tako zasebne kot javne naložbe; </w:t>
            </w:r>
            <w:r>
              <w:rPr>
                <w:b/>
                <w:i/>
              </w:rPr>
              <w:t>opozarja, da prizadevanja Evropske unije za dokončanje unije kapitalskih trgov od leta 2015 niso prinesla dokončnega rezultata; spodbuja vse strani, naj si prizadevajo za karseda hitro vzpostavitev Unije prihrankov in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157</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w:t>
            </w:r>
            <w:r>
              <w:rPr>
                <w:b/>
                <w:i/>
              </w:rPr>
              <w:t>opozorilo</w:t>
            </w:r>
            <w:r>
              <w:t xml:space="preserve">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w:t>
            </w:r>
            <w:r>
              <w:rPr>
                <w:b/>
                <w:i/>
              </w:rPr>
              <w:t>eno od številnih opozoril</w:t>
            </w:r>
            <w:r>
              <w:t xml:space="preserve"> evropskim in nacionalnim nosilcem odločanja, hkrati pa tudi izhodišče za ukrepanje, da bi spodbudili tako zasebne kot javne naložbe</w:t>
            </w:r>
            <w:r>
              <w:rPr>
                <w:b/>
                <w:i/>
              </w:rPr>
              <w:t>, zlasti v sektorjih digitalnih in zelenih tehnologij, avtomobilskem sektorju v prehodu in težki industriji, kot sta jeklarska in kemična industrija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158</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izhodišče za ukrepanje, da bi spodbudili tako zasebne kot javne </w:t>
            </w:r>
            <w:r>
              <w:rPr>
                <w:b/>
                <w:i/>
              </w:rPr>
              <w:t xml:space="preserve">trajnostne </w:t>
            </w:r>
            <w:r>
              <w:t>naložbe;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159</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w:t>
            </w:r>
            <w:r>
              <w:rPr>
                <w:b/>
                <w:i/>
              </w:rPr>
              <w:t xml:space="preserve">zadnje </w:t>
            </w:r>
            <w:r>
              <w:t>opozorilo evropskim in nacionalnim nosilcem odločanja, hkrati pa tudi izhodišče za ukrepanje, da bi spodbudili tako zasebne kot javne naložbe;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160</w:t>
      </w:r>
      <w:r>
        <w:rPr>
          <w:rStyle w:val="HideTWBExt"/>
          <w:b w:val="0"/>
        </w:rPr>
        <w:t>&lt;/NumAm&gt;</w:t>
      </w:r>
    </w:p>
    <w:p w:rsidR="0084767A" w:rsidRPr="00FC22F0" w:rsidRDefault="0084767A" w:rsidP="0084767A">
      <w:pPr>
        <w:pStyle w:val="NormalBold"/>
      </w:pPr>
      <w:r>
        <w:rPr>
          <w:rStyle w:val="HideTWBExt"/>
          <w:b w:val="0"/>
        </w:rPr>
        <w:t>&lt;RepeatBlock-By&gt;&lt;Members&gt;</w:t>
      </w:r>
      <w:r>
        <w:t>Auke Zijlstra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izhodišče za ukrepanje, da bi spodbudili </w:t>
            </w:r>
            <w:r>
              <w:rPr>
                <w:b/>
                <w:i/>
              </w:rPr>
              <w:t xml:space="preserve">tako zasebne kot javne </w:t>
            </w:r>
            <w:r>
              <w:t>naložbe;</w:t>
            </w:r>
          </w:p>
        </w:tc>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naložbe;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161</w:t>
      </w:r>
      <w:r>
        <w:rPr>
          <w:rStyle w:val="HideTWBExt"/>
          <w:b w:val="0"/>
        </w:rPr>
        <w:t>&lt;/NumAm&gt;</w:t>
      </w:r>
    </w:p>
    <w:p w:rsidR="0084767A" w:rsidRPr="00FC22F0" w:rsidRDefault="0084767A" w:rsidP="0084767A">
      <w:pPr>
        <w:pStyle w:val="NormalBold"/>
      </w:pPr>
      <w:r>
        <w:rPr>
          <w:rStyle w:val="HideTWBExt"/>
          <w:b w:val="0"/>
        </w:rPr>
        <w:t>&lt;RepeatBlock-By&gt;&lt;Members&gt;</w:t>
      </w:r>
      <w:r>
        <w:t>Eero Heinäluoma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ugotavlja, da institucije za poklicno pokojninsko zavarovanje po vsej Evropi vlagajo skoraj 40 % svojih sredstev v investicijske sklade, od tega je le 33 % v sklade, ki se osredotočajo predvsem na naložbe v delnice;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obžaluje, da je le približno 30 % naložb teh investicijskih skladov v EU, predvsem na Nizozemskem, v Nemčiji, Luksemburgu in Franciji, medtem ko naložbe v ZDA predstavljajo 46 % vseh naložb;</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je zaskrbljen, ker Kajmanski otoki privabljajo tretji največji delež neevropskih posrednih naložb institucij za poklicno pokojninsko zavarovanje;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(EIOPA Iorps in focus report – Poročilo EIOPA o institucijah za poklicno pokojninsko zavarovanje, 2024, 11/2/2025)</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poziva Komisijo, naj predlaga zakonodajne ukrepe za spodbujanje večje izpostavljenosti institucij za poklicno pokojninsko zavarovanje kapitalskim naložbam v EU;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162</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izhodišče za ukrepanje, da bi spodbudili tako zasebne kot javne naložbe; </w:t>
            </w:r>
            <w:r>
              <w:rPr>
                <w:b/>
                <w:i/>
              </w:rPr>
              <w:t>je seznanjen z dosedanjimi prizadevanji za vzpostavitev unije kapitalskih trgov; opozarja, da je treba ta prizadevanja zdaj pospešiti;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0"/>
        <w:keepNext/>
      </w:pPr>
      <w:r>
        <w:rPr>
          <w:rStyle w:val="HideTWBExt"/>
          <w:b w:val="0"/>
          <w:lang w:eastAsia="en-US"/>
        </w:rPr>
        <w:t>&lt;Amend&gt;</w:t>
      </w:r>
      <w:r>
        <w:t>Predlog spremembe</w:t>
      </w:r>
      <w:r>
        <w:tab/>
      </w:r>
      <w:r>
        <w:tab/>
      </w:r>
      <w:r>
        <w:rPr>
          <w:rStyle w:val="HideTWBExt"/>
          <w:b w:val="0"/>
          <w:lang w:eastAsia="en-US"/>
        </w:rPr>
        <w:t>&lt;NumAm&gt;</w:t>
      </w:r>
      <w:r>
        <w:t>163</w:t>
      </w:r>
      <w:r>
        <w:rPr>
          <w:rStyle w:val="HideTWBExt"/>
          <w:b w:val="0"/>
          <w:lang w:eastAsia="en-US"/>
        </w:rPr>
        <w:t>&lt;/NumAm&gt;</w:t>
      </w:r>
    </w:p>
    <w:p w:rsidR="0084767A" w:rsidRPr="00FC22F0" w:rsidRDefault="0084767A" w:rsidP="0084767A">
      <w:pPr>
        <w:pStyle w:val="NormalBold"/>
      </w:pPr>
      <w:r>
        <w:rPr>
          <w:rStyle w:val="HideTWBExt"/>
          <w:b w:val="0"/>
        </w:rPr>
        <w:t>&lt;RepeatBlock-By&gt;&lt;Members&gt;</w:t>
      </w:r>
      <w:r>
        <w:t>Danuše Nerudová</w:t>
      </w:r>
      <w:r>
        <w:rPr>
          <w:rStyle w:val="HideTWBExt"/>
          <w:b w:val="0"/>
        </w:rPr>
        <w:t>&lt;/Members&gt;</w:t>
      </w:r>
    </w:p>
    <w:p w:rsidR="0084767A" w:rsidRPr="00FC22F0" w:rsidRDefault="0084767A" w:rsidP="0084767A">
      <w:r>
        <w:rPr>
          <w:rStyle w:val="HideTWBExt"/>
        </w:rPr>
        <w:t>&lt;/RepeatBlock-By&gt;</w:t>
      </w:r>
    </w:p>
    <w:p w:rsidR="0084767A" w:rsidRPr="00FC22F0" w:rsidRDefault="0084767A" w:rsidP="0084767A">
      <w:pPr>
        <w:pStyle w:val="NormalBold"/>
        <w:keepNext/>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767A" w:rsidTr="003E4EAF">
        <w:trPr>
          <w:jc w:val="center"/>
        </w:trPr>
        <w:tc>
          <w:tcPr>
            <w:tcW w:w="9752" w:type="dxa"/>
            <w:gridSpan w:val="2"/>
          </w:tcPr>
          <w:p w:rsidR="0084767A" w:rsidRPr="00FC22F0" w:rsidRDefault="0084767A" w:rsidP="003E4EAF">
            <w:pPr>
              <w:keepNext/>
            </w:pPr>
          </w:p>
        </w:tc>
      </w:tr>
      <w:tr w:rsidR="0084767A" w:rsidTr="003E4EAF">
        <w:trPr>
          <w:jc w:val="center"/>
        </w:trPr>
        <w:tc>
          <w:tcPr>
            <w:tcW w:w="4876" w:type="dxa"/>
          </w:tcPr>
          <w:p w:rsidR="0084767A" w:rsidRPr="00FC22F0" w:rsidRDefault="0084767A" w:rsidP="003E4EAF">
            <w:pPr>
              <w:pStyle w:val="ColumnHeading"/>
              <w:keepNext/>
            </w:pPr>
            <w:r>
              <w:t>Predlog resolucije</w:t>
            </w:r>
          </w:p>
        </w:tc>
        <w:tc>
          <w:tcPr>
            <w:tcW w:w="4876" w:type="dxa"/>
          </w:tcPr>
          <w:p w:rsidR="0084767A" w:rsidRPr="00FC22F0" w:rsidRDefault="0084767A" w:rsidP="003E4EAF">
            <w:pPr>
              <w:pStyle w:val="ColumnHeading"/>
              <w:keepNext/>
            </w:pPr>
            <w:r>
              <w:t>Predlog spremembe</w:t>
            </w:r>
          </w:p>
        </w:tc>
      </w:tr>
      <w:tr w:rsidR="0084767A" w:rsidTr="003E4EAF">
        <w:trPr>
          <w:jc w:val="center"/>
        </w:trPr>
        <w:tc>
          <w:tcPr>
            <w:tcW w:w="4876" w:type="dxa"/>
          </w:tcPr>
          <w:p w:rsidR="0084767A" w:rsidRPr="00FC22F0" w:rsidRDefault="0084767A" w:rsidP="003E4EAF">
            <w:pPr>
              <w:pStyle w:val="Normal6"/>
            </w:pPr>
            <w:r>
              <w:t>3.</w:t>
            </w:r>
            <w:r>
              <w:tab/>
              <w:t>priznava, da sta ti poročili opozorilo evropskim in nacionalnim nosilcem odločanja, hkrati pa tudi izhodišče za ukrepanje, da bi spodbudili tako zasebne kot javne naložbe;</w:t>
            </w:r>
          </w:p>
        </w:tc>
        <w:tc>
          <w:tcPr>
            <w:tcW w:w="4876" w:type="dxa"/>
          </w:tcPr>
          <w:p w:rsidR="0084767A" w:rsidRPr="00FC22F0" w:rsidRDefault="0084767A" w:rsidP="003E4EAF">
            <w:pPr>
              <w:pStyle w:val="Normal6"/>
              <w:rPr>
                <w:szCs w:val="24"/>
              </w:rPr>
            </w:pPr>
            <w:r>
              <w:t>3.</w:t>
            </w:r>
            <w:r>
              <w:tab/>
              <w:t>priznava, da sta ti poročili opozorilo evropskim in nacionalnim nosilcem odločanja, hkrati pa tudi izhodišče za ukrepanje, da bi spodbudili tako zasebne kot javne naložbe</w:t>
            </w:r>
            <w:r>
              <w:rPr>
                <w:b/>
                <w:i/>
              </w:rPr>
              <w:t xml:space="preserve"> in povečali podporo EU za javno-zasebna partnerstva;</w:t>
            </w:r>
            <w:r>
              <w:t xml:space="preserve"> </w:t>
            </w:r>
            <w:r>
              <w:rPr>
                <w:b/>
                <w:i/>
              </w:rPr>
              <w:t>poudarja, da imajo javne naložbe ključno vlogo pri spodbujanju zasebnih naložb; meni, da finančni instrumenti in proračunska jamstva pomenijo učinkovito rabo virov za doseganje ključnih političnih ciljev EU; ponovno poudarja, da dobro zasnovana proračunska jamstva in finančni instrumenti, ki temeljijo na potrebah trga, pomenijo izredno učinkovito uporabo sicer omejenih proračunskih sredstev EU za zmanjševanje tveganja naložb in privabljanje zasebnega kapitala;</w:t>
            </w:r>
          </w:p>
        </w:tc>
      </w:tr>
    </w:tbl>
    <w:p w:rsidR="0084767A" w:rsidRPr="00FC22F0" w:rsidRDefault="0084767A" w:rsidP="0084767A">
      <w:pPr>
        <w:pStyle w:val="Olang"/>
        <w:rPr>
          <w:sz w:val="24"/>
          <w:szCs w:val="24"/>
        </w:rPr>
      </w:pPr>
      <w:r w:rsidRPr="00FC22F0">
        <w:rPr>
          <w:sz w:val="24"/>
          <w:szCs w:val="24"/>
        </w:rPr>
        <w:t xml:space="preserve">Or. </w:t>
      </w:r>
      <w:r w:rsidRPr="00FC22F0">
        <w:rPr>
          <w:rStyle w:val="HideTWBExt"/>
        </w:rPr>
        <w:t>&lt;Original&gt;</w:t>
      </w:r>
      <w:r w:rsidRPr="00FC22F0">
        <w:rPr>
          <w:rStyle w:val="HideTWBInt"/>
        </w:rPr>
        <w:t>{EN}</w:t>
      </w:r>
      <w:r w:rsidRPr="00FC22F0">
        <w:rPr>
          <w:sz w:val="24"/>
          <w:szCs w:val="24"/>
        </w:rPr>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164</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izhodišče za ukrepanje, da bi spodbudili tako zasebne kot javne naložbe; </w:t>
            </w:r>
            <w:r>
              <w:rPr>
                <w:b/>
                <w:i/>
              </w:rPr>
              <w:t>pozdravlja dejstvo, da Komisija priznava potrebo po mobilizaciji javnih financ za podporo inovacijam 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165</w:t>
      </w:r>
      <w:r>
        <w:rPr>
          <w:rStyle w:val="HideTWBExt"/>
          <w:b w:val="0"/>
        </w:rPr>
        <w:t>&lt;/NumAm&gt;</w:t>
      </w:r>
    </w:p>
    <w:p w:rsidR="0084767A" w:rsidRPr="00FC22F0" w:rsidRDefault="0084767A" w:rsidP="0084767A">
      <w:pPr>
        <w:pStyle w:val="NormalBold"/>
      </w:pPr>
      <w:r>
        <w:rPr>
          <w:rStyle w:val="HideTWBExt"/>
          <w:b w:val="0"/>
        </w:rPr>
        <w:t>&lt;RepeatBlock-By&gt;&lt;Members&gt;</w:t>
      </w:r>
      <w:r>
        <w:t>Engin Eroglu</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r>
              <w:rPr>
                <w:b/>
                <w:i/>
              </w:rPr>
              <w:t>,</w:t>
            </w:r>
            <w:r>
              <w:t xml:space="preserve"> </w:t>
            </w:r>
            <w:r>
              <w:rPr>
                <w:b/>
                <w:i/>
              </w:rPr>
              <w:t>ter opozorilo za resnično zmanjšanje birokracije v sektorju in resne državne reforme za zdrave proračune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{DE}</w:t>
      </w:r>
      <w:r w:rsidRPr="00FC22F0">
        <w:t>de</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166</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3.</w:t>
            </w:r>
            <w:r>
              <w:tab/>
              <w:t>priznava, da sta ti poročili opozorilo evropskim in nacionalnim nosilcem odločanja, hkrati pa tudi izhodišče za ukrepanje, da bi spodbudili tako zasebne kot javne naložbe;</w:t>
            </w:r>
          </w:p>
        </w:tc>
        <w:tc>
          <w:tcPr>
            <w:tcW w:w="4876" w:type="dxa"/>
            <w:tcBorders>
              <w:top w:val="nil"/>
              <w:left w:val="nil"/>
              <w:bottom w:val="nil"/>
              <w:right w:val="nil"/>
            </w:tcBorders>
          </w:tcPr>
          <w:p w:rsidR="0084767A" w:rsidRPr="00FC22F0" w:rsidRDefault="0084767A" w:rsidP="003E4EAF">
            <w:pPr>
              <w:pStyle w:val="Normal6a"/>
            </w:pPr>
            <w:r>
              <w:t>3.</w:t>
            </w:r>
            <w:r>
              <w:tab/>
              <w:t xml:space="preserve">priznava, da sta ti poročili opozorilo evropskim in nacionalnim nosilcem odločanja, hkrati pa tudi izhodišče za ukrepanje, da bi spodbudili tako zasebne kot javne naložbe; </w:t>
            </w:r>
            <w:r>
              <w:rPr>
                <w:b/>
                <w:i/>
              </w:rPr>
              <w:t>poziva države članice, naj upoštevajo opozorilo iz poročil Maria Draghija in Enrica Lette;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167</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3a.</w:t>
            </w:r>
            <w:r>
              <w:tab/>
            </w:r>
            <w:r>
              <w:rPr>
                <w:b/>
                <w:i/>
              </w:rPr>
              <w:t>opozarja, da cilj 3 % BDP za raziskave in inovacije še zdaleč ni dosežen; poziva Komisijo in države članice, naj zagotovijo zadostna finančna sredstva in orodja za dosego tega cilja ter financirajo vse visokokakovostne projekte v celotnem inovacijskem ciklu, od temeljnih raziskav do predstavitve in uvedbe na trg; vztraja, da so potrebni kontinuiteta in dolgoročne naložbe ter namenski proračun za raziskave in inovacije, da bi utrdili vodilno vlogo Evrope v svetu;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168</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René Repasi, Evelyn Regner, Niels Fuglsang, Claire Fita,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3a.</w:t>
            </w:r>
            <w:r>
              <w:tab/>
            </w:r>
            <w:r>
              <w:rPr>
                <w:b/>
                <w:i/>
              </w:rPr>
              <w:t>z zaskrbljenostjo ugotavlja tveganja, ki bi jih lahko negativni pretresi predstavljali za gospodarsko rast</w:t>
            </w:r>
            <w:r>
              <w:rPr>
                <w:b/>
                <w:i/>
                <w:vertAlign w:val="superscript"/>
              </w:rPr>
              <w:t>1a</w:t>
            </w:r>
            <w:r>
              <w:rPr>
                <w:b/>
                <w:i/>
              </w:rPr>
              <w:t>, in nenehne pretrese na finančnih trgih, ki bi lahko ogrozili blaginjo evropskih državljanov, delavcev in podjetij, ko so socialne neenakosti, stopnjevanje trgovinskih napetosti, podnebne spremembe, vse večja okoljska tveganja in razdrobljen notranji trg;</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MDS, Svetovni gospodarski obeti, april 2025</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169</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3a.</w:t>
            </w:r>
            <w:r>
              <w:tab/>
            </w:r>
            <w:r>
              <w:rPr>
                <w:b/>
                <w:i/>
              </w:rPr>
              <w:t>poudarja, da je Evropska komisija septembra 2015 sprejela svoj prvi akcijski načrt o oblikovanju unije kapitalskih trgov; obžaluje, da je bil napredek pri povezovanju kapitalskih trgov EU od takrat omejen;</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170</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3b.</w:t>
            </w:r>
            <w:r>
              <w:tab/>
            </w:r>
            <w:r>
              <w:rPr>
                <w:b/>
                <w:i/>
              </w:rPr>
              <w:t>vendar poudarja, da je EU zaradi svojega trdnega regulativnega okvira dokazala svojo odpornost in se pozicionirala kot območje stabilnosti; meni, da bi ta stabilnost lahko postala resnična primerjalna in konkurenčna prednost; poudarja neločljivo povezavo med pravno državo in trajnostno gospodarsko rastjo; priporoča, naj Svet pospeši sprejetje preostale zakonodaje za zagotovitev okvira finančne stabilnosti in dokončanje bančne unije;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171</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3b.</w:t>
            </w:r>
            <w:r>
              <w:tab/>
            </w:r>
            <w:r>
              <w:rPr>
                <w:b/>
                <w:i/>
              </w:rPr>
              <w:t>pozdravlja sprejetje sporočila Komisije z naslovom Unija prihrankov in naložb – Strategija za povečanje blaginje prebivalstva in spodbujanje gospodarske konkurenčnosti v EU, v katerem so opisane različne politične pobude, njegov cilj pa je povezati finančne trge EU in učinkovito usmerjati prihranke v naložbe;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3c.</w:t>
            </w:r>
            <w:r>
              <w:tab/>
            </w:r>
            <w:r>
              <w:rPr>
                <w:b/>
                <w:i/>
              </w:rPr>
              <w:t>poudarja, da je pomanjkanje napredka pri povezovanju finančnih trgov EU pogosto posledica pridržkov držav članic EU; poziva države članice, naj izkoristijo sedanji zagon in sodelujejo s Parlamentom, da bi resnično pospešile povezovanje finančnih trgov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3c.</w:t>
            </w:r>
            <w:r>
              <w:tab/>
            </w:r>
            <w:r>
              <w:rPr>
                <w:b/>
                <w:i/>
              </w:rPr>
              <w:t>poziva Komisijo, naj pripravi predloge, katerih cilj bo mobilizacija dodatnega kapitala in dodeljevanje finančnih sredstev za doseganje ciljev iz člena 3 Pogodbe o Evropski uniji;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174</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3d.</w:t>
            </w:r>
            <w:r>
              <w:tab/>
            </w:r>
            <w:r>
              <w:rPr>
                <w:b/>
                <w:i/>
              </w:rPr>
              <w:t>vztrajajo, da je treba nujno ukrepati, pospešiti odločanje, zmanjšati zamude pri izvajanju ter pospešiti odločanje o državni pomoči in subvencijah;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175</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3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3e.</w:t>
            </w:r>
            <w:r>
              <w:tab/>
            </w:r>
            <w:r>
              <w:rPr>
                <w:b/>
                <w:i/>
              </w:rPr>
              <w:t>meni, da mora Unija napredovati s svojo unijo kapitalskih trgov, da bi spodbudila naložbe zasebnega sektorja; poudarja, da bo potrebna podpora javnega sektorja, da se zagotovijo minimalne letne dodatne naložbe, potrebne za obnovo trajnostnega in inovativnega industrijskega sektorja ter za utrditev blaginje Unije; poudarja, da bi povečanje produktivnosti ustvarilo tudi večji fiskalni manevrski prostor in da lahko javne naložbe sprožijo proticiklično politiko, ki spodbuja inovacije, trajnostno vključujočo rast in ustvarjanje delovnih mest;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176</w:t>
      </w:r>
      <w:r>
        <w:rPr>
          <w:rStyle w:val="HideTWBExt"/>
          <w:b w:val="0"/>
        </w:rPr>
        <w:t>&lt;/NumAm&gt;</w:t>
      </w:r>
    </w:p>
    <w:p w:rsidR="0084767A" w:rsidRPr="00FC22F0" w:rsidRDefault="0084767A" w:rsidP="0084767A">
      <w:pPr>
        <w:pStyle w:val="NormalBold"/>
      </w:pPr>
      <w:r>
        <w:rPr>
          <w:rStyle w:val="HideTWBExt"/>
          <w:b w:val="0"/>
        </w:rPr>
        <w:t>&lt;RepeatBlock-By&gt;&lt;Members&gt;</w:t>
      </w:r>
      <w:r>
        <w:t>Marco Falcone, Fulvio Martusciello</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nadalje obžaluje</w:t>
            </w:r>
            <w:r>
              <w:t xml:space="preserve">, da </w:t>
            </w:r>
            <w:r>
              <w:rPr>
                <w:b/>
                <w:i/>
              </w:rPr>
              <w:t>se obračajo na ponudnike tveganega kapitala zunaj EU</w:t>
            </w:r>
            <w:r>
              <w:t xml:space="preserve"> in se </w:t>
            </w:r>
            <w:r>
              <w:rPr>
                <w:b/>
                <w:i/>
              </w:rPr>
              <w:t>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poziva Evropsko komisijo in države članice, naj si bolj prizadevajo za odpravo ovir, ki prispevajo k razdrobljenosti enotnega trga in odvračajo evropska podjetja od tega</w:t>
            </w:r>
            <w:r>
              <w:t xml:space="preserve">, da </w:t>
            </w:r>
            <w:r>
              <w:rPr>
                <w:b/>
                <w:i/>
              </w:rPr>
              <w:t>bi ostala v Uniji, še zlasti ovir, povezanih z nesorazmernimi upravnimi bremeni, različnimi davčnimi ureditvami v državah članicah, obremenilnimi okoljskimi dajatvami, predolgo čakalno dobo za pridobitev dovoljenj</w:t>
            </w:r>
            <w:r>
              <w:t xml:space="preserve"> in </w:t>
            </w:r>
            <w:r>
              <w:rPr>
                <w:b/>
                <w:i/>
              </w:rPr>
              <w:t>licenc ter težavami pri dostopu do financiranja;</w:t>
            </w:r>
            <w:r>
              <w:t xml:space="preserve"> </w:t>
            </w:r>
            <w:r>
              <w:rPr>
                <w:b/>
                <w:i/>
              </w:rPr>
              <w:t>poudarja, da se tudi zaradi teh ovir zmanjšuje konkurenčnost evropske industrije, številna podjetja pa so prisiljena v selitev v tretje države, kjer je manj regulativnih omejitev, stroški pa so nižji.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{IT}</w:t>
      </w:r>
      <w:r w:rsidRPr="00FC22F0">
        <w:t>it</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177</w:t>
      </w:r>
      <w:r>
        <w:rPr>
          <w:rStyle w:val="HideTWBExt"/>
          <w:b w:val="0"/>
        </w:rPr>
        <w:t>&lt;/NumAm&gt;</w:t>
      </w:r>
    </w:p>
    <w:p w:rsidR="0084767A" w:rsidRPr="00FC22F0" w:rsidRDefault="0084767A" w:rsidP="0084767A">
      <w:pPr>
        <w:pStyle w:val="NormalBold"/>
      </w:pPr>
      <w:r>
        <w:rPr>
          <w:rStyle w:val="HideTWBExt"/>
          <w:b w:val="0"/>
        </w:rPr>
        <w:t>&lt;RepeatBlock-By&gt;&lt;Members&gt;</w:t>
      </w:r>
      <w:r>
        <w:t>Pierre Pimpie</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nadalje obžaluje</w:t>
            </w:r>
            <w:r>
              <w:t xml:space="preserve">, da </w:t>
            </w:r>
            <w:r>
              <w:rPr>
                <w:b/>
                <w:i/>
              </w:rPr>
              <w:t>se obračajo na ponudnike tveganega</w:t>
            </w:r>
            <w:r>
              <w:t xml:space="preserve"> kapitala</w:t>
            </w:r>
            <w:r>
              <w:rPr>
                <w:b/>
                <w:i/>
              </w:rPr>
              <w:t xml:space="preserve"> zunaj EU in</w:t>
            </w:r>
            <w:r>
              <w:t xml:space="preserve"> se </w:t>
            </w:r>
            <w:r>
              <w:rPr>
                <w:b/>
                <w:i/>
              </w:rPr>
              <w:t>širijo</w:t>
            </w:r>
            <w:r>
              <w:t xml:space="preserve"> na </w:t>
            </w:r>
            <w:r>
              <w:rPr>
                <w:b/>
                <w:i/>
              </w:rPr>
              <w:t>tuje trge</w:t>
            </w:r>
            <w:r>
              <w:t>;</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priznava</w:t>
            </w:r>
            <w:r>
              <w:t xml:space="preserve">, da </w:t>
            </w:r>
            <w:r>
              <w:rPr>
                <w:b/>
                <w:i/>
              </w:rPr>
              <w:t>evropski trg ne omogoča dovolj rasti podjetij in dostopa do</w:t>
            </w:r>
            <w:r>
              <w:t xml:space="preserve"> kapitala</w:t>
            </w:r>
            <w:r>
              <w:rPr>
                <w:b/>
                <w:i/>
              </w:rPr>
              <w:t>; vendar vztraja, da</w:t>
            </w:r>
            <w:r>
              <w:t xml:space="preserve"> se </w:t>
            </w:r>
            <w:r>
              <w:rPr>
                <w:b/>
                <w:i/>
              </w:rPr>
              <w:t>to vprašanje ne bi smelo obravnavati</w:t>
            </w:r>
            <w:r>
              <w:t xml:space="preserve"> na </w:t>
            </w:r>
            <w:r>
              <w:rPr>
                <w:b/>
                <w:i/>
              </w:rPr>
              <w:t>račun premoženjske varnosti vlagateljev</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178</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w:t>
            </w:r>
            <w:r>
              <w:rPr>
                <w:b/>
                <w:i/>
              </w:rPr>
              <w:t>menijo</w:t>
            </w:r>
            <w:r>
              <w:t xml:space="preserve">, da </w:t>
            </w:r>
            <w:r>
              <w:rPr>
                <w:b/>
                <w:i/>
              </w:rPr>
              <w:t>se morajo za</w:t>
            </w:r>
            <w:r>
              <w:t xml:space="preserve"> lažji dostop do financiranja in virov</w:t>
            </w:r>
            <w:r>
              <w:rPr>
                <w:b/>
                <w:i/>
              </w:rPr>
              <w:t xml:space="preserve"> preseliti iz nje</w:t>
            </w:r>
            <w:r>
              <w:t xml:space="preserve">; </w:t>
            </w:r>
            <w:r>
              <w:rPr>
                <w:b/>
                <w:i/>
              </w:rPr>
              <w:t>nadalje obžaluje, da se obračajo na ponudnike tveganega kapitala zunaj EU</w:t>
            </w:r>
            <w:r>
              <w:t xml:space="preserve"> in </w:t>
            </w:r>
            <w:r>
              <w:rPr>
                <w:b/>
                <w:i/>
              </w:rPr>
              <w:t>se širijo na tuje trge</w:t>
            </w:r>
            <w:r>
              <w:t>;</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w:t>
            </w:r>
            <w:r>
              <w:rPr>
                <w:b/>
                <w:i/>
              </w:rPr>
              <w:t xml:space="preserve">se morajo </w:t>
            </w:r>
            <w:r>
              <w:t xml:space="preserve">številni podjetniki s sedežem v EU </w:t>
            </w:r>
            <w:r>
              <w:rPr>
                <w:b/>
                <w:i/>
              </w:rPr>
              <w:t>preseliti iz nje</w:t>
            </w:r>
            <w:r>
              <w:t xml:space="preserve">, da </w:t>
            </w:r>
            <w:r>
              <w:rPr>
                <w:b/>
                <w:i/>
              </w:rPr>
              <w:t>bi širili svoje poslovanje in dobili</w:t>
            </w:r>
            <w:r>
              <w:t xml:space="preserve"> lažji dostop do financiranja in virov; </w:t>
            </w:r>
            <w:r>
              <w:rPr>
                <w:b/>
                <w:i/>
              </w:rPr>
              <w:t>zato poudarja pomen razvoja močnega ekosistema za tvegani kapital</w:t>
            </w:r>
            <w:r>
              <w:t xml:space="preserve"> in </w:t>
            </w:r>
            <w:r>
              <w:rPr>
                <w:b/>
                <w:i/>
              </w:rPr>
              <w:t>naložbe v EU</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179</w:t>
      </w:r>
      <w:r>
        <w:rPr>
          <w:rStyle w:val="HideTWBExt"/>
          <w:b w:val="0"/>
        </w:rPr>
        <w:t>&lt;/NumAm&gt;</w:t>
      </w:r>
    </w:p>
    <w:p w:rsidR="0084767A" w:rsidRPr="00FC22F0" w:rsidRDefault="0084767A" w:rsidP="0084767A">
      <w:pPr>
        <w:pStyle w:val="NormalBold"/>
      </w:pPr>
      <w:r>
        <w:rPr>
          <w:rStyle w:val="HideTWBExt"/>
          <w:b w:val="0"/>
        </w:rPr>
        <w:t>&lt;RepeatBlock-By&gt;&lt;Members&gt;</w:t>
      </w:r>
      <w:r>
        <w:t>Auke Zijlstra,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r>
            <w:r>
              <w:rPr>
                <w:b/>
                <w:i/>
              </w:rPr>
              <w:t>obžaluje</w:t>
            </w:r>
            <w:r>
              <w:t xml:space="preserve">, da številni podjetniki s sedežem v EU </w:t>
            </w:r>
            <w:r>
              <w:rPr>
                <w:b/>
                <w:i/>
              </w:rPr>
              <w:t>menijo</w:t>
            </w:r>
            <w:r>
              <w:t xml:space="preserve">, da </w:t>
            </w:r>
            <w:r>
              <w:rPr>
                <w:b/>
                <w:i/>
              </w:rPr>
              <w:t>se morajo za</w:t>
            </w:r>
            <w:r>
              <w:t xml:space="preserve"> lažji dostop do financiranja in virov </w:t>
            </w:r>
            <w:r>
              <w:rPr>
                <w:b/>
                <w:i/>
              </w:rPr>
              <w:t>preseliti iz nje; nadalje obžaluje</w:t>
            </w:r>
            <w:r>
              <w:t>,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r>
            <w:r>
              <w:rPr>
                <w:b/>
                <w:i/>
              </w:rPr>
              <w:t>ugotavlja</w:t>
            </w:r>
            <w:r>
              <w:t>, da</w:t>
            </w:r>
            <w:r>
              <w:rPr>
                <w:b/>
                <w:i/>
              </w:rPr>
              <w:t xml:space="preserve"> se</w:t>
            </w:r>
            <w:r>
              <w:t xml:space="preserve"> številni podjetniki s sedežem v EU </w:t>
            </w:r>
            <w:r>
              <w:rPr>
                <w:b/>
                <w:i/>
              </w:rPr>
              <w:t>preselijo</w:t>
            </w:r>
            <w:r>
              <w:t xml:space="preserve">, da </w:t>
            </w:r>
            <w:r>
              <w:rPr>
                <w:b/>
                <w:i/>
              </w:rPr>
              <w:t>bi pridobili</w:t>
            </w:r>
            <w:r>
              <w:t xml:space="preserve"> lažji dostop do financiranja</w:t>
            </w:r>
            <w:r>
              <w:rPr>
                <w:b/>
                <w:i/>
              </w:rPr>
              <w:t>, visoko usposobljene delovne sile</w:t>
            </w:r>
            <w:r>
              <w:t xml:space="preserve"> in virov </w:t>
            </w:r>
            <w:r>
              <w:rPr>
                <w:b/>
                <w:i/>
              </w:rPr>
              <w:t>ter se izognili nepreglednim predpisom, ki odvračajo naložbe in širitev poslovanja; ugotavlja</w:t>
            </w:r>
            <w:r>
              <w:t>, da se obračajo na ponudnike tveganega kapitala zunaj EU in se širijo na tuje trge</w:t>
            </w:r>
            <w:r>
              <w:rPr>
                <w:b/>
                <w:i/>
              </w:rPr>
              <w:t>, na katerih so naložbe in širitev dobrodošle</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180</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w:t>
            </w:r>
            <w:r>
              <w:rPr>
                <w:b/>
                <w:i/>
              </w:rPr>
              <w:t>menijo</w:t>
            </w:r>
            <w:r>
              <w:t xml:space="preserve">, da </w:t>
            </w:r>
            <w:r>
              <w:rPr>
                <w:b/>
                <w:i/>
              </w:rPr>
              <w:t>se morajo za lažji</w:t>
            </w:r>
            <w:r>
              <w:t xml:space="preserve"> dostop do financiranja in virov</w:t>
            </w:r>
            <w:r>
              <w:rPr>
                <w:b/>
                <w:i/>
              </w:rPr>
              <w:t xml:space="preserve"> preseliti iz nje</w:t>
            </w:r>
            <w:r>
              <w:t xml:space="preserve">; </w:t>
            </w:r>
            <w:r>
              <w:rPr>
                <w:b/>
                <w:i/>
              </w:rPr>
              <w:t>nadalje</w:t>
            </w:r>
            <w:r>
              <w:t xml:space="preserve"> obžaluje,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w:t>
            </w:r>
            <w:r>
              <w:rPr>
                <w:b/>
                <w:i/>
              </w:rPr>
              <w:t xml:space="preserve">se morajo </w:t>
            </w:r>
            <w:r>
              <w:t xml:space="preserve">številni podjetniki s sedežem v EU </w:t>
            </w:r>
            <w:r>
              <w:rPr>
                <w:b/>
                <w:i/>
              </w:rPr>
              <w:t>preseliti iz nje</w:t>
            </w:r>
            <w:r>
              <w:t xml:space="preserve">, da </w:t>
            </w:r>
            <w:r>
              <w:rPr>
                <w:b/>
                <w:i/>
              </w:rPr>
              <w:t>bi dobili</w:t>
            </w:r>
            <w:r>
              <w:t xml:space="preserve"> dostop do financiranja in virov; obžaluje, da se obračajo na ponudnike tveganega kapitala zunaj EU in se širijo na tuje trge</w:t>
            </w:r>
            <w:r>
              <w:rPr>
                <w:b/>
                <w:i/>
              </w:rPr>
              <w:t>, saj naš trg ne more izpolniti njihovih zahtev;</w:t>
            </w:r>
            <w:r>
              <w:t xml:space="preserve"> </w:t>
            </w:r>
            <w:r>
              <w:rPr>
                <w:b/>
                <w:i/>
              </w:rPr>
              <w:t>poziva k razvoju tveganega kapitala za podjetja, da bi pridobila naložbe na naših trgih;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181</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w:t>
            </w:r>
            <w:r>
              <w:rPr>
                <w:b/>
                <w:i/>
              </w:rPr>
              <w:t>; nadalje obžaluje,</w:t>
            </w:r>
            <w:r>
              <w:t xml:space="preserv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w:t>
            </w:r>
            <w:r>
              <w:rPr>
                <w:b/>
                <w:i/>
              </w:rPr>
              <w:t xml:space="preserve"> in</w:t>
            </w:r>
            <w:r>
              <w:t xml:space="preserve"> da se obračajo na ponudnike tveganega kapitala zunaj EU in se širijo na tuje trge; </w:t>
            </w:r>
            <w:r>
              <w:rPr>
                <w:b/>
                <w:i/>
              </w:rPr>
              <w:t>poudarja, da mora biti prednostna naloga razumeti in obravnavati temeljne vzroke za selitev, in sicer s spodbujanjem konkurenčnejšega in privlačnejšega notranjega trga, zagotavljanjem pogojev za podjetnike s sedežem v EU za rast in širitev poslovanja v Uniji ter zagotavljanjem regulativnega okolja, ki ne bo preveč obremenjujoče ali omejevalno;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182</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nadalje obžaluje</w:t>
            </w:r>
            <w:r>
              <w:t>,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z zaskrbljenostjo ugotavlja</w:t>
            </w:r>
            <w:r>
              <w:t>, da se obračajo na ponudnike tveganega kapitala zunaj EU in se širijo na tuje trge</w:t>
            </w:r>
            <w:r>
              <w:rPr>
                <w:b/>
                <w:i/>
              </w:rPr>
              <w:t>, pri čemer poudarja, da morajo institucije EU spodbujati privlačnejše in bolj spodbudno okolje za inovacije in rast</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183</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r>
            <w:r>
              <w:rPr>
                <w:b/>
                <w:i/>
              </w:rPr>
              <w:t>obžaluje</w:t>
            </w:r>
            <w:r>
              <w:t xml:space="preserve">, da številni podjetniki s sedežem v EU menijo, da se morajo za lažji dostop do financiranja in virov preseliti iz nje; </w:t>
            </w:r>
            <w:r>
              <w:rPr>
                <w:b/>
                <w:i/>
              </w:rPr>
              <w:t>nadalje obžaluje</w:t>
            </w:r>
            <w:r>
              <w:t>,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r>
            <w:r>
              <w:rPr>
                <w:b/>
                <w:i/>
              </w:rPr>
              <w:t>priznava</w:t>
            </w:r>
            <w:r>
              <w:t xml:space="preserve">, da številni podjetniki s sedežem v EU menijo, da se morajo za lažji dostop do financiranja in virov preseliti iz nje; </w:t>
            </w:r>
            <w:r>
              <w:rPr>
                <w:b/>
                <w:i/>
              </w:rPr>
              <w:t>z zaskrbljenostjo ugotavlja</w:t>
            </w:r>
            <w:r>
              <w:t>, da se</w:t>
            </w:r>
            <w:r>
              <w:rPr>
                <w:b/>
                <w:i/>
              </w:rPr>
              <w:t xml:space="preserve"> običajno</w:t>
            </w:r>
            <w:r>
              <w:t xml:space="preserve"> obračajo na ponudnike tveganega kapitala zunaj EU in se širijo na tuje trge</w:t>
            </w:r>
            <w:r>
              <w:rPr>
                <w:b/>
                <w:i/>
              </w:rPr>
              <w:t>, predvsem zaradi pomanjkljivosti in neučinkovitosti na evropskih kapitalskih trgih</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184</w:t>
      </w:r>
      <w:r>
        <w:rPr>
          <w:rStyle w:val="HideTWBExt"/>
          <w:b w:val="0"/>
        </w:rPr>
        <w:t>&lt;/NumAm&gt;</w:t>
      </w:r>
    </w:p>
    <w:p w:rsidR="0084767A" w:rsidRPr="00FC22F0" w:rsidRDefault="0084767A" w:rsidP="0084767A">
      <w:pPr>
        <w:pStyle w:val="NormalBold"/>
      </w:pPr>
      <w:r>
        <w:rPr>
          <w:rStyle w:val="HideTWBExt"/>
          <w:b w:val="0"/>
        </w:rPr>
        <w:t>&lt;RepeatBlock-By&gt;&lt;Members&gt;</w:t>
      </w:r>
      <w:r>
        <w:t>Pascal Canfin, Stéphanie Yon-Courtin, Gilles Boyer,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 xml:space="preserve">nadalje </w:t>
            </w:r>
            <w:r>
              <w:t xml:space="preserve">obžaluje, da </w:t>
            </w:r>
            <w:r>
              <w:rPr>
                <w:b/>
                <w:i/>
              </w:rPr>
              <w:t>se obračajo na ponudnike</w:t>
            </w:r>
            <w:r>
              <w:t xml:space="preserve"> tveganega kapitala </w:t>
            </w:r>
            <w:r>
              <w:rPr>
                <w:b/>
                <w:i/>
              </w:rPr>
              <w:t>zunaj</w:t>
            </w:r>
            <w:r>
              <w:t xml:space="preserve"> EU </w:t>
            </w:r>
            <w:r>
              <w:rPr>
                <w:b/>
                <w:i/>
              </w:rPr>
              <w:t>in se širijo</w:t>
            </w:r>
            <w:r>
              <w:t xml:space="preserve"> na </w:t>
            </w:r>
            <w:r>
              <w:rPr>
                <w:b/>
                <w:i/>
              </w:rPr>
              <w:t>tuje trge</w:t>
            </w:r>
            <w:r>
              <w:t>;</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obžaluje, da </w:t>
            </w:r>
            <w:r>
              <w:rPr>
                <w:b/>
                <w:i/>
              </w:rPr>
              <w:t>jih pomanjkanje obsežnih skladov</w:t>
            </w:r>
            <w:r>
              <w:t xml:space="preserve"> tveganega kapitala </w:t>
            </w:r>
            <w:r>
              <w:rPr>
                <w:b/>
                <w:i/>
              </w:rPr>
              <w:t>in finančno izvedljivih možnosti izstopa v</w:t>
            </w:r>
            <w:r>
              <w:t xml:space="preserve"> EU </w:t>
            </w:r>
            <w:r>
              <w:rPr>
                <w:b/>
                <w:i/>
              </w:rPr>
              <w:t>spodbuja k širitvi s tujimi naložbami in</w:t>
            </w:r>
            <w:r>
              <w:t xml:space="preserve"> na </w:t>
            </w:r>
            <w:r>
              <w:rPr>
                <w:b/>
                <w:i/>
              </w:rPr>
              <w:t>tujih trgih</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185</w:t>
      </w:r>
      <w:r>
        <w:rPr>
          <w:rStyle w:val="HideTWBExt"/>
          <w:b w:val="0"/>
        </w:rPr>
        <w:t>&lt;/NumAm&gt;</w:t>
      </w:r>
    </w:p>
    <w:p w:rsidR="0084767A" w:rsidRPr="00FC22F0" w:rsidRDefault="0084767A" w:rsidP="0084767A">
      <w:pPr>
        <w:pStyle w:val="NormalBold"/>
      </w:pPr>
      <w:r>
        <w:rPr>
          <w:rStyle w:val="HideTWBExt"/>
          <w:b w:val="0"/>
        </w:rPr>
        <w:t>&lt;RepeatBlock-By&gt;&lt;Members&gt;</w:t>
      </w:r>
      <w:r>
        <w:t>Johan Van Overtveldt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nadalje obžaluje</w:t>
            </w:r>
            <w:r>
              <w:t>,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poudarja</w:t>
            </w:r>
            <w:r>
              <w:t>, da se</w:t>
            </w:r>
            <w:r>
              <w:rPr>
                <w:b/>
                <w:i/>
              </w:rPr>
              <w:t xml:space="preserve"> zaradi pomanjkanja integrirane unije kapitalskih trgov v EU</w:t>
            </w:r>
            <w:r>
              <w:t xml:space="preserve"> obračajo na ponudnike tveganega kapitala zunaj EU in se širijo na tuje trge;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186</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nadalje</w:t>
            </w:r>
            <w:r>
              <w:t xml:space="preserve"> obžaluje, da </w:t>
            </w:r>
            <w:r>
              <w:rPr>
                <w:b/>
                <w:i/>
              </w:rPr>
              <w:t>se obračajo na ponudnike tveganega kapitala zunaj</w:t>
            </w:r>
            <w:r>
              <w:t xml:space="preserve"> EU in </w:t>
            </w:r>
            <w:r>
              <w:rPr>
                <w:b/>
                <w:i/>
              </w:rPr>
              <w:t>se širijo na tuje trge</w:t>
            </w:r>
            <w:r>
              <w:t>;</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obžaluje, da sedanji regulativni in finančni ekosistem EU še ne zagotavlja dovolj globokega, dostopnega in raznolikega okvira za podporo potrebam rastočih podjetij po financiranju;</w:t>
            </w:r>
            <w:r>
              <w:t xml:space="preserve"> obžaluje, da </w:t>
            </w:r>
            <w:r>
              <w:rPr>
                <w:b/>
                <w:i/>
              </w:rPr>
              <w:t>ta strukturna pomanjkljivost številne podjetnike s sedežem v</w:t>
            </w:r>
            <w:r>
              <w:t xml:space="preserve"> EU </w:t>
            </w:r>
            <w:r>
              <w:rPr>
                <w:b/>
                <w:i/>
              </w:rPr>
              <w:t xml:space="preserve">sili v iskanje tveganega kapitala </w:t>
            </w:r>
            <w:r>
              <w:t xml:space="preserve">in </w:t>
            </w:r>
            <w:r>
              <w:rPr>
                <w:b/>
                <w:i/>
              </w:rPr>
              <w:t>priložnosti za širitev v tretjih državah</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187</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nadalje obžaluje, da se obračajo na ponudnike</w:t>
            </w:r>
            <w:r>
              <w:t xml:space="preserve"> tveganega kapitala</w:t>
            </w:r>
            <w:r>
              <w:rPr>
                <w:b/>
                <w:i/>
              </w:rPr>
              <w:t xml:space="preserve"> zunaj EU in se širijo na tuje trge</w:t>
            </w:r>
            <w:r>
              <w:t>;</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w:t>
            </w:r>
            <w:r>
              <w:rPr>
                <w:b/>
                <w:i/>
              </w:rPr>
              <w:t>obžaluje nezadostno razpoložljivost ponudnikov tveganega kapitala v Uniji in poziva k takojšnjim in konkretnim prizadevanjem za vzpostavitev trdnega in dostopnega ekosistema</w:t>
            </w:r>
            <w:r>
              <w:t xml:space="preserve"> tveganega kapitala</w:t>
            </w:r>
            <w:r>
              <w:rPr>
                <w:b/>
                <w:i/>
              </w:rPr>
              <w:t>, pri čemer je treba poudariti sposobnost Unije za trajnostne inovacije in gospodarsko rast</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188</w:t>
      </w:r>
      <w:r>
        <w:rPr>
          <w:rStyle w:val="HideTWBExt"/>
          <w:b w:val="0"/>
        </w:rPr>
        <w:t>&lt;/NumAm&gt;</w:t>
      </w:r>
    </w:p>
    <w:p w:rsidR="0084767A" w:rsidRPr="00FC22F0" w:rsidRDefault="0084767A" w:rsidP="0084767A">
      <w:pPr>
        <w:pStyle w:val="NormalBold"/>
      </w:pPr>
      <w:r>
        <w:rPr>
          <w:rStyle w:val="HideTWBExt"/>
          <w:b w:val="0"/>
        </w:rPr>
        <w:t>&lt;RepeatBlock-By&gt;&lt;Members&gt;</w:t>
      </w:r>
      <w:r>
        <w:t>Eero Heinäluoma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 nadalje obžaluje,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 nadalje obžaluje, da se obračajo na ponudnike tveganega kapitala zunaj EU in se širijo na tuje trge</w:t>
            </w:r>
            <w:r>
              <w:rPr>
                <w:b/>
                <w:i/>
              </w:rPr>
              <w:t>, medtem ko EU vsako leto ustvari več zagonskih podjetij kot ZDA, donosnost naložb tveganega kapitala pa je v EU za približno 6 % višja https://www.ceps.eu/its-finally-time-to-leverage-pension-funds-to-foster-eu-productivity-and-benefit-pensioners/</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189</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 nadalje obžaluje,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nadalje obžaluje, da se obračajo na ponudnike tveganega kapitala zunaj EU in se širijo na tuje trge; </w:t>
            </w:r>
            <w:r>
              <w:rPr>
                <w:b/>
                <w:i/>
              </w:rPr>
              <w:t>se strinja s poročiloma Maria Draghija in Enrica Lette, da bi morala EU še naprej razvijati svoje trge tveganega kapitala; vendar poudarja, da bi morala biti javna podpora trgom tveganega kapitala usmerjena izključno v projekte, ki so usklajeni s cilji zelenega dogovora in imajo pozitiven socialni učinek;</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190</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w:t>
            </w:r>
            <w:r>
              <w:rPr>
                <w:b/>
                <w:i/>
              </w:rPr>
              <w:t>iz nje</w:t>
            </w:r>
            <w:r>
              <w:t>; nadalje obžaluje,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w:t>
            </w:r>
            <w:r>
              <w:rPr>
                <w:b/>
                <w:i/>
              </w:rPr>
              <w:t>v jurisdikcije zunaj EU</w:t>
            </w:r>
            <w:r>
              <w:t xml:space="preserve">; nadalje obžaluje, da se obračajo na ponudnike tveganega kapitala zunaj EU in se širijo na tuje trge; </w:t>
            </w:r>
            <w:r>
              <w:rPr>
                <w:b/>
                <w:i/>
              </w:rPr>
              <w:t>priznava, da takšne odločitve kažejo na splošno pomanjkanje konkurenčnosti evropskega ekosistema financiranja, zlasti v fazi širitve, ki jo je treba obravnavati;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191</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 nadalje obžaluje,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 xml:space="preserve">obžaluje, da številni podjetniki s sedežem v EU menijo, da se morajo za lažji dostop do financiranja in virov preseliti iz nje; nadalje obžaluje, da se obračajo na ponudnike tveganega kapitala zunaj EU in se širijo na tuje trge; </w:t>
            </w:r>
            <w:r>
              <w:rPr>
                <w:b/>
                <w:i/>
              </w:rPr>
              <w:t>pozdravlja nedavno sprejetje akta o kotiranju, ki bo podjetjem vseh velikosti, vključno z malimi in srednjimi podjetji, olajšal kotiranje na evropskih borzah;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192</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 nadalje obžaluje, da se obračajo na ponudnike tveganega kapitala zunaj EU in se širijo na tuje trge;</w:t>
            </w:r>
          </w:p>
        </w:tc>
        <w:tc>
          <w:tcPr>
            <w:tcW w:w="4876" w:type="dxa"/>
            <w:tcBorders>
              <w:top w:val="nil"/>
              <w:left w:val="nil"/>
              <w:bottom w:val="nil"/>
              <w:right w:val="nil"/>
            </w:tcBorders>
          </w:tcPr>
          <w:p w:rsidR="0084767A" w:rsidRPr="00FC22F0" w:rsidRDefault="0084767A" w:rsidP="003E4EAF">
            <w:pPr>
              <w:pStyle w:val="Normal6a"/>
            </w:pPr>
            <w:r>
              <w:t>4.</w:t>
            </w:r>
            <w:r>
              <w:tab/>
              <w:t>obžaluje, da številni podjetniki s sedežem v EU menijo, da se morajo za lažji dostop do financiranja in virov preseliti iz nje; nadalje obžaluje, da se obračajo na ponudnike tveganega kapitala zunaj EU in se širijo na tuje trge;</w:t>
            </w:r>
            <w:r>
              <w:rPr>
                <w:b/>
                <w:i/>
              </w:rPr>
              <w:t> zato poziva, naj se več pozornosti nameni omogočanju oblikovanja in delovanja dovolj velikih evropskih skladov za rast in odkupe;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193</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4a.</w:t>
            </w:r>
            <w:r>
              <w:tab/>
            </w:r>
            <w:r>
              <w:rPr>
                <w:b/>
                <w:i/>
              </w:rPr>
              <w:t>obžaluje, da nizka raven finančnega izobraževanja v številnih državah članicah Evropske unije predstavlja velik izziv za gospodarsko avtonomijo državljanov ter za razvoj močnega in konkurenčnega gospodarstva; opozarja, da slabo finančno izobraževanje ovira prebivalstvo pri sprejemanju informiranih odločitev o varčevanju, naložbah in pokojninskem načrtovanju, državljanom pa preprečuje, da bi bili bolje opremljeni za to, da bi od vlad terjali odgovornost za dejanja; potrjuje, da ta vrzel v finančnem izobraževanju ne ogroža le gospodarske blaginje posameznikov, temveč tudi omejuje dejavno udeležbo na kapitalskih trgih in ovira razvoj naložbene kulture, ki je bistvena za gospodarsko rast; pozdravlja predlog Komisije za novo strategijo in poziva, naj bo ta strategija dovolj ambiciozna, da bo znatno izboljšala raven izobrazbe po vsej Evropi in zagotovila trajne spremembe; se zavzema za nujno sprejetje ukrepov za spodbujanje dostopnejšega in pravičnejšega finančnega izobraževanja po vsej EU ob spoštovanju nacionalnih pristojnosti;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194</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4a.</w:t>
            </w:r>
            <w:r>
              <w:tab/>
            </w:r>
            <w:r>
              <w:rPr>
                <w:b/>
                <w:i/>
              </w:rPr>
              <w:t>poudarja, da morajo biti evropski finančni trgi privlačni in lahko dostopni za izdajatelje in vlagatelje; poudarja, da to velja za primarne in sekundarne trge; poudarja, da odločitev o kotiranju na reguliranem trgu pogosto prinaša znatne dodatne zahteve za podjetja, med drugim za zaščito vlagateljev; ugotavlja, da je takšne zahteve mogoče razumeti kot oviro za prehod na kotiranje na borzi; poziva Komisijo, naj stalno spremlja upravne stroške in stroške izpolnjevanja obveznosti za podjetja, ki kotirajo na borzi, da bi jih zmanjšala, zlasti za mala in srednja podjetja; pozdravlja nedavno sprejeti akt o kotiranju kot prvi korak v zvezi s tem; poziva k pragmatičnemu izvajanju akta o kotiranju in poziva Komisijo, naj še naprej razvija to pobudo;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195</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4b.</w:t>
            </w:r>
            <w:r>
              <w:tab/>
            </w:r>
            <w:r>
              <w:rPr>
                <w:b/>
                <w:i/>
              </w:rPr>
              <w:t>poudarja, da se predvsem mala in srednja podjetja, ki kotirajo na borzi, soočajo z izzivom, kako pridobiti zadostno pokritost z raziskavami lastniškega kapitala; poudarja, da bi lahko ločevanje stroškov raziskav od pristojbin za izvedbo trgovalnih poslov v skladu z MiFID II to težavo še poglobilo; pozdravlja, da je bila ta zahteva pozneje omiljena z aktom o kotiranju; poziva Komisijo in Evropski organ za vrednostne papirje in trge, naj še naprej spremljata razvoj raziskav lastniškega kapitala, zlasti za mala in srednja podjetja;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196</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4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4c.</w:t>
            </w:r>
            <w:r>
              <w:tab/>
            </w:r>
            <w:r>
              <w:rPr>
                <w:b/>
                <w:i/>
              </w:rPr>
              <w:t>poudarja pomen zagonskih trgov malih in srednjih podjetij, ki pomagajo manjšim podjetjem, da kotirajo na borzi; poziva Komisijo, naj okrepi zagonske trge malih in srednjih podjetij, tudi z uvedbo bolj racionaliziranih zahtev za kotiranje na teh trgih;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197</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r>
            <w:r>
              <w:rPr>
                <w:b/>
                <w:i/>
              </w:rPr>
              <w:t>poudarja, da bi se bilo treba pri porabi javnih sredstev osredotočiti na zagotavljanje vzdržnosti in dostopnosti javnih storitev in infrastrukture</w:t>
            </w:r>
            <w:r>
              <w:t xml:space="preserve">, hkrati pa </w:t>
            </w:r>
            <w:r>
              <w:rPr>
                <w:b/>
                <w:i/>
              </w:rPr>
              <w:t>pod točno določenimi pogoji pospešiti zasebne naložbe v inovativne</w:t>
            </w:r>
            <w:r>
              <w:t xml:space="preserve"> in </w:t>
            </w:r>
            <w:r>
              <w:rPr>
                <w:b/>
                <w:i/>
              </w:rPr>
              <w:t>čiste sektorje</w:t>
            </w:r>
            <w:r>
              <w:t>;</w:t>
            </w:r>
          </w:p>
        </w:tc>
        <w:tc>
          <w:tcPr>
            <w:tcW w:w="4876" w:type="dxa"/>
            <w:tcBorders>
              <w:top w:val="nil"/>
              <w:left w:val="nil"/>
              <w:bottom w:val="nil"/>
              <w:right w:val="nil"/>
            </w:tcBorders>
          </w:tcPr>
          <w:p w:rsidR="0084767A" w:rsidRPr="00FC22F0" w:rsidRDefault="0084767A" w:rsidP="003E4EAF">
            <w:pPr>
              <w:pStyle w:val="Normal6a"/>
            </w:pPr>
            <w:r>
              <w:t>5.</w:t>
            </w:r>
            <w:r>
              <w:tab/>
            </w:r>
            <w:r>
              <w:rPr>
                <w:b/>
                <w:i/>
              </w:rPr>
              <w:t>podpira tržno usmerjen pristop k rasti s spodbujanjem regulativnega okolja, ki omogoča inovacije v zasebnem sektorju</w:t>
            </w:r>
            <w:r>
              <w:t xml:space="preserve">, hkrati pa </w:t>
            </w:r>
            <w:r>
              <w:rPr>
                <w:b/>
                <w:i/>
              </w:rPr>
              <w:t>zagotavlja učinkovito ohranjanje osnovnih javnih storitev</w:t>
            </w:r>
            <w:r>
              <w:t xml:space="preserve"> in </w:t>
            </w:r>
            <w:r>
              <w:rPr>
                <w:b/>
                <w:i/>
              </w:rPr>
              <w:t>infrastrukture</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198</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 xml:space="preserve">poudarja, da bi </w:t>
            </w:r>
            <w:r>
              <w:rPr>
                <w:b/>
                <w:i/>
              </w:rPr>
              <w:t xml:space="preserve">se </w:t>
            </w:r>
            <w:r>
              <w:t xml:space="preserve">bilo treba </w:t>
            </w:r>
            <w:r>
              <w:rPr>
                <w:b/>
                <w:i/>
              </w:rPr>
              <w:t>pri porabi</w:t>
            </w:r>
            <w:r>
              <w:t xml:space="preserve"> javnih </w:t>
            </w:r>
            <w:r>
              <w:rPr>
                <w:b/>
                <w:i/>
              </w:rPr>
              <w:t>sredstev osredotočiti</w:t>
            </w:r>
            <w:r>
              <w:t xml:space="preserve"> na </w:t>
            </w:r>
            <w:r>
              <w:rPr>
                <w:b/>
                <w:i/>
              </w:rPr>
              <w:t>zagotavljanje vzdržnosti in dostopnosti javnih storitev</w:t>
            </w:r>
            <w:r>
              <w:t xml:space="preserve"> in </w:t>
            </w:r>
            <w:r>
              <w:rPr>
                <w:b/>
                <w:i/>
              </w:rPr>
              <w:t>infrastrukture</w:t>
            </w:r>
            <w:r>
              <w:t xml:space="preserve">, hkrati pa </w:t>
            </w:r>
            <w:r>
              <w:rPr>
                <w:b/>
                <w:i/>
              </w:rPr>
              <w:t>pod točno določenimi pogoji pospešiti</w:t>
            </w:r>
            <w:r>
              <w:t xml:space="preserve"> zasebne naložbe </w:t>
            </w:r>
            <w:r>
              <w:rPr>
                <w:b/>
                <w:i/>
              </w:rPr>
              <w:t>v inovativne</w:t>
            </w:r>
            <w:r>
              <w:t xml:space="preserve"> in </w:t>
            </w:r>
            <w:r>
              <w:rPr>
                <w:b/>
                <w:i/>
              </w:rPr>
              <w:t>čiste sektorje</w:t>
            </w:r>
            <w:r>
              <w:t>;</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bilo treba </w:t>
            </w:r>
            <w:r>
              <w:rPr>
                <w:b/>
                <w:i/>
              </w:rPr>
              <w:t>javna sredstva uporabljati tako, da bi ustvarili prihranke za evropske davkoplačevalce, zlasti z dajanjem prednosti zagotavljanju evropskih</w:t>
            </w:r>
            <w:r>
              <w:t xml:space="preserve"> javnih </w:t>
            </w:r>
            <w:r>
              <w:rPr>
                <w:b/>
                <w:i/>
              </w:rPr>
              <w:t>dobrin na področjih, kjer ukrepi</w:t>
            </w:r>
            <w:r>
              <w:t xml:space="preserve"> na </w:t>
            </w:r>
            <w:r>
              <w:rPr>
                <w:b/>
                <w:i/>
              </w:rPr>
              <w:t>ravni EU omogočajo večjo učinkovitost</w:t>
            </w:r>
            <w:r>
              <w:t xml:space="preserve"> in </w:t>
            </w:r>
            <w:r>
              <w:rPr>
                <w:b/>
                <w:i/>
              </w:rPr>
              <w:t>ekonomijo obsega</w:t>
            </w:r>
            <w:r>
              <w:t xml:space="preserve">, hkrati pa </w:t>
            </w:r>
            <w:r>
              <w:rPr>
                <w:b/>
                <w:i/>
              </w:rPr>
              <w:t>bi služili kot katalizator za</w:t>
            </w:r>
            <w:r>
              <w:t xml:space="preserve"> zasebne naložbe </w:t>
            </w:r>
            <w:r>
              <w:rPr>
                <w:b/>
                <w:i/>
              </w:rPr>
              <w:t>za povečanje konkurenčnosti</w:t>
            </w:r>
            <w:r>
              <w:t xml:space="preserve"> in </w:t>
            </w:r>
            <w:r>
              <w:rPr>
                <w:b/>
                <w:i/>
              </w:rPr>
              <w:t>produktivnosti EU ter odpravo inovacijske vrzeli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199</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w:t>
            </w:r>
            <w:r>
              <w:rPr>
                <w:b/>
                <w:i/>
              </w:rPr>
              <w:t>zagotavljanje vzdržnosti in dostopnosti javnih storitev in infrastrukture</w:t>
            </w:r>
            <w:r>
              <w:t xml:space="preserve">, </w:t>
            </w:r>
            <w:r>
              <w:rPr>
                <w:b/>
                <w:i/>
              </w:rPr>
              <w:t>hkrati pa pod točno določenimi pogoji pospešiti zasebne naložbe v inovativne in čiste sektorje</w:t>
            </w:r>
            <w:r>
              <w:t>;</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w:t>
            </w:r>
            <w:r>
              <w:rPr>
                <w:b/>
                <w:i/>
              </w:rPr>
              <w:t>vlogo</w:t>
            </w:r>
            <w:r>
              <w:t xml:space="preserve">, </w:t>
            </w:r>
            <w:r>
              <w:rPr>
                <w:b/>
                <w:i/>
              </w:rPr>
              <w:t>ki jo lahko imajo pri pospeševanju javnih naložb</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0"/>
        <w:keepNext/>
      </w:pPr>
      <w:r>
        <w:rPr>
          <w:rStyle w:val="HideTWBExt"/>
          <w:b w:val="0"/>
          <w:lang w:eastAsia="en-US"/>
        </w:rPr>
        <w:t>&lt;Amend&gt;</w:t>
      </w:r>
      <w:r>
        <w:t>Predlog spremembe</w:t>
      </w:r>
      <w:r>
        <w:tab/>
      </w:r>
      <w:r>
        <w:tab/>
      </w:r>
      <w:r>
        <w:rPr>
          <w:rStyle w:val="HideTWBExt"/>
          <w:b w:val="0"/>
          <w:lang w:eastAsia="en-US"/>
        </w:rPr>
        <w:t>&lt;NumAm&gt;</w:t>
      </w:r>
      <w:r>
        <w:t>200</w:t>
      </w:r>
      <w:r>
        <w:rPr>
          <w:rStyle w:val="HideTWBExt"/>
          <w:b w:val="0"/>
          <w:lang w:eastAsia="en-US"/>
        </w:rPr>
        <w:t>&lt;/NumAm&gt;</w:t>
      </w:r>
    </w:p>
    <w:p w:rsidR="0084767A" w:rsidRPr="00FC22F0" w:rsidRDefault="0084767A" w:rsidP="0084767A">
      <w:pPr>
        <w:pStyle w:val="NormalBold"/>
      </w:pPr>
      <w:r>
        <w:rPr>
          <w:rStyle w:val="HideTWBExt"/>
          <w:b w:val="0"/>
        </w:rPr>
        <w:t>&lt;RepeatBlock-By&gt;&lt;Members&gt;</w:t>
      </w:r>
      <w:r>
        <w:t>Danuše Nerudová</w:t>
      </w:r>
      <w:r>
        <w:rPr>
          <w:rStyle w:val="HideTWBExt"/>
          <w:b w:val="0"/>
        </w:rPr>
        <w:t>&lt;/Members&gt;</w:t>
      </w:r>
    </w:p>
    <w:p w:rsidR="0084767A" w:rsidRPr="00FC22F0" w:rsidRDefault="0084767A" w:rsidP="0084767A">
      <w:r>
        <w:rPr>
          <w:rStyle w:val="HideTWBExt"/>
        </w:rPr>
        <w:t>&lt;/RepeatBlock-By&gt;</w:t>
      </w:r>
    </w:p>
    <w:p w:rsidR="0084767A" w:rsidRPr="00FC22F0" w:rsidRDefault="0084767A" w:rsidP="0084767A">
      <w:pPr>
        <w:pStyle w:val="NormalBold"/>
        <w:keepNext/>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767A" w:rsidTr="003E4EAF">
        <w:trPr>
          <w:jc w:val="center"/>
        </w:trPr>
        <w:tc>
          <w:tcPr>
            <w:tcW w:w="9752" w:type="dxa"/>
            <w:gridSpan w:val="2"/>
          </w:tcPr>
          <w:p w:rsidR="0084767A" w:rsidRPr="00FC22F0" w:rsidRDefault="0084767A" w:rsidP="003E4EAF">
            <w:pPr>
              <w:keepNext/>
            </w:pPr>
          </w:p>
        </w:tc>
      </w:tr>
      <w:tr w:rsidR="0084767A" w:rsidTr="003E4EAF">
        <w:trPr>
          <w:jc w:val="center"/>
        </w:trPr>
        <w:tc>
          <w:tcPr>
            <w:tcW w:w="4876" w:type="dxa"/>
          </w:tcPr>
          <w:p w:rsidR="0084767A" w:rsidRPr="00FC22F0" w:rsidRDefault="0084767A" w:rsidP="003E4EAF">
            <w:pPr>
              <w:pStyle w:val="ColumnHeading"/>
              <w:keepNext/>
            </w:pPr>
            <w:r>
              <w:t>Predlog resolucije</w:t>
            </w:r>
          </w:p>
        </w:tc>
        <w:tc>
          <w:tcPr>
            <w:tcW w:w="4876" w:type="dxa"/>
          </w:tcPr>
          <w:p w:rsidR="0084767A" w:rsidRPr="00FC22F0" w:rsidRDefault="0084767A" w:rsidP="003E4EAF">
            <w:pPr>
              <w:pStyle w:val="ColumnHeading"/>
              <w:keepNext/>
            </w:pPr>
            <w:r>
              <w:t>Predlog spremembe</w:t>
            </w:r>
          </w:p>
        </w:tc>
      </w:tr>
      <w:tr w:rsidR="0084767A" w:rsidTr="003E4EAF">
        <w:trPr>
          <w:jc w:val="center"/>
        </w:trPr>
        <w:tc>
          <w:tcPr>
            <w:tcW w:w="4876" w:type="dxa"/>
          </w:tcPr>
          <w:p w:rsidR="0084767A" w:rsidRPr="00FC22F0" w:rsidRDefault="0084767A" w:rsidP="003E4EAF">
            <w:pPr>
              <w:pStyle w:val="Normal6"/>
            </w:pPr>
            <w:r>
              <w:t>5.</w:t>
            </w:r>
            <w:r>
              <w:tab/>
              <w:t>poudarja, da bi se bilo treba pri porabi javnih sredstev osredotočiti na zagotavljanje vzdržnosti in dostopnosti javnih storitev in infrastrukture, hkrati pa pod točno določenimi pogoji pospešiti zasebne naložbe v inovativne in čiste sektorje;</w:t>
            </w:r>
          </w:p>
        </w:tc>
        <w:tc>
          <w:tcPr>
            <w:tcW w:w="4876" w:type="dxa"/>
          </w:tcPr>
          <w:p w:rsidR="0084767A" w:rsidRPr="00FC22F0" w:rsidRDefault="0084767A" w:rsidP="003E4EAF">
            <w:pPr>
              <w:pStyle w:val="Normal6"/>
              <w:rPr>
                <w:szCs w:val="24"/>
              </w:rPr>
            </w:pPr>
            <w:r>
              <w:t>5.</w:t>
            </w:r>
            <w:r>
              <w:tab/>
              <w:t xml:space="preserve">poudarja, da bi se bilo treba pri porabi javnih sredstev osredotočiti na </w:t>
            </w:r>
            <w:r>
              <w:rPr>
                <w:b/>
                <w:i/>
              </w:rPr>
              <w:t xml:space="preserve">evropske javne dobrine in dodano vrednost ter </w:t>
            </w:r>
            <w:r>
              <w:t>zagotavljanje vzdržnosti in dostopnosti javnih storitev in infrastrukture, hkrati pa pod točno določenimi pogoji pospešiti zasebne naložbe v inovativne in čiste sektorje;</w:t>
            </w:r>
          </w:p>
        </w:tc>
      </w:tr>
    </w:tbl>
    <w:p w:rsidR="0084767A" w:rsidRPr="00FC22F0" w:rsidRDefault="0084767A" w:rsidP="0084767A">
      <w:pPr>
        <w:pStyle w:val="Olang"/>
        <w:rPr>
          <w:sz w:val="24"/>
          <w:szCs w:val="24"/>
        </w:rPr>
      </w:pPr>
      <w:r w:rsidRPr="00FC22F0">
        <w:rPr>
          <w:sz w:val="24"/>
          <w:szCs w:val="24"/>
        </w:rPr>
        <w:t xml:space="preserve">Or. </w:t>
      </w:r>
      <w:r w:rsidRPr="00FC22F0">
        <w:rPr>
          <w:rStyle w:val="HideTWBExt"/>
        </w:rPr>
        <w:t>&lt;Original&gt;</w:t>
      </w:r>
      <w:r w:rsidRPr="00FC22F0">
        <w:rPr>
          <w:rStyle w:val="HideTWBInt"/>
        </w:rPr>
        <w:t>{EN}</w:t>
      </w:r>
      <w:r w:rsidRPr="00FC22F0">
        <w:rPr>
          <w:sz w:val="24"/>
          <w:szCs w:val="24"/>
        </w:rPr>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201</w:t>
      </w:r>
      <w:r>
        <w:rPr>
          <w:rStyle w:val="HideTWBExt"/>
          <w:b w:val="0"/>
        </w:rPr>
        <w:t>&lt;/NumAm&gt;</w:t>
      </w:r>
    </w:p>
    <w:p w:rsidR="0084767A" w:rsidRPr="00FC22F0" w:rsidRDefault="0084767A" w:rsidP="0084767A">
      <w:pPr>
        <w:pStyle w:val="NormalBold"/>
      </w:pPr>
      <w:r>
        <w:rPr>
          <w:rStyle w:val="HideTWBExt"/>
          <w:b w:val="0"/>
        </w:rPr>
        <w:t>&lt;RepeatBlock-By&gt;&lt;Members&gt;</w:t>
      </w:r>
      <w:r>
        <w:t>Pierre Pimpie,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 xml:space="preserve">poudarja, da bi </w:t>
            </w:r>
            <w:r>
              <w:rPr>
                <w:b/>
                <w:i/>
              </w:rPr>
              <w:t xml:space="preserve">se </w:t>
            </w:r>
            <w:r>
              <w:t xml:space="preserve">bilo treba </w:t>
            </w:r>
            <w:r>
              <w:rPr>
                <w:b/>
                <w:i/>
              </w:rPr>
              <w:t>pri porabi javnih sredstev osredotočiti na zagotavljanje vzdržnosti</w:t>
            </w:r>
            <w:r>
              <w:t xml:space="preserve"> in </w:t>
            </w:r>
            <w:r>
              <w:rPr>
                <w:b/>
                <w:i/>
              </w:rPr>
              <w:t>dostopnosti</w:t>
            </w:r>
            <w:r>
              <w:t xml:space="preserve"> javnih storitev in infrastrukture, hkrati pa </w:t>
            </w:r>
            <w:r>
              <w:rPr>
                <w:b/>
                <w:i/>
              </w:rPr>
              <w:t>pod točno določenimi pogoji pospešiti zasebne naložbe</w:t>
            </w:r>
            <w:r>
              <w:t xml:space="preserve"> v </w:t>
            </w:r>
            <w:r>
              <w:rPr>
                <w:b/>
                <w:i/>
              </w:rPr>
              <w:t>inovativne</w:t>
            </w:r>
            <w:r>
              <w:t xml:space="preserve"> in </w:t>
            </w:r>
            <w:r>
              <w:rPr>
                <w:b/>
                <w:i/>
              </w:rPr>
              <w:t>čiste sektorje;</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bilo treba </w:t>
            </w:r>
            <w:r>
              <w:rPr>
                <w:b/>
                <w:i/>
              </w:rPr>
              <w:t>javna sredstva dodeljevati uravnoteženo, da bi zagotovili vzdržnost</w:t>
            </w:r>
            <w:r>
              <w:t xml:space="preserve"> in </w:t>
            </w:r>
            <w:r>
              <w:rPr>
                <w:b/>
                <w:i/>
              </w:rPr>
              <w:t>dostopnost</w:t>
            </w:r>
            <w:r>
              <w:t xml:space="preserve"> javnih storitev in infrastrukture, hkrati pa </w:t>
            </w:r>
            <w:r>
              <w:rPr>
                <w:b/>
                <w:i/>
              </w:rPr>
              <w:t>spodbujali zasebne naložbe v ključne panoge, vključno z inovativnimi in strateškimi sektorji, in sicer na način, ki</w:t>
            </w:r>
            <w:r>
              <w:t xml:space="preserve"> v </w:t>
            </w:r>
            <w:r>
              <w:rPr>
                <w:b/>
                <w:i/>
              </w:rPr>
              <w:t>celoti odraža gospodarske posebnosti</w:t>
            </w:r>
            <w:r>
              <w:t xml:space="preserve"> in </w:t>
            </w:r>
            <w:r>
              <w:rPr>
                <w:b/>
                <w:i/>
              </w:rPr>
              <w:t>sektorske prednostne naloge vsake države članice.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202</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poudarja, da bi se bilo treba pri porabi javnih sredstev osredotočiti na zagotavljanje vzdržnosti in dostopnosti javnih storitev in infrastrukture, hkrati pa pod točno določenimi pogoji pospešiti zasebne naložbe v inovativne in čiste sektorje;</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w:t>
            </w:r>
            <w:r>
              <w:rPr>
                <w:b/>
                <w:i/>
              </w:rPr>
              <w:t xml:space="preserve">naložbe, gospodarsko rast, stroškovno učinkovitost, evropske javne dobrine in dodano vrednost ter </w:t>
            </w:r>
            <w:r>
              <w:t>zagotavljanje vzdržnosti in dostopnosti javnih storitev in infrastrukture, hkrati pa pod točno določenimi pogoji pospešiti zasebne naložbe v inovativne in čiste sektorje;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203</w:t>
      </w:r>
      <w:r>
        <w:rPr>
          <w:rStyle w:val="HideTWBExt"/>
          <w:b w:val="0"/>
        </w:rPr>
        <w:t>&lt;/NumAm&gt;</w:t>
      </w:r>
    </w:p>
    <w:p w:rsidR="0084767A" w:rsidRPr="00FC22F0" w:rsidRDefault="0084767A" w:rsidP="0084767A">
      <w:pPr>
        <w:pStyle w:val="NormalBold"/>
      </w:pPr>
      <w:r>
        <w:rPr>
          <w:rStyle w:val="HideTWBExt"/>
          <w:b w:val="0"/>
        </w:rPr>
        <w:t>&lt;RepeatBlock-By&gt;&lt;Members&gt;</w:t>
      </w:r>
      <w:r>
        <w:t>Fernand Kartheiser, Jeadis Jeadi (Geadis Geadi), Kristoffer Storm, Nora Junco García, Diego Solier, Adrian-George Axinia, Georgiana Teodorescu</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zagotavljanje vzdržnosti in dostopnosti javnih storitev in infrastrukture, hkrati pa pod točno določenimi pogoji pospešiti </w:t>
            </w:r>
            <w:r>
              <w:rPr>
                <w:b/>
                <w:i/>
              </w:rPr>
              <w:t xml:space="preserve">zasebne </w:t>
            </w:r>
            <w:r>
              <w:t>naložbe v inovativne</w:t>
            </w:r>
            <w:r>
              <w:rPr>
                <w:b/>
                <w:i/>
              </w:rPr>
              <w:t xml:space="preserve"> in čiste</w:t>
            </w:r>
            <w:r>
              <w:t xml:space="preserve"> sektorje;</w:t>
            </w:r>
          </w:p>
        </w:tc>
        <w:tc>
          <w:tcPr>
            <w:tcW w:w="4876" w:type="dxa"/>
            <w:tcBorders>
              <w:top w:val="nil"/>
              <w:left w:val="nil"/>
              <w:bottom w:val="nil"/>
              <w:right w:val="nil"/>
            </w:tcBorders>
          </w:tcPr>
          <w:p w:rsidR="0084767A" w:rsidRPr="00FC22F0" w:rsidRDefault="0084767A" w:rsidP="003E4EAF">
            <w:pPr>
              <w:pStyle w:val="Normal6a"/>
            </w:pPr>
            <w:r>
              <w:t>5.</w:t>
            </w:r>
            <w:r>
              <w:tab/>
              <w:t>poudarja, da bi se bilo treba pri porabi javnih sredstev osredotočiti na zagotavljanje vzdržnosti in dostopnosti javnih storitev in infrastrukture, hkrati pa pod točno določenimi pogoji pospešiti naložbe v inovativne sektorje;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204</w:t>
      </w:r>
      <w:r>
        <w:rPr>
          <w:rStyle w:val="HideTWBExt"/>
          <w:b w:val="0"/>
        </w:rPr>
        <w:t>&lt;/NumAm&gt;</w:t>
      </w:r>
    </w:p>
    <w:p w:rsidR="0084767A" w:rsidRPr="00FC22F0" w:rsidRDefault="0084767A" w:rsidP="0084767A">
      <w:pPr>
        <w:pStyle w:val="NormalBold"/>
      </w:pPr>
      <w:r>
        <w:rPr>
          <w:rStyle w:val="HideTWBExt"/>
          <w:b w:val="0"/>
        </w:rPr>
        <w:t>&lt;RepeatBlock-By&gt;&lt;Members&gt;</w:t>
      </w:r>
      <w:r>
        <w:t>Thomas Bajada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w:t>
            </w:r>
            <w:r>
              <w:rPr>
                <w:b/>
                <w:i/>
              </w:rPr>
              <w:t>zagotavljanje vzdržnosti</w:t>
            </w:r>
            <w:r>
              <w:t xml:space="preserve"> in </w:t>
            </w:r>
            <w:r>
              <w:rPr>
                <w:b/>
                <w:i/>
              </w:rPr>
              <w:t>dostopnosti</w:t>
            </w:r>
            <w:r>
              <w:t xml:space="preserve"> javnih storitev in infrastrukture, hkrati pa pod točno določenimi pogoji pospešiti zasebne naložbe v inovativne in čiste sektorje;</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w:t>
            </w:r>
            <w:r>
              <w:rPr>
                <w:b/>
                <w:i/>
              </w:rPr>
              <w:t>krepitev dobrobiti državljanov EU, zato bi bilo treba zagotoviti vzdržnost</w:t>
            </w:r>
            <w:r>
              <w:t xml:space="preserve"> in </w:t>
            </w:r>
            <w:r>
              <w:rPr>
                <w:b/>
                <w:i/>
              </w:rPr>
              <w:t>dostopnost</w:t>
            </w:r>
            <w:r>
              <w:t xml:space="preserve"> javnih storitev in infrastrukture</w:t>
            </w:r>
            <w:r>
              <w:rPr>
                <w:b/>
                <w:i/>
              </w:rPr>
              <w:t>, zlasti tistih, povezanih s storitvami splošnega pomena</w:t>
            </w:r>
            <w:r>
              <w:t>, hkrati pa pod točno določenimi pogoji pospešiti zasebne naložbe v inovativne in čiste sektorje;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205</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poudarja, da bi se bilo treba pri porabi javnih sredstev osredotočiti na zagotavljanje vzdržnosti in dostopnosti javnih storitev in infrastrukture, hkrati pa pod točno določenimi pogoji pospešiti zasebne naložbe v inovativne in čiste sektorje;</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zagotavljanje vzdržnosti in dostopnosti javnih storitev in infrastrukture, hkrati pa pod točno določenimi </w:t>
            </w:r>
            <w:r>
              <w:rPr>
                <w:b/>
                <w:i/>
              </w:rPr>
              <w:t xml:space="preserve">socialnimi in okoljskimi </w:t>
            </w:r>
            <w:r>
              <w:t>pogoji pospešiti zasebne naložbe v inovativne in čiste sektorje;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206</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poudarja, da bi se bilo treba pri porabi javnih sredstev osredotočiti na zagotavljanje vzdržnosti in dostopnosti javnih storitev in infrastrukture, hkrati pa pod točno določenimi pogoji pospešiti zasebne naložbe v inovativne in čiste sektorje;</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zagotavljanje </w:t>
            </w:r>
            <w:r>
              <w:rPr>
                <w:b/>
                <w:i/>
              </w:rPr>
              <w:t xml:space="preserve">kakovosti, učinkovitosti, </w:t>
            </w:r>
            <w:r>
              <w:t>vzdržnosti in dostopnosti javnih storitev in infrastrukture, hkrati pa pod točno določenimi pogoji pospešiti zasebne naložbe v inovativne in čiste sektorje;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207</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5.</w:t>
            </w:r>
            <w:r>
              <w:tab/>
              <w:t>poudarja, da bi se bilo treba pri porabi javnih sredstev osredotočiti na zagotavljanje vzdržnosti in dostopnosti javnih storitev in infrastrukture, hkrati pa pod točno določenimi pogoji pospešiti zasebne naložbe v inovativne in čiste sektorje;</w:t>
            </w:r>
          </w:p>
        </w:tc>
        <w:tc>
          <w:tcPr>
            <w:tcW w:w="4876" w:type="dxa"/>
            <w:tcBorders>
              <w:top w:val="nil"/>
              <w:left w:val="nil"/>
              <w:bottom w:val="nil"/>
              <w:right w:val="nil"/>
            </w:tcBorders>
          </w:tcPr>
          <w:p w:rsidR="0084767A" w:rsidRPr="00FC22F0" w:rsidRDefault="0084767A" w:rsidP="003E4EAF">
            <w:pPr>
              <w:pStyle w:val="Normal6a"/>
            </w:pPr>
            <w:r>
              <w:t>5.</w:t>
            </w:r>
            <w:r>
              <w:tab/>
              <w:t xml:space="preserve">poudarja, da bi se bilo treba pri porabi javnih sredstev osredotočiti na zagotavljanje vzdržnosti in dostopnosti javnih storitev in infrastrukture, hkrati pa pod točno določenimi pogoji pospešiti zasebne naložbe v inovativne in čiste </w:t>
            </w:r>
            <w:r>
              <w:rPr>
                <w:b/>
                <w:i/>
              </w:rPr>
              <w:t xml:space="preserve">tehnologije in </w:t>
            </w:r>
            <w:r>
              <w:t>sektorje;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208</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meni, da so družine glavni steber, ki ohranja socialno strukturo in blaginjo v Evropi; opozarja, da so tisti z otroki in vzdrževanimi osebami, za katere skrbijo, nosili nesorazmeren delež bremena zaradi zaporednih gospodarskih kriz v zadnjih petnajstih letih; se strinja, da morajo imeti družine, da bi uspevale, gradile svojo prihodnost in z zaupanjem prevzele odgovornost, resnično priložnost za ustvarjanje prihrankov in kopičenje bogastva; v zvezi s tem poudarja razvoj poglobljenih, dostopnih in učinkovitih kapitalskih trgov, ki malim vlagateljev olajšujejo naložbe, jih ščitijo in spodbujajo finančno izobraževanje; podpira dostop gospodinjstev do finančnih trgov kot prednostno nalogo pri oblikovanju strategije za unijo prihrankov in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209</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je pomembno poenostaviti predpise, da bi povečali konkurenčnost; poudarja, da preveč zapletena in obremenjujoča pravila odvračajo od naložb, zmanjšujejo blaginjo, zvišujejo življenjske stroške in znižujejo življenjski standard; poziva k nadaljnjemu osredotočanju na izboljšanje regulativnega okolja v EU, da bi spodbudili naložbe in dinamičnost ter zagotovili večjo gotovost; poziva države članice, naj pregledajo, obravnavajo in zmanjšajo čezmerno prenašanje, da bi spodbudile konkurenčnost, poenostavitev in naložbe, med drugim z zmanjšanjem upravne zapletenosti, ki izkrivlja konkurenco na enotnem trgu, povečuje stroške v različnih sektorjih ter ovira čezmejne naložbe in naložbe malih vlagateljev;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210</w:t>
      </w:r>
      <w:r>
        <w:rPr>
          <w:rStyle w:val="HideTWBExt"/>
          <w:b w:val="0"/>
        </w:rPr>
        <w:t>&lt;/NumAm&gt;</w:t>
      </w:r>
    </w:p>
    <w:p w:rsidR="0084767A" w:rsidRPr="00FC22F0" w:rsidRDefault="0084767A" w:rsidP="0084767A">
      <w:pPr>
        <w:pStyle w:val="NormalBold"/>
      </w:pPr>
      <w:r>
        <w:rPr>
          <w:rStyle w:val="HideTWBExt"/>
          <w:b w:val="0"/>
        </w:rPr>
        <w:t>&lt;RepeatBlock-By&gt;&lt;Members&gt;</w:t>
      </w:r>
      <w:r>
        <w:t>Jussi Saramo, Pasquale Tridico, Gaetano Pedulla', Manon Aubry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priznava, da kapitalski trgi ne morejo zadovoljiti vseh potreb Evrope po naložbah; poudarja, da morajo biti javne naložbe jedro zelenega in digitalnega prehoda ter da vloga javnih naložb ne bi smela biti omejena na „zmanjševanje tveganja“ javnih naložb; zato priznava, da je treba preoblikovati strukturo javnega financiranja EU, in poziva k ustanovitvi investicijskega sklada EU v okviru naslednjega večletnega finančnega okvira;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211</w:t>
      </w:r>
      <w:r>
        <w:rPr>
          <w:rStyle w:val="HideTWBExt"/>
          <w:b w:val="0"/>
        </w:rPr>
        <w:t>&lt;/NumAm&gt;</w:t>
      </w:r>
    </w:p>
    <w:p w:rsidR="0084767A" w:rsidRPr="00FC22F0" w:rsidRDefault="0084767A" w:rsidP="0084767A">
      <w:pPr>
        <w:pStyle w:val="NormalBold"/>
      </w:pPr>
      <w:r>
        <w:rPr>
          <w:rStyle w:val="HideTWBExt"/>
          <w:b w:val="0"/>
        </w:rPr>
        <w:t>&lt;RepeatBlock-By&gt;&lt;Members&gt;</w:t>
      </w:r>
      <w:r>
        <w:t>Johan Van Overtveldt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pri odpravi naložbene vrzeli ne gre le za mobilizacijo velikega obsega finančnih sredstev, temveč za zagotovitev, da bo EU pripravljena na usmerjanje sredstev v produktivne naložbe; poudarja, da so institucionalna zmogljivost, regulativna jasnost in kakovost projektov ključnega pomena za učinkovito uporabo javnega in zasebnega kapitala;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212</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poziva, naj se izkoristi zagon za oblikovanje novega evropskega modela trajnostne konkurenčnosti, ki bo temeljil na doseganju resnične krožnosti in neodvisnosti virov; vključno z zanesljivejšim merjenjem konkurenčnosti in rasti, ki presega bruto domači proizvod, ter njuno vključitvijo v semester in proračun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213</w:t>
      </w:r>
      <w:r>
        <w:rPr>
          <w:rStyle w:val="HideTWBExt"/>
          <w:b w:val="0"/>
        </w:rPr>
        <w:t>&lt;/NumAm&gt;</w:t>
      </w:r>
    </w:p>
    <w:p w:rsidR="0084767A" w:rsidRPr="00FC22F0" w:rsidRDefault="0084767A" w:rsidP="0084767A">
      <w:pPr>
        <w:pStyle w:val="NormalBold"/>
      </w:pPr>
      <w:r>
        <w:rPr>
          <w:rStyle w:val="HideTWBExt"/>
          <w:b w:val="0"/>
        </w:rPr>
        <w:t>&lt;RepeatBlock-By&gt;&lt;Members&gt;</w:t>
      </w:r>
      <w:r>
        <w:t>Eero Heinäluoma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 meni, da je treba smernice EU o državni pomoči za bančništvo ponovno oceniti, da bi bolje obravnavali konkurenčne razlike in okrepili tržno disciplino;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214</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bi morale vse regulativne ali zakonodajne pobude temeljiti na temeljiti oceni stroškov in koristi; poudarja, da je stroga analiza bistvena za zagotovitev, da novi ukrepi učinkovito podpirajo rast, inovacije in konkurenčnost, ne da bi nalagali nepotrebno upravno ali regulativno breme;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215</w:t>
      </w:r>
      <w:r>
        <w:rPr>
          <w:rStyle w:val="HideTWBExt"/>
          <w:b w:val="0"/>
        </w:rPr>
        <w:t>&lt;/NumAm&gt;</w:t>
      </w:r>
    </w:p>
    <w:p w:rsidR="0084767A" w:rsidRPr="00FC22F0" w:rsidRDefault="0084767A" w:rsidP="0084767A">
      <w:pPr>
        <w:pStyle w:val="NormalBold"/>
      </w:pPr>
      <w:r>
        <w:rPr>
          <w:rStyle w:val="HideTWBExt"/>
          <w:b w:val="0"/>
        </w:rPr>
        <w:t>&lt;RepeatBlock-By&gt;&lt;Members&gt;</w:t>
      </w:r>
      <w:r>
        <w:t>Anouk Van Brug, Billy Kelleher, Engin Eroglu, Stéphanie Yon-Courtin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bi moralo biti poslovno okolje EU zelo privlačno za podjetja in vlagatelje, kar bi jim omogočilo razvoj inovativnih poslovnih modelov v ugodnem regulativnem okolju; ponovno poziva k zmanjšanju kumulativnega upravnega bremena v zvezi s tem, zlasti za mala in srednja podjetja;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216</w:t>
      </w:r>
      <w:r>
        <w:rPr>
          <w:rStyle w:val="HideTWBExt"/>
          <w:b w:val="0"/>
        </w:rPr>
        <w:t>&lt;/NumAm&gt;</w:t>
      </w:r>
    </w:p>
    <w:p w:rsidR="0084767A" w:rsidRPr="00FC22F0" w:rsidRDefault="0084767A" w:rsidP="0084767A">
      <w:pPr>
        <w:pStyle w:val="NormalBold"/>
      </w:pPr>
      <w:r>
        <w:rPr>
          <w:rStyle w:val="HideTWBExt"/>
          <w:b w:val="0"/>
        </w:rPr>
        <w:t>&lt;RepeatBlock-By&gt;&lt;Members&gt;</w:t>
      </w:r>
      <w:r>
        <w:t>Fabio De Masi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je za gospodarstva držav članic EU kljub poglobitvi notranjega trga značilna večja raznolikost in zato manjši obseg v primerjavi z gospodarstvom ZDA zaradi različnih jezikovnih ureditev in pravnih sistemov (kot je zakonodaja o insolventnosti);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217</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pomen, ki ga imajo akterji, državljani, podjetja in finančni sektorji EU za uspeh unije prihrankov in naložb. Ti bodo namreč ključnega pomena za uskladitev udeležbe malih vlagateljev v EU in financiranja gospodarstva EU, ki sta dva vidika iste ambicije;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218</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pomen ambiciozne, merljive in odločne strategije EU za spodbujanje finančne pismenosti v Evropi, ki bo našim državljanom omogočila, da bolje zaščitijo in mobilizirajo svoje prihranke ter gradijo na privlačnejšem kapitalskem trgu;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219</w:t>
      </w:r>
      <w:r>
        <w:rPr>
          <w:rStyle w:val="HideTWBExt"/>
          <w:b w:val="0"/>
        </w:rPr>
        <w:t>&lt;/NumAm&gt;</w:t>
      </w:r>
    </w:p>
    <w:p w:rsidR="0084767A" w:rsidRPr="00FC22F0" w:rsidRDefault="0084767A" w:rsidP="0084767A">
      <w:pPr>
        <w:pStyle w:val="NormalBold"/>
      </w:pPr>
      <w:r>
        <w:rPr>
          <w:rStyle w:val="HideTWBExt"/>
          <w:b w:val="0"/>
        </w:rPr>
        <w:t>&lt;RepeatBlock-By&gt;&lt;Members&gt;</w:t>
      </w:r>
      <w:r>
        <w:t>Irene Tinagli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je pomanjkanje cenovno dostopnih, primernih in socialnih stanovanj, zlasti na območjih velikega povpraševanja, postalo strukturno ozko grlo za mobilnost delovne sile in produktivnost, ki ogroža konkurenčnost v Uniji;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220</w:t>
      </w:r>
      <w:r>
        <w:rPr>
          <w:rStyle w:val="HideTWBExt"/>
          <w:b w:val="0"/>
        </w:rPr>
        <w:t>&lt;/NumAm&gt;</w:t>
      </w:r>
    </w:p>
    <w:p w:rsidR="0084767A" w:rsidRPr="00FC22F0" w:rsidRDefault="0084767A" w:rsidP="0084767A">
      <w:pPr>
        <w:pStyle w:val="NormalBold"/>
      </w:pPr>
      <w:r>
        <w:rPr>
          <w:rStyle w:val="HideTWBExt"/>
          <w:b w:val="0"/>
        </w:rPr>
        <w:t>&lt;RepeatBlock-By&gt;&lt;Members&gt;</w:t>
      </w:r>
      <w:r>
        <w:t>Ralf Seekatz</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bi bilo mogoče nadaljnje naložbe v kritično infrastrukturo spodbuditi z večjo uporabo javno-zasebnih partnerstev; poziva Komisijo, naj o takšnih partnerstvih izda priporočilo državam članicam;</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221</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opozarja, da je bila prejšnja finančna kriza neposredna posledica preveč prizanesljivih predpisov; opozarja, da je imela pretekla finančna kriza dolgotrajne gospodarske učinke na rast, produktivnost in socialno vključenost; poudarja, da je učinkovit in celovit regulativni okvir, ki ga podpirajo trdni mehanizmi za varstvo potrošnikov, ključno gonilo konkurenčnosti bančnega sektorja EU in je bistven za spodbujanje večje udeležbe malih vlagateljev na kapitalskih trgih EU; opozarja, da vrsta študij Baselskega odbora za bančni nadzor kaže, da so reforme Basel III tudi v zahtevnih letih po krizi evropskim bankam pomagale podpreti njihova nacionalna gospodarstva; meni, da sta zagotavljanje ustrezne zaščite malih vlagateljev in obravnavanje obstoječih nasprotij interesov finančnih svetovalcev bistvena za povrnitev zaupanja državljanov EU v finančne trge, s čimer se spodbuja preglednejše, pravičnejše in konkurenčnejše tržno okolje, ki koristi vsem deležnikom; pozdravlja pobude za spodbujanje finančne vključenosti in zagotavljanje dostopa malih vlagateljev do osnovnih finančnih produktov;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222</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pozdravljajo cilj Komisije, ki si ga je zastavila sama, da bo „Komisija za naložbe“ in sprostila financiranje, potrebno za zeleni, digitalni in socialni prehod, ter čim bolj povečala javne naložbe, izkoristila finančni vzvod in zmanjšala tveganje za zasebni kapital;</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223</w:t>
      </w:r>
      <w:r>
        <w:rPr>
          <w:rStyle w:val="HideTWBExt"/>
          <w:b w:val="0"/>
        </w:rPr>
        <w:t>&lt;/NumAm&gt;</w:t>
      </w:r>
    </w:p>
    <w:p w:rsidR="0084767A" w:rsidRPr="00FC22F0" w:rsidRDefault="0084767A" w:rsidP="0084767A">
      <w:pPr>
        <w:pStyle w:val="NormalBold"/>
      </w:pPr>
      <w:r>
        <w:rPr>
          <w:rStyle w:val="HideTWBExt"/>
          <w:b w:val="0"/>
        </w:rPr>
        <w:t>&lt;RepeatBlock-By&gt;&lt;Members&gt;</w:t>
      </w:r>
      <w:r>
        <w:t>Kinga Kollár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5a.</w:t>
            </w:r>
            <w:r>
              <w:tab/>
            </w:r>
            <w:r>
              <w:rPr>
                <w:b/>
                <w:i/>
              </w:rPr>
              <w:t>poudarja, da je treba pospešiti inovacije in poiskati nova gonila za rast, znižati visoke cene energije ter nadaljevati razogljičenje in prehod na krožno gospodarstvo;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224</w:t>
      </w:r>
      <w:r>
        <w:rPr>
          <w:rStyle w:val="HideTWBExt"/>
          <w:b w:val="0"/>
        </w:rPr>
        <w:t>&lt;/NumAm&gt;</w:t>
      </w:r>
    </w:p>
    <w:p w:rsidR="0084767A" w:rsidRPr="00FC22F0" w:rsidRDefault="0084767A" w:rsidP="0084767A">
      <w:pPr>
        <w:pStyle w:val="NormalBold"/>
      </w:pPr>
      <w:r>
        <w:rPr>
          <w:rStyle w:val="HideTWBExt"/>
          <w:b w:val="0"/>
        </w:rPr>
        <w:t>&lt;RepeatBlock-By&gt;&lt;Members&gt;</w:t>
      </w:r>
      <w:r>
        <w:t>Irene Tinagli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5b.</w:t>
            </w:r>
            <w:r>
              <w:tab/>
            </w:r>
            <w:r>
              <w:rPr>
                <w:b/>
                <w:i/>
              </w:rPr>
              <w:t>poziva Komisijo in države članice, naj okrepijo razsežnost stanovanjske politike v evropskem semestru in drugih orodjih za makroekonomsko usklajevanje ter mobilizirajo naložbe in reforme za izboljšanje razmer na področju cenovno dostopnih in socialnih stanovanj, zlasti na območjih velikega povpraševanja, kar je temeljni pogoj za povečanje konkurenčnosti Unije;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225</w:t>
      </w:r>
      <w:r>
        <w:rPr>
          <w:rStyle w:val="HideTWBExt"/>
          <w:b w:val="0"/>
        </w:rPr>
        <w:t>&lt;/NumAm&gt;</w:t>
      </w:r>
    </w:p>
    <w:p w:rsidR="0084767A" w:rsidRPr="00FC22F0" w:rsidRDefault="0084767A" w:rsidP="0084767A">
      <w:pPr>
        <w:pStyle w:val="NormalBold"/>
      </w:pPr>
      <w:r>
        <w:rPr>
          <w:rStyle w:val="HideTWBExt"/>
          <w:b w:val="0"/>
        </w:rPr>
        <w:t>&lt;RepeatBlock-By&gt;&lt;Members&gt;</w:t>
      </w:r>
      <w:r>
        <w:t>Johan Van Overtveldt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5b.</w:t>
            </w:r>
            <w:r>
              <w:tab/>
            </w:r>
            <w:r>
              <w:rPr>
                <w:b/>
                <w:i/>
              </w:rPr>
              <w:t>poudarja, da za številne reforme, potrebne za odpravo naložbene vrzeli, niso potrebna finančna sredstva, temveč politična odločnost za izvajanje teh reform;</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226</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5b.</w:t>
            </w:r>
            <w:r>
              <w:tab/>
            </w:r>
            <w:r>
              <w:rPr>
                <w:b/>
                <w:i/>
              </w:rPr>
              <w:t>poziva k reformam, ki bodo malim podjetjem olajšale registracijo za DDV v vsej EU, tudi elektronsko;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227</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5b.</w:t>
            </w:r>
            <w:r>
              <w:tab/>
            </w:r>
            <w:r>
              <w:rPr>
                <w:b/>
                <w:i/>
              </w:rPr>
              <w:t>je seznanjen z ugotovitvijo organa EIOPA, da donos zavarovalnih naložbenih produktov v obdobju 2020–2023 ni presegel ravni inflacije, kar pomeni, da so varčevalci v EU realno izgubili premoženje; obžaluje, da varčevalci v EU plačujejo višje pristojbine kot varčevalci drugod po svetu, in zato njihov donos ni sorazmeren s tveganji, ki jih nosijo; je zaskrbljen, ker sedanji model distribucije male vlagatelje spodbuja k vlaganju v neproizvodna sredstva, kot so kriptosredstva; poziva Komisijo, naj sprejme odločne ukrepe za reformo modela distribucije finančnih produktov EU; še vedno meni, da je prepoved spodbud najboljši način za reševanje tega vprašanja;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228</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5c.</w:t>
            </w:r>
            <w:r>
              <w:tab/>
            </w:r>
            <w:r>
              <w:rPr>
                <w:b/>
                <w:i/>
              </w:rPr>
              <w:t>poziva Komisijo, naj pregleda bonitetni okvir za investicijska podjetja v skladu z uredbo IFR/IFD, da bi zagotovila, da bo sorazmeren in bo ustrezal svojemu namenu; poudarja, da investicijska podjetja, ki delujejo kot vzdrževalci trga, zagotavljajo pomembno likvidnost trga; ponovno poudarja, da bi bilo treba omejitve, ki bi lahko neupravičeno zmanjšale likvidnost, ki jo zagotavljajo investicijska podjetja, ali bi manjša podjetja odvrnile od vstopa na trg, obravnavati z zakonodajnimi spremembami;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229</w:t>
      </w:r>
      <w:r>
        <w:rPr>
          <w:rStyle w:val="HideTWBExt"/>
          <w:b w:val="0"/>
        </w:rPr>
        <w:t>&lt;/NumAm&gt;</w:t>
      </w:r>
    </w:p>
    <w:p w:rsidR="0084767A" w:rsidRPr="00FC22F0" w:rsidRDefault="0084767A" w:rsidP="0084767A">
      <w:pPr>
        <w:pStyle w:val="NormalBold"/>
      </w:pPr>
      <w:r>
        <w:rPr>
          <w:rStyle w:val="HideTWBExt"/>
          <w:b w:val="0"/>
        </w:rPr>
        <w:t>&lt;RepeatBlock-By&gt;&lt;Members&gt;</w:t>
      </w:r>
      <w:r>
        <w:t>Irene Tinagli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5c.</w:t>
            </w:r>
            <w:r>
              <w:tab/>
            </w:r>
            <w:r>
              <w:rPr>
                <w:b/>
                <w:i/>
              </w:rPr>
              <w:t>poziva h krepitvi evropske socialne države, vključno z univerzalnim dostopom do kakovostnih javnih storitev, stanovanj, mobilnosti in otroškega varstva, kot pogoja za zagotovitev socialne kohezije med prehodom na bolj digitalno in zeleno gospodarstvo;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230</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5c.</w:t>
            </w:r>
            <w:r>
              <w:tab/>
            </w:r>
            <w:r>
              <w:rPr>
                <w:b/>
                <w:i/>
              </w:rPr>
              <w:t>ugotavlja, da je finančni sektor EU vzdržal nedavne gospodarske in finančne pretrese, ki so jih sprožili ruska agresija na Ukrajino ali odločitve Trumpove administracije o uvedbi enostranskih tarif; poudarja, da je robustnost finančnega sektorja ključni element njegove konkurenčnosti; v zvezi s tem poudarja, da bi bilo treba reforme, ki so bile sprejete po finančni krizi, ohraniti in dokončati; poudarja, da bi samo popolno izvajanje baselskih standardov zagotovilo finančno stabilnost bank EU; ugotavlja, da je bil leta 2024 večji delež portfelja sredstev zavarovateljev sestavljen iz podjetniških obveznic in lastniških vrednostnih papirjev kot leta 2017; poudarja, da to dokazuje, da direktiva Solventnost 2, ki je trden bonitetni okvir, ni zavrla naložb zavarovateljev v realno gospodarstvo, temveč jih je spodbujala; meni, da je treba pri dokončanju pregleda direktive Solventnost 2 ohraniti bonitetno trdnost okvira;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231</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5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5d.</w:t>
            </w:r>
            <w:r>
              <w:tab/>
            </w:r>
            <w:r>
              <w:rPr>
                <w:b/>
                <w:i/>
              </w:rPr>
              <w:t>opozarja, da je dokončanje bančne unije pomemben element unije prihrankov in naložb; meni, da je pregled okvira za krizno upravljanje in jamstva za vloge le eden od potrebnih korakov v to smer; opozarja, da je Odbor Evropskega parlamenta za ekonomske in monetarne zadeve aprila 2024 sprejel stališče o predlogu Komisije za vzpostavitev evropskega sistema jamstva za vloge (EDIS); opozarja, da bi evropski sistem jamstva za vloge zagotovil enako raven varnosti za vse vlagatelje, ne glede na to, kje v bančni uniji se nahajajo, prekinil povezavo med bankami in državami ter znatno prispeval k povezovanju bančnega sektorja; ostaja v celoti zavezan dokončanju bančne unije, vključno s celovitim evropskim sistemom jamstva za vloge;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232</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Podnaslov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 xml:space="preserve">Mobilizacija zasebnih naložb in </w:t>
            </w:r>
            <w:r>
              <w:rPr>
                <w:b/>
                <w:i/>
              </w:rPr>
              <w:t>olajšanje</w:t>
            </w:r>
            <w:r>
              <w:t xml:space="preserve"> dostopa do financiranja</w:t>
            </w:r>
          </w:p>
        </w:tc>
        <w:tc>
          <w:tcPr>
            <w:tcW w:w="4876" w:type="dxa"/>
            <w:tcBorders>
              <w:top w:val="nil"/>
              <w:left w:val="nil"/>
              <w:bottom w:val="nil"/>
              <w:right w:val="nil"/>
            </w:tcBorders>
          </w:tcPr>
          <w:p w:rsidR="0084767A" w:rsidRPr="00FC22F0" w:rsidRDefault="0084767A" w:rsidP="003E4EAF">
            <w:pPr>
              <w:pStyle w:val="Normal6a"/>
            </w:pPr>
            <w:r>
              <w:t xml:space="preserve">Mobilizacija zasebnih naložb in </w:t>
            </w:r>
            <w:r>
              <w:rPr>
                <w:b/>
                <w:i/>
              </w:rPr>
              <w:t>spodbujanje</w:t>
            </w:r>
            <w:r>
              <w:t xml:space="preserve"> dostopa do financiranja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233</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Podnaslov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Mobilizacija zasebnih naložb in olajšanje dostopa do financiranja</w:t>
            </w:r>
          </w:p>
        </w:tc>
        <w:tc>
          <w:tcPr>
            <w:tcW w:w="4876" w:type="dxa"/>
            <w:tcBorders>
              <w:top w:val="nil"/>
              <w:left w:val="nil"/>
              <w:bottom w:val="nil"/>
              <w:right w:val="nil"/>
            </w:tcBorders>
          </w:tcPr>
          <w:p w:rsidR="0084767A" w:rsidRPr="00FC22F0" w:rsidRDefault="0084767A" w:rsidP="003E4EAF">
            <w:pPr>
              <w:pStyle w:val="Normal6a"/>
            </w:pPr>
            <w:r>
              <w:t>Mobilizacija zasebnih naložb in olajšanje dostopa do financiranja</w:t>
            </w:r>
            <w:r>
              <w:rPr>
                <w:b/>
                <w:i/>
              </w:rPr>
              <w:t xml:space="preserve"> z razvojem unije prihrankov in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234</w:t>
      </w:r>
      <w:r>
        <w:rPr>
          <w:rStyle w:val="HideTWBExt"/>
          <w:b w:val="0"/>
        </w:rPr>
        <w:t>&lt;/NumAm&gt;</w:t>
      </w:r>
    </w:p>
    <w:p w:rsidR="0084767A" w:rsidRPr="00FC22F0" w:rsidRDefault="0084767A" w:rsidP="0084767A">
      <w:pPr>
        <w:pStyle w:val="NormalBold"/>
      </w:pPr>
      <w:r>
        <w:rPr>
          <w:rStyle w:val="HideTWBExt"/>
          <w:b w:val="0"/>
        </w:rPr>
        <w:t>&lt;RepeatBlock-By&gt;&lt;Members&gt;</w:t>
      </w:r>
      <w:r>
        <w:t>Stéphanie Yon-Courtin, Gilles Boyer,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r>
            <w:r>
              <w:rPr>
                <w:b/>
                <w:i/>
              </w:rPr>
              <w:t>meni</w:t>
            </w:r>
            <w:r>
              <w:t xml:space="preserve">, da </w:t>
            </w:r>
            <w:r>
              <w:rPr>
                <w:b/>
                <w:i/>
              </w:rPr>
              <w:t>bodo kapitalski trgi</w:t>
            </w:r>
            <w:r>
              <w:t xml:space="preserve"> EU</w:t>
            </w:r>
            <w:r>
              <w:rPr>
                <w:b/>
                <w:i/>
              </w:rPr>
              <w:t xml:space="preserve"> privlačnejši</w:t>
            </w:r>
            <w:r>
              <w:t xml:space="preserve">, </w:t>
            </w:r>
            <w:r>
              <w:rPr>
                <w:b/>
                <w:i/>
              </w:rPr>
              <w:t>če</w:t>
            </w:r>
            <w:r>
              <w:t xml:space="preserve"> bo </w:t>
            </w:r>
            <w:r>
              <w:rPr>
                <w:b/>
                <w:i/>
              </w:rPr>
              <w:t>njen notranji trg še bolj povezan in če bodo ustvarjene</w:t>
            </w:r>
            <w:r>
              <w:t xml:space="preserve"> gospodarske priložnosti za zasebne </w:t>
            </w:r>
            <w:r>
              <w:rPr>
                <w:b/>
                <w:i/>
              </w:rPr>
              <w:t>naložbe</w:t>
            </w:r>
            <w:r>
              <w:t xml:space="preserve">, </w:t>
            </w:r>
            <w:r>
              <w:rPr>
                <w:b/>
                <w:i/>
              </w:rPr>
              <w:t>prek katerih bi lahko dosegli višje</w:t>
            </w:r>
            <w:r>
              <w:t xml:space="preserv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r>
            <w:r>
              <w:rPr>
                <w:b/>
                <w:i/>
              </w:rPr>
              <w:t>priznava, da je ena od glavnih ovir za oblikovanje unije prihrankov in naložb še vedno razdrobljenost finančnih trgov EU;</w:t>
            </w:r>
            <w:r>
              <w:t xml:space="preserve"> </w:t>
            </w:r>
            <w:r>
              <w:rPr>
                <w:b/>
                <w:i/>
              </w:rPr>
              <w:t>meni</w:t>
            </w:r>
            <w:r>
              <w:t xml:space="preserve">, </w:t>
            </w:r>
            <w:r>
              <w:rPr>
                <w:b/>
                <w:i/>
              </w:rPr>
              <w:t>da</w:t>
            </w:r>
            <w:r>
              <w:t xml:space="preserve"> bo </w:t>
            </w:r>
            <w:r>
              <w:rPr>
                <w:b/>
                <w:i/>
              </w:rPr>
              <w:t>za oblikovanje privlačnega in konkurenčnega kapitalskega trga EU med drugim potrebno nadaljnje povezovanje nacionalnih kapitalskih trgov, nadaljnja harmonizacija na nekaterih področjih politike, skladnejši pristop k nadzornim praksam, pa tudi boljše</w:t>
            </w:r>
            <w:r>
              <w:t xml:space="preserve"> gospodarske priložnosti za zasebne </w:t>
            </w:r>
            <w:r>
              <w:rPr>
                <w:b/>
                <w:i/>
              </w:rPr>
              <w:t>vlagatelje</w:t>
            </w:r>
            <w:r>
              <w:t xml:space="preserve">, </w:t>
            </w:r>
            <w:r>
              <w:rPr>
                <w:b/>
                <w:i/>
              </w:rPr>
              <w:t>ki ponujajo dobre</w:t>
            </w:r>
            <w:r>
              <w:t xml:space="preserv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r>
              <w:rPr>
                <w:b/>
                <w:i/>
              </w:rPr>
              <w:t xml:space="preserve"> ter za podjetja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235</w:t>
      </w:r>
      <w:r>
        <w:rPr>
          <w:rStyle w:val="HideTWBExt"/>
          <w:b w:val="0"/>
        </w:rPr>
        <w:t>&lt;/NumAm&gt;</w:t>
      </w:r>
    </w:p>
    <w:p w:rsidR="0084767A" w:rsidRPr="00FC22F0" w:rsidRDefault="0084767A" w:rsidP="0084767A">
      <w:pPr>
        <w:pStyle w:val="NormalBold"/>
      </w:pPr>
      <w:r>
        <w:rPr>
          <w:rStyle w:val="HideTWBExt"/>
          <w:b w:val="0"/>
        </w:rPr>
        <w:t>&lt;RepeatBlock-By&gt;&lt;Members&gt;</w:t>
      </w:r>
      <w:r>
        <w:t>Auke Zijlstra, Enikő Győri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w:t>
            </w:r>
            <w:r>
              <w:rPr>
                <w:b/>
                <w:i/>
              </w:rPr>
              <w:t>povezan in</w:t>
            </w:r>
            <w:r>
              <w:t xml:space="preserve">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w:t>
            </w:r>
            <w:r>
              <w:rPr>
                <w:b/>
                <w:i/>
              </w:rPr>
              <w:t>poglobljen,</w:t>
            </w:r>
            <w:r>
              <w:t xml:space="preserve"> če bodo ustvarjene gospodarske priložnosti za zasebne naložbe, prek katerih bi lahko dosegli višje donose</w:t>
            </w:r>
            <w:r>
              <w:rPr>
                <w:b/>
                <w:i/>
              </w:rPr>
              <w:t>, ter če bo izvedena usmerjena, a ambiciozna deregulacija, na primer z razveljavitvijo direktive o poročanju podjetij o trajnostnosti in direktive o skrbnem pregledu v podjetjih glede trajnostnosti, kar bi omogočilo znižanje stroškov zagotavljanja skladnosti in višje donose; poudarja, da gospodarskih priložnosti ne more ustvariti zakonodajalec, temveč podjetništvo; poudarja, da lahko zakonodajalec ustvari le regulativno okolje, ki spodbuja podjetništvo</w:t>
            </w:r>
            <w:r>
              <w:t>; poziva Komisijo in države članice, naj pripravijo rešitve, najsibo zakonodajne ali nezakonodajne</w:t>
            </w:r>
            <w:r>
              <w:rPr>
                <w:b/>
                <w:i/>
              </w:rPr>
              <w:t>, vključno z deregulacijo</w:t>
            </w:r>
            <w:r>
              <w:t>, za spodbujanje oblikovanja vseevropskega kapitalskega trga, ki bo dovolj velik, likviden, globok in pregleden, da bo privlačen tako za vlagatelje s sedežem v EU kot za mednarodne vlagatelje</w:t>
            </w:r>
            <w:r>
              <w:rPr>
                <w:b/>
                <w:i/>
              </w:rPr>
              <w:t>, brez poseganja v potrebo po ustreznem pregledu tujih naložb</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236</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ugotavlja, da so evropski kapitalski trgi trenutno še vedno zelo razdrobljeni, pri čemer so evropski investicijski skladi skoraj sedemkrat manjši kot ameriški skladi</w:t>
            </w:r>
            <w:r>
              <w:rPr>
                <w:b/>
                <w:i/>
                <w:vertAlign w:val="superscript"/>
              </w:rPr>
              <w:t>1a</w:t>
            </w:r>
            <w:r>
              <w:rPr>
                <w:b/>
                <w:i/>
              </w:rPr>
              <w:t>; meni, da to škodi konkurenčnosti sektorja investicijskih skladov EU v primerjavi s svetovnimi konkurenti, saj je velikost sklada ključni dejavnik, ki vpliva na stroške, ki se zaračunajo končnim vlagateljem; meni, da bi lahko bolj povezan čezmejni trg skladov v EU sčasoma povečal obseg skladov in učinkovitost, kar bi, preneseno na male vlagatelje, prispevalo k znižanju stroškov in zagotavljanju večje stroškovne učinkovitosti za končne vlagatelje;</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Noyerjevo poročilo, str. 62 https://www.tresor.economie.gouv.fr/Articles/e3283a8f-69de-46c2-9b8a-4b8836394798/files/6b8593b5-ca31-45a3-b61c-11c95cf0fc4b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237</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višje donose; poziva Komisijo in države članice, naj pripravijo </w:t>
            </w:r>
            <w:r>
              <w:rPr>
                <w:b/>
                <w:i/>
              </w:rPr>
              <w:t xml:space="preserve">rešitve, najsibo </w:t>
            </w:r>
            <w:r>
              <w:t xml:space="preserve">zakonodajne </w:t>
            </w:r>
            <w:r>
              <w:rPr>
                <w:b/>
                <w:i/>
              </w:rPr>
              <w:t>ali nezakonodajne,</w:t>
            </w:r>
            <w:r>
              <w:t xml:space="preserv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w:t>
            </w:r>
            <w:r>
              <w:rPr>
                <w:b/>
                <w:i/>
              </w:rPr>
              <w:t xml:space="preserve"> za državljane in podjetja</w:t>
            </w:r>
            <w:r>
              <w:t xml:space="preserve">; poziva Komisijo in države članice, naj pripravijo zakonodajne </w:t>
            </w:r>
            <w:r>
              <w:rPr>
                <w:b/>
                <w:i/>
              </w:rPr>
              <w:t>rešitve</w:t>
            </w:r>
            <w:r>
              <w:t xml:space="preserve"> za spodbujanje oblikovanja vseevropskega kapitalskega trga, ki bo dovolj velik, likviden, globok in pregleden, da bo privlačen tako za vlagatelje s sedežem v EU kot za mednarodne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238</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w:t>
            </w:r>
            <w:r>
              <w:rPr>
                <w:b/>
                <w:i/>
              </w:rPr>
              <w:t>bodo ustvarjene</w:t>
            </w:r>
            <w:r>
              <w:t xml:space="preserv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w:t>
            </w:r>
            <w:r>
              <w:rPr>
                <w:b/>
                <w:i/>
              </w:rPr>
              <w:t>bo ustvarjeno regulativno okolje, ki bo spodbujalo konkurenčnost podjetij EU, in</w:t>
            </w:r>
            <w:r>
              <w:t xml:space="preserv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 </w:t>
            </w:r>
            <w:r>
              <w:rPr>
                <w:b/>
                <w:i/>
              </w:rPr>
              <w:t>v zvezi s tem opozarja na pomen učinkovitega usklajevanja med državami članicami, med finančnimi instrumenti in med politikami;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239</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w:t>
            </w:r>
            <w:r>
              <w:rPr>
                <w:b/>
                <w:i/>
              </w:rPr>
              <w:t>, če bomo poenostavili njen regulativni okvir</w:t>
            </w:r>
            <w:r>
              <w:t xml:space="preserve">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240</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w:t>
            </w:r>
            <w:r>
              <w:rPr>
                <w:b/>
                <w:i/>
              </w:rPr>
              <w:t xml:space="preserve"> poudarja, da je povezovanje kapitalskih trgov nujen steber naložbene strategije Unije, ki bi ga bilo treba dopolniti z dobro zasnovanimi davčnimi spodbudami, da bi čim bolj povečali učinek;</w:t>
            </w:r>
            <w:r>
              <w:t xml:space="preserv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241</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w:t>
            </w:r>
            <w:r>
              <w:rPr>
                <w:b/>
                <w:i/>
              </w:rPr>
              <w:t>za spodbujanje oblikovanja</w:t>
            </w:r>
            <w:r>
              <w:t xml:space="preserve">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w:t>
            </w:r>
            <w:r>
              <w:rPr>
                <w:b/>
                <w:i/>
              </w:rPr>
              <w:t>, njen regulativni okvir poenostavljen</w:t>
            </w:r>
            <w:r>
              <w:t xml:space="preserve"> in če bodo ustvarjene gospodarske priložnosti za zasebne naložbe, prek katerih bi lahko dosegli višje donose; poziva Komisijo in države članice, naj pripravijo rešitve, najsibo zakonodajne ali nezakonodajne, </w:t>
            </w:r>
            <w:r>
              <w:rPr>
                <w:b/>
                <w:i/>
              </w:rPr>
              <w:t>na podlagi že dobro razvitih in dobro delujočih kapitalskih trgov v nekaterih državah članicah, da bi spodbudili oblikovanje</w:t>
            </w:r>
            <w:r>
              <w:t xml:space="preserve"> vseevropskega kapitalskega trga, ki bo dovolj velik, likviden, globok in pregleden, da bo privlačen tako za vlagatelje s sedežem v EU kot za mednarodne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242</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w:t>
            </w:r>
            <w:r>
              <w:rPr>
                <w:b/>
                <w:i/>
              </w:rPr>
              <w:t xml:space="preserve">in integriranega </w:t>
            </w:r>
            <w:r>
              <w:t xml:space="preserve">kapitalskega trga, ki bo dovolj velik, likviden, globok in pregleden, da bo privlačen tako za vlagatelje s sedežem v EU kot za mednarodne vlagatelje; </w:t>
            </w:r>
            <w:r>
              <w:rPr>
                <w:b/>
                <w:i/>
              </w:rPr>
              <w:t>opozarja, da je možnost višjih naložbenih donosov ključna spodbuda za udeležbo malih vlagateljev na kapitalskih trgih;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w:t>
            </w:r>
            <w:r>
              <w:rPr>
                <w:b/>
                <w:i/>
              </w:rPr>
              <w:t xml:space="preserve"> poudarja, da so donosi ogroženi zaradi visokih stroškov, povezanih z naložbami v evropske finančne trge;</w:t>
            </w:r>
            <w:r>
              <w:t xml:space="preserv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244</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 </w:t>
            </w:r>
            <w:r>
              <w:rPr>
                <w:b/>
                <w:i/>
              </w:rPr>
              <w:t>poziva Komisijo, naj poenostavi sedanje trgovinsko okolje in spodbuja pošteno konkurenco med večstranskimi in dvostranskimi mesti trgovanja, da bi spodbudila večjo dejavnost na povezanih trgih; spodbuja tudi pregled okvira MiFID II/R, da bi izboljšali preglednost dvostranskega trgovanja in obravnavali vse večji prehod na takšna mesta, kar bi lahko ogrozilo oblikovanje cen, odpornost trga ter pravičnost za izdajatelje in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245</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r>
              <w:rPr>
                <w:b/>
                <w:i/>
              </w:rPr>
              <w:t xml:space="preserve"> ter bo hkrati zagotavljal varstvo potrošnikov in varoval finančno stabilnost</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246</w:t>
      </w:r>
      <w:r>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Billy Kelleher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višje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 </w:t>
            </w:r>
            <w:r>
              <w:rPr>
                <w:b/>
                <w:i/>
              </w:rPr>
              <w:t>v zvezi s tem poudarja, da unija kapitalskih trgov ne bi bila mogoča brez dokončanja bančne unije;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247</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w:t>
            </w:r>
            <w:r>
              <w:rPr>
                <w:b/>
                <w:i/>
              </w:rPr>
              <w:t>višje</w:t>
            </w:r>
            <w:r>
              <w:t xml:space="preserve"> donose; poziva Komisijo in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c>
          <w:tcPr>
            <w:tcW w:w="4876" w:type="dxa"/>
            <w:tcBorders>
              <w:top w:val="nil"/>
              <w:left w:val="nil"/>
              <w:bottom w:val="nil"/>
              <w:right w:val="nil"/>
            </w:tcBorders>
          </w:tcPr>
          <w:p w:rsidR="0084767A" w:rsidRPr="00FC22F0" w:rsidRDefault="0084767A" w:rsidP="003E4EAF">
            <w:pPr>
              <w:pStyle w:val="Normal6a"/>
            </w:pPr>
            <w:r>
              <w:t>6.</w:t>
            </w:r>
            <w:r>
              <w:tab/>
              <w:t xml:space="preserve">meni, da bodo kapitalski trgi EU privlačnejši, če bo njen notranji trg še bolj povezan in če bodo ustvarjene gospodarske priložnosti za zasebne naložbe, prek katerih bi lahko dosegli </w:t>
            </w:r>
            <w:r>
              <w:rPr>
                <w:b/>
                <w:i/>
              </w:rPr>
              <w:t>nižje stroške financiranja, zmanjšanje trenj in končno tudi privlačnejše</w:t>
            </w:r>
            <w:r>
              <w:t xml:space="preserve"> donose; poziva Komisijo in</w:t>
            </w:r>
            <w:r>
              <w:rPr>
                <w:b/>
                <w:i/>
              </w:rPr>
              <w:t xml:space="preserve"> predvsem</w:t>
            </w:r>
            <w:r>
              <w:t xml:space="preserve"> države članice, naj pripravijo rešitve, najsibo zakonodajne ali nezakonodajne, za spodbujanje oblikovanja vseevropskega kapitalskega trga, ki bo dovolj velik, likviden, globok in pregleden, da bo privlačen tako za vlagatelje s sedežem v EU kot za mednarodne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248</w:t>
      </w:r>
      <w:r>
        <w:rPr>
          <w:rStyle w:val="HideTWBExt"/>
          <w:b w:val="0"/>
        </w:rPr>
        <w:t>&lt;/NumAm&gt;</w:t>
      </w:r>
    </w:p>
    <w:p w:rsidR="0084767A" w:rsidRPr="00FC22F0" w:rsidRDefault="0084767A" w:rsidP="0084767A">
      <w:pPr>
        <w:pStyle w:val="NormalBold"/>
      </w:pPr>
      <w:r>
        <w:rPr>
          <w:rStyle w:val="HideTWBExt"/>
          <w:b w:val="0"/>
        </w:rPr>
        <w:t>&lt;RepeatBlock-By&gt;&lt;Members&gt;</w:t>
      </w:r>
      <w:r>
        <w:t>Fabio De Masi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ugotavlja, da so bančni krediti običajno manj nestanovitni kot kratkoročni kapitalski tokovi in ostajajo pomemben vir podjetniškega financiranja, saj banke bolje razumejo regionalne trge in poslovne modele, kapitalski trgi pa trpijo zaradi večjega črednega nagona in asimetrije informacij; čeprav lahko unija kapitalskih trgov poveča produktivnost na evropskih finančnih trgih z okrepljenim dodeljevanjem in financiranjem večjih naložb, ki zahtevajo obseg, na primer v umetno inteligenco, ni mogoče pričakovati, da bo znatno povečala povpraševanje po zasebnih naložbah in je za mala in srednja podjetja pogosto predraga; v ta namen bi morale vlade povečati javne naložbe in s tem privabiti zasebne naložbe;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249</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ugotavlja, da je Mario Draghi v svojem poročilu opredelil nerazvitost predhodno financiranih javnih, poklicnih in zasebnih pokojninskih sistemov v državah članicah EU kot pomemben omejevalni dejavnik za razvoj kapitalskih trgov; poudarja, da so predhodno financirani pokojninski sistemi, kjer se določeni prispevki vlagajo v kapitalske trge in ne prek dokladnih sistemov, ključni za usmerjanje dolgoročnih naložb v realno gospodarstvo; podpira socialne partnerje v državah članicah EU pri razvoju poklicnih pokojninskih načrtov; priznava koristi večjih dodelitev zavarovateljev in poklicnih pokojninskih skladov v lastniške vrednostne papirje in investicijske sklade, če so ti finančno stabilni;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250</w:t>
      </w:r>
      <w:r>
        <w:rPr>
          <w:rStyle w:val="HideTWBExt"/>
          <w:b w:val="0"/>
        </w:rPr>
        <w:t>&lt;/NumAm&gt;</w:t>
      </w:r>
    </w:p>
    <w:p w:rsidR="0084767A" w:rsidRPr="00FC22F0" w:rsidRDefault="0084767A" w:rsidP="0084767A">
      <w:pPr>
        <w:pStyle w:val="NormalBold"/>
      </w:pPr>
      <w:r>
        <w:rPr>
          <w:rStyle w:val="HideTWBExt"/>
          <w:b w:val="0"/>
        </w:rPr>
        <w:t>&lt;RepeatBlock-By&gt;&lt;Members&gt;</w:t>
      </w:r>
      <w:r>
        <w:t>Pascal Canfin, Stéphanie Yon-Courtin, Gilles Boyer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poziva Komisijo, naj v okviru rešitev za povečanje naložb v Evropi oblikuje nov instrument za zasebne naložbe, ki bo brez tveganja zaradi proračunskega jamstva EU, da bi sprostili sredstva za obsežno razogljičenje in konkurenčnost v Evropi; poudarja, da bi se s tem instrumentom zbrala zasebna sredstva iz pokojnin, zavarovanj in prihrankov prek obveznic naložbenega razreda, za katere se zmanjša tveganje z javnim jamstvom EU, in bi deloval prek podskladov, ki bi pokrivali lastniški kapital v zgodnji fazi, lastniški kapital za rast in jamstvene instrumente za financiranje projektov;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251</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meni, da bo unija kapitalskih trgov koristila potrošnikom ter malim in srednjim podjetjem, saj bo ponujala priložnosti za naložbe z visokim donosom v realno gospodarstvo in bo sčasoma okrepila trg tveganega kapitala z izboljšanjem dostopa do raznolikih virov financiranja; meni, da bi moralo imeti prednost financiranje evropskih podjetij v razširitveni fazi z evropskim kapitalom, kot ponazarja pobuda za evropske tehnološke prvake, ki se je začela februarja 2023, namenjena pa je financiranju obetavnih evropskih tehnoloških podjetij;</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poudarja, da se velikost, globina in likvidnost kapitalskih trgov med državami članicami zelo razlikujejo, pri čemer so nekatere države članice bistveno uspešnejše pri zagotavljanju privlačnih primarnih in sekundarnih trgov za podjetja ter pri spodbujanju državljanov k naložbam na teh trgih; poziva Komisijo, naj opredeli primere dobre prakse in jih vključi v delovno področje unije prihrankov in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253</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poziva Komisijo, naj ponovno oceni sedanji regulativni okvir MiFID II/R, da bi zmanjšala zapletenost trgovalnega okolja, povečala preglednost dvostranskega trgovanja in zagotovila enake konkurenčne pogoje med večstranskimi in dvostranskimi mesti, s čimer bi na koncu spodbudila trgovanje na povezanih trgih, kar bi koristilo izdajateljem, vlagateljem, učinkovitemu oblikovanju cen in odpornosti kapitalskih trgov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254</w:t>
      </w:r>
      <w:r>
        <w:rPr>
          <w:rStyle w:val="HideTWBExt"/>
          <w:b w:val="0"/>
        </w:rPr>
        <w:t>&lt;/NumAm&gt;</w:t>
      </w:r>
    </w:p>
    <w:p w:rsidR="0084767A" w:rsidRPr="00FC22F0" w:rsidRDefault="0084767A" w:rsidP="0084767A">
      <w:pPr>
        <w:pStyle w:val="NormalBold"/>
      </w:pPr>
      <w:r>
        <w:rPr>
          <w:rStyle w:val="HideTWBExt"/>
          <w:b w:val="0"/>
        </w:rPr>
        <w:t>&lt;RepeatBlock-By&gt;&lt;Members&gt;</w:t>
      </w:r>
      <w:r>
        <w:t>Irene Tinagli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poudarja, da vrzeli v financiranju inovacij v Evropski uniji ni mogoče odpraviti zgolj z regulativno harmonizacijo ali izboljšanjem finančnega nadzora; poudarja, da se kapital še naprej steka na trge zunaj Unije, ki imajo pogosto še višje stroške, kar kaže na globlja strukturna vprašanja v naložbenem ekosistemu EU, ki jih je treba obravnavati;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255</w:t>
      </w:r>
      <w:r>
        <w:rPr>
          <w:rStyle w:val="HideTWBExt"/>
          <w:b w:val="0"/>
        </w:rPr>
        <w:t>&lt;/NumAm&gt;</w:t>
      </w:r>
    </w:p>
    <w:p w:rsidR="0084767A" w:rsidRPr="00FC22F0" w:rsidRDefault="0084767A" w:rsidP="0084767A">
      <w:pPr>
        <w:pStyle w:val="NormalBold"/>
      </w:pPr>
      <w:r>
        <w:rPr>
          <w:rStyle w:val="HideTWBExt"/>
          <w:b w:val="0"/>
        </w:rPr>
        <w:t>&lt;RepeatBlock-By&gt;&lt;Members&gt;</w:t>
      </w:r>
      <w:r>
        <w:t>Anouk Van Brug, Billy Kelleher, Engin Eroglu, Stéphanie Yon-Courtin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meni, da bo zasebni kapital ključnega pomena za najučinkovitejšo odpravo naložbene vrzeli, ki jo je ugotovil Mario Draghi; poziva Komisijo, naj pripravi ambiciozne in smiselne predloge za popolno integracijo evropskih kapitalskih trgov in odpravo notranjih ovir za prost pretok kapitala po vsej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256</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poudarja pomen boljšega dostopa do najnovejših informacij o cenah in produktih za male vlagatelje ter priložnostih za prilagojene ponudbe; poziva k ukrepom za lažji dostop do teh informacij; poudarja pomen finančne pismenosti in poziva k posebnim ukrepom za njeno spodbujanje;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257</w:t>
      </w:r>
      <w:r>
        <w:rPr>
          <w:rStyle w:val="HideTWBExt"/>
          <w:b w:val="0"/>
        </w:rPr>
        <w:t>&lt;/NumAm&gt;</w:t>
      </w:r>
    </w:p>
    <w:p w:rsidR="0084767A" w:rsidRPr="00FC22F0" w:rsidRDefault="0084767A" w:rsidP="0084767A">
      <w:pPr>
        <w:pStyle w:val="NormalBold"/>
      </w:pPr>
      <w:r>
        <w:rPr>
          <w:rStyle w:val="HideTWBExt"/>
          <w:b w:val="0"/>
        </w:rPr>
        <w:t>&lt;RepeatBlock-By&gt;&lt;Members&gt;</w:t>
      </w:r>
      <w:r>
        <w:t>Ralf Seekatz</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pozdravlja namero iz sporočila Komisije o uniji prihrankov in naložb, da se z zakonodajnim predlogom za prilagoditev bonitetnih zahtev za banke in zavarovatelje spodbudijo trgi listinjenja, saj je kapitalizacija bank EU že zadostna in se bo povečala z izstopnim pragom iz uredbe o kapitalskih zahtevah.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258</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6a.</w:t>
            </w:r>
            <w:r>
              <w:tab/>
            </w:r>
            <w:r>
              <w:rPr>
                <w:b/>
                <w:i/>
              </w:rPr>
              <w:t>v zvezi s tem poudarja, da mora tak integrirani kapitalski trg zagotoviti enake možnosti za vse države članice, ne glede na njihovo velikost in razvoj njihovih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259</w:t>
      </w:r>
      <w:r>
        <w:rPr>
          <w:rStyle w:val="HideTWBExt"/>
          <w:b w:val="0"/>
        </w:rPr>
        <w:t>&lt;/NumAm&gt;</w:t>
      </w:r>
    </w:p>
    <w:p w:rsidR="0084767A" w:rsidRPr="00FC22F0" w:rsidRDefault="0084767A" w:rsidP="0084767A">
      <w:pPr>
        <w:pStyle w:val="NormalBold"/>
      </w:pPr>
      <w:r>
        <w:rPr>
          <w:rStyle w:val="HideTWBExt"/>
          <w:b w:val="0"/>
        </w:rPr>
        <w:t>&lt;RepeatBlock-By&gt;&lt;Members&gt;</w:t>
      </w:r>
      <w:r>
        <w:t>Ralf Seekatz</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6b.</w:t>
            </w:r>
            <w:r>
              <w:tab/>
            </w:r>
            <w:r>
              <w:rPr>
                <w:b/>
                <w:i/>
              </w:rPr>
              <w:t>poziva k uvedbi skupine indeksov na ravni EU, da bi povečali prepoznavnost, primerljivost in preglednost podjetij v EU, ki kotirajo na borzi, hkrati pa okrepili celovitost trga; ta skupina indeksov bi morala temeljiti na sistemu stalnih informacij, zajemati bi morala vse delnice, ki kotirajo na borzi v EU, in omogočati podindekse za posamezne države, regije in sektorje, da bi zadostili različnim potrebam vlagateljev, izdajateljev in njihovih izmenjav; razvoj in upravljanje indeksov ter njihova uporaba s strani udeležencev na trgu morajo biti stroškovno učinkoviti, da se čim bolj zmanjša breme za udeležence na trgu in čim bolj povečajo pozitivni sekundarni učinki, kot so povečane kotacije na borzi in novi finančni produkti;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260</w:t>
      </w:r>
      <w:r>
        <w:rPr>
          <w:rStyle w:val="HideTWBExt"/>
          <w:b w:val="0"/>
        </w:rPr>
        <w:t>&lt;/NumAm&gt;</w:t>
      </w:r>
    </w:p>
    <w:p w:rsidR="0084767A" w:rsidRPr="00FC22F0" w:rsidRDefault="0084767A" w:rsidP="0084767A">
      <w:pPr>
        <w:pStyle w:val="NormalBold"/>
      </w:pPr>
      <w:r>
        <w:rPr>
          <w:rStyle w:val="HideTWBExt"/>
          <w:b w:val="0"/>
        </w:rPr>
        <w:t>&lt;RepeatBlock-By&gt;&lt;Members&gt;</w:t>
      </w:r>
      <w:r>
        <w:t>Irene Tinagli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6b.</w:t>
            </w:r>
            <w:r>
              <w:tab/>
            </w:r>
            <w:r>
              <w:rPr>
                <w:b/>
                <w:i/>
              </w:rPr>
              <w:t>poudarja, da glavni izziv ni le ponudba investicijskega kapitala, temveč tudi omejena zmogljivost evropskega gospodarstva za uporabo tega kapitala za inovacije z visokim tveganjem in velikim donosom; to odraža kombinacijo makroekonomskih politik, ki ni usmerjena v dolgoročno rast, ter enotni trg, zlasti na področju storitev, ki je še vedno razdrobljen in nima strateške usmeritve;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261</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6b.</w:t>
            </w:r>
            <w:r>
              <w:tab/>
            </w:r>
            <w:r>
              <w:rPr>
                <w:b/>
                <w:i/>
              </w:rPr>
              <w:t>poudarja, da so likvidnost, globina, preglednost in učinkovito oblikovanje cen ključne značilnosti konkurenčnih finančnih trgov; ugotavlja, da je trgovalno okolje v EU še vedno razdrobljeno, tudi kar zadeva različne vrste mest trgovanja; poziva Evropsko komisijo, naj okrepi povezana večstranska mesta trgovanja in zagotovi enake konkurenčne pogoje z dvostranskimi mesti trgovanja;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262</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6b.</w:t>
            </w:r>
            <w:r>
              <w:tab/>
            </w:r>
            <w:r>
              <w:rPr>
                <w:b/>
                <w:i/>
              </w:rPr>
              <w:t>poziva k jasnejšemu osredotočanju na finančno pismenost, saj bi bilo treba izboljšati raven razumevanja zadevnih naložbenih produktov med državljani EU; meni, da je povečanje finančne ozaveščenosti in zaupanja bistveno za uspešno unijo kapitalskih trgov in mobilizacijo zasebnih naložb;</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263</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6b.</w:t>
            </w:r>
            <w:r>
              <w:tab/>
            </w:r>
            <w:r>
              <w:rPr>
                <w:b/>
                <w:i/>
              </w:rPr>
              <w:t>opozarja, da je unija kapitalskih trgov sredstvo za doseganje ciljev Unije in ni sama sebi namen; poziva Komisijo, naj v svojih predlogih za oživitev evropskega proizvodnega aparata upošteva pomen gospodarskih priložnosti;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264</w:t>
      </w:r>
      <w:r>
        <w:rPr>
          <w:rStyle w:val="HideTWBExt"/>
          <w:b w:val="0"/>
        </w:rPr>
        <w:t>&lt;/NumAm&gt;</w:t>
      </w:r>
    </w:p>
    <w:p w:rsidR="0084767A" w:rsidRPr="00FC22F0" w:rsidRDefault="0084767A" w:rsidP="0084767A">
      <w:pPr>
        <w:pStyle w:val="NormalBold"/>
      </w:pPr>
      <w:r>
        <w:rPr>
          <w:rStyle w:val="HideTWBExt"/>
          <w:b w:val="0"/>
        </w:rPr>
        <w:t>&lt;RepeatBlock-By&gt;&lt;Members&gt;</w:t>
      </w:r>
      <w:r>
        <w:t>Irene Tinagli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6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6c.</w:t>
            </w:r>
            <w:r>
              <w:tab/>
            </w:r>
            <w:r>
              <w:rPr>
                <w:b/>
                <w:i/>
              </w:rPr>
              <w:t>poziva k prenovljeni evropski industrijski strategiji, ki bo združevala regulativno harmonizacijo z aktivnimi politikami na strani povpraševanja, kar bo podjetjem omogočilo, da povečajo obseg, uvajajo inovacije in konkurirajo na področju nastajajočih tehnologij na svetovni ravni, hkrati pa ohranjajo zavezanost Unije pošteni konkurenci ter socialni in okoljski trajnosti;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265</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7.</w:t>
            </w:r>
            <w:r>
              <w:tab/>
            </w:r>
            <w:r>
              <w:rPr>
                <w:b/>
                <w:i/>
              </w:rPr>
              <w:t>podpira povezovanje institucionalnih okvirov in tržnih struktur;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rPr>
                <w:b/>
                <w:i/>
              </w:rPr>
              <w:t>črtano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266</w:t>
      </w:r>
      <w:r>
        <w:rPr>
          <w:rStyle w:val="HideTWBExt"/>
          <w:b w:val="0"/>
        </w:rPr>
        <w:t>&lt;/NumAm&gt;</w:t>
      </w:r>
    </w:p>
    <w:p w:rsidR="0084767A" w:rsidRPr="00FC22F0" w:rsidRDefault="0084767A" w:rsidP="0084767A">
      <w:pPr>
        <w:pStyle w:val="NormalBold"/>
      </w:pPr>
      <w:r>
        <w:rPr>
          <w:rStyle w:val="HideTWBExt"/>
          <w:b w:val="0"/>
        </w:rPr>
        <w:t>&lt;RepeatBlock-By&gt;&lt;Members&gt;</w:t>
      </w:r>
      <w:r>
        <w:t>Auke Zijlstra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7.</w:t>
            </w:r>
            <w:r>
              <w:tab/>
            </w:r>
            <w:r>
              <w:rPr>
                <w:b/>
                <w:i/>
              </w:rPr>
              <w:t>podpira povezovanje institucionalnih okvirov in tržnih struktur;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rPr>
                <w:b/>
                <w:i/>
              </w:rPr>
              <w:t>črtano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267</w:t>
      </w:r>
      <w:r>
        <w:rPr>
          <w:rStyle w:val="HideTWBExt"/>
          <w:b w:val="0"/>
        </w:rPr>
        <w:t>&lt;/NumAm&gt;</w:t>
      </w:r>
    </w:p>
    <w:p w:rsidR="0084767A" w:rsidRPr="00FC22F0" w:rsidRDefault="0084767A" w:rsidP="0084767A">
      <w:pPr>
        <w:pStyle w:val="NormalBold"/>
      </w:pPr>
      <w:r>
        <w:rPr>
          <w:rStyle w:val="HideTWBExt"/>
          <w:b w:val="0"/>
        </w:rPr>
        <w:t>&lt;RepeatBlock-By&gt;&lt;Members&gt;</w:t>
      </w:r>
      <w:r>
        <w:t>Fernand Kartheiser, Kristoffer Storm, Nora Junco García, Diego Solier, Jeadis Jeadi (Geadis Geadi)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7.</w:t>
            </w:r>
            <w:r>
              <w:tab/>
            </w:r>
            <w:r>
              <w:rPr>
                <w:b/>
                <w:i/>
              </w:rPr>
              <w:t>podpira povezovanje institucionalnih okvirov in tržnih struktur;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rPr>
                <w:b/>
                <w:i/>
              </w:rPr>
              <w:t>črtano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268</w:t>
      </w:r>
      <w:r>
        <w:rPr>
          <w:rStyle w:val="HideTWBExt"/>
          <w:b w:val="0"/>
        </w:rPr>
        <w:t>&lt;/NumAm&gt;</w:t>
      </w:r>
    </w:p>
    <w:p w:rsidR="0084767A" w:rsidRPr="00FC22F0" w:rsidRDefault="0084767A" w:rsidP="0084767A">
      <w:pPr>
        <w:pStyle w:val="NormalBold"/>
      </w:pPr>
      <w:r>
        <w:rPr>
          <w:rStyle w:val="HideTWBExt"/>
          <w:b w:val="0"/>
        </w:rPr>
        <w:t>&lt;RepeatBlock-By&gt;&lt;Members&gt;</w:t>
      </w:r>
      <w:r>
        <w:t>Pierre Pimpie</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w:t>
            </w:r>
            <w:r>
              <w:rPr>
                <w:b/>
                <w:i/>
              </w:rPr>
              <w:t>povezovanje institucionalnih okvirov</w:t>
            </w:r>
            <w:r>
              <w:t xml:space="preserve"> in </w:t>
            </w:r>
            <w:r>
              <w:rPr>
                <w:b/>
                <w:i/>
              </w:rPr>
              <w:t>tržnih struktur; ponovno poziva, naj se organu ESMA podelijo pooblastila za neposreden nadzor nad vseevropsko tržno infrastrukturo</w:t>
            </w:r>
            <w:r>
              <w:t>;</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w:t>
            </w:r>
            <w:r>
              <w:rPr>
                <w:b/>
                <w:i/>
              </w:rPr>
              <w:t>prizadevanja za izboljšanje učinkovitosti finančnih trgov z okrepljenim sodelovanjem med državami članicami</w:t>
            </w:r>
            <w:r>
              <w:t xml:space="preserve"> in </w:t>
            </w:r>
            <w:r>
              <w:rPr>
                <w:b/>
                <w:i/>
              </w:rPr>
              <w:t>poudarja, da bi moral vsak razvoj nadzorniških odgovornosti nad vseevropskimi tržnimi infrastrukturami v celoti spoštovati načelo subsidiarnosti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269</w:t>
      </w:r>
      <w:r>
        <w:rPr>
          <w:rStyle w:val="HideTWBExt"/>
          <w:b w:val="0"/>
        </w:rPr>
        <w:t>&lt;/NumAm&gt;</w:t>
      </w:r>
    </w:p>
    <w:p w:rsidR="0084767A" w:rsidRPr="00FC22F0" w:rsidRDefault="0084767A" w:rsidP="0084767A">
      <w:pPr>
        <w:pStyle w:val="NormalBold"/>
      </w:pPr>
      <w:r>
        <w:rPr>
          <w:rStyle w:val="HideTWBExt"/>
          <w:b w:val="0"/>
        </w:rPr>
        <w:t>&lt;RepeatBlock-By&gt;&lt;Members&gt;</w:t>
      </w:r>
      <w:r>
        <w:t>Johan Van Overtveldt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w:t>
            </w:r>
            <w:r>
              <w:rPr>
                <w:b/>
                <w:i/>
              </w:rPr>
              <w:t>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270</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w:t>
            </w:r>
            <w:r>
              <w:rPr>
                <w:b/>
                <w:i/>
              </w:rPr>
              <w:t xml:space="preserve"> ponovno poziva</w:t>
            </w:r>
            <w:r>
              <w:t xml:space="preserve">, naj </w:t>
            </w:r>
            <w:r>
              <w:rPr>
                <w:b/>
                <w:i/>
              </w:rPr>
              <w:t>se organu ESMA podelijo</w:t>
            </w:r>
            <w:r>
              <w:t xml:space="preserve"> pooblastila </w:t>
            </w:r>
            <w:r>
              <w:rPr>
                <w:b/>
                <w:i/>
              </w:rPr>
              <w:t>za neposreden nadzor nad vseevropsko tržno infrastrukturo</w:t>
            </w:r>
            <w:r>
              <w:t>;</w:t>
            </w:r>
          </w:p>
        </w:tc>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w:t>
            </w:r>
            <w:r>
              <w:rPr>
                <w:b/>
                <w:i/>
              </w:rPr>
              <w:t>, kjer je zelo verjetno, da bi to prineslo evropsko dodano vrednost</w:t>
            </w:r>
            <w:r>
              <w:t>;</w:t>
            </w:r>
            <w:r>
              <w:rPr>
                <w:b/>
                <w:i/>
              </w:rPr>
              <w:t xml:space="preserve"> poziva Evropsko komisijo</w:t>
            </w:r>
            <w:r>
              <w:t xml:space="preserve">, naj </w:t>
            </w:r>
            <w:r>
              <w:rPr>
                <w:b/>
                <w:i/>
              </w:rPr>
              <w:t>preuči, kje bi lahko neposredna nadzorna</w:t>
            </w:r>
            <w:r>
              <w:t xml:space="preserve"> pooblastila </w:t>
            </w:r>
            <w:r>
              <w:rPr>
                <w:b/>
                <w:i/>
              </w:rPr>
              <w:t>organa ESMA zagotovila takšno dodano vrednost na evropski ravni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271</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r>
            <w:r>
              <w:rPr>
                <w:b/>
                <w:i/>
              </w:rPr>
              <w:t>podpira povezovanje institucionalnih okvirov</w:t>
            </w:r>
            <w:r>
              <w:t xml:space="preserve"> in </w:t>
            </w:r>
            <w:r>
              <w:rPr>
                <w:b/>
                <w:i/>
              </w:rPr>
              <w:t>tržnih struktur</w:t>
            </w:r>
            <w:r>
              <w:t>;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t>7.</w:t>
            </w:r>
            <w:r>
              <w:tab/>
            </w:r>
            <w:r>
              <w:rPr>
                <w:b/>
                <w:i/>
              </w:rPr>
              <w:t>opozarja, da ima organ ESMA že neposredna nadzorna pooblastila nad več finančnimi subjekti, kot so bonitetne agencije, repozitoriji sklenjenih poslov ali centralne nasprotne stranke stopnje 2, ki se nahajajo zunaj EU; meni, da bi bolj evropski nadzorni okvir znatno prispeval k povezovanju</w:t>
            </w:r>
            <w:r>
              <w:t xml:space="preserve"> in </w:t>
            </w:r>
            <w:r>
              <w:rPr>
                <w:b/>
                <w:i/>
              </w:rPr>
              <w:t>poglobitvi kapitalskih trgov EU; meni, da bi bilo mogoče za dosego tega cilja uporabiti postopen pristop</w:t>
            </w:r>
            <w:r>
              <w:t>; ponovno poziva, naj se organu ESMA</w:t>
            </w:r>
            <w:r>
              <w:rPr>
                <w:b/>
                <w:i/>
              </w:rPr>
              <w:t xml:space="preserve"> najprej</w:t>
            </w:r>
            <w:r>
              <w:t xml:space="preserve"> podelijo pooblastila za neposreden nadzor nad vseevropsko tržno infrastrukturo; </w:t>
            </w:r>
            <w:r>
              <w:rPr>
                <w:b/>
                <w:i/>
              </w:rPr>
              <w:t>predlaga, naj organ ESMA postane tudi osrednje podatkovno vozlišče, ki bi centraliziralo poročanje subjektov, za katere veljajo zahteve glede poročanja v skladu z uredbo o trgih finančnih instrumentov in uredbo o infrastrukturi evropskega trga; poziva Komisijo, naj preuči, kako bi lahko ESMA v drugi fazi dobila dodatne nadzorne pristojnosti nad dodatnimi subjekti, kot so mesta trgovanja, investicijski skladi ali veliki upravljavci premoženja;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272</w:t>
      </w:r>
      <w:r>
        <w:rPr>
          <w:rStyle w:val="HideTWBExt"/>
          <w:b w:val="0"/>
        </w:rPr>
        <w:t>&lt;/NumAm&gt;</w:t>
      </w:r>
    </w:p>
    <w:p w:rsidR="0084767A" w:rsidRPr="00FC22F0" w:rsidRDefault="0084767A" w:rsidP="0084767A">
      <w:pPr>
        <w:pStyle w:val="NormalBold"/>
      </w:pPr>
      <w:r>
        <w:rPr>
          <w:rStyle w:val="HideTWBExt"/>
          <w:b w:val="0"/>
        </w:rPr>
        <w:t>&lt;RepeatBlock-By&gt;&lt;Members&gt;</w:t>
      </w:r>
      <w:r>
        <w:t>Regina Doherty, Martine Kemp, 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w:t>
            </w:r>
            <w:r>
              <w:rPr>
                <w:b/>
                <w:i/>
              </w:rPr>
              <w:t>povezovanje institucionalnih okvirov</w:t>
            </w:r>
            <w:r>
              <w:t xml:space="preserve"> in </w:t>
            </w:r>
            <w:r>
              <w:rPr>
                <w:b/>
                <w:i/>
              </w:rPr>
              <w:t>tržnih struktur</w:t>
            </w:r>
            <w:r>
              <w:t>;</w:t>
            </w:r>
            <w:r>
              <w:rPr>
                <w:b/>
                <w:i/>
              </w:rPr>
              <w:t xml:space="preserve"> ponovno poziva</w:t>
            </w:r>
            <w:r>
              <w:t xml:space="preserve">, </w:t>
            </w:r>
            <w:r>
              <w:rPr>
                <w:b/>
                <w:i/>
              </w:rPr>
              <w:t>naj se organu ESMA podelijo pooblastila</w:t>
            </w:r>
            <w:r>
              <w:t xml:space="preserve"> za </w:t>
            </w:r>
            <w:r>
              <w:rPr>
                <w:b/>
                <w:i/>
              </w:rPr>
              <w:t>neposreden nadzor nad vseevropsko tržno infrastrukturo</w:t>
            </w:r>
            <w:r>
              <w:t>;</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w:t>
            </w:r>
            <w:r>
              <w:rPr>
                <w:b/>
                <w:i/>
              </w:rPr>
              <w:t>tesnejše sodelovanje med organom ESMA in nacionalnimi nadzornimi organi na podlagi enakosti, pri čemer poudarja pomen pravične in uravnotežene porazdelitve nadzornih pooblastil, ki spoštuje nacionalne posebnosti</w:t>
            </w:r>
            <w:r>
              <w:t xml:space="preserve"> in </w:t>
            </w:r>
            <w:r>
              <w:rPr>
                <w:b/>
                <w:i/>
              </w:rPr>
              <w:t>načelo subsidiarnosti;</w:t>
            </w:r>
            <w:r>
              <w:t xml:space="preserve"> </w:t>
            </w:r>
            <w:r>
              <w:rPr>
                <w:b/>
                <w:i/>
              </w:rPr>
              <w:t>poudarja ključno vlogo nacionalnih nadzornih organov, vključno z vrednostjo njihovega obstoječega institucionalnega znanja, pa tudi njihovih obstoječih nadzornih zmogljivosti in strokovnega znanja, zaradi česar lahko najbolje razumejo lokalne razmere; poudarja, da je večjo konvergenco nadzora najlaže doseči z okrepljenim sodelovanjem na podlagi enakosti in skupnih ciljev, kar bi olajšalo izmenjavo primerov dobre prakse, zmanjšalo čezmerno prenašanje zakonodaje in optimalno izkoristilo obstoječe vire; poziva k predlogu za pospešitev takšnega okrepljenega sodelovanja med nacionalnimi nadzorniki in organom ESMA;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273</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w:t>
            </w:r>
            <w:r>
              <w:rPr>
                <w:b/>
                <w:i/>
              </w:rPr>
              <w:t>ponovno</w:t>
            </w:r>
            <w:r>
              <w:t xml:space="preserve"> poziva, naj se </w:t>
            </w:r>
            <w:r>
              <w:rPr>
                <w:b/>
                <w:i/>
              </w:rPr>
              <w:t>organu ESMA podelijo pooblastila za neposreden</w:t>
            </w:r>
            <w:r>
              <w:t xml:space="preserve"> nadzor </w:t>
            </w:r>
            <w:r>
              <w:rPr>
                <w:b/>
                <w:i/>
              </w:rPr>
              <w:t>nad vseevropsko tržno infrastrukturo</w:t>
            </w:r>
            <w:r>
              <w:t>;</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w:t>
            </w:r>
            <w:r>
              <w:rPr>
                <w:b/>
                <w:i/>
              </w:rPr>
              <w:t xml:space="preserve">nadaljnje </w:t>
            </w:r>
            <w:r>
              <w:t xml:space="preserve">povezovanje institucionalnih okvirov in tržnih struktur; </w:t>
            </w:r>
            <w:r>
              <w:rPr>
                <w:b/>
                <w:i/>
              </w:rPr>
              <w:t>poziva evropske nadzorne organe, naj okrepijo konvergenco svojih praks, da bi pospešili povezovanje kapitalskih trgov; predlaga, naj evropski nadzorni organi okrepijo uporabo svojih orodij za konvergenco, da bi opredelili in obravnavali različne prakse, ki ovirajo razvoj trga;</w:t>
            </w:r>
            <w:r>
              <w:t xml:space="preserve"> </w:t>
            </w:r>
            <w:r>
              <w:rPr>
                <w:b/>
                <w:i/>
              </w:rPr>
              <w:t>poziva, naj se nacionalnim organom olajša dostop do tehničnega strokovnega znanja in operativne podpore prek evropskih organov, s čimer bi spodbudili doslednejši, učinkovitejši in bolj sorazmeren nadzor po vsej Uniji, ne da bi bilo treba centralizirati pristojnosti;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274</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w:t>
            </w:r>
            <w:r>
              <w:rPr>
                <w:b/>
                <w:i/>
              </w:rPr>
              <w:t>podelijo pooblastila za neposreden nadzor</w:t>
            </w:r>
            <w:r>
              <w:t xml:space="preserve"> nad </w:t>
            </w:r>
            <w:r>
              <w:rPr>
                <w:b/>
                <w:i/>
              </w:rPr>
              <w:t>vseevropsko</w:t>
            </w:r>
            <w:r>
              <w:t xml:space="preserve"> tržno infrastrukturo;</w:t>
            </w:r>
          </w:p>
        </w:tc>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 ponovno poziva</w:t>
            </w:r>
            <w:r>
              <w:rPr>
                <w:b/>
                <w:i/>
              </w:rPr>
              <w:t xml:space="preserve"> k spodbujanju procesa konvergence nadzora nad vseevropskimi tržnimi infrastrukturami, ki bi ga vodil organ ESMA, da bi izboljšali učinkovitost nadzornega okolja in sodelovanje s pristojnimi nacionalnimi organi;</w:t>
            </w:r>
            <w:r>
              <w:t xml:space="preserve"> </w:t>
            </w:r>
            <w:r>
              <w:rPr>
                <w:b/>
                <w:i/>
              </w:rPr>
              <w:t>poziva države članice, naj sprejmejo nadaljnje ukrepe in se zavežejo, da bodo organu ESMA podelile večja neposredna nadzorna pooblastila nad ponudniki storitev v zvezi s kriptosredstvi, tržno infrastrukturo in čezmejnimi finančnimi subjekti;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275</w:t>
      </w:r>
      <w:r>
        <w:rPr>
          <w:rStyle w:val="HideTWBExt"/>
          <w:b w:val="0"/>
        </w:rPr>
        <w:t>&lt;/NumAm&gt;</w:t>
      </w:r>
    </w:p>
    <w:p w:rsidR="0084767A" w:rsidRPr="00FC22F0" w:rsidRDefault="0084767A" w:rsidP="0084767A">
      <w:pPr>
        <w:pStyle w:val="NormalBold"/>
      </w:pPr>
      <w:r>
        <w:rPr>
          <w:rStyle w:val="HideTWBExt"/>
          <w:b w:val="0"/>
        </w:rPr>
        <w:t>&lt;RepeatBlock-By&gt;&lt;Members&gt;</w:t>
      </w:r>
      <w:r>
        <w:t>Dirk Gotink</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podelijo pooblastila za neposreden nadzor nad </w:t>
            </w:r>
            <w:r>
              <w:rPr>
                <w:b/>
                <w:i/>
              </w:rPr>
              <w:t>vseevropsko tržno infrastrukturo</w:t>
            </w:r>
            <w:r>
              <w:t>;</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podelijo pooblastila za neposreden nadzor nad </w:t>
            </w:r>
            <w:r>
              <w:rPr>
                <w:b/>
                <w:i/>
              </w:rPr>
              <w:t>pomembnimi vseevropskimi tržnimi infrastrukturami in subjekti, hkrati pa naj bodo manjši in nacionalno usmerjeni subjekti prepuščeni nacionalnemu nadzoru, pri čemer je treba zagotoviti harmonizacijo med nacionalnimi okviri, kjer je to mogoče</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276</w:t>
      </w:r>
      <w:r>
        <w:rPr>
          <w:rStyle w:val="HideTWBExt"/>
          <w:b w:val="0"/>
        </w:rPr>
        <w:t>&lt;/NumAm&gt;</w:t>
      </w:r>
    </w:p>
    <w:p w:rsidR="0084767A" w:rsidRPr="00FC22F0" w:rsidRDefault="0084767A" w:rsidP="0084767A">
      <w:pPr>
        <w:pStyle w:val="NormalBold"/>
      </w:pPr>
      <w:r>
        <w:rPr>
          <w:rStyle w:val="HideTWBExt"/>
          <w:b w:val="0"/>
        </w:rPr>
        <w:t>&lt;RepeatBlock-By&gt;&lt;Members&gt;</w:t>
      </w:r>
      <w:r>
        <w:t>Pascal Canfin, Stéphanie Yon-Courtin, Gilles Boyer,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 ponovno poziva, naj se organu ESMA podelijo pooblastila za neposreden nadzor nad vseevropsko tržno infrastrukturo</w:t>
            </w:r>
            <w:r>
              <w:rPr>
                <w:b/>
                <w:i/>
              </w:rPr>
              <w:t>, da bi okrepili konkurenčnost evropskih borz</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277</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podelijo pooblastila za neposreden nadzor nad </w:t>
            </w:r>
            <w:r>
              <w:rPr>
                <w:b/>
                <w:i/>
              </w:rPr>
              <w:t>vseevropsko tržno infrastrukturo</w:t>
            </w:r>
            <w:r>
              <w:t>;</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podelijo pooblastila za neposreden nadzor nad </w:t>
            </w:r>
            <w:r>
              <w:rPr>
                <w:b/>
                <w:i/>
              </w:rPr>
              <w:t>vseevropskimi tržnimi infrastrukturami, vključno z velikimi borzami, centralnimi nasprotnimi strankami in depotnimi družbami, čezmejnimi skupinami za upravljanje premoženja, ponudniki storitev v zvezi s kriptosredstvi ter za vse nove produkte in storitve;</w:t>
            </w:r>
            <w:r>
              <w:t xml:space="preserve"> </w:t>
            </w:r>
            <w:r>
              <w:rPr>
                <w:b/>
                <w:i/>
              </w:rPr>
              <w:t>meni, da bi bilo treba pregledati upravljanje organa ESMA, da bi zagotovili učinkovitost in neodvisnost njegovih odločitev; podpira predlog iz poročila Maria Draghija, naj ima organ ESMA bolj evropsko strukturo upravljanja po zgledu Evropske centralne banke (ECB) in naj se vzpostavi tesno sodelovanje z nacionalnimi nadzornimi organi na podlagi modela enotnega mehanizma nadzora;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278</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podelijo pooblastila za neposreden nadzor nad vseevropsko tržno infrastrukturo; </w:t>
            </w:r>
            <w:r>
              <w:rPr>
                <w:b/>
                <w:i/>
              </w:rPr>
              <w:t>poziva, naj konkurenčnost postane sestavni del zakonodajnega procesa EU (tudi na ravni organa ESMA);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279</w:t>
      </w:r>
      <w:r>
        <w:rPr>
          <w:rStyle w:val="HideTWBExt"/>
          <w:b w:val="0"/>
        </w:rPr>
        <w:t>&lt;/NumAm&gt;</w:t>
      </w:r>
    </w:p>
    <w:p w:rsidR="0084767A" w:rsidRPr="00FC22F0" w:rsidRDefault="0084767A" w:rsidP="0084767A">
      <w:pPr>
        <w:pStyle w:val="NormalBold"/>
      </w:pPr>
      <w:r>
        <w:rPr>
          <w:rStyle w:val="HideTWBExt"/>
          <w:b w:val="0"/>
        </w:rPr>
        <w:t>&lt;RepeatBlock-By&gt;&lt;Members&gt;</w:t>
      </w:r>
      <w:r>
        <w:t>Anouk Van Brug, Engin Eroglu, Stéphanie Yon-Courtin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7.</w:t>
            </w:r>
            <w:r>
              <w:tab/>
              <w:t>podpira povezovanje institucionalnih okvirov in tržnih struktur; ponovno poziva, naj se organu ESMA podelijo pooblastila za neposreden nadzor nad vseevropsko tržno infrastrukturo;</w:t>
            </w:r>
          </w:p>
        </w:tc>
        <w:tc>
          <w:tcPr>
            <w:tcW w:w="4876" w:type="dxa"/>
            <w:tcBorders>
              <w:top w:val="nil"/>
              <w:left w:val="nil"/>
              <w:bottom w:val="nil"/>
              <w:right w:val="nil"/>
            </w:tcBorders>
          </w:tcPr>
          <w:p w:rsidR="0084767A" w:rsidRPr="00FC22F0" w:rsidRDefault="0084767A" w:rsidP="003E4EAF">
            <w:pPr>
              <w:pStyle w:val="Normal6a"/>
            </w:pPr>
            <w:r>
              <w:t>7.</w:t>
            </w:r>
            <w:r>
              <w:tab/>
              <w:t xml:space="preserve">podpira povezovanje institucionalnih okvirov in tržnih struktur; ponovno poziva, naj se organu ESMA podelijo pooblastila za neposreden nadzor nad vseevropsko tržno infrastrukturo; </w:t>
            </w:r>
            <w:r>
              <w:rPr>
                <w:b/>
                <w:i/>
              </w:rPr>
              <w:t>meni, da bi z usklajenim in centraliziranim nadzorom na evropskih kapitalskih trgih za udeležence na trgu veljala enotna pravila, kar bi spodbudilo resnični enotni trg za evropski kapital;</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280</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7a.</w:t>
            </w:r>
            <w:r>
              <w:tab/>
            </w:r>
            <w:r>
              <w:rPr>
                <w:b/>
                <w:i/>
              </w:rPr>
              <w:t>je prepričan, da je pred razširitvijo nadzornih pristojnosti organa ESMA potrebna temeljita reforma njegovega upravljanja; meni, da bi lahko revidirano upravljanje organa ESMA temeljilo na ureditvi upravljanja enotnega mehanizma nadzora ali nedavno ustanovljenega organa za preprečevanje pranja denarja; poudarja, da bi moral vse nadzorne odločitve sprejeti izvršni organ, sestavljen iz popolnoma neodvisnih članov, da bi se izognili nacionalni pristranskosti; meni, da je lokalni subjekt bistvenega pomena za učinkovitost nadzora in ohranjanje strokovnega znanja nacionalnih organov; meni, da je ustanovitev skupnih nadzorniških skupin po modelu obstoječih skupin enotnega mehanizma nadzora ali prihodnjih skupin organa za preprečevanje pranja denarja, ki jih sestavljajo organi EU in osebje pristojnih nacionalnih organov, dober model;</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281</w:t>
      </w:r>
      <w:r>
        <w:rPr>
          <w:rStyle w:val="HideTWBExt"/>
          <w:b w:val="0"/>
        </w:rPr>
        <w:t>&lt;/NumAm&gt;</w:t>
      </w:r>
    </w:p>
    <w:p w:rsidR="0084767A" w:rsidRPr="00FC22F0" w:rsidRDefault="0084767A" w:rsidP="0084767A">
      <w:pPr>
        <w:pStyle w:val="NormalBold"/>
      </w:pPr>
      <w:r>
        <w:rPr>
          <w:rStyle w:val="HideTWBExt"/>
          <w:b w:val="0"/>
        </w:rPr>
        <w:t>&lt;RepeatBlock-By&gt;&lt;Members&gt;</w:t>
      </w:r>
      <w:r>
        <w:t>Eero Heinäluoma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a (novo)</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7a. glede na povečana tveganja v sektorju kriptosredstev poziva Evropsko komisijo, naj hitro pregleda uredbo MiCA in organu ESMA podeli neposredna pooblastila za nadzor nad ponudniki storitev v zvezi s kriptosredstvi nad določeno velikostjo;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7a.</w:t>
            </w:r>
            <w:r>
              <w:tab/>
            </w:r>
            <w:r>
              <w:rPr>
                <w:b/>
                <w:i/>
              </w:rPr>
              <w:t>poudarja, da je eden od razlogov za razdrobljenost rezultatov nadzora praksa nacionalnih nadzornih organov, da poleg evropskih pravil določijo dodatne nacionalne obveznosti, kar se pogosto imenuje čezmerno prenašanje; poziva Komisijo in evropske nadzorne organe, naj obravnavajo primere takšnega delovanja nacionalnih organov, da bi dosegli doslednejše rezultate nadzora po vsej Uniji;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283</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7a.</w:t>
            </w:r>
            <w:r>
              <w:tab/>
            </w:r>
            <w:r>
              <w:rPr>
                <w:b/>
                <w:i/>
              </w:rPr>
              <w:t>poudarja, da lahko listinjenje pomembno prispeva k lažjemu financiranju naložb, zagotavljanju alternativnih virov financiranja za evropska podjetja, da se olajša njihova rast, k povečanju evropske konkurenčnosti ter ustvarjanju globokih in dinamičnih evropskih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284</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7a.</w:t>
            </w:r>
            <w:r>
              <w:tab/>
            </w:r>
            <w:r>
              <w:rPr>
                <w:b/>
                <w:i/>
              </w:rPr>
              <w:t>je prepričan, da je treba v zvezi s kapitalskim trgom – namesto da bi centralizirali institucionalne okvire in pooblastila, zlasti na področju nadzora – ustvariti sinergije med nacionalnimi institucionalnimi okviri in odpraviti ovire, zaradi katerih je čezmejni pretok naložb aktualno otežen;</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285</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7a.</w:t>
            </w:r>
            <w:r>
              <w:tab/>
            </w:r>
            <w:r>
              <w:rPr>
                <w:b/>
                <w:i/>
              </w:rPr>
              <w:t>meni, da bi morali biti evropski nadzorni organi ustrezno financirani, da bodo lahko opravljali svoje naloge, pri čemer bi lahko bilo to financiranje med drugim zagotovljeno tako, da bi imeli možnost finančnim institucijam, udeležencem na finančnem trgu in nadzorovanim podjetjem zaračunavati pristojbine;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286</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7b.</w:t>
            </w:r>
            <w:r>
              <w:tab/>
            </w:r>
            <w:r>
              <w:rPr>
                <w:b/>
                <w:i/>
              </w:rPr>
              <w:t>poudarja, kako pomembno je, da je ECB močno vpeta v nadzor sistemsko pomembnih tržnih infrastruktur v skladu s pristojnostmi, ki jih ima na podlagi PDEU in uredbe o sistemsko pomembnih plačilnih sistemih; meni, da bi morala ECB dejavno prispevati k povečanju interoperabilnosti, odpornosti in povezovanja trgovalnih in potrgovalnih sistemov po vsej EU, zlasti tako, da izvaja nadzor nad platformami, kot je platforma TARGET2-Securities;</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287</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7b.</w:t>
            </w:r>
            <w:r>
              <w:tab/>
            </w:r>
            <w:r>
              <w:rPr>
                <w:b/>
                <w:i/>
              </w:rPr>
              <w:t>meni, da je treba v celoti izkoristiti raznolikost nacionalnih kapitalskih trgov, če naj bo evropski kapitalski trg močan, privlačnejši in bolje delujoč; v zvezi s tem poudarja, da se je v preteklosti že izkazalo, da so pavšalne rešitve neučinkovite;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288</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7b.</w:t>
            </w:r>
            <w:r>
              <w:tab/>
            </w:r>
            <w:r>
              <w:rPr>
                <w:b/>
                <w:i/>
              </w:rPr>
              <w:t>želi spomniti, da so bili evropski listinjeni produkti v zadnjih 40 letih vsaj tako uspešni kot drugi razredi sredstev s stalnim donosom</w:t>
            </w:r>
            <w:r>
              <w:rPr>
                <w:b/>
                <w:i/>
                <w:vertAlign w:val="superscript"/>
              </w:rPr>
              <w:t>1a</w:t>
            </w:r>
            <w:r>
              <w:rPr>
                <w:b/>
                <w:i/>
              </w:rPr>
              <w:t xml:space="preserve"> in omogočajo izbiro med vrsto različnih možnosti tveganja;</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rPr>
              <w:t>_________________</w:t>
            </w:r>
          </w:p>
        </w:tc>
      </w:tr>
      <w:tr w:rsidR="0084767A" w:rsidTr="003E4EAF">
        <w:trPr>
          <w:jc w:val="center"/>
        </w:trPr>
        <w:tc>
          <w:tcPr>
            <w:tcW w:w="4876" w:type="dxa"/>
            <w:tcBorders>
              <w:top w:val="nil"/>
              <w:left w:val="nil"/>
              <w:bottom w:val="nil"/>
              <w:right w:val="nil"/>
            </w:tcBorders>
          </w:tcPr>
          <w:p w:rsidR="0084767A" w:rsidRPr="00FC22F0" w:rsidRDefault="0084767A" w:rsidP="003E4EAF"/>
        </w:tc>
        <w:tc>
          <w:tcPr>
            <w:tcW w:w="4876" w:type="dxa"/>
            <w:tcBorders>
              <w:top w:val="nil"/>
              <w:left w:val="nil"/>
              <w:bottom w:val="nil"/>
              <w:right w:val="nil"/>
            </w:tcBorders>
          </w:tcPr>
          <w:p w:rsidR="0084767A" w:rsidRPr="00FC22F0" w:rsidRDefault="0084767A" w:rsidP="003E4EAF">
            <w:pPr>
              <w:pStyle w:val="Normal6a"/>
            </w:pPr>
            <w:r>
              <w:rPr>
                <w:b/>
                <w:i/>
                <w:vertAlign w:val="superscript"/>
              </w:rPr>
              <w:t>1a</w:t>
            </w:r>
            <w:r>
              <w:t xml:space="preserve"> </w:t>
            </w:r>
            <w:r>
              <w:rPr>
                <w:b/>
                <w:i/>
              </w:rPr>
              <w:t xml:space="preserve">https://www.afme.eu/Portals/0/DispatchFeaturedImages/EU%20Securitisation%20back%20on%20track%205%20point%20plan.pdf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289</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7b.</w:t>
            </w:r>
            <w:r>
              <w:tab/>
            </w:r>
            <w:r>
              <w:rPr>
                <w:b/>
                <w:i/>
              </w:rPr>
              <w:t>poziva Komisijo, naj preuči, ali in pod katerimi pogoji bi bilo treba bolj povezano nadzorno strukturo zagotoviti tudi v drugih sektorjih, kot so zavarovalni in pokojninski skladi;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290</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7b.</w:t>
            </w:r>
            <w:r>
              <w:tab/>
            </w:r>
            <w:r>
              <w:rPr>
                <w:b/>
                <w:i/>
              </w:rPr>
              <w:t>poudarja, da bi se morala ob povečanju pristojnosti evropskih nadzornih organov sorazmerno povečati tudi njihova raven odgovornosti;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291</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7c.</w:t>
            </w:r>
            <w:r>
              <w:tab/>
            </w:r>
            <w:r>
              <w:rPr>
                <w:b/>
                <w:i/>
              </w:rPr>
              <w:t>je seznanjen z ugotovitvijo iz poročil Draghija, Lette in Noyerja, da je okolje tržne infrastrukture EU še vedno razdrobljeno, zlasti v primerjavi z ameriškim; želi spomniti, da je konsolidacija trga tržno usmerjen proces; svari pred tveganjem ustanovitve „subjektov, ki bi bili preveliki, da bi smeli propasti“; poudarja, da bi lahko trg verjetno lažje konsolidirali, če bi prešli na sistem enotnega nadzornika za tržno infrastrukturo EU; poudarja, da je glavna ovira za konsolidacijo področja tržne infrastrukture to, da nacionalne zakonodaje niso harmonizirane;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7c.</w:t>
            </w:r>
            <w:r>
              <w:tab/>
            </w:r>
            <w:r>
              <w:rPr>
                <w:b/>
                <w:i/>
              </w:rPr>
              <w:t>poudarja, da bi se lahko z upravno obremenitvijo in stroški zagotavljanja skladnosti, ki nastanejo v čezmejnem kontekstu, uspešno spopadli že samo tako, da bi izboljšali usklajevanje in sodelovanje nacionalnih nadzornih organov, na primer na področju izmenjave podatkov; poziva Evropsko komisijo in evropske nadzorne organe, naj preidejo na ureditev, da se poroča samo enkrat; meni, da je evropska enotna točka dostopa pomembna pobuda v zvezi s tem, in poziva, naj se pravočasno vzpostavi;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293</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7c.</w:t>
            </w:r>
            <w:r>
              <w:tab/>
            </w:r>
            <w:r>
              <w:rPr>
                <w:b/>
                <w:i/>
              </w:rPr>
              <w:t>poudarja, da bi lahko z vzpostavitvijo evropskega trga listinjenja prispevali k zadostitvi nujni potrebi, da se gospodarstvo Unije iz gospodarstva, ki je pri financiranju odvisno predvsem od bilanc stanja bank, razvije v gospodarstvo, ki bo v celoti izkoriščalo potencial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294</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7c.</w:t>
            </w:r>
            <w:r>
              <w:tab/>
            </w:r>
            <w:r>
              <w:rPr>
                <w:b/>
                <w:i/>
              </w:rPr>
              <w:t>meni, da je treba pri prihodnjih reformah kapitalskih trgov izhajati iz pristopa od spodaj navzgor ter upoštevati primere dobre prakse in posebnosti držav članic;</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295</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7d.</w:t>
            </w:r>
            <w:r>
              <w:tab/>
            </w:r>
            <w:r>
              <w:rPr>
                <w:b/>
                <w:i/>
              </w:rPr>
              <w:t>želi spomniti, da je listinjenje most med posojilnimi in kapitalskimi trgi, saj vlagateljem omogoča dostop do različnih vrst izpostavljenosti, donosov in sektorjev; meni, da je listinjenje vsestransko orodje, ki omogoča diverzifikacijo virov financiranja in s tem tveganja izpostavljenosti ter dejavno krepi odpornost v EU, tako da diverzificira porazdelitev tveganja v zasebnem sektorju med banke, zavarovatelje in druge vlagatelje;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296</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7e.</w:t>
            </w:r>
            <w:r>
              <w:tab/>
            </w:r>
            <w:r>
              <w:rPr>
                <w:b/>
                <w:i/>
              </w:rPr>
              <w:t>poziva Komisijo, naj v drugem četrtletju 2025 objavi ambiciozen in celovit pregled okvira listinjenja, ki bo temeljil na nedavnih sklepih Evropskega sveta, izjavah Euroskupine, ECB in organa EIOPA ter nedavnem poročilu skupnega odbora evropskih nadzornih organov, pri čemer naj se osredotoči zlasti na pregled specifičnih bonitetnih zahtev, pravil o potrebni skrbnosti, zahtev glede poročanja za nekatere vrste sredstev, združljivosti meril za enostavno, pregledno in standardizirano listinjenje ter nadzornega postopka, da bi zagotovila, da bo lahko imelo listinjenje ključno vlogo pri financiranju prihodnje evropske rasti;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297</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f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7f.</w:t>
            </w:r>
            <w:r>
              <w:tab/>
            </w:r>
            <w:r>
              <w:rPr>
                <w:b/>
                <w:i/>
              </w:rPr>
              <w:t>želi spomniti, da je mogoče listinjenje oživiti, ne da bi pri tem ogrozili finančno stabilnost, tako da se v nespremenjeni obliki ohranijo temeljni zaščitni ukrepi, uvedeni po letu 2008, in sicer: prepoved dodatnega listinjenja, prepoved listinjenja brez zadržanja tveganja in strog nadzor nad bonitetnimi agencijami;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298</w:t>
      </w:r>
      <w:r>
        <w:rPr>
          <w:rStyle w:val="HideTWBExt"/>
          <w:b w:val="0"/>
        </w:rPr>
        <w:t>&lt;/NumAm&gt;</w:t>
      </w:r>
    </w:p>
    <w:p w:rsidR="0084767A" w:rsidRPr="00FC22F0" w:rsidRDefault="0084767A" w:rsidP="0084767A">
      <w:pPr>
        <w:pStyle w:val="NormalBold"/>
      </w:pPr>
      <w:r>
        <w:rPr>
          <w:rStyle w:val="HideTWBExt"/>
          <w:b w:val="0"/>
        </w:rPr>
        <w:t>&lt;RepeatBlock-By&gt;&lt;Members&gt;</w:t>
      </w:r>
      <w:r>
        <w:t>Gilles Boyer, Stéphanie Yon-Courtin, Pascal Canfin, Billy Kelleher,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7 g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7g.</w:t>
            </w:r>
            <w:r>
              <w:tab/>
            </w:r>
            <w:r>
              <w:rPr>
                <w:b/>
                <w:i/>
              </w:rPr>
              <w:t>poziva Komisijo, naj preuči možnost vzpostavitve skupne evropske platforme za listinjenje, naj standardizira produkte in privabi več vlagateljev na trg, vključno z manjšimi bankami, ki aktualno nimajo dostopa do tega načina financiranja;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299</w:t>
      </w:r>
      <w:r>
        <w:rPr>
          <w:rStyle w:val="HideTWBExt"/>
          <w:b w:val="0"/>
        </w:rPr>
        <w:t>&lt;/NumAm&gt;</w:t>
      </w:r>
    </w:p>
    <w:p w:rsidR="0084767A" w:rsidRPr="00FC22F0" w:rsidRDefault="0084767A" w:rsidP="0084767A">
      <w:pPr>
        <w:pStyle w:val="NormalBold"/>
      </w:pPr>
      <w:r>
        <w:rPr>
          <w:rStyle w:val="HideTWBExt"/>
          <w:b w:val="0"/>
        </w:rPr>
        <w:t>&lt;RepeatBlock-By&gt;&lt;Members&gt;</w:t>
      </w:r>
      <w:r>
        <w:t>Ralf Seekatz</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8.</w:t>
            </w:r>
            <w:r>
              <w:tab/>
            </w:r>
            <w:r>
              <w:rPr>
                <w:b/>
                <w:i/>
              </w:rPr>
              <w:t>poziva Komisijo, naj pripravi predloge, kako bi lahko klirinške dejavnosti ustrezno vrnili v EU;</w:t>
            </w:r>
          </w:p>
        </w:tc>
        <w:tc>
          <w:tcPr>
            <w:tcW w:w="4876" w:type="dxa"/>
            <w:tcBorders>
              <w:top w:val="nil"/>
              <w:left w:val="nil"/>
              <w:bottom w:val="nil"/>
              <w:right w:val="nil"/>
            </w:tcBorders>
          </w:tcPr>
          <w:p w:rsidR="0084767A" w:rsidRPr="00FC22F0" w:rsidRDefault="0084767A" w:rsidP="003E4EAF">
            <w:pPr>
              <w:pStyle w:val="Normal6a"/>
            </w:pPr>
            <w:r>
              <w:rPr>
                <w:b/>
                <w:i/>
              </w:rPr>
              <w:t>črtano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300</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8.</w:t>
            </w:r>
            <w:r>
              <w:tab/>
            </w:r>
            <w:r>
              <w:rPr>
                <w:b/>
                <w:i/>
              </w:rPr>
              <w:t>poziva Komisijo, naj pripravi predloge, kako bi lahko klirinške dejavnosti ustrezno vrnili v EU;</w:t>
            </w:r>
          </w:p>
        </w:tc>
        <w:tc>
          <w:tcPr>
            <w:tcW w:w="4876" w:type="dxa"/>
            <w:tcBorders>
              <w:top w:val="nil"/>
              <w:left w:val="nil"/>
              <w:bottom w:val="nil"/>
              <w:right w:val="nil"/>
            </w:tcBorders>
          </w:tcPr>
          <w:p w:rsidR="0084767A" w:rsidRPr="00FC22F0" w:rsidRDefault="0084767A" w:rsidP="003E4EAF">
            <w:pPr>
              <w:pStyle w:val="Normal6a"/>
            </w:pPr>
            <w:r>
              <w:rPr>
                <w:b/>
                <w:i/>
              </w:rPr>
              <w:t>črtano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301</w:t>
      </w:r>
      <w:r>
        <w:rPr>
          <w:rStyle w:val="HideTWBExt"/>
          <w:b w:val="0"/>
        </w:rPr>
        <w:t>&lt;/NumAm&gt;</w:t>
      </w:r>
    </w:p>
    <w:p w:rsidR="0084767A" w:rsidRPr="00FC22F0" w:rsidRDefault="0084767A" w:rsidP="0084767A">
      <w:pPr>
        <w:pStyle w:val="NormalBold"/>
      </w:pPr>
      <w:r>
        <w:rPr>
          <w:rStyle w:val="HideTWBExt"/>
          <w:b w:val="0"/>
        </w:rPr>
        <w:t>&lt;RepeatBlock-By&gt;&lt;Members&gt;</w:t>
      </w:r>
      <w:r>
        <w:t>Johan Van Overtveldt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rPr>
                <w:b/>
                <w:i/>
              </w:rPr>
              <w:t>8.</w:t>
            </w:r>
            <w:r>
              <w:tab/>
            </w:r>
            <w:r>
              <w:rPr>
                <w:b/>
                <w:i/>
              </w:rPr>
              <w:t>poziva Komisijo, naj pripravi predloge, kako bi lahko klirinške dejavnosti ustrezno vrnili v EU;</w:t>
            </w:r>
          </w:p>
        </w:tc>
        <w:tc>
          <w:tcPr>
            <w:tcW w:w="4876" w:type="dxa"/>
            <w:tcBorders>
              <w:top w:val="nil"/>
              <w:left w:val="nil"/>
              <w:bottom w:val="nil"/>
              <w:right w:val="nil"/>
            </w:tcBorders>
          </w:tcPr>
          <w:p w:rsidR="0084767A" w:rsidRPr="00FC22F0" w:rsidRDefault="0084767A" w:rsidP="003E4EAF">
            <w:pPr>
              <w:pStyle w:val="Normal6a"/>
            </w:pPr>
            <w:r>
              <w:rPr>
                <w:b/>
                <w:i/>
              </w:rPr>
              <w:t>črtano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302</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pripravi predloge</w:t>
            </w:r>
            <w:r>
              <w:t xml:space="preserve">, </w:t>
            </w:r>
            <w:r>
              <w:rPr>
                <w:b/>
                <w:i/>
              </w:rPr>
              <w:t>kako</w:t>
            </w:r>
            <w:r>
              <w:t xml:space="preserve"> bi </w:t>
            </w:r>
            <w:r>
              <w:rPr>
                <w:b/>
                <w:i/>
              </w:rPr>
              <w:t>lahko</w:t>
            </w:r>
            <w:r>
              <w:t xml:space="preserve"> klirinške dejavnosti </w:t>
            </w:r>
            <w:r>
              <w:rPr>
                <w:b/>
                <w:i/>
              </w:rPr>
              <w:t>ustrezno vrnili</w:t>
            </w:r>
            <w:r>
              <w:t xml:space="preserve"> v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uredbo EMIR 3.0 izvaja na nemoten in sorazmeren in pri tem izkoristi obstoječa orodja in ustrezne spodbude za učinkovito spodbujanje konkurenčnosti in privlačnosti klirinških dejavnosti v EU; poudarja, da bi morala biti lokacije kliringa v EU privlačne tako za izvedene finančne instrumente, denominirane v eurih, kot za tiste, ki niso denominirane v eurih, da bo imela Unija na področju centralnega kliringa pomembno vlogo na svetovni ravni; poudarja, da bi se bilo treba v skladu s ciljem poenostavitve predpisov še naprej osredotočati na učinkovito izvajanje obstoječega okvira, ne pa na uvajanje novih zakonodajnih pobud; poleg tega poudarja, da je – če naj se</w:t>
            </w:r>
            <w:r>
              <w:t xml:space="preserve"> klirinške dejavnosti </w:t>
            </w:r>
            <w:r>
              <w:rPr>
                <w:b/>
                <w:i/>
              </w:rPr>
              <w:t>v velikem obsegu preselijo v Unijo – nujno treba povečati ponudbo storitev, nabor produktov, sprejemanje zavarovanja s premoženjem in stroškovno konkurenčnost centralnih nasprotnih strank iz EU; vztraja, da tovrstne selitve ne bi smele biti izsiljene z nalaganjem obveznosti ali s prisilo udeležencev na trgu k opravljanju klirinških dejavnosti</w:t>
            </w:r>
            <w:r>
              <w:t xml:space="preserve"> v EU</w:t>
            </w:r>
            <w:r>
              <w:rPr>
                <w:b/>
                <w:i/>
              </w:rPr>
              <w:t>, temveč tako, da bi zagotovili, da bo klirinški ekosistem EU bolj privlačen in učinkovit in nudil več priložnosti kot konkurenčne jurisdikcije, da bi ga podjetja prednostno izbrala kot lokacijo;</w:t>
            </w:r>
            <w:r>
              <w:t xml:space="preserve"> </w:t>
            </w:r>
            <w:r>
              <w:rPr>
                <w:b/>
                <w:i/>
              </w:rPr>
              <w:t>poziva organ ESMA in Komisijo, naj pri izvajanju uredbe EMIR 3.0 okrepita tržno usmerjen proces, ki bo temeljil na povpraševanju in konkurenčnosti, da bi zagotovila, da bo opravljanje klirinških dejavnosti v EU za udeležence na svetovnem trgu postalo naravno izbira;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303</w:t>
      </w:r>
      <w:r>
        <w:rPr>
          <w:rStyle w:val="HideTWBExt"/>
          <w:b w:val="0"/>
        </w:rPr>
        <w:t>&lt;/NumAm&gt;</w:t>
      </w:r>
    </w:p>
    <w:p w:rsidR="0084767A" w:rsidRPr="00FC22F0" w:rsidRDefault="0084767A" w:rsidP="0084767A">
      <w:pPr>
        <w:pStyle w:val="NormalBold"/>
      </w:pPr>
      <w:r>
        <w:rPr>
          <w:rStyle w:val="HideTWBExt"/>
          <w:b w:val="0"/>
        </w:rPr>
        <w:t>&lt;RepeatBlock-By&gt;&lt;Members&gt;</w:t>
      </w:r>
      <w:r>
        <w:t>Auke Zijlstra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r>
            <w:r>
              <w:rPr>
                <w:b/>
                <w:i/>
              </w:rPr>
              <w:t>poziva Komisijo</w:t>
            </w:r>
            <w:r>
              <w:t xml:space="preserve">, </w:t>
            </w:r>
            <w:r>
              <w:rPr>
                <w:b/>
                <w:i/>
              </w:rPr>
              <w:t>naj pripravi predloge</w:t>
            </w:r>
            <w:r>
              <w:t xml:space="preserve">, </w:t>
            </w:r>
            <w:r>
              <w:rPr>
                <w:b/>
                <w:i/>
              </w:rPr>
              <w:t>kako</w:t>
            </w:r>
            <w:r>
              <w:t xml:space="preserve"> bi lahko </w:t>
            </w:r>
            <w:r>
              <w:rPr>
                <w:b/>
                <w:i/>
              </w:rPr>
              <w:t>klirinške</w:t>
            </w:r>
            <w:r>
              <w:t xml:space="preserve"> dejavnosti </w:t>
            </w:r>
            <w:r>
              <w:rPr>
                <w:b/>
                <w:i/>
              </w:rPr>
              <w:t>ustrezno vrnili</w:t>
            </w:r>
            <w:r>
              <w:t xml:space="preserve"> v EU;</w:t>
            </w:r>
          </w:p>
        </w:tc>
        <w:tc>
          <w:tcPr>
            <w:tcW w:w="4876" w:type="dxa"/>
            <w:tcBorders>
              <w:top w:val="nil"/>
              <w:left w:val="nil"/>
              <w:bottom w:val="nil"/>
              <w:right w:val="nil"/>
            </w:tcBorders>
          </w:tcPr>
          <w:p w:rsidR="0084767A" w:rsidRPr="00FC22F0" w:rsidRDefault="0084767A" w:rsidP="003E4EAF">
            <w:pPr>
              <w:pStyle w:val="Normal6a"/>
            </w:pPr>
            <w:r>
              <w:t>8.</w:t>
            </w:r>
            <w:r>
              <w:tab/>
            </w:r>
            <w:r>
              <w:rPr>
                <w:b/>
                <w:i/>
              </w:rPr>
              <w:t>je seznanjen, da se je Komisija tretjič zaporedoma odločila podaljšati enakovrednost centralnih nasprotnih strank iz Združenega kraljestva; ugotavlja, da devet let po tem, ko se je Združeno kraljestvo odločilo uporabiti člen 50, in pet let po tem, ko je izstopilo iz EU, klirinške storitve pogodb, denominiranih v eurih, še vedno niso bile preseljene v EU; poudarja</w:t>
            </w:r>
            <w:r>
              <w:t xml:space="preserve">, </w:t>
            </w:r>
            <w:r>
              <w:rPr>
                <w:b/>
                <w:i/>
              </w:rPr>
              <w:t>da</w:t>
            </w:r>
            <w:r>
              <w:t xml:space="preserve"> bi lahko </w:t>
            </w:r>
            <w:r>
              <w:rPr>
                <w:b/>
                <w:i/>
              </w:rPr>
              <w:t>ponudnikom klirinških</w:t>
            </w:r>
            <w:r>
              <w:t xml:space="preserve"> dejavnosti </w:t>
            </w:r>
            <w:r>
              <w:rPr>
                <w:b/>
                <w:i/>
              </w:rPr>
              <w:t>s tem dali občutek, da</w:t>
            </w:r>
            <w:r>
              <w:t xml:space="preserve"> v EU</w:t>
            </w:r>
            <w:r>
              <w:rPr>
                <w:b/>
                <w:i/>
              </w:rPr>
              <w:t xml:space="preserve"> niso dobrodošli;</w:t>
            </w:r>
            <w:r>
              <w:t xml:space="preserve"> </w:t>
            </w:r>
            <w:r>
              <w:rPr>
                <w:b/>
                <w:i/>
              </w:rPr>
              <w:t>poudarja, da v uredbi EMIR ni določeno, da je treba klirinške storitve za pogodbe, denominirane v eurih, prenesti nazaj v euroobmočje;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304</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pripravi predloge, kako bi lahko klirinške dejavnosti ustrezno vrnili</w:t>
            </w:r>
            <w:r>
              <w:t xml:space="preserve"> v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spremlja vračanje klirinških dejavnosti v EU in po potrebi sprejme ukrepe za olajšanje tega procesa;</w:t>
            </w:r>
            <w:r>
              <w:t xml:space="preserve"> </w:t>
            </w:r>
            <w:r>
              <w:rPr>
                <w:b/>
                <w:i/>
              </w:rPr>
              <w:t>ugotavlja, da je potrgovalno okolje v EU še vedno razdrobljeno; poziva, naj se za povečanje povezanosti in učinkovitosti potrgovalnega okolja izvede tržno usmerjena konsolidacija ter odpravijo pravne in regulativne ovire;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305</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pripravi predloge, </w:t>
            </w:r>
            <w:r>
              <w:rPr>
                <w:b/>
                <w:i/>
              </w:rPr>
              <w:t>kako bi lahko klirinške dejavnosti ustrezno vrnili</w:t>
            </w:r>
            <w:r>
              <w:t xml:space="preserve"> v </w:t>
            </w:r>
            <w:r>
              <w:rPr>
                <w:b/>
                <w:i/>
              </w:rPr>
              <w:t>EU</w:t>
            </w:r>
            <w:r>
              <w:t>;</w:t>
            </w:r>
          </w:p>
        </w:tc>
        <w:tc>
          <w:tcPr>
            <w:tcW w:w="4876" w:type="dxa"/>
            <w:tcBorders>
              <w:top w:val="nil"/>
              <w:left w:val="nil"/>
              <w:bottom w:val="nil"/>
              <w:right w:val="nil"/>
            </w:tcBorders>
          </w:tcPr>
          <w:p w:rsidR="0084767A" w:rsidRPr="00FC22F0" w:rsidRDefault="0084767A" w:rsidP="003E4EAF">
            <w:pPr>
              <w:pStyle w:val="Normal6a"/>
            </w:pPr>
            <w:r>
              <w:t>8.</w:t>
            </w:r>
            <w:r>
              <w:tab/>
              <w:t>poziva Komisijo, naj pripravi predloge</w:t>
            </w:r>
            <w:r>
              <w:rPr>
                <w:b/>
                <w:i/>
              </w:rPr>
              <w:t>, kako bi si lahko klirinške družbe EU učinkovito izmenjavale primere dobre prakse s področja dejavnosti kliringa in poravnave</w:t>
            </w:r>
            <w:r>
              <w:t xml:space="preserve">, </w:t>
            </w:r>
            <w:r>
              <w:rPr>
                <w:b/>
                <w:i/>
              </w:rPr>
              <w:t>pri čemer naj poskrbi, da bodo pri njihovi pripravi polno vključene;</w:t>
            </w:r>
            <w:r>
              <w:t xml:space="preserve"> </w:t>
            </w:r>
            <w:r>
              <w:rPr>
                <w:b/>
                <w:i/>
              </w:rPr>
              <w:t>poudarja, kako pomembno je, da med klirinškimi družbami in družbami za poravnavo vlada konkurenca, pri čemer pa je treba spoštovati nacionalne pristojnosti in varovati svobodno konkurenco v skupnem okviru;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306</w:t>
      </w:r>
      <w:r>
        <w:rPr>
          <w:rStyle w:val="HideTWBExt"/>
          <w:b w:val="0"/>
        </w:rPr>
        <w:t>&lt;/NumAm&gt;</w:t>
      </w:r>
    </w:p>
    <w:p w:rsidR="0084767A" w:rsidRPr="00FC22F0" w:rsidRDefault="0084767A" w:rsidP="0084767A">
      <w:pPr>
        <w:pStyle w:val="NormalBold"/>
      </w:pPr>
      <w:r>
        <w:rPr>
          <w:rStyle w:val="HideTWBExt"/>
          <w:b w:val="0"/>
        </w:rPr>
        <w:t>&lt;RepeatBlock-By&gt;&lt;Members&gt;</w:t>
      </w:r>
      <w:r>
        <w:t>Regina Doherty</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pripravi predloge</w:t>
            </w:r>
            <w:r>
              <w:t xml:space="preserve">, </w:t>
            </w:r>
            <w:r>
              <w:rPr>
                <w:b/>
                <w:i/>
              </w:rPr>
              <w:t>kako bi lahko klirinške dejavnosti ustrezno vrnili v</w:t>
            </w:r>
            <w:r>
              <w:t xml:space="preserve">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še naprej razumno pristopa h klirinškim dejavnostim, naj zagotovi</w:t>
            </w:r>
            <w:r>
              <w:t xml:space="preserve">, </w:t>
            </w:r>
            <w:r>
              <w:rPr>
                <w:b/>
                <w:i/>
              </w:rPr>
              <w:t>da bodo imeli udeleženci na trgu EU še naprej dostop do učinkovitih in varnih storitev centralnega kliringa ter storitev kliringa za stranke, ter naj še naprej zavzema za stabilnost in varnost za udeležence na trgu</w:t>
            </w:r>
            <w:r>
              <w:t xml:space="preserve">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307</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pripravi predloge</w:t>
            </w:r>
            <w:r>
              <w:t xml:space="preserve">, </w:t>
            </w:r>
            <w:r>
              <w:rPr>
                <w:b/>
                <w:i/>
              </w:rPr>
              <w:t>kako bi lahko klirinške dejavnosti ustrezno vrnili v EU</w:t>
            </w:r>
            <w:r>
              <w:t>;</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ne nalaga prisilne vrnitve klirinških dejavnosti v EU</w:t>
            </w:r>
            <w:r>
              <w:t xml:space="preserve">, </w:t>
            </w:r>
            <w:r>
              <w:rPr>
                <w:b/>
                <w:i/>
              </w:rPr>
              <w:t>temveč namesto tega ustvari konkurenčno in učinkovito okolje, ki bo privabljalo klirinške dejavnosti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308</w:t>
      </w:r>
      <w:r>
        <w:rPr>
          <w:rStyle w:val="HideTWBExt"/>
          <w:b w:val="0"/>
        </w:rPr>
        <w:t>&lt;/NumAm&gt;</w:t>
      </w:r>
    </w:p>
    <w:p w:rsidR="0084767A" w:rsidRPr="00FC22F0" w:rsidRDefault="0084767A" w:rsidP="0084767A">
      <w:pPr>
        <w:pStyle w:val="NormalBold"/>
      </w:pPr>
      <w:r>
        <w:rPr>
          <w:rStyle w:val="HideTWBExt"/>
          <w:b w:val="0"/>
        </w:rPr>
        <w:t>&lt;RepeatBlock-By&gt;&lt;Members&gt;</w:t>
      </w:r>
      <w:r>
        <w:t>Stéphanie Yon-Courtin, Gilles Boyer, Pascal Canfin, Anouk Van Brug</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pripravi predloge</w:t>
            </w:r>
            <w:r>
              <w:t xml:space="preserve">, </w:t>
            </w:r>
            <w:r>
              <w:rPr>
                <w:b/>
                <w:i/>
              </w:rPr>
              <w:t>kako</w:t>
            </w:r>
            <w:r>
              <w:t xml:space="preserve"> bi </w:t>
            </w:r>
            <w:r>
              <w:rPr>
                <w:b/>
                <w:i/>
              </w:rPr>
              <w:t>lahko klirinške</w:t>
            </w:r>
            <w:r>
              <w:t xml:space="preserve"> dejavnosti</w:t>
            </w:r>
            <w:r>
              <w:rPr>
                <w:b/>
                <w:i/>
              </w:rPr>
              <w:t xml:space="preserve"> ustrezno vrnili</w:t>
            </w:r>
            <w:r>
              <w:t xml:space="preserve"> v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izvaja revidirani okvir uredbe EMIR</w:t>
            </w:r>
            <w:r>
              <w:t xml:space="preserve">, </w:t>
            </w:r>
            <w:r>
              <w:rPr>
                <w:b/>
                <w:i/>
              </w:rPr>
              <w:t>da</w:t>
            </w:r>
            <w:r>
              <w:t xml:space="preserve"> bi </w:t>
            </w:r>
            <w:r>
              <w:rPr>
                <w:b/>
                <w:i/>
              </w:rPr>
              <w:t>olajšala vrnitev klirinških</w:t>
            </w:r>
            <w:r>
              <w:t xml:space="preserve"> dejavnosti 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309</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pripravi predloge, kako bi lahko</w:t>
            </w:r>
            <w:r>
              <w:t xml:space="preserve"> klirinške dejavnosti</w:t>
            </w:r>
            <w:r>
              <w:rPr>
                <w:b/>
                <w:i/>
              </w:rPr>
              <w:t xml:space="preserve"> ustrezno vrnili</w:t>
            </w:r>
            <w:r>
              <w:t xml:space="preserve"> v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w:t>
            </w:r>
            <w:r>
              <w:rPr>
                <w:b/>
                <w:i/>
              </w:rPr>
              <w:t>oceni učinek uredbe na</w:t>
            </w:r>
            <w:r>
              <w:t xml:space="preserve"> klirinške dejavnosti 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310</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poziva Komisijo, naj pripravi predloge, kako bi lahko klirinške dejavnosti ustrezno vrnili v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pripravi predloge, kako bi lahko klirinške dejavnosti ustrezno vrnili v EU; </w:t>
            </w:r>
            <w:r>
              <w:rPr>
                <w:b/>
                <w:i/>
              </w:rPr>
              <w:t>obžaluje, da se večina klirinških poslov EU aktualno izvaja zunaj EU; poleg tega obžaluje odločitev, da bo enakovrednost centralnih nasprotnih strank iz Združenega kraljestva podaljšana za obdobje treh let, tj. do 30. junija 2028, in meni, da bi moralo to biti zadnje takšno podaljšanje;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311</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8.</w:t>
            </w:r>
            <w:r>
              <w:tab/>
              <w:t>poziva Komisijo, naj pripravi predloge, kako bi lahko klirinške dejavnosti ustrezno vrnili v EU;</w:t>
            </w:r>
          </w:p>
        </w:tc>
        <w:tc>
          <w:tcPr>
            <w:tcW w:w="4876" w:type="dxa"/>
            <w:tcBorders>
              <w:top w:val="nil"/>
              <w:left w:val="nil"/>
              <w:bottom w:val="nil"/>
              <w:right w:val="nil"/>
            </w:tcBorders>
          </w:tcPr>
          <w:p w:rsidR="0084767A" w:rsidRPr="00FC22F0" w:rsidRDefault="0084767A" w:rsidP="003E4EAF">
            <w:pPr>
              <w:pStyle w:val="Normal6a"/>
            </w:pPr>
            <w:r>
              <w:t>8.</w:t>
            </w:r>
            <w:r>
              <w:tab/>
              <w:t xml:space="preserve">poziva Komisijo, naj pripravi predloge, kako bi lahko klirinške dejavnosti ustrezno vrnili v EU; </w:t>
            </w:r>
            <w:r>
              <w:rPr>
                <w:b/>
                <w:i/>
              </w:rPr>
              <w:t>z zanimanjem pričakuje ambiciozen delegirani akt o aktivnih računih v okviru uredbe EMIR 3.0; poziva Evropsko komisijo, naj redno ocenjuje razvoj klirinških dejavnosti in pripravi nadaljnje zakonodajne predloge za okrepitev ekosistema kliringa 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312</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8a.</w:t>
            </w:r>
            <w:r>
              <w:tab/>
            </w:r>
            <w:r>
              <w:rPr>
                <w:b/>
                <w:i/>
              </w:rPr>
              <w:t>pozdravlja napoved Komisije, da bo pripravila ambiciozen sveženj zakonodajnih predlogov za okrepitev trgovalnega in potrgovalnega ekosistema v EU, odpravo ovir za čezmejne dejavnosti in prilagoditev okvira novim tehnologijam; upa, da bodo ti predlogi prispevali k odpravi razdrobljenosti trga v EU; a hkrati poudarja, da morajo biti vse morebitne pobude za konsolidacijo trga tržno usmerjene; ugotavlja, da v preteklosti v nekaterih primerih ni prišlo do nadaljnjega povezovanja trgov, ker so bile protimonopolne odločbe prestroge;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313</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8a.</w:t>
            </w:r>
            <w:r>
              <w:tab/>
            </w:r>
            <w:r>
              <w:rPr>
                <w:b/>
                <w:i/>
              </w:rPr>
              <w:t>z zaskrbljenostjo ugotavlja, da so tržne strukture razdrobljene, zaradi česar je likvidnost posameznih delnic razpršena po več mestih trgovanja; priznava, da bi lahko razpršena likvidnost negativno vplivala na oblikovanje cen, kakovost izvrševanja in splošno globino trga; poziva Komisijo, naj v okviru svojega dela v zvezi z unijo kapitalskih trgov prednostno preuči razdrobljenost likvidnosti in razmisli o tem, da bi sprejela ciljno usmerjene ukrepe za večjo koncentracijo likvidnosti na trgih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314</w:t>
      </w:r>
      <w:r>
        <w:rPr>
          <w:rStyle w:val="HideTWBExt"/>
          <w:b w:val="0"/>
        </w:rPr>
        <w:t>&lt;/NumAm&gt;</w:t>
      </w:r>
    </w:p>
    <w:p w:rsidR="0084767A" w:rsidRPr="00FC22F0" w:rsidRDefault="0084767A" w:rsidP="0084767A">
      <w:pPr>
        <w:pStyle w:val="NormalBold"/>
      </w:pPr>
      <w:r>
        <w:rPr>
          <w:rStyle w:val="HideTWBExt"/>
          <w:b w:val="0"/>
        </w:rPr>
        <w:t>&lt;RepeatBlock-By&gt;&lt;Members&gt;</w:t>
      </w:r>
      <w:r>
        <w:t>Fernando Navarrete Rojas,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w:t>
            </w:r>
            <w:r>
              <w:rPr>
                <w:b/>
                <w:i/>
              </w:rPr>
              <w:t>poziva Komisijo</w:t>
            </w:r>
            <w:r>
              <w:t xml:space="preserve">, </w:t>
            </w:r>
            <w:r>
              <w:rPr>
                <w:b/>
                <w:i/>
              </w:rPr>
              <w:t>naj se namesto direktiv bolj poslužuje uredb</w:t>
            </w:r>
            <w:r>
              <w:t xml:space="preserve"> in </w:t>
            </w:r>
            <w:r>
              <w:rPr>
                <w:b/>
                <w:i/>
              </w:rPr>
              <w:t>tako omeji diskrecijsko pravico držav članic</w:t>
            </w:r>
            <w:r>
              <w:t xml:space="preserve">, </w:t>
            </w:r>
            <w:r>
              <w:rPr>
                <w:b/>
                <w:i/>
              </w:rPr>
              <w:t>ki bi utegnila privesti do razdrobljenosti</w:t>
            </w:r>
            <w:r>
              <w:t>;</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w:t>
            </w:r>
            <w:r>
              <w:rPr>
                <w:b/>
                <w:i/>
              </w:rPr>
              <w:t xml:space="preserve">veliko </w:t>
            </w:r>
            <w:r>
              <w:t>privlačnejša destinacija za naložbe, če bo</w:t>
            </w:r>
            <w:r>
              <w:rPr>
                <w:b/>
                <w:i/>
              </w:rPr>
              <w:t xml:space="preserve"> še bolj</w:t>
            </w:r>
            <w:r>
              <w:t xml:space="preserve"> poenostavila svoje upravne postopke; meni, da bi bilo treba v okviru te agende za poenostavitev uskladiti zakonodajne okvire držav članic, da bi olajšali čezmejne dejavnosti; </w:t>
            </w:r>
            <w:r>
              <w:rPr>
                <w:b/>
                <w:i/>
              </w:rPr>
              <w:t>poudarja, da je treba zmanjšati regulativno breme, povezano z okvirom EU za trajnostno financiranje, kot je poudarjeno v poročilu Maria Draghija, in sicer zlasti tako, da se v zvezi z navedenim okvirom zagotovijo večja jasnost, doslednost in smernice; v zvezi s tem pozdravlja zbirni sveženj Komisije o trajnostnosti kot korak k zmanjšanju zapletenosti in izboljšanju uporabnosti ključnih zakonodajnih instrumentov</w:t>
            </w:r>
            <w:r>
              <w:t xml:space="preserve">, </w:t>
            </w:r>
            <w:r>
              <w:rPr>
                <w:b/>
                <w:i/>
              </w:rPr>
              <w:t>zlasti tako, da se v zvezi z nekaterimi področji preide na predlagano prostovoljno poročanje</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315</w:t>
      </w:r>
      <w:r>
        <w:rPr>
          <w:rStyle w:val="HideTWBExt"/>
          <w:b w:val="0"/>
        </w:rPr>
        <w:t>&lt;/NumAm&gt;</w:t>
      </w:r>
    </w:p>
    <w:p w:rsidR="0084767A" w:rsidRPr="00FC22F0" w:rsidRDefault="0084767A" w:rsidP="0084767A">
      <w:pPr>
        <w:pStyle w:val="NormalBold"/>
      </w:pPr>
      <w:r>
        <w:rPr>
          <w:rStyle w:val="HideTWBExt"/>
          <w:b w:val="0"/>
        </w:rPr>
        <w:t>&lt;RepeatBlock-By&gt;&lt;Members&gt;</w:t>
      </w:r>
      <w:r>
        <w:t>Marco Falcone, Fulvio Martusciello</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w:t>
            </w:r>
            <w:r>
              <w:rPr>
                <w:b/>
                <w:i/>
              </w:rPr>
              <w:t xml:space="preserve"> se namesto direktiv bolj poslužuje</w:t>
            </w:r>
            <w:r>
              <w:t xml:space="preserve"> uredb in </w:t>
            </w:r>
            <w:r>
              <w:rPr>
                <w:b/>
                <w:i/>
              </w:rPr>
              <w:t>tako omeji diskrecijsko pravico držav članic</w:t>
            </w:r>
            <w:r>
              <w:t xml:space="preserve">, </w:t>
            </w:r>
            <w:r>
              <w:rPr>
                <w:b/>
                <w:i/>
              </w:rPr>
              <w:t>ki</w:t>
            </w:r>
            <w:r>
              <w:t xml:space="preserve"> bi </w:t>
            </w:r>
            <w:r>
              <w:rPr>
                <w:b/>
                <w:i/>
              </w:rPr>
              <w:t>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w:t>
            </w:r>
            <w:r>
              <w:rPr>
                <w:b/>
                <w:i/>
              </w:rPr>
              <w:t xml:space="preserve">Evropsko </w:t>
            </w:r>
            <w:r>
              <w:t>komisijo, naj</w:t>
            </w:r>
            <w:r>
              <w:rPr>
                <w:b/>
                <w:i/>
              </w:rPr>
              <w:t>, kjer je to ustrezno, z uporabo</w:t>
            </w:r>
            <w:r>
              <w:t xml:space="preserve"> uredb </w:t>
            </w:r>
            <w:r>
              <w:rPr>
                <w:b/>
                <w:i/>
              </w:rPr>
              <w:t xml:space="preserve">kot regulativnih instrumentov doseže še večjo harmonizacijo enotnega trga </w:t>
            </w:r>
            <w:r>
              <w:t xml:space="preserve">in </w:t>
            </w:r>
            <w:r>
              <w:rPr>
                <w:b/>
                <w:i/>
              </w:rPr>
              <w:t>prepreči razdrobljenost predpisov v državah članicah, hkrati pa po potrebi zagotovi ustrezno prožnost</w:t>
            </w:r>
            <w:r>
              <w:t xml:space="preserve">, </w:t>
            </w:r>
            <w:r>
              <w:rPr>
                <w:b/>
                <w:i/>
              </w:rPr>
              <w:t>da</w:t>
            </w:r>
            <w:r>
              <w:t xml:space="preserve"> bi </w:t>
            </w:r>
            <w:r>
              <w:rPr>
                <w:b/>
                <w:i/>
              </w:rPr>
              <w:t>se lahko upoštevale nacionalne posebnosti in načelo subsidiarnosti.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{IT}</w:t>
      </w:r>
      <w:r w:rsidRPr="00FC22F0">
        <w:t>it</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316</w:t>
      </w:r>
      <w:r>
        <w:rPr>
          <w:rStyle w:val="HideTWBExt"/>
          <w:b w:val="0"/>
        </w:rPr>
        <w:t>&lt;/NumAm&gt;</w:t>
      </w:r>
    </w:p>
    <w:p w:rsidR="0084767A" w:rsidRPr="00FC22F0" w:rsidRDefault="0084767A" w:rsidP="0084767A">
      <w:pPr>
        <w:pStyle w:val="NormalBold"/>
      </w:pPr>
      <w:r>
        <w:rPr>
          <w:rStyle w:val="HideTWBExt"/>
          <w:b w:val="0"/>
        </w:rPr>
        <w:t>&lt;RepeatBlock-By&gt;&lt;Members&gt;</w:t>
      </w:r>
      <w:r>
        <w:t>Engin Eroglu</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w:t>
            </w:r>
            <w:r>
              <w:rPr>
                <w:b/>
                <w:i/>
              </w:rPr>
              <w:t>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{DE}</w:t>
      </w:r>
      <w:r w:rsidRPr="00FC22F0">
        <w:t>de</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317</w:t>
      </w:r>
      <w:r>
        <w:rPr>
          <w:rStyle w:val="HideTWBExt"/>
          <w:b w:val="0"/>
        </w:rPr>
        <w:t>&lt;/NumAm&gt;</w:t>
      </w:r>
    </w:p>
    <w:p w:rsidR="0084767A" w:rsidRPr="00FC22F0" w:rsidRDefault="0084767A" w:rsidP="0084767A">
      <w:pPr>
        <w:pStyle w:val="NormalBold"/>
      </w:pPr>
      <w:r>
        <w:rPr>
          <w:rStyle w:val="HideTWBExt"/>
          <w:b w:val="0"/>
        </w:rPr>
        <w:t>&lt;RepeatBlock-By&gt;&lt;Members&gt;</w:t>
      </w:r>
      <w:r>
        <w:t>Christophe Gomart</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 ugotavlja, da bi lahko EU postala privlačnejša destinacija za naložbe</w:t>
            </w:r>
            <w:r>
              <w:rPr>
                <w:b/>
                <w:i/>
              </w:rPr>
              <w:t xml:space="preserve"> za vlagatelje iz EU in od drugod</w:t>
            </w:r>
            <w:r>
              <w:t>, če bo poenostavila svoje upravne postopke</w:t>
            </w:r>
            <w:r>
              <w:rPr>
                <w:b/>
                <w:i/>
              </w:rPr>
              <w:t xml:space="preserve"> in splošneje regulativni okvir, zlasti za vlagatelje in finančna podjetja</w:t>
            </w:r>
            <w:r>
              <w:t>; meni, da bi bilo treba v okviru te agende za poenostavitev uskladiti zakonodajne okvire držav članic</w:t>
            </w:r>
            <w:r>
              <w:rPr>
                <w:b/>
                <w:i/>
              </w:rPr>
              <w:t xml:space="preserve"> in bolj usklajeno nadzorovati dejavnosti na nacionalnih trgih</w:t>
            </w:r>
            <w:r>
              <w:t xml:space="preserve">, da bi olajšali čezmejne dejavnosti; poziva Komisijo, naj se namesto direktiv bolj poslužuje uredb in tako omeji diskrecijsko pravico držav članic, ki bi utegnila privesti do razdrobljenosti; </w:t>
            </w:r>
            <w:r>
              <w:rPr>
                <w:b/>
                <w:i/>
              </w:rPr>
              <w:t>poziva Komisijo, naj da prednost regulativni stabilnosti, razen ko gre za agendo za poenostavitev.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{FR}</w:t>
      </w:r>
      <w:r w:rsidRPr="00FC22F0">
        <w:t>fr</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318</w:t>
      </w:r>
      <w:r>
        <w:rPr>
          <w:rStyle w:val="HideTWBExt"/>
          <w:b w:val="0"/>
        </w:rPr>
        <w:t>&lt;/NumAm&gt;</w:t>
      </w:r>
    </w:p>
    <w:p w:rsidR="0084767A" w:rsidRPr="00FC22F0" w:rsidRDefault="0084767A" w:rsidP="0084767A">
      <w:pPr>
        <w:pStyle w:val="NormalBold"/>
      </w:pPr>
      <w:r>
        <w:rPr>
          <w:rStyle w:val="HideTWBExt"/>
          <w:b w:val="0"/>
        </w:rPr>
        <w:t>&lt;RepeatBlock-By&gt;&lt;Members&gt;</w:t>
      </w:r>
      <w:r>
        <w:t>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w:t>
            </w:r>
            <w:r>
              <w:rPr>
                <w:b/>
                <w:i/>
              </w:rPr>
              <w:t>bi lahko</w:t>
            </w:r>
            <w:r>
              <w:t xml:space="preserve"> EU postala privlačnejša destinacija za naložbe, če bo poenostavila svoje upravne postopke; meni, da bi bilo treba v okviru te agende za poenostavitev uskladiti zakonodajne okvire držav članic, da bi olajšali čezmejne dejavnosti; poziva Komisijo, naj se </w:t>
            </w:r>
            <w:r>
              <w:rPr>
                <w:b/>
                <w:i/>
              </w:rPr>
              <w:t>namesto direktiv bolj poslužuje uredb in tako omeji diskrecijsko pravico držav članic</w:t>
            </w:r>
            <w:r>
              <w:t xml:space="preserve">, </w:t>
            </w:r>
            <w:r>
              <w:rPr>
                <w:b/>
                <w:i/>
              </w:rPr>
              <w:t>ki</w:t>
            </w:r>
            <w:r>
              <w:t xml:space="preserve"> bi </w:t>
            </w:r>
            <w:r>
              <w:rPr>
                <w:b/>
                <w:i/>
              </w:rPr>
              <w:t>utegnila privesti do razdrobljenosti</w:t>
            </w:r>
            <w:r>
              <w:t>;</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w:t>
            </w:r>
            <w:r>
              <w:rPr>
                <w:b/>
                <w:i/>
              </w:rPr>
              <w:t>bo</w:t>
            </w:r>
            <w:r>
              <w:t xml:space="preserve"> EU postala privlačnejša destinacija za naložbe, če bo poenostavila svoje upravne postopke;</w:t>
            </w:r>
            <w:r>
              <w:rPr>
                <w:b/>
                <w:i/>
              </w:rPr>
              <w:t xml:space="preserve"> poziva Komisijo, naj upravne postopke v velikem obsegu poenostavi, da bi privabila zasebne naložbe in spodbudila evropsko konkurenčnost ter tako olajšala ustanavljanje in širitev podjetij;</w:t>
            </w:r>
            <w:r>
              <w:t xml:space="preserve"> meni, da bi bilo treba v okviru te agende za poenostavitev uskladiti zakonodajne okvire držav članic, da bi olajšali čezmejne dejavnosti</w:t>
            </w:r>
            <w:r>
              <w:rPr>
                <w:b/>
                <w:i/>
              </w:rPr>
              <w:t>, zlasti v strateških sektorjih, kot je sektor finančnih storitev, kjer je zaradi pomanjkanja harmonizacije otežen dostop do financiranja in naložb</w:t>
            </w:r>
            <w:r>
              <w:t xml:space="preserve">; poziva Komisijo, naj se </w:t>
            </w:r>
            <w:r>
              <w:rPr>
                <w:b/>
                <w:i/>
              </w:rPr>
              <w:t>za sektor finančnih storitev namesto direktiv bolj poslužuje uredb</w:t>
            </w:r>
            <w:r>
              <w:t xml:space="preserve">, </w:t>
            </w:r>
            <w:r>
              <w:rPr>
                <w:b/>
                <w:i/>
              </w:rPr>
              <w:t>da</w:t>
            </w:r>
            <w:r>
              <w:t xml:space="preserve"> bi </w:t>
            </w:r>
            <w:r>
              <w:rPr>
                <w:b/>
                <w:i/>
              </w:rPr>
              <w:t>zmanjšala verjetnost čezmernega prenašanja</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319</w:t>
      </w:r>
      <w:r>
        <w:rPr>
          <w:rStyle w:val="HideTWBExt"/>
          <w:b w:val="0"/>
        </w:rPr>
        <w:t>&lt;/NumAm&gt;</w:t>
      </w:r>
    </w:p>
    <w:p w:rsidR="0084767A" w:rsidRPr="00FC22F0" w:rsidRDefault="0084767A" w:rsidP="0084767A">
      <w:pPr>
        <w:pStyle w:val="NormalBold"/>
      </w:pPr>
      <w:r>
        <w:rPr>
          <w:rStyle w:val="HideTWBExt"/>
          <w:b w:val="0"/>
        </w:rPr>
        <w:t>&lt;RepeatBlock-By&gt;&lt;Members&gt;</w:t>
      </w:r>
      <w:r>
        <w:t>Stéphanie Yon-Courtin, Gilles Boyer, Pascal Canfin, Billy Kelleher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r>
            <w:r>
              <w:rPr>
                <w:b/>
                <w:i/>
              </w:rPr>
              <w:t>ugotavlja</w:t>
            </w:r>
            <w:r>
              <w:t>,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r>
            <w:r>
              <w:rPr>
                <w:b/>
                <w:i/>
              </w:rPr>
              <w:t>meni</w:t>
            </w:r>
            <w:r>
              <w:t>, da bi lahko EU postala privlačnejša destinacija za naložbe, če bo poenostavila svoje upravne postopke</w:t>
            </w:r>
            <w:r>
              <w:rPr>
                <w:b/>
                <w:i/>
              </w:rPr>
              <w:t xml:space="preserve"> za podjetja in državljane;</w:t>
            </w:r>
            <w:r>
              <w:t xml:space="preserve"> </w:t>
            </w:r>
            <w:r>
              <w:rPr>
                <w:b/>
                <w:i/>
              </w:rPr>
              <w:t>meni, da je cilj poenostavitve zakonodajnega okvira ohraniti ambicije Evrope, hkrati pa podjetjem olajšati izvajanje zakonodaje, državljanom pa olajšati razumevanje predpisov, kar bo na koncu okrepilo konkurenčnost in strateško avtonomijo EU;</w:t>
            </w:r>
            <w:r>
              <w:t xml:space="preserv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320</w:t>
      </w:r>
      <w:r>
        <w:rPr>
          <w:rStyle w:val="HideTWBExt"/>
          <w:b w:val="0"/>
        </w:rPr>
        <w:t>&lt;/NumAm&gt;</w:t>
      </w:r>
    </w:p>
    <w:p w:rsidR="0084767A" w:rsidRPr="00FC22F0" w:rsidRDefault="0084767A" w:rsidP="0084767A">
      <w:pPr>
        <w:pStyle w:val="NormalBold"/>
      </w:pPr>
      <w:r>
        <w:rPr>
          <w:rStyle w:val="HideTWBExt"/>
          <w:b w:val="0"/>
        </w:rPr>
        <w:t>&lt;RepeatBlock-By&gt;&lt;Members&gt;</w:t>
      </w:r>
      <w:r>
        <w:t>Fernand Kartheiser, Jeadis Jeadi (Geadis Geadi), Kristoffer Storm, Nora Junco García, Diego Solier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w:t>
            </w:r>
            <w:r>
              <w:rPr>
                <w:b/>
                <w:i/>
              </w:rPr>
              <w:t>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321</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Komisijo, naj </w:t>
            </w:r>
            <w:r>
              <w:rPr>
                <w:b/>
                <w:i/>
              </w:rPr>
              <w:t>se namesto direktiv bolj poslužuje</w:t>
            </w:r>
            <w:r>
              <w:t xml:space="preserve"> uredb </w:t>
            </w:r>
            <w:r>
              <w:rPr>
                <w:b/>
                <w:i/>
              </w:rPr>
              <w:t>in tako omeji diskrecijsko pravico držav članic</w:t>
            </w:r>
            <w:r>
              <w:t xml:space="preserve">, </w:t>
            </w:r>
            <w:r>
              <w:rPr>
                <w:b/>
                <w:i/>
              </w:rPr>
              <w:t>ki bi utegnila privesti do razdrobljenosti</w:t>
            </w:r>
            <w:r>
              <w:t>;</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w:t>
            </w:r>
            <w:r>
              <w:rPr>
                <w:b/>
                <w:i/>
              </w:rPr>
              <w:t xml:space="preserve">skušati še bolj </w:t>
            </w:r>
            <w:r>
              <w:t xml:space="preserve">uskladiti zakonodajne okvire držav članic, da bi olajšali čezmejne dejavnosti; poziva Komisijo, naj </w:t>
            </w:r>
            <w:r>
              <w:rPr>
                <w:b/>
                <w:i/>
              </w:rPr>
              <w:t>po potrebi preuči možnost sprejetja</w:t>
            </w:r>
            <w:r>
              <w:t xml:space="preserve"> uredb </w:t>
            </w:r>
            <w:r>
              <w:rPr>
                <w:b/>
                <w:i/>
              </w:rPr>
              <w:t>namesto direktiv, da bi zmanjšala regulativno razdrobljenost</w:t>
            </w:r>
            <w:r>
              <w:t xml:space="preserve">, </w:t>
            </w:r>
            <w:r>
              <w:rPr>
                <w:b/>
                <w:i/>
              </w:rPr>
              <w:t>pri tem pa spoštuje načeli subsidiarnosti in sorazmernosti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322</w:t>
      </w:r>
      <w:r>
        <w:rPr>
          <w:rStyle w:val="HideTWBExt"/>
          <w:b w:val="0"/>
        </w:rPr>
        <w:t>&lt;/NumAm&gt;</w:t>
      </w:r>
    </w:p>
    <w:p w:rsidR="0084767A" w:rsidRPr="00FC22F0" w:rsidRDefault="0084767A" w:rsidP="0084767A">
      <w:pPr>
        <w:pStyle w:val="NormalBold"/>
      </w:pPr>
      <w:r>
        <w:rPr>
          <w:rStyle w:val="HideTWBExt"/>
          <w:b w:val="0"/>
        </w:rPr>
        <w:t>&lt;RepeatBlock-By&gt;&lt;Members&gt;</w:t>
      </w:r>
      <w:r>
        <w:t>Arba Kokalari</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Komisijo, naj </w:t>
            </w:r>
            <w:r>
              <w:rPr>
                <w:b/>
                <w:i/>
              </w:rPr>
              <w:t>se namesto direktiv bolj poslužuje uredb in tako omeji diskrecijsko pravico držav članic</w:t>
            </w:r>
            <w:r>
              <w:t xml:space="preserve">, </w:t>
            </w:r>
            <w:r>
              <w:rPr>
                <w:b/>
                <w:i/>
              </w:rPr>
              <w:t>ki</w:t>
            </w:r>
            <w:r>
              <w:t xml:space="preserve"> bi </w:t>
            </w:r>
            <w:r>
              <w:rPr>
                <w:b/>
                <w:i/>
              </w:rPr>
              <w:t>utegnila privesti do razdrobljenosti</w:t>
            </w:r>
            <w:r>
              <w:t>;</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w:t>
            </w:r>
            <w:r>
              <w:rPr>
                <w:b/>
                <w:i/>
              </w:rPr>
              <w:t xml:space="preserve">ciljno usmerjeno </w:t>
            </w:r>
            <w:r>
              <w:t xml:space="preserve">poenostavila svoje upravne postopke; meni, da bi bilo treba v okviru te agende za poenostavitev uskladiti zakonodajne okvire držav članic, da bi olajšali čezmejne dejavnosti; poziva Komisijo, naj </w:t>
            </w:r>
            <w:r>
              <w:rPr>
                <w:b/>
                <w:i/>
              </w:rPr>
              <w:t>razmisli o tem, da bi v ustrezno utemeljenih primerih dala prednost uredbam pred direktivami</w:t>
            </w:r>
            <w:r>
              <w:t xml:space="preserve">, </w:t>
            </w:r>
            <w:r>
              <w:rPr>
                <w:b/>
                <w:i/>
              </w:rPr>
              <w:t>da</w:t>
            </w:r>
            <w:r>
              <w:t xml:space="preserve"> bi </w:t>
            </w:r>
            <w:r>
              <w:rPr>
                <w:b/>
                <w:i/>
              </w:rPr>
              <w:t>zmanjšala nepotrebne razlike med državami članicami in zagotovila večjo harmonizacijo na enotnem trgu</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323</w:t>
      </w:r>
      <w:r>
        <w:rPr>
          <w:rStyle w:val="HideTWBExt"/>
          <w:b w:val="0"/>
        </w:rPr>
        <w:t>&lt;/NumAm&gt;</w:t>
      </w:r>
    </w:p>
    <w:p w:rsidR="0084767A" w:rsidRPr="00FC22F0" w:rsidRDefault="0084767A" w:rsidP="0084767A">
      <w:pPr>
        <w:pStyle w:val="NormalBold"/>
      </w:pPr>
      <w:r>
        <w:rPr>
          <w:rStyle w:val="HideTWBExt"/>
          <w:b w:val="0"/>
        </w:rPr>
        <w:t>&lt;RepeatBlock-By&gt;&lt;Members&gt;</w:t>
      </w:r>
      <w:r>
        <w:t>Lídia Pereira,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Komisijo, naj se </w:t>
            </w:r>
            <w:r>
              <w:rPr>
                <w:b/>
                <w:i/>
              </w:rPr>
              <w:t>namesto direktiv bolj poslužuje uredb in tako omeji diskrecijsko pravico držav članic</w:t>
            </w:r>
            <w:r>
              <w:t xml:space="preserve">, </w:t>
            </w:r>
            <w:r>
              <w:rPr>
                <w:b/>
                <w:i/>
              </w:rPr>
              <w:t>ki bi utegnila privesti do razdrobljenosti</w:t>
            </w:r>
            <w:r>
              <w:t>;</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Komisijo, naj se </w:t>
            </w:r>
            <w:r>
              <w:rPr>
                <w:b/>
                <w:i/>
              </w:rPr>
              <w:t>ravna po načelu „manj pravnega urejanja za boljšo pravno ureditev“, pri tem pa poskrbi, da bodo predpisi harmonizirani na področjih</w:t>
            </w:r>
            <w:r>
              <w:t xml:space="preserve">, </w:t>
            </w:r>
            <w:r>
              <w:rPr>
                <w:b/>
                <w:i/>
              </w:rPr>
              <w:t>za katere ocene učinka kažejo, da bi to prineslo jasno dodano vrednost, in se spoprime z razdrobljenostjo</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324</w:t>
      </w:r>
      <w:r>
        <w:rPr>
          <w:rStyle w:val="HideTWBExt"/>
          <w:b w:val="0"/>
        </w:rPr>
        <w:t>&lt;/NumAm&gt;</w:t>
      </w:r>
    </w:p>
    <w:p w:rsidR="0084767A" w:rsidRPr="00FC22F0" w:rsidRDefault="0084767A" w:rsidP="0084767A">
      <w:pPr>
        <w:pStyle w:val="NormalBold"/>
      </w:pPr>
      <w:r>
        <w:rPr>
          <w:rStyle w:val="HideTWBExt"/>
          <w:b w:val="0"/>
        </w:rPr>
        <w:t>&lt;RepeatBlock-By&gt;&lt;Members&gt;</w:t>
      </w:r>
      <w:r>
        <w:t>Auke Zijlstra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w:t>
            </w:r>
            <w:r>
              <w:rPr>
                <w:b/>
                <w:i/>
              </w:rPr>
              <w:t>če bo poenostavila svoje upravne postopke; meni</w:t>
            </w:r>
            <w:r>
              <w:t xml:space="preserve">, </w:t>
            </w:r>
            <w:r>
              <w:rPr>
                <w:b/>
                <w:i/>
              </w:rPr>
              <w:t>da bi bilo treba v okviru te agende za poenostavitev uskladiti zakonodajne okvire držav članic</w:t>
            </w:r>
            <w:r>
              <w:t xml:space="preserve">, da bi </w:t>
            </w:r>
            <w:r>
              <w:rPr>
                <w:b/>
                <w:i/>
              </w:rPr>
              <w:t>olajšali čezmejne dejavnosti;</w:t>
            </w:r>
            <w:r>
              <w:t xml:space="preserve"> </w:t>
            </w:r>
            <w:r>
              <w:rPr>
                <w:b/>
                <w:i/>
              </w:rPr>
              <w:t>poziva Komisijo</w:t>
            </w:r>
            <w:r>
              <w:t xml:space="preserve">, </w:t>
            </w:r>
            <w:r>
              <w:rPr>
                <w:b/>
                <w:i/>
              </w:rPr>
              <w:t>naj se namesto direktiv bolj poslužuje uredb in tako omeji diskrecijsko pravico držav članic</w:t>
            </w:r>
            <w:r>
              <w:t xml:space="preserve">, ki bi </w:t>
            </w:r>
            <w:r>
              <w:rPr>
                <w:b/>
                <w:i/>
              </w:rPr>
              <w:t>utegnila privesti do razdrobljenosti</w:t>
            </w:r>
            <w:r>
              <w:t>;</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w:t>
            </w:r>
            <w:r>
              <w:rPr>
                <w:b/>
                <w:i/>
              </w:rPr>
              <w:t>njene čezmejne dejavnosti, pa bo mogoče lažje izvajati</w:t>
            </w:r>
            <w:r>
              <w:t xml:space="preserve">, </w:t>
            </w:r>
            <w:r>
              <w:rPr>
                <w:b/>
                <w:i/>
              </w:rPr>
              <w:t>če bo poenostavila in deregulirala svoje upravne postopke;</w:t>
            </w:r>
            <w:r>
              <w:t xml:space="preserve"> </w:t>
            </w:r>
            <w:r>
              <w:rPr>
                <w:b/>
                <w:i/>
              </w:rPr>
              <w:t>poziva Komisijo, naj namesto</w:t>
            </w:r>
            <w:r>
              <w:t xml:space="preserve">, da bi </w:t>
            </w:r>
            <w:r>
              <w:rPr>
                <w:b/>
                <w:i/>
              </w:rPr>
              <w:t>pravno urejala, raje deregulira</w:t>
            </w:r>
            <w:r>
              <w:t xml:space="preserve">, </w:t>
            </w:r>
            <w:r>
              <w:rPr>
                <w:b/>
                <w:i/>
              </w:rPr>
              <w:t>da bi tako omejila pretirano pravno urejanje s strani EU</w:t>
            </w:r>
            <w:r>
              <w:t xml:space="preserve">, ki bi </w:t>
            </w:r>
            <w:r>
              <w:rPr>
                <w:b/>
                <w:i/>
              </w:rPr>
              <w:t>lahko odvračalo od naložb v njej</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325</w:t>
      </w:r>
      <w:r>
        <w:rPr>
          <w:rStyle w:val="HideTWBExt"/>
          <w:b w:val="0"/>
        </w:rPr>
        <w:t>&lt;/NumAm&gt;</w:t>
      </w:r>
    </w:p>
    <w:p w:rsidR="0084767A" w:rsidRPr="00FC22F0" w:rsidRDefault="0084767A" w:rsidP="0084767A">
      <w:pPr>
        <w:pStyle w:val="NormalBold"/>
      </w:pPr>
      <w:r>
        <w:rPr>
          <w:rStyle w:val="HideTWBExt"/>
          <w:b w:val="0"/>
        </w:rPr>
        <w:t>&lt;RepeatBlock-By&gt;&lt;Members&gt;</w:t>
      </w:r>
      <w:r>
        <w:t>Enikő Győri, Pierre Pimpie, Jorge Martín Frías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r>
            <w:r>
              <w:rPr>
                <w:b/>
                <w:i/>
              </w:rPr>
              <w:t>ugotavlja</w:t>
            </w:r>
            <w:r>
              <w:t xml:space="preserve">, da </w:t>
            </w:r>
            <w:r>
              <w:rPr>
                <w:b/>
                <w:i/>
              </w:rPr>
              <w:t>bi lahko EU postala privlačnejša destinacija za naložbe, če bo poenostavila svoje upravne postopke</w:t>
            </w:r>
            <w:r>
              <w:t xml:space="preserve">; meni, da bi </w:t>
            </w:r>
            <w:r>
              <w:rPr>
                <w:b/>
                <w:i/>
              </w:rPr>
              <w:t>bilo treba v okviru te agende za poenostavitev uskladiti zakonodajne okvire</w:t>
            </w:r>
            <w:r>
              <w:t xml:space="preserve"> držav članic, </w:t>
            </w:r>
            <w:r>
              <w:rPr>
                <w:b/>
                <w:i/>
              </w:rPr>
              <w:t>da bi olajšali čezmejne dejavnosti;</w:t>
            </w:r>
            <w:r>
              <w:t xml:space="preserve"> </w:t>
            </w:r>
            <w:r>
              <w:rPr>
                <w:b/>
                <w:i/>
              </w:rPr>
              <w:t>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r>
            <w:r>
              <w:rPr>
                <w:b/>
                <w:i/>
              </w:rPr>
              <w:t>poudarja</w:t>
            </w:r>
            <w:r>
              <w:t xml:space="preserve">, da </w:t>
            </w:r>
            <w:r>
              <w:rPr>
                <w:b/>
                <w:i/>
              </w:rPr>
              <w:t>je treba znatno zmanjšati upravno obremenitev, če naj EU postane privlačnejša destinacija za naložbe</w:t>
            </w:r>
            <w:r>
              <w:t xml:space="preserve">; meni, da bi </w:t>
            </w:r>
            <w:r>
              <w:rPr>
                <w:b/>
                <w:i/>
              </w:rPr>
              <w:t>lahko bila krepitev sinergij med zakonodajnimi okviri</w:t>
            </w:r>
            <w:r>
              <w:t xml:space="preserve"> držav članic, </w:t>
            </w:r>
            <w:r>
              <w:rPr>
                <w:b/>
                <w:i/>
              </w:rPr>
              <w:t>ob upoštevanju njihovih pristojnosti</w:t>
            </w:r>
            <w:r>
              <w:t xml:space="preserve">, </w:t>
            </w:r>
            <w:r>
              <w:rPr>
                <w:b/>
                <w:i/>
              </w:rPr>
              <w:t>del agende za poenostavitev</w:t>
            </w:r>
            <w:r>
              <w:t xml:space="preserve">, </w:t>
            </w:r>
            <w:r>
              <w:rPr>
                <w:b/>
                <w:i/>
              </w:rPr>
              <w:t>da</w:t>
            </w:r>
            <w:r>
              <w:t xml:space="preserve"> bi </w:t>
            </w:r>
            <w:r>
              <w:rPr>
                <w:b/>
                <w:i/>
              </w:rPr>
              <w:t>olajšali čezmejne dejavnosti</w:t>
            </w:r>
            <w:r>
              <w:t>;</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326</w:t>
      </w:r>
      <w:r>
        <w:rPr>
          <w:rStyle w:val="HideTWBExt"/>
          <w:b w:val="0"/>
        </w:rPr>
        <w:t>&lt;/NumAm&gt;</w:t>
      </w:r>
    </w:p>
    <w:p w:rsidR="0084767A" w:rsidRPr="00FC22F0" w:rsidRDefault="0084767A" w:rsidP="0084767A">
      <w:pPr>
        <w:pStyle w:val="NormalBold"/>
      </w:pPr>
      <w:r>
        <w:rPr>
          <w:rStyle w:val="HideTWBExt"/>
          <w:b w:val="0"/>
        </w:rPr>
        <w:t>&lt;RepeatBlock-By&gt;&lt;Members&gt;</w:t>
      </w:r>
      <w:r>
        <w:t>Pierre Pimpie</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w:t>
            </w:r>
            <w:r>
              <w:rPr>
                <w:b/>
                <w:i/>
              </w:rPr>
              <w:t>bilo treba v okviru te agende za poenostavitev uskladiti</w:t>
            </w:r>
            <w:r>
              <w:t xml:space="preserve"> zakonodajne okvire</w:t>
            </w:r>
            <w:r>
              <w:rPr>
                <w:b/>
                <w:i/>
              </w:rPr>
              <w:t xml:space="preserve"> držav članic</w:t>
            </w:r>
            <w:r>
              <w:t xml:space="preserve">, da bi </w:t>
            </w:r>
            <w:r>
              <w:rPr>
                <w:b/>
                <w:i/>
              </w:rPr>
              <w:t>olajšali</w:t>
            </w:r>
            <w:r>
              <w:t xml:space="preserve"> čezmejne dejavnosti; poziva Komisijo, naj se namesto </w:t>
            </w:r>
            <w:r>
              <w:rPr>
                <w:b/>
                <w:i/>
              </w:rPr>
              <w:t>direktiv</w:t>
            </w:r>
            <w:r>
              <w:t xml:space="preserve"> bolj poslužuje </w:t>
            </w:r>
            <w:r>
              <w:rPr>
                <w:b/>
                <w:i/>
              </w:rPr>
              <w:t>uredb in tako omeji diskrecijsko pravico držav članic, ki bi utegnila privesti do</w:t>
            </w:r>
            <w:r>
              <w:t xml:space="preserve">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w:t>
            </w:r>
            <w:r>
              <w:rPr>
                <w:b/>
                <w:i/>
              </w:rPr>
              <w:t>morale države članice skušati poenostaviti svoje</w:t>
            </w:r>
            <w:r>
              <w:t xml:space="preserve"> zakonodajne okvire, da bi </w:t>
            </w:r>
            <w:r>
              <w:rPr>
                <w:b/>
                <w:i/>
              </w:rPr>
              <w:t>olajšale</w:t>
            </w:r>
            <w:r>
              <w:t xml:space="preserve"> čezmejne dejavnosti; poziva Komisijo, naj se namesto </w:t>
            </w:r>
            <w:r>
              <w:rPr>
                <w:b/>
                <w:i/>
              </w:rPr>
              <w:t>uredb</w:t>
            </w:r>
            <w:r>
              <w:t xml:space="preserve"> bolj poslužuje </w:t>
            </w:r>
            <w:r>
              <w:rPr>
                <w:b/>
                <w:i/>
              </w:rPr>
              <w:t>direktiv, da bi države članice tako spodbudila k zmanjšanju</w:t>
            </w:r>
            <w:r>
              <w:t xml:space="preserve"> razdrobljenosti;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327</w:t>
      </w:r>
      <w:r>
        <w:rPr>
          <w:rStyle w:val="HideTWBExt"/>
          <w:b w:val="0"/>
        </w:rPr>
        <w:t>&lt;/NumAm&gt;</w:t>
      </w:r>
    </w:p>
    <w:p w:rsidR="0084767A" w:rsidRPr="00FC22F0" w:rsidRDefault="0084767A" w:rsidP="0084767A">
      <w:pPr>
        <w:pStyle w:val="NormalBold"/>
      </w:pPr>
      <w:r>
        <w:rPr>
          <w:rStyle w:val="HideTWBExt"/>
          <w:b w:val="0"/>
        </w:rPr>
        <w:t>&lt;RepeatBlock-By&gt;&lt;Members&gt;</w:t>
      </w:r>
      <w:r>
        <w:t>Dirk Gotink</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w:t>
            </w:r>
            <w:r>
              <w:rPr>
                <w:b/>
                <w:i/>
              </w:rPr>
              <w:t xml:space="preserve"> in predpise</w:t>
            </w:r>
            <w:r>
              <w:t xml:space="preserv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 </w:t>
            </w:r>
            <w:r>
              <w:rPr>
                <w:b/>
                <w:i/>
              </w:rPr>
              <w:t>poziva Komisijo, naj se ravna po načelu „za enega sprejetega se dva odpravita“, da bi zmanjšala regulativno breme, in vsako novo politično pobudo preveri z vidika konkurenčnosti;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328</w:t>
      </w:r>
      <w:r>
        <w:rPr>
          <w:rStyle w:val="HideTWBExt"/>
          <w:b w:val="0"/>
        </w:rPr>
        <w:t>&lt;/NumAm&gt;</w:t>
      </w:r>
    </w:p>
    <w:p w:rsidR="0084767A" w:rsidRPr="00FC22F0" w:rsidRDefault="0084767A" w:rsidP="0084767A">
      <w:pPr>
        <w:pStyle w:val="NormalBold"/>
      </w:pPr>
      <w:r>
        <w:rPr>
          <w:rStyle w:val="HideTWBExt"/>
          <w:b w:val="0"/>
        </w:rPr>
        <w:t>&lt;RepeatBlock-By&gt;&lt;Members&gt;</w:t>
      </w:r>
      <w:r>
        <w:t>Mihalis Hadzipandela (Michalis Hadjipantela)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w:t>
            </w:r>
            <w:r>
              <w:rPr>
                <w:b/>
                <w:i/>
              </w:rPr>
              <w:t>, in poziva, naj se za izvajalske partnerje in upravičence, zlasti za mala in srednja podjetja, odpravi nepotrebna zapletenost in zmanjšajo bremena</w:t>
            </w:r>
            <w:r>
              <w:t>;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329</w:t>
      </w:r>
      <w:r>
        <w:rPr>
          <w:rStyle w:val="HideTWBExt"/>
          <w:b w:val="0"/>
        </w:rPr>
        <w:t>&lt;/NumAm&gt;</w:t>
      </w:r>
    </w:p>
    <w:p w:rsidR="0084767A" w:rsidRPr="00FC22F0" w:rsidRDefault="0084767A" w:rsidP="0084767A">
      <w:pPr>
        <w:pStyle w:val="NormalBold"/>
      </w:pPr>
      <w:r>
        <w:rPr>
          <w:rStyle w:val="HideTWBExt"/>
          <w:b w:val="0"/>
        </w:rPr>
        <w:t>&lt;RepeatBlock-By&gt;&lt;Members&gt;</w:t>
      </w:r>
      <w:r>
        <w:t>Kinga Kollár, Isabel Benjumea Benjumea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w:t>
            </w:r>
            <w:r>
              <w:rPr>
                <w:b/>
                <w:i/>
              </w:rPr>
              <w:t xml:space="preserve">in pospešila </w:t>
            </w:r>
            <w:r>
              <w:t>svoje upravne postopke</w:t>
            </w:r>
            <w:r>
              <w:rPr>
                <w:b/>
                <w:i/>
              </w:rPr>
              <w:t xml:space="preserve"> ter zmanjšala upravno obremenitev</w:t>
            </w:r>
            <w:r>
              <w:t>;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330</w:t>
      </w:r>
      <w:r>
        <w:rPr>
          <w:rStyle w:val="HideTWBExt"/>
          <w:b w:val="0"/>
        </w:rPr>
        <w:t>&lt;/NumAm&gt;</w:t>
      </w:r>
    </w:p>
    <w:p w:rsidR="0084767A" w:rsidRPr="00FC22F0" w:rsidRDefault="0084767A" w:rsidP="0084767A">
      <w:pPr>
        <w:pStyle w:val="NormalBold"/>
      </w:pPr>
      <w:r>
        <w:rPr>
          <w:rStyle w:val="HideTWBExt"/>
          <w:b w:val="0"/>
        </w:rPr>
        <w:t>&lt;RepeatBlock-By&gt;&lt;Members&gt;</w:t>
      </w:r>
      <w:r>
        <w:t>Rasmus Andresen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w:t>
            </w:r>
            <w:r>
              <w:rPr>
                <w:b/>
                <w:i/>
              </w:rPr>
              <w:t xml:space="preserve">ob tem pa ohraniti minimalne socialne standarde držav članic, </w:t>
            </w:r>
            <w:r>
              <w:t>da bi olajšali čezmejne dejavnosti; poziva Komisijo, naj se namesto direktiv bolj poslužuje uredb in tako omeji diskrecijsko pravico držav članic, ki bi utegnila privesti do razdrobljenosti;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0"/>
        <w:keepNext/>
      </w:pPr>
      <w:r>
        <w:rPr>
          <w:rStyle w:val="HideTWBExt"/>
          <w:b w:val="0"/>
          <w:lang w:eastAsia="en-US"/>
        </w:rPr>
        <w:t>&lt;Amend&gt;</w:t>
      </w:r>
      <w:r>
        <w:t>Predlog spremembe</w:t>
      </w:r>
      <w:r>
        <w:tab/>
      </w:r>
      <w:r>
        <w:tab/>
      </w:r>
      <w:r>
        <w:rPr>
          <w:rStyle w:val="HideTWBExt"/>
          <w:b w:val="0"/>
          <w:lang w:eastAsia="en-US"/>
        </w:rPr>
        <w:t>&lt;NumAm&gt;</w:t>
      </w:r>
      <w:r>
        <w:t>331</w:t>
      </w:r>
      <w:r>
        <w:rPr>
          <w:rStyle w:val="HideTWBExt"/>
          <w:b w:val="0"/>
          <w:lang w:eastAsia="en-US"/>
        </w:rPr>
        <w:t>&lt;/NumAm&gt;</w:t>
      </w:r>
    </w:p>
    <w:p w:rsidR="0084767A" w:rsidRPr="00FC22F0" w:rsidRDefault="0084767A" w:rsidP="0084767A">
      <w:pPr>
        <w:pStyle w:val="NormalBold"/>
      </w:pPr>
      <w:r>
        <w:rPr>
          <w:rStyle w:val="HideTWBExt"/>
          <w:b w:val="0"/>
        </w:rPr>
        <w:t>&lt;RepeatBlock-By&gt;&lt;Members&gt;</w:t>
      </w:r>
      <w:r>
        <w:t>Danuše Nerudová</w:t>
      </w:r>
      <w:r>
        <w:rPr>
          <w:rStyle w:val="HideTWBExt"/>
          <w:b w:val="0"/>
        </w:rPr>
        <w:t>&lt;/Members&gt;</w:t>
      </w:r>
    </w:p>
    <w:p w:rsidR="0084767A" w:rsidRPr="00FC22F0" w:rsidRDefault="0084767A" w:rsidP="0084767A">
      <w:r>
        <w:rPr>
          <w:rStyle w:val="HideTWBExt"/>
        </w:rPr>
        <w:t>&lt;/RepeatBlock-By&gt;</w:t>
      </w:r>
    </w:p>
    <w:p w:rsidR="0084767A" w:rsidRPr="00FC22F0" w:rsidRDefault="0084767A" w:rsidP="0084767A">
      <w:pPr>
        <w:pStyle w:val="NormalBold"/>
        <w:keepNext/>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767A" w:rsidTr="003E4EAF">
        <w:trPr>
          <w:jc w:val="center"/>
        </w:trPr>
        <w:tc>
          <w:tcPr>
            <w:tcW w:w="9752" w:type="dxa"/>
            <w:gridSpan w:val="2"/>
          </w:tcPr>
          <w:p w:rsidR="0084767A" w:rsidRPr="00FC22F0" w:rsidRDefault="0084767A" w:rsidP="003E4EAF">
            <w:pPr>
              <w:keepNext/>
            </w:pPr>
          </w:p>
        </w:tc>
      </w:tr>
      <w:tr w:rsidR="0084767A" w:rsidTr="003E4EAF">
        <w:trPr>
          <w:jc w:val="center"/>
        </w:trPr>
        <w:tc>
          <w:tcPr>
            <w:tcW w:w="4876" w:type="dxa"/>
          </w:tcPr>
          <w:p w:rsidR="0084767A" w:rsidRPr="00FC22F0" w:rsidRDefault="0084767A" w:rsidP="003E4EAF">
            <w:pPr>
              <w:pStyle w:val="ColumnHeading"/>
              <w:keepNext/>
            </w:pPr>
            <w:r>
              <w:t>Predlog resolucije</w:t>
            </w:r>
          </w:p>
        </w:tc>
        <w:tc>
          <w:tcPr>
            <w:tcW w:w="4876" w:type="dxa"/>
          </w:tcPr>
          <w:p w:rsidR="0084767A" w:rsidRPr="00FC22F0" w:rsidRDefault="0084767A" w:rsidP="003E4EAF">
            <w:pPr>
              <w:pStyle w:val="ColumnHeading"/>
              <w:keepNext/>
            </w:pPr>
            <w:r>
              <w:t>Predlog spremembe</w:t>
            </w:r>
          </w:p>
        </w:tc>
      </w:tr>
      <w:tr w:rsidR="0084767A" w:rsidTr="003E4EAF">
        <w:trPr>
          <w:jc w:val="center"/>
        </w:trPr>
        <w:tc>
          <w:tcPr>
            <w:tcW w:w="4876" w:type="dxa"/>
          </w:tcPr>
          <w:p w:rsidR="0084767A" w:rsidRPr="00FC22F0" w:rsidRDefault="0084767A" w:rsidP="003E4EAF">
            <w:pPr>
              <w:pStyle w:val="Normal6"/>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Pr>
          <w:p w:rsidR="0084767A" w:rsidRPr="00FC22F0" w:rsidRDefault="0084767A" w:rsidP="003E4EAF">
            <w:pPr>
              <w:pStyle w:val="Normal6"/>
              <w:rPr>
                <w:szCs w:val="24"/>
              </w:rPr>
            </w:pPr>
            <w:r>
              <w:t>9.</w:t>
            </w:r>
            <w:r>
              <w:tab/>
              <w:t>ugotavlja, da bi lahko EU postala privlačnejša destinacija za naložbe, če bo poenostavila svoje upravne postopke</w:t>
            </w:r>
            <w:r>
              <w:rPr>
                <w:b/>
                <w:i/>
              </w:rPr>
              <w:t>, in poziva, naj se za upravičence zmanjša birokracija, programi EU pa poenostavijo</w:t>
            </w:r>
            <w:r>
              <w:t>;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r>
    </w:tbl>
    <w:p w:rsidR="0084767A" w:rsidRPr="00FC22F0" w:rsidRDefault="0084767A" w:rsidP="0084767A">
      <w:pPr>
        <w:pStyle w:val="Olang"/>
        <w:rPr>
          <w:sz w:val="24"/>
          <w:szCs w:val="24"/>
        </w:rPr>
      </w:pPr>
      <w:r w:rsidRPr="00FC22F0">
        <w:rPr>
          <w:sz w:val="24"/>
          <w:szCs w:val="24"/>
        </w:rPr>
        <w:t xml:space="preserve">Or. </w:t>
      </w:r>
      <w:r w:rsidRPr="00FC22F0">
        <w:rPr>
          <w:rStyle w:val="HideTWBExt"/>
        </w:rPr>
        <w:t>&lt;Original&gt;</w:t>
      </w:r>
      <w:r w:rsidRPr="00FC22F0">
        <w:rPr>
          <w:rStyle w:val="HideTWBInt"/>
        </w:rPr>
        <w:t>{EN}</w:t>
      </w:r>
      <w:r w:rsidRPr="00FC22F0">
        <w:rPr>
          <w:sz w:val="24"/>
          <w:szCs w:val="24"/>
        </w:rPr>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332</w:t>
      </w:r>
      <w:r>
        <w:rPr>
          <w:rStyle w:val="HideTWBExt"/>
          <w:b w:val="0"/>
        </w:rPr>
        <w:t>&lt;/NumAm&gt;</w:t>
      </w:r>
    </w:p>
    <w:p w:rsidR="0084767A" w:rsidRPr="00FC22F0" w:rsidRDefault="0084767A" w:rsidP="0084767A">
      <w:pPr>
        <w:pStyle w:val="NormalBold"/>
      </w:pPr>
      <w:r>
        <w:rPr>
          <w:rStyle w:val="HideTWBExt"/>
          <w:b w:val="0"/>
        </w:rPr>
        <w:t>&lt;RepeatBlock-By&gt;&lt;Members&gt;</w:t>
      </w:r>
      <w:r>
        <w:t>Ľudovít Ódor, Anouk Van Brug, Billy Kelleher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 </w:t>
            </w:r>
            <w:r>
              <w:rPr>
                <w:b/>
                <w:i/>
              </w:rPr>
              <w:t>v zvezi s tem poziva Komisijo, naj temeljito preuči potencial 28. režima, s katerim bi lahko odpravili vse obstoječe omejitve;</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333</w:t>
      </w:r>
      <w:r>
        <w:rPr>
          <w:rStyle w:val="HideTWBExt"/>
          <w:b w:val="0"/>
        </w:rPr>
        <w:t>&lt;/NumAm&gt;</w:t>
      </w:r>
    </w:p>
    <w:p w:rsidR="0084767A" w:rsidRPr="00FC22F0" w:rsidRDefault="0084767A" w:rsidP="0084767A">
      <w:pPr>
        <w:pStyle w:val="NormalBold"/>
      </w:pPr>
      <w:r>
        <w:rPr>
          <w:rStyle w:val="HideTWBExt"/>
          <w:b w:val="0"/>
        </w:rPr>
        <w:t>&lt;RepeatBlock-By&gt;&lt;Members&gt;</w:t>
      </w:r>
      <w:r>
        <w:t>Markus Ferber</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r>
              <w:t>9.</w:t>
            </w:r>
            <w:r>
              <w:tab/>
              <w:t>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w:t>
            </w:r>
          </w:p>
        </w:tc>
        <w:tc>
          <w:tcPr>
            <w:tcW w:w="4876" w:type="dxa"/>
            <w:tcBorders>
              <w:top w:val="nil"/>
              <w:left w:val="nil"/>
              <w:bottom w:val="nil"/>
              <w:right w:val="nil"/>
            </w:tcBorders>
          </w:tcPr>
          <w:p w:rsidR="0084767A" w:rsidRPr="00FC22F0" w:rsidRDefault="0084767A" w:rsidP="003E4EAF">
            <w:pPr>
              <w:pStyle w:val="Normal6a"/>
            </w:pPr>
            <w:r>
              <w:t>9.</w:t>
            </w:r>
            <w:r>
              <w:tab/>
              <w:t xml:space="preserve">ugotavlja, da bi lahko EU postala privlačnejša destinacija za naložbe, če bo poenostavila svoje upravne postopke; meni, da bi bilo treba v okviru te agende za poenostavitev uskladiti zakonodajne okvire držav članic, da bi olajšali čezmejne dejavnosti; poziva Komisijo, naj se namesto direktiv bolj poslužuje uredb in tako omeji diskrecijsko pravico držav članic, ki bi utegnila privesti do razdrobljenosti; </w:t>
            </w:r>
            <w:r>
              <w:rPr>
                <w:b/>
                <w:i/>
              </w:rPr>
              <w:t>poziva Komisijo, naj obravnava primere čezmernega prenašanja v državah članicah;</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334</w:t>
      </w:r>
      <w:r>
        <w:rPr>
          <w:rStyle w:val="HideTWBExt"/>
          <w:b w:val="0"/>
        </w:rPr>
        <w:t>&lt;/NumAm&gt;</w:t>
      </w:r>
    </w:p>
    <w:p w:rsidR="0084767A" w:rsidRPr="00FC22F0" w:rsidRDefault="0084767A" w:rsidP="0084767A">
      <w:pPr>
        <w:pStyle w:val="NormalBold"/>
      </w:pPr>
      <w:r>
        <w:rPr>
          <w:rStyle w:val="HideTWBExt"/>
          <w:b w:val="0"/>
        </w:rPr>
        <w:t>&lt;RepeatBlock-By&gt;&lt;Members&gt;</w:t>
      </w:r>
      <w:r>
        <w:t>Eero Heinäluoma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 a (novo)</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9a. poziva Komisijo, naj poskrbi, da bodo evropski nadzorni organi sistematično vključeni v postopek odločanja v sklopu mandatov na ravneh 2 in 3, ter tako zagotovi, da bodo ti mandati temeljili na dokazih, sorazmerni in prilagojeni potrebam finančnega sektorja; jo nadalje poziva, naj zagotovi potrebna finančna sredstva, da bodo lahko evropski nadzorni organi te mandate izvajali;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335</w:t>
      </w:r>
      <w:r>
        <w:rPr>
          <w:rStyle w:val="HideTWBExt"/>
          <w:b w:val="0"/>
        </w:rPr>
        <w:t>&lt;/NumAm&gt;</w:t>
      </w:r>
    </w:p>
    <w:p w:rsidR="0084767A" w:rsidRPr="00FC22F0" w:rsidRDefault="0084767A" w:rsidP="0084767A">
      <w:pPr>
        <w:pStyle w:val="NormalBold"/>
      </w:pPr>
      <w:r>
        <w:rPr>
          <w:rStyle w:val="HideTWBExt"/>
          <w:b w:val="0"/>
        </w:rPr>
        <w:t>&lt;RepeatBlock-By&gt;&lt;Members&gt;</w:t>
      </w:r>
      <w:r>
        <w:t>Aurore Lalucq</w:t>
      </w:r>
      <w:r>
        <w:rPr>
          <w:rStyle w:val="HideTWBExt"/>
          <w:b w:val="0"/>
        </w:rPr>
        <w:t>&lt;/Members&gt;</w:t>
      </w:r>
    </w:p>
    <w:p w:rsidR="0084767A" w:rsidRPr="00FC22F0" w:rsidRDefault="0084767A" w:rsidP="0084767A">
      <w:r>
        <w:rPr>
          <w:rStyle w:val="HideTWBExt"/>
        </w:rPr>
        <w:t>&lt;AuNomDe&gt;</w:t>
      </w:r>
      <w:r>
        <w:rPr>
          <w:rStyle w:val="HideTWBInt"/>
        </w:rPr>
        <w:t>{S&amp;D}</w:t>
      </w:r>
      <w:r>
        <w:t>v imenu skupine S&amp;D</w:t>
      </w:r>
      <w:r>
        <w:rPr>
          <w:rStyle w:val="HideTWBExt"/>
        </w:rPr>
        <w:t>&lt;/AuNomDe&gt;</w:t>
      </w:r>
    </w:p>
    <w:p w:rsidR="0084767A" w:rsidRPr="00FC22F0" w:rsidRDefault="0084767A" w:rsidP="0084767A">
      <w:pPr>
        <w:pStyle w:val="NormalBold"/>
      </w:pPr>
      <w:r>
        <w:rPr>
          <w:rStyle w:val="HideTWBExt"/>
          <w:b w:val="0"/>
        </w:rPr>
        <w:t>&lt;Members&gt;</w:t>
      </w:r>
      <w:r>
        <w:t>Jonás Fernández, René Repasi, Eero Heinäluoma, Evelyn Regner, Niels Fuglsang, Claire Fita, Carla Tavares, Thomas Bajada, Francisco Assis, Lara Wolters</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9a.</w:t>
            </w:r>
            <w:r>
              <w:tab/>
            </w:r>
            <w:r>
              <w:rPr>
                <w:b/>
                <w:i/>
              </w:rPr>
              <w:t>meni, da je učinkovita zakonodaja prvi korak k poenostavitvi; poziva Komisijo, naj poskrbi, da bodo evropski nadzorni organi vključeni v postopek odločanja v sklopu mandatov na ravneh 2 in 3, ter tako zagotovi, da bodo ti mandati temeljili na dokazih, sorazmerni in prilagojeni potrebam finančnega sektorja;</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336</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9a.</w:t>
            </w:r>
            <w:r>
              <w:tab/>
            </w:r>
            <w:r>
              <w:rPr>
                <w:b/>
                <w:i/>
              </w:rPr>
              <w:t>poziva, naj se za podjetja zmanjšajo upravna bremena in bremena zagotavljanja skladnosti, pri čemer je treba posebno pozornost nameniti podjetjem, ki kotirajo na borzi, da bi povečali njihovo konkurenčnost in privlačnost; poudarja, da lahko pretirane obveznosti poročanja in zapletenost postopkov družbe odvrnejo od kotiranja na borzi in otežijo njihov dostop do kapitalskih trgov;</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337</w:t>
      </w:r>
      <w:r>
        <w:rPr>
          <w:rStyle w:val="HideTWBExt"/>
          <w:b w:val="0"/>
        </w:rPr>
        <w:t>&lt;/NumAm&gt;</w:t>
      </w:r>
    </w:p>
    <w:p w:rsidR="0084767A" w:rsidRPr="00FC22F0" w:rsidRDefault="0084767A" w:rsidP="0084767A">
      <w:pPr>
        <w:pStyle w:val="NormalBold"/>
      </w:pPr>
      <w:r>
        <w:rPr>
          <w:rStyle w:val="HideTWBExt"/>
          <w:b w:val="0"/>
        </w:rPr>
        <w:t>&lt;RepeatBlock-By&gt;&lt;Members&gt;</w:t>
      </w:r>
      <w:r>
        <w:t>Sirpa Pietikäinen</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9a.</w:t>
            </w:r>
            <w:r>
              <w:tab/>
            </w:r>
            <w:r>
              <w:rPr>
                <w:b/>
                <w:i/>
              </w:rPr>
              <w:t>poziva Komisijo, naj poskrbi za enake konkurenčne pogoje, s katerimi bo spodbujala naložbene priložnosti, tako da oblikuje dolgoročne in ambiciozne predpise o trajnostnosti in drugih področjih, s katerimi bo industriji in vlagateljem zagotovila dolgoročno perspektivo;</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338</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9b.</w:t>
            </w:r>
            <w:r>
              <w:tab/>
            </w:r>
            <w:r>
              <w:rPr>
                <w:b/>
                <w:i/>
              </w:rPr>
              <w:t>poziva, naj bodo izvedbeni ukrepi, sprejeti na podlagi akta o kotiranju, v celoti usklajeni z njegovim krovnim ciljem glede zmanjšanja regulativne zapletenosti in stroškov zagotavljanja skladnosti, zlasti za izdajatelje; poudarja, da bi morale določbe na ravni 2 prispevati k dostopnejšemu in stroškovno učinkovitejšemu okolju za kotiranje na borzi po vsej Uniji;</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Pr="00FC22F0" w:rsidRDefault="0084767A" w:rsidP="0084767A">
      <w:r>
        <w:rPr>
          <w:rStyle w:val="HideTWBExt"/>
        </w:rPr>
        <w:t>&lt;/Amend&gt;</w:t>
      </w:r>
    </w:p>
    <w:p w:rsidR="0084767A" w:rsidRPr="00FC22F0" w:rsidRDefault="0084767A" w:rsidP="0084767A">
      <w:pPr>
        <w:pStyle w:val="AmNumberTabs"/>
      </w:pPr>
      <w:r>
        <w:rPr>
          <w:rStyle w:val="HideTWBExt"/>
          <w:b w:val="0"/>
        </w:rPr>
        <w:t>&lt;Amend&gt;</w:t>
      </w:r>
      <w:r>
        <w:t>Predlog spremembe</w:t>
      </w:r>
      <w:r>
        <w:tab/>
      </w:r>
      <w:r>
        <w:tab/>
      </w:r>
      <w:r>
        <w:rPr>
          <w:rStyle w:val="HideTWBExt"/>
          <w:b w:val="0"/>
        </w:rPr>
        <w:t>&lt;NumAm&gt;</w:t>
      </w:r>
      <w:r>
        <w:t>339</w:t>
      </w:r>
      <w:r>
        <w:rPr>
          <w:rStyle w:val="HideTWBExt"/>
          <w:b w:val="0"/>
        </w:rPr>
        <w:t>&lt;/NumAm&gt;</w:t>
      </w:r>
    </w:p>
    <w:p w:rsidR="0084767A" w:rsidRPr="00FC22F0" w:rsidRDefault="0084767A" w:rsidP="0084767A">
      <w:pPr>
        <w:pStyle w:val="NormalBold"/>
      </w:pPr>
      <w:r>
        <w:rPr>
          <w:rStyle w:val="HideTWBExt"/>
          <w:b w:val="0"/>
        </w:rPr>
        <w:t>&lt;RepeatBlock-By&gt;&lt;Members&gt;</w:t>
      </w:r>
      <w:r>
        <w:t>Giovanni Crosetto, Denis Nesci, Francesco Ventola</w:t>
      </w:r>
      <w:r>
        <w:rPr>
          <w:rStyle w:val="HideTWBExt"/>
          <w:b w:val="0"/>
        </w:rPr>
        <w:t>&lt;/Members&gt;</w:t>
      </w:r>
    </w:p>
    <w:p w:rsidR="0084767A" w:rsidRPr="00FC22F0" w:rsidRDefault="0084767A" w:rsidP="0084767A">
      <w:pPr>
        <w:pStyle w:val="NormalBold"/>
      </w:pPr>
      <w:r>
        <w:rPr>
          <w:rStyle w:val="HideTWBExt"/>
          <w:b w:val="0"/>
        </w:rPr>
        <w:t>&lt;/RepeatBlock-By&gt;</w:t>
      </w:r>
    </w:p>
    <w:p w:rsidR="0084767A" w:rsidRPr="00FC22F0" w:rsidRDefault="0084767A" w:rsidP="0084767A">
      <w:pPr>
        <w:pStyle w:val="NormalBold"/>
      </w:pPr>
      <w:r>
        <w:rPr>
          <w:rStyle w:val="HideTWBExt"/>
          <w:b w:val="0"/>
        </w:rPr>
        <w:t>&lt;DocAmend&gt;</w:t>
      </w:r>
      <w:r>
        <w:t>Predlog resolucije</w:t>
      </w:r>
      <w:r>
        <w:rPr>
          <w:rStyle w:val="HideTWBExt"/>
          <w:b w:val="0"/>
        </w:rPr>
        <w:t>&lt;/DocAmend&gt;</w:t>
      </w:r>
    </w:p>
    <w:p w:rsidR="0084767A" w:rsidRPr="00FC22F0" w:rsidRDefault="0084767A" w:rsidP="0084767A">
      <w:pPr>
        <w:pStyle w:val="NormalBold"/>
      </w:pPr>
      <w:r>
        <w:rPr>
          <w:rStyle w:val="HideTWBExt"/>
          <w:b w:val="0"/>
        </w:rPr>
        <w:t>&lt;Article&gt;</w:t>
      </w:r>
      <w:r>
        <w:t>Odstavek 9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67A" w:rsidTr="003E4EAF">
        <w:trPr>
          <w:trHeight w:hRule="exact" w:val="240"/>
          <w:jc w:val="center"/>
        </w:trPr>
        <w:tc>
          <w:tcPr>
            <w:tcW w:w="9752" w:type="dxa"/>
            <w:gridSpan w:val="2"/>
            <w:tcBorders>
              <w:top w:val="nil"/>
              <w:left w:val="nil"/>
              <w:bottom w:val="nil"/>
              <w:right w:val="nil"/>
            </w:tcBorders>
          </w:tcPr>
          <w:p w:rsidR="0084767A" w:rsidRPr="00FC22F0" w:rsidRDefault="0084767A" w:rsidP="003E4EAF"/>
        </w:tc>
      </w:tr>
      <w:tr w:rsidR="0084767A" w:rsidTr="003E4EAF">
        <w:trPr>
          <w:trHeight w:val="240"/>
          <w:jc w:val="center"/>
        </w:trPr>
        <w:tc>
          <w:tcPr>
            <w:tcW w:w="4876" w:type="dxa"/>
            <w:tcBorders>
              <w:top w:val="nil"/>
              <w:left w:val="nil"/>
              <w:bottom w:val="nil"/>
              <w:right w:val="nil"/>
            </w:tcBorders>
          </w:tcPr>
          <w:p w:rsidR="0084767A" w:rsidRPr="00FC22F0" w:rsidRDefault="0084767A" w:rsidP="003E4EAF">
            <w:pPr>
              <w:pStyle w:val="AmColumnHeading"/>
            </w:pPr>
            <w:r>
              <w:t>Predlog resolucije</w:t>
            </w:r>
          </w:p>
        </w:tc>
        <w:tc>
          <w:tcPr>
            <w:tcW w:w="4876" w:type="dxa"/>
            <w:tcBorders>
              <w:top w:val="nil"/>
              <w:left w:val="nil"/>
              <w:bottom w:val="nil"/>
              <w:right w:val="nil"/>
            </w:tcBorders>
          </w:tcPr>
          <w:p w:rsidR="0084767A" w:rsidRPr="00FC22F0" w:rsidRDefault="0084767A" w:rsidP="003E4EAF">
            <w:pPr>
              <w:pStyle w:val="AmColumnHeading"/>
            </w:pPr>
            <w:r>
              <w:t>Predlog spremembe</w:t>
            </w:r>
          </w:p>
        </w:tc>
      </w:tr>
      <w:tr w:rsidR="0084767A" w:rsidTr="003E4EAF">
        <w:trPr>
          <w:jc w:val="center"/>
        </w:trPr>
        <w:tc>
          <w:tcPr>
            <w:tcW w:w="4876" w:type="dxa"/>
            <w:tcBorders>
              <w:top w:val="nil"/>
              <w:left w:val="nil"/>
              <w:bottom w:val="nil"/>
              <w:right w:val="nil"/>
            </w:tcBorders>
          </w:tcPr>
          <w:p w:rsidR="0084767A" w:rsidRPr="00FC22F0" w:rsidRDefault="0084767A" w:rsidP="003E4EAF">
            <w:pPr>
              <w:pStyle w:val="Normal6a"/>
            </w:pPr>
          </w:p>
        </w:tc>
        <w:tc>
          <w:tcPr>
            <w:tcW w:w="4876" w:type="dxa"/>
            <w:tcBorders>
              <w:top w:val="nil"/>
              <w:left w:val="nil"/>
              <w:bottom w:val="nil"/>
              <w:right w:val="nil"/>
            </w:tcBorders>
          </w:tcPr>
          <w:p w:rsidR="0084767A" w:rsidRPr="00FC22F0" w:rsidRDefault="0084767A" w:rsidP="003E4EAF">
            <w:pPr>
              <w:pStyle w:val="Normal6a"/>
            </w:pPr>
            <w:r>
              <w:rPr>
                <w:b/>
                <w:i/>
              </w:rPr>
              <w:t>9c.</w:t>
            </w:r>
            <w:r>
              <w:tab/>
            </w:r>
            <w:r>
              <w:rPr>
                <w:b/>
                <w:i/>
              </w:rPr>
              <w:t>poziva Komisijo, naj se spoprime z razdrobljenostjo nacionalnih insolvenčnih okvirov in vzpostavi učinkovite mehanizme za reševanje čezmejnih sporov; poudarja, da sta večja pravna konvergenca in jasnost postopkov bistvenega pomena, če naj se zmanjšajo ovire za čezmejne naložbe in podpre nadaljnje povezovanje kapitalskih trgov EU;</w:t>
            </w:r>
          </w:p>
        </w:tc>
      </w:tr>
    </w:tbl>
    <w:p w:rsidR="0084767A" w:rsidRPr="00FC22F0" w:rsidRDefault="0084767A" w:rsidP="0084767A">
      <w:pPr>
        <w:pStyle w:val="AmOrLang"/>
      </w:pPr>
      <w:r w:rsidRPr="00FC22F0">
        <w:t xml:space="preserve">Or. </w:t>
      </w:r>
      <w:r w:rsidRPr="00FC22F0">
        <w:rPr>
          <w:rStyle w:val="HideTWBExt"/>
        </w:rPr>
        <w:t>&lt;Original&gt;</w:t>
      </w:r>
      <w:r w:rsidRPr="00FC22F0">
        <w:rPr>
          <w:rStyle w:val="HideTWBInt"/>
        </w:rPr>
        <w:t>{EN}</w:t>
      </w:r>
      <w:r w:rsidRPr="00FC22F0">
        <w:t>en</w:t>
      </w:r>
      <w:r w:rsidRPr="00FC22F0">
        <w:rPr>
          <w:rStyle w:val="HideTWBExt"/>
        </w:rPr>
        <w:t>&lt;/Original&gt;</w:t>
      </w:r>
    </w:p>
    <w:p w:rsidR="0084767A" w:rsidRDefault="0084767A" w:rsidP="0084767A">
      <w:r>
        <w:rPr>
          <w:rStyle w:val="HideTWBExt"/>
        </w:rPr>
        <w:t>&lt;/Amend&gt;</w:t>
      </w:r>
      <w:r w:rsidRPr="0084767A">
        <w:rPr>
          <w:rStyle w:val="HideTWBExt"/>
        </w:rPr>
        <w:t>&lt;/RepeatBlock-Amend&gt;</w:t>
      </w:r>
    </w:p>
    <w:p w:rsidR="00F2637A" w:rsidRPr="00FC22F0" w:rsidRDefault="00F2637A" w:rsidP="0084767A"/>
    <w:sectPr w:rsidR="00F2637A" w:rsidRPr="00FC22F0" w:rsidSect="0084767A">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583" w:rsidRPr="00FC22F0" w:rsidRDefault="00560583">
      <w:r w:rsidRPr="00FC22F0">
        <w:separator/>
      </w:r>
    </w:p>
  </w:endnote>
  <w:endnote w:type="continuationSeparator" w:id="0">
    <w:p w:rsidR="00560583" w:rsidRPr="00FC22F0" w:rsidRDefault="00560583">
      <w:r w:rsidRPr="00FC22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7A" w:rsidRDefault="0084767A" w:rsidP="0084767A">
    <w:pPr>
      <w:pStyle w:val="EPFooter"/>
    </w:pPr>
    <w:r>
      <w:t>PE</w:t>
    </w:r>
    <w:r w:rsidRPr="0084767A">
      <w:rPr>
        <w:rStyle w:val="HideTWBExt"/>
      </w:rPr>
      <w:t>&lt;NoPE&gt;</w:t>
    </w:r>
    <w:r>
      <w:t>773.152</w:t>
    </w:r>
    <w:r w:rsidRPr="0084767A">
      <w:rPr>
        <w:rStyle w:val="HideTWBExt"/>
      </w:rPr>
      <w:t>&lt;/NoPE&gt;&lt;Version&gt;</w:t>
    </w:r>
    <w:r>
      <w:t>v01-00</w:t>
    </w:r>
    <w:r w:rsidRPr="0084767A">
      <w:rPr>
        <w:rStyle w:val="HideTWBExt"/>
      </w:rPr>
      <w:t>&lt;/Version&gt;</w:t>
    </w:r>
    <w:r>
      <w:tab/>
    </w:r>
    <w:r>
      <w:fldChar w:fldCharType="begin"/>
    </w:r>
    <w:r>
      <w:instrText xml:space="preserve"> PAGE  \* MERGEFORMAT </w:instrText>
    </w:r>
    <w:r>
      <w:fldChar w:fldCharType="separate"/>
    </w:r>
    <w:r w:rsidR="001C39F8">
      <w:rPr>
        <w:noProof/>
      </w:rPr>
      <w:t>2</w:t>
    </w:r>
    <w:r>
      <w:fldChar w:fldCharType="end"/>
    </w:r>
    <w:r>
      <w:t>/</w:t>
    </w:r>
    <w:fldSimple w:instr=" NUMPAGES  \* MERGEFORMAT ">
      <w:r w:rsidR="001C39F8">
        <w:rPr>
          <w:noProof/>
        </w:rPr>
        <w:t>170</w:t>
      </w:r>
    </w:fldSimple>
    <w:r>
      <w:tab/>
    </w:r>
    <w:r w:rsidRPr="0084767A">
      <w:rPr>
        <w:rStyle w:val="HideTWBExt"/>
      </w:rPr>
      <w:t>&lt;PathFdR&gt;</w:t>
    </w:r>
    <w:r>
      <w:t>AM\1320327SL.docx</w:t>
    </w:r>
    <w:r w:rsidRPr="0084767A">
      <w:rPr>
        <w:rStyle w:val="HideTWBExt"/>
      </w:rPr>
      <w:t>&lt;/PathFdR&gt;</w:t>
    </w:r>
  </w:p>
  <w:p w:rsidR="00560583" w:rsidRPr="00FC22F0" w:rsidRDefault="0084767A" w:rsidP="0084767A">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7A" w:rsidRDefault="0084767A" w:rsidP="0084767A">
    <w:pPr>
      <w:pStyle w:val="EPFooter"/>
    </w:pPr>
    <w:r w:rsidRPr="0084767A">
      <w:rPr>
        <w:rStyle w:val="HideTWBExt"/>
      </w:rPr>
      <w:t>&lt;PathFdR&gt;</w:t>
    </w:r>
    <w:r>
      <w:t>AM\1320327SL.docx</w:t>
    </w:r>
    <w:r w:rsidRPr="0084767A">
      <w:rPr>
        <w:rStyle w:val="HideTWBExt"/>
      </w:rPr>
      <w:t>&lt;/PathFdR&gt;</w:t>
    </w:r>
    <w:r>
      <w:tab/>
    </w:r>
    <w:r>
      <w:fldChar w:fldCharType="begin"/>
    </w:r>
    <w:r>
      <w:instrText xml:space="preserve"> PAGE  \* MERGEFORMAT </w:instrText>
    </w:r>
    <w:r>
      <w:fldChar w:fldCharType="separate"/>
    </w:r>
    <w:r w:rsidR="001C39F8">
      <w:rPr>
        <w:noProof/>
      </w:rPr>
      <w:t>169</w:t>
    </w:r>
    <w:r>
      <w:fldChar w:fldCharType="end"/>
    </w:r>
    <w:r>
      <w:t>/</w:t>
    </w:r>
    <w:fldSimple w:instr=" NUMPAGES  \* MERGEFORMAT ">
      <w:r w:rsidR="001C39F8">
        <w:rPr>
          <w:noProof/>
        </w:rPr>
        <w:t>170</w:t>
      </w:r>
    </w:fldSimple>
    <w:r>
      <w:tab/>
      <w:t>PE</w:t>
    </w:r>
    <w:r w:rsidRPr="0084767A">
      <w:rPr>
        <w:rStyle w:val="HideTWBExt"/>
      </w:rPr>
      <w:t>&lt;NoPE&gt;</w:t>
    </w:r>
    <w:r>
      <w:t>773.152</w:t>
    </w:r>
    <w:r w:rsidRPr="0084767A">
      <w:rPr>
        <w:rStyle w:val="HideTWBExt"/>
      </w:rPr>
      <w:t>&lt;/NoPE&gt;&lt;Version&gt;</w:t>
    </w:r>
    <w:r>
      <w:t>v01-00</w:t>
    </w:r>
    <w:r w:rsidRPr="0084767A">
      <w:rPr>
        <w:rStyle w:val="HideTWBExt"/>
      </w:rPr>
      <w:t>&lt;/Version&gt;</w:t>
    </w:r>
  </w:p>
  <w:p w:rsidR="00560583" w:rsidRPr="00FC22F0" w:rsidRDefault="0084767A" w:rsidP="0084767A">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7A" w:rsidRDefault="0084767A" w:rsidP="0084767A">
    <w:pPr>
      <w:pStyle w:val="EPFooter"/>
    </w:pPr>
    <w:r w:rsidRPr="0084767A">
      <w:rPr>
        <w:rStyle w:val="HideTWBExt"/>
      </w:rPr>
      <w:t>&lt;PathFdR&gt;</w:t>
    </w:r>
    <w:r>
      <w:t>AM\1320327SL.docx</w:t>
    </w:r>
    <w:r w:rsidRPr="0084767A">
      <w:rPr>
        <w:rStyle w:val="HideTWBExt"/>
      </w:rPr>
      <w:t>&lt;/PathFdR&gt;</w:t>
    </w:r>
    <w:r>
      <w:tab/>
    </w:r>
    <w:r>
      <w:tab/>
      <w:t>PE</w:t>
    </w:r>
    <w:r w:rsidRPr="0084767A">
      <w:rPr>
        <w:rStyle w:val="HideTWBExt"/>
      </w:rPr>
      <w:t>&lt;NoPE&gt;</w:t>
    </w:r>
    <w:r>
      <w:t>773.152</w:t>
    </w:r>
    <w:r w:rsidRPr="0084767A">
      <w:rPr>
        <w:rStyle w:val="HideTWBExt"/>
      </w:rPr>
      <w:t>&lt;/NoPE&gt;&lt;Version&gt;</w:t>
    </w:r>
    <w:r>
      <w:t>v01-00</w:t>
    </w:r>
    <w:r w:rsidRPr="0084767A">
      <w:rPr>
        <w:rStyle w:val="HideTWBExt"/>
      </w:rPr>
      <w:t>&lt;/Version&gt;</w:t>
    </w:r>
  </w:p>
  <w:p w:rsidR="00560583" w:rsidRPr="00FC22F0" w:rsidRDefault="0084767A" w:rsidP="0084767A">
    <w:pPr>
      <w:pStyle w:val="EPFooter2"/>
    </w:pPr>
    <w:r>
      <w:t>SL</w:t>
    </w:r>
    <w:r>
      <w:tab/>
    </w:r>
    <w:r w:rsidRPr="0084767A">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583" w:rsidRPr="00FC22F0" w:rsidRDefault="00560583">
      <w:r w:rsidRPr="00FC22F0">
        <w:separator/>
      </w:r>
    </w:p>
  </w:footnote>
  <w:footnote w:type="continuationSeparator" w:id="0">
    <w:p w:rsidR="00560583" w:rsidRPr="00FC22F0" w:rsidRDefault="00560583">
      <w:r w:rsidRPr="00FC22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7A" w:rsidRDefault="00847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7A" w:rsidRDefault="00847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7A" w:rsidRDefault="008476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VTAMPART" w:val="Recital Aa (new)"/>
    <w:docVar w:name="TVTMEMBERS1" w:val="Danuše Nerudová"/>
    <w:docVar w:name="TXTLANGUE" w:val="SL"/>
    <w:docVar w:name="TXTLANGUEMIN" w:val="sl"/>
    <w:docVar w:name="TXTNRFIRSTAM" w:val="1"/>
    <w:docVar w:name="TXTNRLASTAM" w:val="339"/>
    <w:docVar w:name="TXTNRPE" w:val="773.152"/>
    <w:docVar w:name="TXTPEorAP" w:val="PE"/>
    <w:docVar w:name="TXTROUTE" w:val="AM\1320327SL.docx"/>
    <w:docVar w:name="TXTVERSION" w:val="01-00"/>
  </w:docVars>
  <w:rsids>
    <w:rsidRoot w:val="00A77B3E"/>
    <w:rsid w:val="00120A62"/>
    <w:rsid w:val="001C39F8"/>
    <w:rsid w:val="00252254"/>
    <w:rsid w:val="002B2112"/>
    <w:rsid w:val="002C7302"/>
    <w:rsid w:val="00560583"/>
    <w:rsid w:val="00564D5A"/>
    <w:rsid w:val="005A2C42"/>
    <w:rsid w:val="005B5DE2"/>
    <w:rsid w:val="005F763A"/>
    <w:rsid w:val="00604C7A"/>
    <w:rsid w:val="00702207"/>
    <w:rsid w:val="007323C4"/>
    <w:rsid w:val="00787CF7"/>
    <w:rsid w:val="0084767A"/>
    <w:rsid w:val="008777C2"/>
    <w:rsid w:val="00943645"/>
    <w:rsid w:val="009549BB"/>
    <w:rsid w:val="00971BB6"/>
    <w:rsid w:val="00A77B3E"/>
    <w:rsid w:val="00A96DA3"/>
    <w:rsid w:val="00BB6EBB"/>
    <w:rsid w:val="00C96AEE"/>
    <w:rsid w:val="00CA2A55"/>
    <w:rsid w:val="00F2637A"/>
    <w:rsid w:val="00FC22F0"/>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51238"/>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sl-SI" w:eastAsia="en-GB"/>
    </w:rPr>
  </w:style>
  <w:style w:type="paragraph" w:customStyle="1" w:styleId="ColumnHeading">
    <w:name w:val="ColumnHeading"/>
    <w:basedOn w:val="Normal"/>
    <w:rsid w:val="005F763A"/>
    <w:pPr>
      <w:spacing w:after="240"/>
      <w:jc w:val="center"/>
    </w:pPr>
    <w:rPr>
      <w:i/>
      <w:szCs w:val="20"/>
      <w:lang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2D53-1551-41EA-8076-A50DC9DC2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170</Pages>
  <Words>39731</Words>
  <Characters>241570</Characters>
  <Application>Microsoft Office Word</Application>
  <DocSecurity>0</DocSecurity>
  <Lines>10980</Lines>
  <Paragraphs>4395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2025-05-23T08:44:00Z</dcterms:created>
  <dcterms:modified xsi:type="dcterms:W3CDTF">2025-05-23T08:44:00Z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173951</vt:lpwstr>
  </property>
  <property fmtid="{D5CDD505-2E9C-101B-9397-08002B2CF9AE}" pid="7" name="dmxml.render.traceId">
    <vt:lpwstr>6814b4ffff221515b528b7fae7ef3a9e</vt:lpwstr>
  </property>
  <property fmtid="{D5CDD505-2E9C-101B-9397-08002B2CF9AE}" pid="8" name="FooterPath">
    <vt:lpwstr>AM\1320327SL.docx</vt:lpwstr>
  </property>
  <property fmtid="{D5CDD505-2E9C-101B-9397-08002B2CF9AE}" pid="9" name="LastEdited with">
    <vt:lpwstr>10.1.1 Build [20250421]</vt:lpwstr>
  </property>
  <property fmtid="{D5CDD505-2E9C-101B-9397-08002B2CF9AE}" pid="10" name="PE Number">
    <vt:lpwstr>773.152</vt:lpwstr>
  </property>
  <property fmtid="{D5CDD505-2E9C-101B-9397-08002B2CF9AE}" pid="11" name="SendToEpades">
    <vt:lpwstr>OK(AMNUM) - 2025/05/05 14:11</vt:lpwstr>
  </property>
  <property fmtid="{D5CDD505-2E9C-101B-9397-08002B2CF9AE}" pid="12" name="UID">
    <vt:lpwstr>eu.europa.europarl-TMP1-0000-0000000336_00.00-xm-00.00_text-xml</vt:lpwstr>
  </property>
  <property fmtid="{D5CDD505-2E9C-101B-9397-08002B2CF9AE}" pid="13" name="SDLStudio">
    <vt:lpwstr/>
  </property>
  <property fmtid="{D5CDD505-2E9C-101B-9397-08002B2CF9AE}" pid="14" name="Bookout">
    <vt:lpwstr>OK - 2025/05/23 10:40</vt:lpwstr>
  </property>
</Properties>
</file>