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Evropský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{ECON}</w:t>
      </w:r>
      <w:r>
        <w:t>Hospodářský a měnový výbor</w:t>
      </w:r>
      <w:r>
        <w:rPr>
          <w:rStyle w:val="HideTWBExt"/>
        </w:rPr>
        <w:t>&lt;/Commission&gt;</w:t>
      </w:r>
    </w:p>
    <w:p>
      <w:pPr>
        <w:pStyle w:val="LineBottom"/>
      </w:pPr>
      <w:r>
        <w:t xml:space="preserve"> </w:t>
      </w:r>
    </w:p>
    <w:p>
      <w:pPr>
        <w:pStyle w:val="CoverReference"/>
      </w:pPr>
      <w:r>
        <w:rPr>
          <w:rStyle w:val="HideTWBExt"/>
        </w:rPr>
        <w:t>&lt;RefProc&gt;</w:t>
      </w:r>
      <w:r>
        <w:t>2025/2072</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{13/06/2025}</w:t>
      </w:r>
      <w:r>
        <w:t>13. 6. 2025</w:t>
      </w:r>
      <w:r>
        <w:rPr>
          <w:rStyle w:val="HideTWBExt"/>
        </w:rPr>
        <w:t>&lt;/Date&gt;</w:t>
      </w:r>
    </w:p>
    <w:p>
      <w:pPr>
        <w:pStyle w:val="CoverDocType"/>
      </w:pPr>
      <w:r>
        <w:rPr>
          <w:rStyle w:val="HideTWBExt"/>
        </w:rPr>
        <w:t>&lt;TypeAM&gt;</w:t>
      </w:r>
      <w:r>
        <w:t>POZMĚŇOVACÍ NÁVRHY</w:t>
      </w:r>
      <w:r>
        <w:rPr>
          <w:rStyle w:val="HideTWBExt"/>
        </w:rPr>
        <w:t>&lt;/TypeAM&gt;</w:t>
      </w:r>
    </w:p>
    <w:p>
      <w:pPr>
        <w:pStyle w:val="CoverDocType24a"/>
      </w:pPr>
      <w:r>
        <w:rPr>
          <w:rStyle w:val="HideTWBExt"/>
        </w:rPr>
        <w:t>&lt;RangeAM&gt;</w:t>
      </w:r>
      <w:r>
        <w:t>1</w:t>
      </w:r>
      <w:r>
        <w:t xml:space="preserve"> - </w:t>
      </w:r>
      <w:r>
        <w:t>459</w:t>
      </w:r>
      <w:r>
        <w:rPr>
          <w:rStyle w:val="HideTWBExt"/>
        </w:rPr>
        <w:t>&lt;/RangeAM&gt;</w:t>
      </w:r>
    </w:p>
    <w:p>
      <w:pPr>
        <w:pStyle w:val="CoverBold"/>
      </w:pPr>
      <w:r>
        <w:rPr>
          <w:rStyle w:val="HideTWBExt"/>
        </w:rPr>
        <w:t>&lt;TitreType&gt;</w:t>
      </w:r>
      <w:r>
        <w:t>Návrh zprávy</w:t>
      </w:r>
      <w:r>
        <w:rPr>
          <w:rStyle w:val="HideTWBExt"/>
        </w:rPr>
        <w:t>&lt;/TitreType&gt;</w:t>
      </w:r>
    </w:p>
    <w:p>
      <w:pPr>
        <w:pStyle w:val="CoverBold"/>
      </w:pPr>
      <w:r>
        <w:rPr>
          <w:rStyle w:val="HideTWBExt"/>
        </w:rPr>
        <w:t>&lt;Rapporteur&gt;</w:t>
      </w:r>
      <w:r>
        <w:t>Jorge Martín Frías</w:t>
      </w:r>
      <w:r>
        <w:rPr>
          <w:rStyle w:val="HideTWBExt"/>
        </w:rPr>
        <w:t>&lt;/Rapporteur&gt;</w:t>
      </w:r>
    </w:p>
    <w:p>
      <w:pPr>
        <w:pStyle w:val="CoverNormal24a"/>
      </w:pPr>
      <w:r>
        <w:rPr>
          <w:rStyle w:val="HideTWBExt"/>
        </w:rPr>
        <w:t>&lt;DocRefPE&gt;</w:t>
      </w:r>
      <w:r>
        <w:t>(PE772.123v01-00)</w:t>
      </w:r>
      <w:r>
        <w:rPr>
          <w:rStyle w:val="HideTWBExt"/>
        </w:rPr>
        <w:t>&lt;/DocRefPE&gt;</w:t>
      </w:r>
    </w:p>
    <w:p>
      <w:pPr>
        <w:pStyle w:val="CoverNormal"/>
      </w:pPr>
      <w:r>
        <w:rPr>
          <w:rStyle w:val="HideTWBExt"/>
        </w:rPr>
        <w:t>&lt;Titre&gt;</w:t>
      </w:r>
      <w:r>
        <w:t>Přístup k financování pro malé a střední podniky a scaleupy</w:t>
      </w:r>
      <w:r>
        <w:rPr>
          <w:rStyle w:val="HideTWBExt"/>
        </w:rPr>
        <w:t>&lt;/Titre&gt;</w:t>
      </w:r>
    </w:p>
    <w:p>
      <w:pPr>
        <w:pStyle w:val="CoverNormal24a"/>
      </w:pPr>
      <w:r>
        <w:rPr>
          <w:rStyle w:val="HideTWBExt"/>
        </w:rPr>
        <w:t>&lt;DocRef&gt;</w:t>
      </w:r>
      <w:r>
        <w:t>(2025/2072(INI))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Pozměňovací návrh</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sdělení Komise ze dne 29. ledna 2025 nazvané „Kompas konkurenceschopnosti pro EU“ (COM(2025)0030),</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publikaci předsedkyně Komise Ursuly von der Leyenové ze dne 18. července 2024 s názvem „Volba Evropy –politické směry pro příští Evropskou komisi 2024–2029“,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Maria Draghiho ze dne 9. září 2024 s názvem „Budoucnost evropské konkurenceschopnosti“ (Draghiho zpráva),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c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Enrica Letty ze dne 17. dubna 2024 s názvem „Mnohem více než jen trh“ (Lettova zpráva),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d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Christiana Noyera ze dne 25. dubna 2024 s názvem „Rozvoj evropských kapitálových trhů za účelem financování budoucnosti“,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e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prohlášení o budoucnosti unie kapitálových trhů ze dne 11. března 2024, které vydala Euroskupina v inkluzivním formátu,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f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plán na vysoké úrovni z května 2024, který vytyčil opatření navazující na prohlášení o budoucnosti unie kapitálových trhů, jež vydala Euroskupina v inkluzivním formátu,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g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závěry zasedání Evropské rady, které proběhlo ve dnech 17. a 18. dubna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h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prohlášení Evropského orgánu pro pojišťovnictví a zaměstnanecké penzijní pojištění ze dne 25. dubna 2024 nazvané „Jak mohou evropští pojistitelé a penzijní fondy přispět k dalšímu posílení unie kapitálových trhů“,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i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poziční dokument Evropského orgánu pro cenné papíry a trhy (ESMA) z května 2024 nazvaný „Budování účinnějších a přitažlivějších kapitálových trhů v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j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prohlášení Rady guvernérů Evropské centrální banky ze dne 7. března 2024 o pokroku v budování unie kapitálových trhů,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k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29. ledna 2025 nazvané „Kompas konkurenceschopnosti pro EU“ (COM(2025)0030),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l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Evropské centrální banky nazvanou „Survey on the Access to Finance of Enterprises in the euro area – First Quarter of 2025“ (Průzkum přístupu podniků v eurozóně k financování – první čtvrtletí roku 2025), která byla zveřejněna v dubnu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m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19. března 2025 nazvané „Unie úspor a investic – strategie na podporu bohatství občanů a hospodářské konkurenceschopnosti v EU“ (COM(2025)0124),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n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28. května 2025 nazvané „Strategie EU pro startupy a scaleupy – Pro rozjezd a růst podnikání si zvolte Evropu“ (COM(2025)270),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o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Komise nazvanou „Survey on the access to finance of enterprises (SAFE) – Analytical report 2024“ (Průzkum přístupu podniků k financování – analytická zpráva za rok 2024), která byla zveřejněna v lednu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p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Komise ze dne 4. července 2024 nazvanou „Výroční zpráva o evropských malých a středních podnicích 2023/2024“,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q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své usnesení ze dne 14. prosince 2023 o posílení inovací a průmyslové a technologické konkurenceschopnosti díky příznivému prostředí pro začínající a rychle se rozvíjející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r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12. září 2023 s názvem „Balíček opatření na pomoc malým a středním podnikům“ (COM(2023)0535),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s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své usnesení ze dne 8. října 2020 o dalším rozvoji unie kapitálových trhů (CMU):</w:t>
            </w:r>
            <w:r>
              <w:t xml:space="preserve"> </w:t>
            </w:r>
            <w:r>
              <w:rPr>
                <w:b/>
                <w:i/>
              </w:rPr>
              <w:t>lepší přístup, zejména malých a středních podniků, k finančním prostředkům na kapitálovém trhu a další posílení účasti retailových investorů</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Úř. věst. C 395, 29.9.2021, s. 89.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t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své usnesení ze dne 9. července 2015 týkající se vytváření unie kapitálových trhů,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u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článek 55 jednacího řádu,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 v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Hospodářského a měnového výboru (A10-0000/2025),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Budapešťské prohlášení přijaté dne 8. listopadu 2024 na neformálním setkání hlav států a předsedů vlád,</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dokument ze dne 18. července 2024, který zveřejnila předsedkyně Komise von der Leyenová s názvem „Volba Evropy – Politické směry pro příští Evropskou komisi 2024–2029“,</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Evropské centrální banky nazvanou „Survey on the Access to Finance of Enterprises in the euro area – First Quarter of 2025“ (Průzkum přístupu podniků v eurozóně k financování – první čtvrtletí roku 2025), která byla zveřejněna v dubnu 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sdělení Komise ze dne 19. března 2025 nazvané „Unie úspor a investic – strategie na podporu bohatství občanů a hospodářské konkurenceschopnosti v EU“ (COM(2025)0124),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5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28. května 2025 nazvané „Strategie EU pro startupy a scaleupy:</w:t>
            </w:r>
            <w:r>
              <w:t xml:space="preserve"> </w:t>
            </w:r>
            <w:r>
              <w:rPr>
                <w:b/>
                <w:i/>
              </w:rPr>
              <w:t> Pro rozjezd a růst podnikání si zvolte Evropu“, COM(2025) 270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5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21. května 2025 nazvané „Jednotný trh:</w:t>
            </w:r>
            <w:r>
              <w:t xml:space="preserve"> </w:t>
            </w:r>
            <w:r>
              <w:rPr>
                <w:b/>
                <w:i/>
              </w:rPr>
              <w:t>náš evropský domácí trh v nejistém světě – Strategie pro jednoduchý, hladce fungující a silný jednotný trh“ (COM/2025/500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Komise nazvanou „Survey on the access to finance of enterprises (SAFE) – Analytical report 2024“ (Průzkum přístupu podniků k financování – analytická zpráva za rok 2024), která byla zveřejněna v lednu 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Maria Draghiho s názvem „Budoucnost evropské konkurenceschopnosti“ (Draghiho zpráva), která byla zveřejněna v září 2024,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Komise ze dne 4. července 2024 nazvanou „Výroční zpráva o evropských malých a středních podnicích 2023/2024“,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Enrica Letty nazvanou „Mnohem více než jen trh“ (Lettova zpráva), která byla zveřejněna v dubnu 2024,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závěry mimořádného zasedání Evropské rady ve dnech 17. a 18. dubna 2024,</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své usnesení ze dne 14.</w:t>
            </w:r>
            <w:r>
              <w:t xml:space="preserve"> </w:t>
            </w:r>
            <w:r>
              <w:rPr>
                <w:b/>
                <w:i/>
              </w:rPr>
              <w:t>Prosince 2023 o posílení inovací a průmyslové a technologické konkurenceschopnosti díky příznivému prostředí pro začínající a rychle se rozvíjející podniky</w:t>
            </w:r>
            <w:r>
              <w:rPr>
                <w:b/>
                <w:i/>
                <w:vertAlign w:val="superscript"/>
              </w:rPr>
              <w:t>1</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1</w:t>
            </w:r>
            <w:r>
              <w:t xml:space="preserve"> </w:t>
            </w:r>
            <w:r>
              <w:rPr>
                <w:b/>
                <w:i/>
              </w:rPr>
              <w:t>Úř. věst. C/2024/4182, 2.8.2024, ELI:</w:t>
            </w:r>
            <w:r>
              <w:t xml:space="preserve"> </w:t>
            </w:r>
            <w:r>
              <w:rPr>
                <w:b/>
                <w:i/>
              </w:rPr>
              <w:t>http://data.europa.eu/eli/C/2024/4182/oj.</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sdělení Komise ze dne 12. září 2023 s názvem „Balíček opatření na pomoc malým a středním podnikům“ (COM(2023)0535),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článek 55 jednacího řádu,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rPr>
                <w:b/>
                <w:i/>
              </w:rPr>
              <w:t>s ohledem na zprávu Hospodářského a měnového výboru (A10-0000/2025),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14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zprávu Mezinárodního měnového fondu o regionálním ekonomickém výhledu pro Evropu z října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14 a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strategii Komise EU pro startupy a scaleupy, která byla zveřejněna dne 28. května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Právní východisko 14 b (nové)</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s ohledem na sdělení Komise ze dne 21. května 2025 nazvané „Jednotný trh:</w:t>
            </w:r>
            <w:r>
              <w:t xml:space="preserve"> </w:t>
            </w:r>
            <w:r>
              <w:rPr>
                <w:b/>
                <w:i/>
              </w:rPr>
              <w:t>náš evropský domácí trh v nejistém světě – Strategie pro jednoduchý, hladce fungující a silný jednotný trh“,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vzhledem k tomu, že mikropodniky a malé a střední podniky představují páteř evropského podnikání, když v roce 2023 představovaly v EU malé a střední podniky 99,8 % všech podniků, 65,2 % pracovních míst a 53,1 % přidané hodnoty v nefinančním podnikatelském sektoru</w:t>
            </w:r>
            <w:r>
              <w:rPr>
                <w:b/>
                <w:i/>
                <w:vertAlign w:val="superscript"/>
              </w:rPr>
              <w:t>2</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vzhledem k tomu, že mikropodniky a malé a střední podniky představují páteř evropského podnikání, když v roce 2023 představovaly v EU malé a střední podniky 99,8 % všech podniků, 65,2 % pracovních míst a 53,1 % přidané hodnoty v nefinančním podnikatelském sektoru</w:t>
            </w:r>
            <w:r>
              <w:rPr>
                <w:b/>
                <w:i/>
                <w:vertAlign w:val="superscript"/>
              </w:rPr>
              <w:t>2</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2</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podle definice, kterou v současné době používá Evropská unie, je malých a středních podniků více než 23 milionů, představují více než 99 % podniků působících na tomto území, zaměstnávají 90 až 100 milionů lidí a hrají zásadní úlohu, pokud jde o hospodářskou odolnost, regionální soudržnost a inovace;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má-li se plně uvolnit jejich potenciál pro růst, inovace a tvorbu pracovních míst, je nezbytné podporovat stabilní regulační prostředí příznivé pro soukromé investice a zlepšit přístup k financování prostřednictvím integrované unie úspor a investic;</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malé a střední podniky jsou páteří našeho hospodářství, neboť tvoří 99 % všech podniků v EU, zaměstnávají přibližně 100 milionů lidí a vytvářejí více než polovinu evropského hrubého domácího produktu;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A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vzhledem k tomu, že EU jako celek – a zejména její největší ekonomiky – zaznamenává v současné době značné hospodářské zpomalení a její podniky čelí problémům, neboť přestávají být konkurenceschopné vůči Číně a USA;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vzhledem k tomu, že evropské malé a střední podniky se liší co do rozsahu, umístění, vlastnictví a inovační kapacity, a čelí proto rozdílným výzvám a potřebám financování;</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vzhledem k tomu, že evropské malé a střední podniky se liší co do rozsahu, umístění, vlastnictví a inovační kapacity, a čelí proto rozdílným výzvám a potřebám financování;</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vzhledem k tomu, že evropské malé a střední podniky se liší co do rozsahu, umístění, vlastnictví a inovační kapacity, a čelí proto rozdílným výzvám a potřebám financování;</w:t>
            </w:r>
          </w:p>
        </w:tc>
        <w:tc>
          <w:tcPr>
            <w:tcW w:w="4876" w:type="dxa"/>
            <w:tcBorders>
              <w:top w:val="nil"/>
              <w:left w:val="nil"/>
              <w:bottom w:val="nil"/>
              <w:right w:val="nil"/>
            </w:tcBorders>
          </w:tcPr>
          <w:p>
            <w:pPr>
              <w:pStyle w:val="Normal6a"/>
            </w:pPr>
            <w:r>
              <w:t>B.</w:t>
            </w:r>
            <w:r>
              <w:tab/>
            </w:r>
            <w:r>
              <w:t xml:space="preserve">vzhledem k tomu, že evropské malé a střední podniky se liší co do rozsahu, umístění, </w:t>
            </w:r>
            <w:r>
              <w:rPr>
                <w:b/>
                <w:i/>
              </w:rPr>
              <w:t>odvětví působnosti,</w:t>
            </w:r>
            <w:r>
              <w:t xml:space="preserve"> vlastnictví</w:t>
            </w:r>
            <w:r>
              <w:rPr>
                <w:b/>
                <w:i/>
              </w:rPr>
              <w:t>, potřeby financování</w:t>
            </w:r>
            <w:r>
              <w:t xml:space="preserve"> a inovační kapacity, a čelí proto rozdílným výzvám a potřebám financování;</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vzhledem k tomu, že evropské malé a střední podniky se liší co do rozsahu, umístění, vlastnictví a inovační kapacity, a čelí proto rozdílným výzvám a potřebám financování;</w:t>
            </w:r>
          </w:p>
        </w:tc>
        <w:tc>
          <w:tcPr>
            <w:tcW w:w="4876" w:type="dxa"/>
            <w:tcBorders>
              <w:top w:val="nil"/>
              <w:left w:val="nil"/>
              <w:bottom w:val="nil"/>
              <w:right w:val="nil"/>
            </w:tcBorders>
          </w:tcPr>
          <w:p>
            <w:pPr>
              <w:pStyle w:val="Normal6a"/>
            </w:pPr>
            <w:r>
              <w:t>B.</w:t>
            </w:r>
            <w:r>
              <w:tab/>
            </w:r>
            <w:r>
              <w:t xml:space="preserve">vzhledem k tomu, že evropské malé a střední podniky se liší co do rozsahu, umístění, </w:t>
            </w:r>
            <w:r>
              <w:rPr>
                <w:b/>
                <w:i/>
              </w:rPr>
              <w:t>modelu podnikání,</w:t>
            </w:r>
            <w:r>
              <w:t xml:space="preserve"> vlastnictví a inovační kapacity, a čelí proto rozdílným výzvám a potřebám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definice, kterou Evropská unie používá k definování malých a středních podniků, neodráží realitu trhu, neboť tatáž definice zahrnuje i rodinné podniky a podniky s 250 zaměstnanci a ročním obratem nepřesahujícím 50 milionů EUR nebo s celkovou roční rozvahu nepřesahující 43 milionů EUR, což způsobuje nedostatečnou ochranu „skutečných“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inovativní startupy a scaleupy jsou často agilnější, pokud jde o poskytování nových řešení a technologií pro bezprostřední potřeby související s nízkouhlíkovými a environmentálními opatřeními, což vede k tomu, že mnoho nových podniků je značně konkurenceschopných a má možnost růstu;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jedním z důvodů, proč Evropská unie zaostává za čínskými a americkými konkurenty, je skutečnost, že pro její podniky, především pak pro malé a střední podniky, které potřebují růst, je obtížné zajistit si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většina evropských malých a středních podniků působí hlavně na vnitrostátní úrovni;</w:t>
            </w:r>
            <w:r>
              <w:t xml:space="preserve"> </w:t>
            </w:r>
            <w:r>
              <w:rPr>
                <w:b/>
                <w:i/>
              </w:rPr>
              <w:t>vzhledem k tomu, že je poměrně málo malých a středních podniků, které vyvíjejí přeshraniční činnost v rámci EU, a těch, které vyvážejí za hranice Unie, je menšina;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vzhledem k tomu, že malé a střední podniky ve východních příhraničních regionech se nacházejí v obzvláště obtížné situaci v důsledku ruské agrese vůči Ukrajině a jejích hospodářských důsledků;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B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vzhledem k tomu, že omezení během pandemie COVID-19 obzvláště tvrdě zasáhla malé a střední podniky a jejich důsledky jsou stále patrné;</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vzhledem k tomu, že Draghiho zpráva uvádí, že regulační překážky a administrativní zátěž patří k největším výzvám, s nimiž se malé a střední podniky potýkají, a doporučuje, aby byly malé a střední podniky z důvodů proporcionality z regulací vyňaty;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vzhledem k tomu, že Draghiho zpráva uvádí, že regulační překážky a administrativní zátěž patří k největším výzvám, s nimiž se malé a střední podniky potýkají, a doporučuje, aby byly malé a střední podniky z důvodů proporcionality z regulací vyňaty;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vzhledem k tomu, že Draghiho zpráva uvádí, že regulační překážky a administrativní zátěž patří k největším výzvám, s nimiž se malé a střední podniky potýkají, a doporučuje, aby </w:t>
            </w:r>
            <w:r>
              <w:rPr>
                <w:b/>
                <w:i/>
              </w:rPr>
              <w:t>byly</w:t>
            </w:r>
            <w:r>
              <w:t xml:space="preserve"> malé a střední podniky z důvodů proporcionality </w:t>
            </w:r>
            <w:r>
              <w:rPr>
                <w:b/>
                <w:i/>
              </w:rPr>
              <w:t>z</w:t>
            </w:r>
            <w:r>
              <w:t xml:space="preserve"> regulací </w:t>
            </w:r>
            <w:r>
              <w:rPr>
                <w:b/>
                <w:i/>
              </w:rPr>
              <w:t>vyňaty</w:t>
            </w:r>
            <w:r>
              <w:t>;</w:t>
            </w:r>
          </w:p>
        </w:tc>
        <w:tc>
          <w:tcPr>
            <w:tcW w:w="4876" w:type="dxa"/>
            <w:tcBorders>
              <w:top w:val="nil"/>
              <w:left w:val="nil"/>
              <w:bottom w:val="nil"/>
              <w:right w:val="nil"/>
            </w:tcBorders>
          </w:tcPr>
          <w:p>
            <w:pPr>
              <w:pStyle w:val="Normal6a"/>
            </w:pPr>
            <w:r>
              <w:t>C.</w:t>
            </w:r>
            <w:r>
              <w:tab/>
            </w:r>
            <w:r>
              <w:t xml:space="preserve">vzhledem k tomu, že Draghiho zpráva uvádí, že regulační překážky a administrativní zátěž patří k největším výzvám, s nimiž se malé a střední podniky potýkají, a doporučuje, aby malé a střední podniky </w:t>
            </w:r>
            <w:r>
              <w:rPr>
                <w:b/>
                <w:i/>
              </w:rPr>
              <w:t>byly</w:t>
            </w:r>
            <w:r>
              <w:t xml:space="preserve"> z důvodů proporcionality </w:t>
            </w:r>
            <w:r>
              <w:rPr>
                <w:b/>
                <w:i/>
              </w:rPr>
              <w:t>méně zatíženy</w:t>
            </w:r>
            <w:r>
              <w:t xml:space="preserve"> regulací</w:t>
            </w:r>
            <w:r>
              <w:rPr>
                <w:b/>
                <w:i/>
              </w:rPr>
              <w:t>, ovšem aby jim regulace stále zajišťovala rámec poskytující jistotu a stabilitu</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vzhledem k tomu, že Draghiho zpráva uvádí, že regulační překážky a administrativní zátěž patří k největším výzvám, s nimiž se malé a střední podniky potýkají</w:t>
            </w:r>
            <w:r>
              <w:rPr>
                <w:b/>
                <w:i/>
              </w:rPr>
              <w:t>, a doporučuje, aby byly malé a střední podniky z důvodů proporcionality z regulací vyňaty</w:t>
            </w:r>
            <w:r>
              <w:t>;</w:t>
            </w:r>
          </w:p>
        </w:tc>
        <w:tc>
          <w:tcPr>
            <w:tcW w:w="4876" w:type="dxa"/>
            <w:tcBorders>
              <w:top w:val="nil"/>
              <w:left w:val="nil"/>
              <w:bottom w:val="nil"/>
              <w:right w:val="nil"/>
            </w:tcBorders>
          </w:tcPr>
          <w:p>
            <w:pPr>
              <w:pStyle w:val="Normal6a"/>
            </w:pPr>
            <w:r>
              <w:t>C.</w:t>
            </w:r>
            <w:r>
              <w:tab/>
            </w:r>
            <w:r>
              <w:t>vzhledem k tomu, že Draghiho zpráva uvádí, že regulační překážky a administrativní zátěž patří k největším výzvám, s nimiž se malé a střední podniky potýkají;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podle Evropské centrální banky pokrývají přibližně 80 % vnějšího financování evropských podniků banky a 20 % jejich financování pochází z kapitálových trhů;</w:t>
            </w:r>
            <w:r>
              <w:t xml:space="preserve"> </w:t>
            </w:r>
            <w:r>
              <w:rPr>
                <w:b/>
                <w:i/>
              </w:rPr>
              <w:t>vzhledem k tomu, že ve Spojených státech tvoří pouze 30 % financování podniků podnikatelské úvěry poskytované bankami, zatímco 70 % financování pochází z kapitálových trhů a má formu podnikových dluhopisů nebo akcií;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větší mobilizace soukromých finančních prostředků vyžaduje různé kroky, jako je urychlení agendy unie kapitálových trhů, s důrazem na zlepšení přístupu k rizikovému kapitálu a kapitálovému financování, zejména pro inovativní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podle Draghiho zprávy více než 60 % podniků v EU považuje regulaci za překážku pro investice, přičemž 55 % malých a středních podniků uvedlo, že regulační překážky a administrativní zátěž jsou jejich největším problémem;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obzvláště pro startupy a mikropodniky je obtížné získat potřebné finanční prostředky a zjistit, jaké finanční požadavky stanoví právní předpisy, a ty následně plnit, zejména ve fázi rozvoje;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deregulace nepřináší malým a středním podnikům výhody, neboť největším a nejagresivnějším společnostem na trhu dává možnost udusit menší aktivity;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vzhledem k tomu, že jednodušší, předvídatelnější a konkurenceschopnost umožňují regulační rámec je klíčem k tomu, aby malé a střední podniky prosperovaly v tržním hospodářství;</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C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vzhledem k tomu, že většinu financování malých a středních podniků v EU poskytují banky;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vzhledem k tomu, že Komise usiluje o zlepšení přístupu malých a středních podniků k financování s cílem zvýšit jejich velikost, snížit neefektivitu a podpořit interoperabilitu, stanovila cíl snížit alespoň o 35 % zátěž malých a středních podniků spojenou s podáváním zpráv a oznámila novou kontrolu konkurenceschopnosti malých a středních podniků při posuzování dopadů;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vzhledem k tomu, že Komise usiluje o zlepšení přístupu malých a středních podniků k financování s cílem zvýšit jejich velikost, snížit neefektivitu a podpořit interoperabilitu, stanovila cíl snížit alespoň o 35 % zátěž malých a středních podniků spojenou s podáváním zpráv a oznámila novou kontrolu konkurenceschopnosti malých a středních podniků při posuzování dopadů;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vzhledem k tomu, že Komise usiluje o zlepšení přístupu malých a středních podniků k financování s cílem zvýšit jejich velikost, snížit neefektivitu a podpořit interoperabilitu, stanovila cíl snížit alespoň o 35 % zátěž malých a středních podniků spojenou s podáváním zpráv a oznámila novou kontrolu konkurenceschopnosti malých a středních podniků při posuzování dopadů;</w:t>
            </w:r>
          </w:p>
        </w:tc>
        <w:tc>
          <w:tcPr>
            <w:tcW w:w="4876" w:type="dxa"/>
            <w:tcBorders>
              <w:top w:val="nil"/>
              <w:left w:val="nil"/>
              <w:bottom w:val="nil"/>
              <w:right w:val="nil"/>
            </w:tcBorders>
          </w:tcPr>
          <w:p>
            <w:pPr>
              <w:pStyle w:val="Normal6a"/>
            </w:pPr>
            <w:r>
              <w:t>D.</w:t>
            </w:r>
            <w:r>
              <w:tab/>
            </w:r>
            <w:r>
              <w:t>vzhledem k tomu, že Komise usiluje o zlepšení přístupu malých a středních podniků k financování</w:t>
            </w:r>
            <w:r>
              <w:rPr>
                <w:b/>
                <w:i/>
              </w:rPr>
              <w:t>, zejména soukromému,</w:t>
            </w:r>
            <w:r>
              <w:t xml:space="preserve"> s cílem zvýšit jejich velikost, snížit neefektivitu</w:t>
            </w:r>
            <w:r>
              <w:rPr>
                <w:b/>
                <w:i/>
              </w:rPr>
              <w:t>, skoncovat se silnou závislostí na zadlužení</w:t>
            </w:r>
            <w:r>
              <w:t xml:space="preserve"> a podpořit interoperabilitu, stanovila cíl snížit alespoň o 35 % zátěž malých a středních podniků spojenou s podáváním zpráv a oznámila novou kontrolu konkurenceschopnosti malých a středních podniků při posuzování dopadů;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dobře rozvinutý ekosystém rizikového kapitálu, který v EU stále chybí, může podporovat inovativní startupy a poskytovat financování malým a středním podnikům a scaleupům, aby mohly růst a stát se konkurenceschopnými;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zátěž spojená s podáváním zpráv, kterou je v současné době třeba snížit za účelem ochrany malých a středních podniků, byla zavedena v rámci Zelené dohody pro Evropu a zdiskreditované koncepce vedoucího postavení EU v oblasti zelené ekonomiky;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současné investiční prostředí v EU je roztříštěné a vykazuje značné rozdíly, pokud jde o přístup k soukromému financování, zejména pro potřeby inovativních a rychle rostoucích společností;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strategie agresivního daňového plánování nadnárodních společností, které využívají různé vnitrostátní daňové režimy, vedou k nekalé hospodářské soutěži, která znevýhodňuje evropské malé a střední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Jorge Martín Frías, Enikő Győri, Tomáš Kubín, Pierre Pimpie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vzhledem k tomu, že Evropská komise zveřejnila strategii pro startupy a scaleupy;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D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vzhledem k tomu, že inovativní scaleupy a malé a střední podniky mají zásadní význam pro to, aby se EU stala konkurenceschopnou ve strategických odvětvích, včetně digitálních technologií, čistých technologií a obranných schopností;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vzhledem k tomu, že Evropě chybí dynamičtější a příznivější prostředí pro rozšiřování inovativních společností, což vede k tomu, že téměř 30 % „jednorožců“ se přemisťuje do zahraničí</w:t>
            </w:r>
            <w:r>
              <w:rPr>
                <w:b/>
                <w:i/>
                <w:vertAlign w:val="superscript"/>
              </w:rPr>
              <w:t>3</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Draghi, Mario, „The Future of European Competitiveness – A Competitiveness Strategy for Europe“ (Budoucnost evropské konkurenceschopnosti, Strategie konkurenceschopnosti pro Evropu),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E.</w:t>
            </w:r>
            <w:r>
              <w:tab/>
            </w:r>
            <w:r>
              <w:rPr>
                <w:b/>
                <w:i/>
              </w:rPr>
              <w:t>vzhledem k tomu, že Evropě chybí dynamičtější a příznivější prostředí pro rozšiřování inovativních společností, což vede k tomu, že téměř 30 % „jednorožců“ se přemisťuje do zahraničí</w:t>
            </w:r>
            <w:r>
              <w:rPr>
                <w:b/>
                <w:i/>
                <w:vertAlign w:val="superscript"/>
              </w:rPr>
              <w:t>3</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Draghi, Mario, „The Future of European Competitiveness – A Competitiveness Strategy for Europe“ (Budoucnost evropské konkurenceschopnosti, Strategie konkurenceschopnosti pro Evropu),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vzhledem k tomu, že Evropě chybí dynamičtější a příznivější prostředí pro rozšiřování inovativních společností, což vede k tomu, že </w:t>
            </w:r>
            <w:r>
              <w:rPr>
                <w:b/>
                <w:i/>
              </w:rPr>
              <w:t>téměř 30 %</w:t>
            </w:r>
            <w:r>
              <w:t xml:space="preserve"> „jednorožců“ </w:t>
            </w:r>
            <w:r>
              <w:rPr>
                <w:b/>
                <w:i/>
              </w:rPr>
              <w:t>se přemisťuje do zahraničí</w:t>
            </w:r>
            <w:r>
              <w:rPr>
                <w:b/>
                <w:i/>
                <w:vertAlign w:val="superscript"/>
              </w:rPr>
              <w:t>3</w:t>
            </w:r>
            <w:r>
              <w:t>;</w:t>
            </w:r>
          </w:p>
        </w:tc>
        <w:tc>
          <w:tcPr>
            <w:tcW w:w="4876" w:type="dxa"/>
            <w:tcBorders>
              <w:top w:val="nil"/>
              <w:left w:val="nil"/>
              <w:bottom w:val="nil"/>
              <w:right w:val="nil"/>
            </w:tcBorders>
          </w:tcPr>
          <w:p>
            <w:pPr>
              <w:pStyle w:val="Normal6a"/>
            </w:pPr>
            <w:r>
              <w:t>E.</w:t>
            </w:r>
            <w:r>
              <w:tab/>
            </w:r>
            <w:r>
              <w:t xml:space="preserve">vzhledem k tomu, že Evropě chybí dynamičtější a příznivější prostředí pro rozšiřování inovativních společností, což vede k tomu, že </w:t>
            </w:r>
            <w:r>
              <w:rPr>
                <w:b/>
                <w:i/>
              </w:rPr>
              <w:t>podle Draghiho zprávy vzniklo v letech 2008 až 2021 v Evropě 147</w:t>
            </w:r>
            <w:r>
              <w:t xml:space="preserve"> „jednorožců“</w:t>
            </w:r>
            <w:r>
              <w:rPr>
                <w:b/>
                <w:i/>
              </w:rPr>
              <w:t>, z nichž se 40 přesunulo do třetích zemí, zejména do Spojených států</w:t>
            </w:r>
            <w:r>
              <w:t xml:space="preserve">; </w:t>
            </w:r>
            <w:r>
              <w:rPr>
                <w:b/>
                <w:i/>
              </w:rPr>
              <w:t>vzhledem k tomu, že náklady spojené s byrokracií tvoří v Evropě podle odhadů přibližně 150 000 milionů EUR (1,3 % HDP ročně), a MMF odhaduje, že roztříštěnost vnitřního trhu je na úrovni 100 %;</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3</w:t>
            </w:r>
            <w:r>
              <w:t xml:space="preserve"> </w:t>
            </w:r>
            <w:r>
              <w:rPr>
                <w:b/>
                <w:i/>
              </w:rPr>
              <w:t>Draghi, Mario, „The Future of European Competitiveness – A Competitiveness Strategy for Europe“ (Budoucnost evropské konkurenceschopnosti, Strategie konkurenceschopnosti pro Evropu),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startupy a scaleupy se vyznačují omezenými lidskými zdroji a poměrně omezenou schopností dodržovat složité regulační režimy nebo postupy financování;</w:t>
            </w:r>
            <w:r>
              <w:t xml:space="preserve"> </w:t>
            </w:r>
            <w:r>
              <w:rPr>
                <w:b/>
                <w:i/>
              </w:rPr>
              <w:t>vzhledem k tomu, že jejich podnikatelské potřeby a specifické problémy se často liší od potřeb zavedených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Draghiho zpráva poukazuje na strukturální mezeru v šíření technologií a inovací v evropské ekonomice, což se týká zejména malých a středních podniků a omezuje jejich schopnost růstu;</w:t>
            </w:r>
            <w:r>
              <w:t xml:space="preserve"> </w:t>
            </w:r>
            <w:r>
              <w:rPr>
                <w:b/>
                <w:i/>
              </w:rPr>
              <w:t>vzhledem k tomu, že zpráva zdůrazňuje, že velká část investic do konkurenceschopnosti musí pocházet ze soukromého sektoru;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zpráva konstatuje, že za posledních 50 let nevznikla v Unii jako nový subjekt žádná společnost s tržní kapitalizací nad 100 000 milionů eur, zatímco ve stejném období vzniklo ve Spojených státech šest společností v hodnotě přesahující jeden bilion dolarů;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Michalis Hadjipantela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skupina EIB zahrnuje EIB a Evropský investiční fond (EIF);</w:t>
            </w:r>
            <w:r>
              <w:t xml:space="preserve"> </w:t>
            </w:r>
            <w:r>
              <w:rPr>
                <w:b/>
                <w:i/>
              </w:rPr>
              <w:t>vzhledem k tomu, že EIB je největší mnohostrannou finanční institucí na světě a hraje zásadní úlohu při financování projektů, které podporují hospodářský růst a inovace v celé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malé a střední podniky jsou neúměrně zranitelné vůči vnějším otřesům, jako jsou finanční krize, geopolitická nestabilita nebo ekologická a digitální transformace, jsou však zásadními aktéry při podpoře inkluzivního a udržitelného růstu;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v regionálním ekonomickém výhledu MMF pro Evropu z října 2024 se odhaduje, že „stínová cla“ na vnitřním trhu EU činí přibližně 45 % u obchodu se zbožím a 110 % u obchodu se službami;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Komise má v úmyslu navrhnout 28. právní režim, který zjednoduší platná pravidla a sníží náklady na neúspěch, včetně všech příslušných aspektů práva obchodních společností, insolvenčního, pracovního a daňového práva;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EU stále postrádá plně integrovanou a účinnou unii kapitálových trhů, což omezuje schopnost malých a středních podniků a rychle se rozvíjejících podniků získat přeshraniční přístup k různým zdrojům soukromého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vzhledem k tomu, že dvě hlavní mezery ve financování evropských čistých technologií zvyšují kapitál v rané a pozdní fázi a dluh v pozdní fázi nebo úvěry na rozšíření;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tržně orientované hospodářství je zásadní pro podporu inovací, růstu a investic a že dodržování této zásady má zásadní význam pro hospodářskou konkurenceschopnost Evropy;</w:t>
            </w:r>
            <w:r>
              <w:t xml:space="preserve"> </w:t>
            </w:r>
            <w:r>
              <w:rPr>
                <w:b/>
                <w:i/>
              </w:rPr>
              <w:t>vzhledem k tomu, že v tržně orientovaném hospodářství hraje soukromý kapitál ústřední roli při podpoře inovací, podnikání a vytváření nových pracovních míst, což je zvláště důležité pro rozvoj odvětví rizikového kapitálu;</w:t>
            </w:r>
            <w:r>
              <w:t xml:space="preserve"> </w:t>
            </w:r>
            <w:r>
              <w:rPr>
                <w:b/>
                <w:i/>
              </w:rPr>
              <w:t>vzhledem k tomu, že navzdory silné základně úspor v Evropě soukromé investice, zejména do odvětví rizikového kapitálu, stále výrazně zaostávají za Spojenými státy;</w:t>
            </w:r>
            <w:r>
              <w:t xml:space="preserve"> </w:t>
            </w:r>
            <w:r>
              <w:rPr>
                <w:b/>
                <w:i/>
              </w:rPr>
              <w:t>vzhledem k tomu, že politiky, které umožňují volné a konkurenční tržní prostředí, mají zásadní význam pro odstranění tohoto rozdílu a zajištění toho, aby Evropa mohla plně využít svůj hospodářský potenciál a přilákat domácí i mezinárodní investice;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Komise zavedla různé iniciativy zaměřené na podporu podnikání, inovací a digitální transformace v EU, jako je strategie pro začínající a rychle se rozvíjející podniky, srovnávací přehled ekologických inovací, znalostní a inovační společenství, Evropská platforma spolupráce mezi klastry, program Digitální dekáda a strategie pro jednotný digitální trh, a rovněž programy financování zaměřené na inovace v různých oblastech politiky;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neexistence jednotného kapitálového trhu nejenže omezuje přístup k financování, ale také oslabuje schopnost EU udržet si rychle rostoucí společnosti a představuje riziko zvýšeného odlivu kapitálu do třetích zemí;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přístup k financování zůstává jednou z nejvýznamnějších překážek rozvoje malých a středních podniků, zejména pokud jde o rozšiřování podniků, ekologickou transformaci a digitální transformaci;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institucionální investoři, jako jsou pojišťovny, přenášením a transformací rizik přispívají důležitým způsobem k financování MSP;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vzhledem k tomu, že dobře kapitalizovaný bankovní sektor bude i nadále hrát důležitou úlohu při financování podniků, zejména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Ec.</w:t>
            </w:r>
            <w:r>
              <w:tab/>
            </w:r>
            <w:r>
              <w:rPr>
                <w:b/>
                <w:i/>
              </w:rPr>
              <w:t>vzhledem k tomu, že oslabení pravidel státní podpory a hospodářské soutěže v Unii zvyšuje překážky vstupu začínajících a rychle se rozvíjejících podniků na trh, a brání tak konkurenčnímu přidělování kapitálu na základě zásluh;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Ec.</w:t>
            </w:r>
            <w:r>
              <w:tab/>
            </w:r>
            <w:r>
              <w:rPr>
                <w:b/>
                <w:i/>
              </w:rPr>
              <w:t>vzhledem k tomu, že mezi investiční kulturou Evropy a jiných regionů světa existují značné historické rozdíly, zejména v oblasti rizikového kapitálu a andělských investic;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Ed.</w:t>
            </w:r>
            <w:r>
              <w:tab/>
            </w:r>
            <w:r>
              <w:rPr>
                <w:b/>
                <w:i/>
              </w:rPr>
              <w:t>vzhledem k tomu, že jsou zapotřebí další investice a pokrok v digitální infrastruktuře s cílem udržet krok s vyvíjejícími se technologiemi a umožnit začínajícím, rychle se rozvíjejícím a malým a středním podnikům v EU, aby zůstaly v čele inovací a konkurenceschopnosti na celosvětové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Ed.</w:t>
            </w:r>
            <w:r>
              <w:tab/>
            </w:r>
            <w:r>
              <w:rPr>
                <w:b/>
                <w:i/>
              </w:rPr>
              <w:t>vzhledem k tomu, že mikropodniky mají v evropských malých a středních podnicích významný podíl a velmi často se potýkají s potížemi, pokud jde o přístup k financování a získávání úplných informací o dostupných příležitostech na evropské i vnitrostátní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Ee.</w:t>
            </w:r>
            <w:r>
              <w:tab/>
            </w:r>
            <w:r>
              <w:rPr>
                <w:b/>
                <w:i/>
              </w:rPr>
              <w:t>vzhledem k tomu, že se stále nepodařilo překonat rozdíly mezi muži a ženami, pokud jde o podnikání a přístup k financování mikropodniků a malých a středních podniků vedených ženami;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Ef.</w:t>
            </w:r>
            <w:r>
              <w:tab/>
            </w:r>
            <w:r>
              <w:rPr>
                <w:b/>
                <w:i/>
              </w:rPr>
              <w:t>vzhledem k tomu, že Draghiho zpráva odhaduje celkovou dodatečnou investiční potřebu v Evropě na 750–800 miliard EUR ročně do roku 2030, přičemž velká část těchto prostředků je zapotřebí na ekologickou a digitální transformaci.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Eg.</w:t>
            </w:r>
            <w:r>
              <w:tab/>
            </w:r>
            <w:r>
              <w:rPr>
                <w:b/>
                <w:i/>
              </w:rPr>
              <w:t>vzhledem k tomu, že nedostatek úspěšných začínajících podniků, rychle se rozvíjejících podniků a malých podniků se střední tržní kapitalizací, a tudíž i trhu rizikového kapitálu, je způsoben zejména chybějící harmonizací pravidel společného trhu, která brání růstovým společnostem v tom, aby se rozšířily po celé Evropě;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h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Eh.</w:t>
            </w:r>
            <w:r>
              <w:tab/>
            </w:r>
            <w:r>
              <w:rPr>
                <w:b/>
                <w:i/>
              </w:rPr>
              <w:t>vzhledem k tomu, že podávání zpráv na vnitrostátní úrovni a byrokratická zátěž brání inovativním společnostem v rychlém a účinném přístupu k financování na vnitrostátní úrovni, ale také z jiných zemí;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Ei.</w:t>
            </w:r>
            <w:r>
              <w:tab/>
            </w:r>
            <w:r>
              <w:rPr>
                <w:b/>
                <w:i/>
              </w:rPr>
              <w:t>vzhledem k tomu, že tato vnitrostátní zátěž a rozdílná vnitrostátní pravidla pravděpodobně vedla k nedostatečnému počtu společností schopných rozšířit svou činnost, což vedlo k nedostatku duševního vlastnictví, kapitálu a především odborných znalostí získaných v EU, což vedlo k nedostatečně rozvinutému ekosystému rizikového kapitálu;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odůvodnění E j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Ej.</w:t>
            </w:r>
            <w:r>
              <w:tab/>
            </w:r>
            <w:r>
              <w:rPr>
                <w:b/>
                <w:i/>
              </w:rPr>
              <w:t>vzhledem k tomu, že malé a střední podniky nebo společnosti se střední tržní kapitalizací, které sledují společenský nebo sociální účel nebo pracují za účelem zisku těch, kteří často nedostávají finanční prostředky, mělo by být do cílů zahrnuto zvýšení kritérií pro získání finančních prostředků pro tyto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Obecné připomínky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Obecné připomínky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t>1.</w:t>
            </w:r>
            <w:r>
              <w:tab/>
            </w:r>
            <w:r>
              <w:t xml:space="preserve">domnívá se, že vytvoření příznivých tržních podmínek pro to, aby evropské společnosti mohly inovovat, začínat podnikání, vytvářet hodnoty, růst a zvětšovat se v Evropě, má zásadní význam pro uvolnění plného potenciálu našeho </w:t>
            </w:r>
            <w:r>
              <w:rPr>
                <w:b/>
                <w:i/>
              </w:rPr>
              <w:t>vnitřního trhu, realizaci jednotného digitálního</w:t>
            </w:r>
            <w:r>
              <w:t xml:space="preserve"> trhu a pro zvýšení </w:t>
            </w:r>
            <w:r>
              <w:rPr>
                <w:b/>
                <w:i/>
              </w:rPr>
              <w:t>produktivity a tudíž i</w:t>
            </w:r>
            <w:r>
              <w:t xml:space="preserve"> konkurenceschopnosti našich ekonomik;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t>1.</w:t>
            </w:r>
            <w:r>
              <w:tab/>
            </w:r>
            <w:r>
              <w:t xml:space="preserve">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 </w:t>
            </w:r>
            <w:r>
              <w:rPr>
                <w:b/>
                <w:i/>
              </w:rPr>
              <w:t>a vyjadřuje politování nad tím, že významný podíl evropských malých a středních podniků a rychle se rozvíjejících podniků není schopen plně využít potenciál jednotného trhu v důsledku přetrvávající roztříštěnosti právních předpisů, omezeného přeshraničního přístupu k financování a nedostatečné integrace kapitálového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t>1.</w:t>
            </w:r>
            <w:r>
              <w:tab/>
            </w:r>
            <w:r>
              <w:t xml:space="preserve">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 </w:t>
            </w:r>
            <w:r>
              <w:rPr>
                <w:b/>
                <w:i/>
              </w:rPr>
              <w:t>zdůrazňuje důležitou úlohu dokončení bankovní unie, která rovněž přispěje ke zvýšení konkurenceschopnosti Evropy a k financování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p>
        </w:tc>
        <w:tc>
          <w:tcPr>
            <w:tcW w:w="4876" w:type="dxa"/>
            <w:tcBorders>
              <w:top w:val="nil"/>
              <w:left w:val="nil"/>
              <w:bottom w:val="nil"/>
              <w:right w:val="nil"/>
            </w:tcBorders>
          </w:tcPr>
          <w:p>
            <w:pPr>
              <w:pStyle w:val="Normal6a"/>
            </w:pPr>
            <w:r>
              <w:t>1.</w:t>
            </w:r>
            <w:r>
              <w:tab/>
            </w:r>
            <w:r>
              <w:t>domnívá se, že vytvoření příznivých tržních podmínek pro to, aby evropské společnosti mohly inovovat, začínat podnikání, vytvářet hodnoty, růst a zvětšovat se v Evropě, má zásadní význam pro uvolnění plného potenciálu našeho trhu a pro zvýšení konkurenceschopnosti našich ekonomik</w:t>
            </w:r>
            <w:r>
              <w:rPr>
                <w:b/>
                <w:i/>
              </w:rPr>
              <w:t>, přičemž tyto podniky budou moci na našem trhu naplnit své potřeby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zdůrazňuje, že vzhledem ke své velikosti bude naprostá většina malých a středních podniků i nadále spoléhat na bankovní úvěry jakožto jediný zdroj financování;</w:t>
            </w:r>
            <w:r>
              <w:t xml:space="preserve"> </w:t>
            </w:r>
            <w:r>
              <w:rPr>
                <w:b/>
                <w:i/>
              </w:rPr>
              <w:t>podporuje však opatření k diverzifikaci zdrojů financování začínajících podniků a MSP, které mohou mít přístup ke kapitálovému financování z důvodu své poměrně velké velikosti nebo dobrých výhledů růstu;</w:t>
            </w:r>
            <w:r>
              <w:t xml:space="preserve"> </w:t>
            </w:r>
            <w:r>
              <w:rPr>
                <w:b/>
                <w:i/>
              </w:rPr>
              <w:t>zdůrazňuje, že inovativní malé a střední podniky jsou klíčem k dosažení konkurenceschopnosti a strategické autonomie EU, trvá na tom, že je třeba zajistit řádné a diverzifikované financování na podporu malých a středních podniků, podniků se střední tržní kapitalizací, začínajících a rychle se rozvíjejících podniků, aby mohly inovovat a konkurovat na celosvětové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uznává, že malé a střední podniky se v jednotlivých členských státech značně liší, pokud jde o obchodní modely, velikost, umístění, socioekonomický kontext, fázi rozvoje, finanční strukturu, právní formu a úroveň podnikatelského vzdělání;</w:t>
            </w:r>
            <w:r>
              <w:t xml:space="preserve"> </w:t>
            </w:r>
            <w:r>
              <w:rPr>
                <w:b/>
                <w:i/>
              </w:rPr>
              <w:t>konstatuje, že tato rozmanitost vyžaduje spíše širší spektrum možností financování než jednotný model financování;</w:t>
            </w:r>
            <w:r>
              <w:t xml:space="preserve"> </w:t>
            </w:r>
            <w:r>
              <w:rPr>
                <w:b/>
                <w:i/>
              </w:rPr>
              <w:t>vyzývá Komisi, aby podporovala vytváření individuálně uzpůsobených programů, nástrojů a iniciativ na pomoc podnikům v různých fázích rozvoje;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vyjadřuje hluboké politování nad tím, že přetrvávající překážky volného toku kapitálu v EU nadále brání malým a středním podnikům v přístupu k financování, zvyšují kapitálové náklady a brzdí inovace a hospodářský růst;</w:t>
            </w:r>
            <w:r>
              <w:t xml:space="preserve"> </w:t>
            </w:r>
            <w:r>
              <w:rPr>
                <w:b/>
                <w:i/>
              </w:rPr>
              <w:t>zdůrazňuje, že prohloubení a dokončení unie úspor a investic má zásadní význam pro odstranění těchto překážek a vytvoření skutečně integrovaného evropského kapitálového trhu, který podporuje tvorbu pracovních míst, dlouhodobou prosperitu a hospodářskou odolnost;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domnívá se, že Evropská komise zpřístupnila několik programů na pomoc malým a středním podnikům v přístupu na finanční trh, jako je Záruční fond EU, plán InvestEU a evropské investiční fondy;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zdůrazňuje klíčovou úlohu malých a středních podniků v hospodářství EU, které představují 99,8 % všech podniků a 65,2 % pracovních míst;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uznává, že malé a střední podniky čelí nerovným podmínkám a požadavkům financování v jednotlivých členských státech a regionech, zejména pokud jde o dostupnost a náklady na financování;</w:t>
            </w:r>
            <w:r>
              <w:t xml:space="preserve"> </w:t>
            </w:r>
            <w:r>
              <w:rPr>
                <w:b/>
                <w:i/>
              </w:rPr>
              <w:t>zdůrazňuje, že tyto rozdíly vyplývají z faktorů specifických pro jednotlivé malé a střední podniky a z hospodářského prostředí země nebo regionu, včetně ekonomické volatility, pomalého růstu a větší finanční nestability;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konstatuje, že malé a střední podniky byly obzvláště těžce zasaženy krizemi v posledních letech, zejména pandemií COVID-19, energetickou krizí a hospodářskými důsledky ruské agrese vůči Ukrajině;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vyjadřuje politování nad nadměrnou a ekonomicky zbytečnou zátěží, s níž se malé a střední podniky přímo i nepřímo potýkají v důsledku provádění zelené agendy EU, a zejména Zelené dohody pro Evropu;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vítá skutečnost, že v návaznosti na Draghiho a Lettovu zprávu byla uznána potřeba konkurenceschopnějšího a méně byrokratického jednotného trhu;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vítá skutečnost, že v návaznosti na Draghiho a Lettovu zprávu byla uznána potřeba konkurenceschopnějšího a méně byrokratického jednotného trhu;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vítá skutečnost, že v </w:t>
            </w:r>
            <w:r>
              <w:rPr>
                <w:b/>
                <w:i/>
              </w:rPr>
              <w:t>návaznosti na</w:t>
            </w:r>
            <w:r>
              <w:t xml:space="preserve"> Draghiho a </w:t>
            </w:r>
            <w:r>
              <w:rPr>
                <w:b/>
                <w:i/>
              </w:rPr>
              <w:t>Lettovu zprávu</w:t>
            </w:r>
            <w:r>
              <w:t xml:space="preserve"> byla uznána potřeba konkurenceschopnějšího a méně byrokratického jednotného trhu;</w:t>
            </w:r>
          </w:p>
        </w:tc>
        <w:tc>
          <w:tcPr>
            <w:tcW w:w="4876" w:type="dxa"/>
            <w:tcBorders>
              <w:top w:val="nil"/>
              <w:left w:val="nil"/>
              <w:bottom w:val="nil"/>
              <w:right w:val="nil"/>
            </w:tcBorders>
          </w:tcPr>
          <w:p>
            <w:pPr>
              <w:pStyle w:val="Normal6a"/>
            </w:pPr>
            <w:r>
              <w:t>2.</w:t>
            </w:r>
            <w:r>
              <w:tab/>
            </w:r>
            <w:r>
              <w:t xml:space="preserve">vítá skutečnost, že v Draghiho a </w:t>
            </w:r>
            <w:r>
              <w:rPr>
                <w:b/>
                <w:i/>
              </w:rPr>
              <w:t>Lettově zprávě</w:t>
            </w:r>
            <w:r>
              <w:t xml:space="preserve"> byla uznána potřeba konkurenceschopnějšího a méně byrokratického jednotného trhu; </w:t>
            </w:r>
            <w:r>
              <w:rPr>
                <w:b/>
                <w:i/>
              </w:rPr>
              <w:t>naléhavě vyzývá Komisi, aby jednala rozhodně a v krátkodobém horizontu předložila legislativní návrhy na provedení alespoň významné části doporučení obsažených v těchto zprávách;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vítá skutečnost, že v návaznosti na Draghiho a Lettovu zprávu byla uznána potřeba konkurenceschopnějšího a méně byrokratického jednotného trhu;</w:t>
            </w:r>
          </w:p>
        </w:tc>
        <w:tc>
          <w:tcPr>
            <w:tcW w:w="4876" w:type="dxa"/>
            <w:tcBorders>
              <w:top w:val="nil"/>
              <w:left w:val="nil"/>
              <w:bottom w:val="nil"/>
              <w:right w:val="nil"/>
            </w:tcBorders>
          </w:tcPr>
          <w:p>
            <w:pPr>
              <w:pStyle w:val="Normal6a"/>
            </w:pPr>
            <w:r>
              <w:t>2.</w:t>
            </w:r>
            <w:r>
              <w:tab/>
            </w:r>
            <w:r>
              <w:t xml:space="preserve">vítá skutečnost, že v návaznosti na Draghiho a Lettovu zprávu byla uznána potřeba konkurenceschopnějšího a méně byrokratického jednotného trhu </w:t>
            </w:r>
            <w:r>
              <w:rPr>
                <w:b/>
                <w:i/>
              </w:rPr>
              <w:t>jako politická priorita a prvořadý cíl EU v tomto volebním období, což vyžaduje okamžitá a rozhodná opatření v regulačním i politickém rozměru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vítá skutečnost, že v návaznosti na Draghiho a Lettovu zprávu byla uznána potřeba konkurenceschopnějšího a méně byrokratického jednotného trhu;</w:t>
            </w:r>
          </w:p>
        </w:tc>
        <w:tc>
          <w:tcPr>
            <w:tcW w:w="4876" w:type="dxa"/>
            <w:tcBorders>
              <w:top w:val="nil"/>
              <w:left w:val="nil"/>
              <w:bottom w:val="nil"/>
              <w:right w:val="nil"/>
            </w:tcBorders>
          </w:tcPr>
          <w:p>
            <w:pPr>
              <w:pStyle w:val="Normal6a"/>
            </w:pPr>
            <w:r>
              <w:t>2.</w:t>
            </w:r>
            <w:r>
              <w:tab/>
            </w:r>
            <w:r>
              <w:t>vítá skutečnost, že v návaznosti na Draghiho a Lettovu zprávu byla uznána potřeba konkurenceschopnějšího a méně byrokratického jednotného trhu</w:t>
            </w:r>
            <w:r>
              <w:rPr>
                <w:b/>
                <w:i/>
              </w:rPr>
              <w:t>, což poukázalo zejména na to, že je zapotřebí přilákat soukromé investice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vítá skutečnost, že v návaznosti na Draghiho a Lettovu zprávu byla uznána potřeba konkurenceschopnějšího a </w:t>
            </w:r>
            <w:r>
              <w:rPr>
                <w:b/>
                <w:i/>
              </w:rPr>
              <w:t>méně byrokratického</w:t>
            </w:r>
            <w:r>
              <w:t xml:space="preserve"> jednotného trhu;</w:t>
            </w:r>
          </w:p>
        </w:tc>
        <w:tc>
          <w:tcPr>
            <w:tcW w:w="4876" w:type="dxa"/>
            <w:tcBorders>
              <w:top w:val="nil"/>
              <w:left w:val="nil"/>
              <w:bottom w:val="nil"/>
              <w:right w:val="nil"/>
            </w:tcBorders>
          </w:tcPr>
          <w:p>
            <w:pPr>
              <w:pStyle w:val="Normal6a"/>
            </w:pPr>
            <w:r>
              <w:t>2.</w:t>
            </w:r>
            <w:r>
              <w:tab/>
            </w:r>
            <w:r>
              <w:t xml:space="preserve">vítá skutečnost, že v návaznosti na Draghiho a Lettovu zprávu byla uznána potřeba konkurenceschopnějšího a </w:t>
            </w:r>
            <w:r>
              <w:rPr>
                <w:b/>
                <w:i/>
              </w:rPr>
              <w:t>udržitelnějšího</w:t>
            </w:r>
            <w:r>
              <w:t xml:space="preserve"> jednotného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vítá skutečnost, že v návaznosti na Draghiho a Lettovu zprávu byla uznána potřeba </w:t>
            </w:r>
            <w:r>
              <w:rPr>
                <w:b/>
                <w:i/>
              </w:rPr>
              <w:t>konkurenceschopnějšího a méně byrokratického</w:t>
            </w:r>
            <w:r>
              <w:t xml:space="preserve"> jednotného trhu;</w:t>
            </w:r>
          </w:p>
        </w:tc>
        <w:tc>
          <w:tcPr>
            <w:tcW w:w="4876" w:type="dxa"/>
            <w:tcBorders>
              <w:top w:val="nil"/>
              <w:left w:val="nil"/>
              <w:bottom w:val="nil"/>
              <w:right w:val="nil"/>
            </w:tcBorders>
          </w:tcPr>
          <w:p>
            <w:pPr>
              <w:pStyle w:val="Normal6a"/>
            </w:pPr>
            <w:r>
              <w:t>2.</w:t>
            </w:r>
            <w:r>
              <w:tab/>
            </w:r>
            <w:r>
              <w:t xml:space="preserve">vítá skutečnost, že v návaznosti na Draghiho a Lettovu zprávu byla uznána potřeba </w:t>
            </w:r>
            <w:r>
              <w:rPr>
                <w:b/>
                <w:i/>
              </w:rPr>
              <w:t>integrovanějšího</w:t>
            </w:r>
            <w:r>
              <w:t xml:space="preserve"> jednotného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zdůrazňuje, že robustnost finančního sektoru je klíčovým prvkem jeho konkurenceschopnosti;</w:t>
            </w:r>
            <w:r>
              <w:t xml:space="preserve"> </w:t>
            </w:r>
            <w:r>
              <w:rPr>
                <w:b/>
                <w:i/>
              </w:rPr>
              <w:t>v této souvislosti zdůrazňuje, že reformy po finanční krizi by měly být zachovány a dokončeny;</w:t>
            </w:r>
            <w:r>
              <w:t xml:space="preserve"> </w:t>
            </w:r>
            <w:r>
              <w:rPr>
                <w:b/>
                <w:i/>
              </w:rPr>
              <w:t>zdůrazňuje, že pouze úplné zavedení basilejských standardů by zajistilo, že banky v EU budou finančně zdravé;</w:t>
            </w:r>
            <w:r>
              <w:t xml:space="preserve"> </w:t>
            </w:r>
            <w:r>
              <w:rPr>
                <w:b/>
                <w:i/>
              </w:rPr>
              <w:t>připomíná, že nařízení o kapitálových požadavcích zahrnuje podpůrný faktor pro malé a střední podniky s cílem motivovat banky k poskytování úvěrů malým a středním podnikům;</w:t>
            </w:r>
            <w:r>
              <w:t xml:space="preserve"> </w:t>
            </w:r>
            <w:r>
              <w:rPr>
                <w:b/>
                <w:i/>
              </w:rPr>
              <w:t>konstatuje, že podnikové dluhopisy a akcie tvořily v roce 2024 vyšší podíl portfolia aktiv pojistitelů než v roce 2017;</w:t>
            </w:r>
            <w:r>
              <w:t xml:space="preserve"> </w:t>
            </w:r>
            <w:r>
              <w:rPr>
                <w:b/>
                <w:i/>
              </w:rPr>
              <w:t>zdůrazňuje, že to dokazuje, že směrnice Solventnost 2, která je robustním obezřetnostním rámcem, nebránila investicím pojistitelů do reálné ekonomiky, ale naopak je posílila;</w:t>
            </w:r>
            <w:r>
              <w:t xml:space="preserve"> </w:t>
            </w:r>
            <w:r>
              <w:rPr>
                <w:b/>
                <w:i/>
              </w:rPr>
              <w:t>domnívá se, že při dokončení přezkumu směrnice Solventnosti 2 musí být zachována obezřetnostní spolehlivost rámce;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uznává, že zejména pro menší podniky je obtížné najít si cestu mezi fondy a programy, které Evropská unie poskytuje;</w:t>
            </w:r>
            <w:r>
              <w:t xml:space="preserve"> </w:t>
            </w:r>
            <w:r>
              <w:rPr>
                <w:b/>
                <w:i/>
              </w:rPr>
              <w:t>zdůrazňuje, že malé a střední podniky vedené ženami nebo migranty a malé a střední podniky vlastněné příslušníky menšin čelí další strukturální diskriminaci a nedostatečnému financování, což přispívá k přetrvávající hospodářské nerovnosti;</w:t>
            </w:r>
            <w:r>
              <w:t xml:space="preserve"> </w:t>
            </w:r>
            <w:r>
              <w:rPr>
                <w:b/>
                <w:i/>
              </w:rPr>
              <w:t>vyzývá Komisi, aby tuto diskriminaci řešila vhodnými podpůrnými programy a vhodným financováním;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zdůrazňuje, že přístup společností k financování bude stále více provázán se schopností zveřejňovat svůj sociální a environmentální dopad, aby bylo možné reagovat na potřeby větších investorů a finančních trhů, a naléhavě proto vyzývá Komisi, aby vytvořila zjednodušený a plně digitalizovaný rámec pro podávání zpráv na podporu malých a středních podniků a rychle se rozvíjejících podniků na jejich cestě růstu;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vítá iniciativu Evropské komise pro začínající a rychle se rozvíjející podniky;</w:t>
            </w:r>
            <w:r>
              <w:t xml:space="preserve"> </w:t>
            </w:r>
            <w:r>
              <w:rPr>
                <w:b/>
                <w:i/>
              </w:rPr>
              <w:t>domnívá se, že tato iniciativa bude podporovat inovace a řešit výzvy, jimž čelí jednotliví inovátoři, zakladatelé, začínající podniky a rozvíjející se podniky v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zdůrazňuje, že konsolidace jednotného trhu vyžaduje identifikaci a odstranění vnitřních překážek, které brání jeho plné integraci a oslabují evropskou konkurenceschopnost;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zdůrazňuje, že EU by měla usilovat o to, aby bylo podnikatelské prostředí pro evropské podnikatele snadnější, a o vytvoření ekosystému rychle se rozvíjejících podniků, který je závislý především na soukromých investicích;</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zdůrazňuje, že EU by měla usilovat o to, aby bylo podnikatelské prostředí pro evropské podnikatele snadnější, a o vytvoření ekosystému rychle se rozvíjejících podniků, který je závislý především na soukromých investicích;</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zdůrazňuje, že EU by měla usilovat o to, aby bylo podnikatelské prostředí </w:t>
            </w:r>
            <w:r>
              <w:rPr>
                <w:b/>
                <w:i/>
              </w:rPr>
              <w:t>pro evropské podnikatele snadnější, a o vytvoření ekosystému</w:t>
            </w:r>
            <w:r>
              <w:t xml:space="preserve"> rychle se rozvíjejících podniků, který je závislý především na soukromých investicích;</w:t>
            </w:r>
          </w:p>
        </w:tc>
        <w:tc>
          <w:tcPr>
            <w:tcW w:w="4876" w:type="dxa"/>
            <w:tcBorders>
              <w:top w:val="nil"/>
              <w:left w:val="nil"/>
              <w:bottom w:val="nil"/>
              <w:right w:val="nil"/>
            </w:tcBorders>
          </w:tcPr>
          <w:p>
            <w:pPr>
              <w:pStyle w:val="Normal6a"/>
            </w:pPr>
            <w:r>
              <w:t>3.</w:t>
            </w:r>
            <w:r>
              <w:tab/>
            </w:r>
            <w:r>
              <w:t xml:space="preserve">zdůrazňuje, že EU by měla usilovat o to, aby bylo podnikatelské prostředí </w:t>
            </w:r>
            <w:r>
              <w:rPr>
                <w:b/>
                <w:i/>
              </w:rPr>
              <w:t>atraktivnější, čímž se mobilizuje evropský i mezinárodní kapitál a investice;</w:t>
            </w:r>
            <w:r>
              <w:t xml:space="preserve"> </w:t>
            </w:r>
            <w:r>
              <w:rPr>
                <w:b/>
                <w:i/>
              </w:rPr>
              <w:t>zdůrazňuje, že je zapotřebí podporovat ekosystém</w:t>
            </w:r>
            <w:r>
              <w:t xml:space="preserve"> rychle se rozvíjejících podniků, který je závislý především na soukromých investicích </w:t>
            </w:r>
            <w:r>
              <w:rPr>
                <w:b/>
                <w:i/>
              </w:rPr>
              <w:t>a partnerství mezi veřejným a soukromým sektorem, díky čemuž je možné získat kapitál a usnadnit podnikům přístup k financování</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zdůrazňuje, že EU by měla usilovat o to, aby bylo podnikatelské prostředí pro evropské podnikatele </w:t>
            </w:r>
            <w:r>
              <w:rPr>
                <w:b/>
                <w:i/>
              </w:rPr>
              <w:t>snadnější, a o vytvoření ekosystému</w:t>
            </w:r>
            <w:r>
              <w:t xml:space="preserve"> rychle se rozvíjejících podniků, který je závislý především </w:t>
            </w:r>
            <w:r>
              <w:rPr>
                <w:b/>
                <w:i/>
              </w:rPr>
              <w:t>na</w:t>
            </w:r>
            <w:r>
              <w:t xml:space="preserve"> soukromých investicích;</w:t>
            </w:r>
          </w:p>
        </w:tc>
        <w:tc>
          <w:tcPr>
            <w:tcW w:w="4876" w:type="dxa"/>
            <w:tcBorders>
              <w:top w:val="nil"/>
              <w:left w:val="nil"/>
              <w:bottom w:val="nil"/>
              <w:right w:val="nil"/>
            </w:tcBorders>
          </w:tcPr>
          <w:p>
            <w:pPr>
              <w:pStyle w:val="Normal6a"/>
            </w:pPr>
            <w:r>
              <w:t>3.</w:t>
            </w:r>
            <w:r>
              <w:tab/>
            </w:r>
            <w:r>
              <w:t xml:space="preserve">zdůrazňuje, že EU by měla usilovat o to, aby bylo podnikatelské prostředí pro evropské podnikatele </w:t>
            </w:r>
            <w:r>
              <w:rPr>
                <w:b/>
                <w:i/>
              </w:rPr>
              <w:t>a majitele podniků jednodušší, a to tím, že odstraní zbytečné překážky, zajistí předvídatelné regulační prostředí a vytvoří ekosystém</w:t>
            </w:r>
            <w:r>
              <w:t xml:space="preserve"> rychle se rozvíjejících podniků, který je závislý především soukromých investicích</w:t>
            </w:r>
            <w:r>
              <w:rPr>
                <w:b/>
                <w:i/>
              </w:rPr>
              <w:t>, které podporují inovace, konkurenceschopnost a hospodářský růst</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zdůrazňuje, že EU by měla usilovat o to, aby bylo podnikatelské prostředí pro evropské podnikatele snadnější, a o vytvoření ekosystému rychle se rozvíjejících podniků, který je závislý </w:t>
            </w:r>
            <w:r>
              <w:rPr>
                <w:b/>
                <w:i/>
              </w:rPr>
              <w:t>především</w:t>
            </w:r>
            <w:r>
              <w:t xml:space="preserve"> na soukromých investicích;</w:t>
            </w:r>
          </w:p>
        </w:tc>
        <w:tc>
          <w:tcPr>
            <w:tcW w:w="4876" w:type="dxa"/>
            <w:tcBorders>
              <w:top w:val="nil"/>
              <w:left w:val="nil"/>
              <w:bottom w:val="nil"/>
              <w:right w:val="nil"/>
            </w:tcBorders>
          </w:tcPr>
          <w:p>
            <w:pPr>
              <w:pStyle w:val="Normal6a"/>
            </w:pPr>
            <w:r>
              <w:t>3.</w:t>
            </w:r>
            <w:r>
              <w:tab/>
            </w:r>
            <w:r>
              <w:t xml:space="preserve">zdůrazňuje, že EU by měla usilovat o to, aby bylo podnikatelské prostředí pro evropské podnikatele snadnější, a o vytvoření ekosystému rychle se rozvíjejících podniků, který je závislý na soukromých </w:t>
            </w:r>
            <w:r>
              <w:rPr>
                <w:b/>
                <w:i/>
              </w:rPr>
              <w:t>i veřejných</w:t>
            </w:r>
            <w:r>
              <w:t xml:space="preserve"> investicích;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zdůrazňuje, že EU by měla usilovat o to, aby bylo podnikatelské prostředí pro evropské podnikatele snadnější, a o vytvoření ekosystému rychle se rozvíjejících podniků, který je závislý především na soukromých investicích;</w:t>
            </w:r>
          </w:p>
        </w:tc>
        <w:tc>
          <w:tcPr>
            <w:tcW w:w="4876" w:type="dxa"/>
            <w:tcBorders>
              <w:top w:val="nil"/>
              <w:left w:val="nil"/>
              <w:bottom w:val="nil"/>
              <w:right w:val="nil"/>
            </w:tcBorders>
          </w:tcPr>
          <w:p>
            <w:pPr>
              <w:pStyle w:val="Normal6a"/>
            </w:pPr>
            <w:r>
              <w:t>3.</w:t>
            </w:r>
            <w:r>
              <w:tab/>
            </w:r>
            <w:r>
              <w:t xml:space="preserve">zdůrazňuje, že EU by měla usilovat o to, aby bylo podnikatelské prostředí pro evropské podnikatele snadnější, a o vytvoření ekosystému rychle se rozvíjejících podniků, který je závislý především na soukromých investicích; </w:t>
            </w:r>
            <w:r>
              <w:rPr>
                <w:b/>
                <w:i/>
              </w:rPr>
              <w:t>bere na vědomí strategii EU pro začínající a rychle se rozvíjející podniky, kterou vypracovala Komise;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Jorge Martín Frías, Enikő Győri, Tomáš Kubín, Pierre Pimpie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zdůrazňuje, že ačkoli je diagnóza obsažená ve strategii pro začínající a rychle se rozvíjející podniky zveřejněná Komisí z velké části správná, navrhovaná opatření by měla být ambicióznější;</w:t>
            </w:r>
            <w:r>
              <w:t xml:space="preserve"> </w:t>
            </w:r>
            <w:r>
              <w:rPr>
                <w:b/>
                <w:i/>
              </w:rPr>
              <w:t>důraz by měl být kladen na zrušení všech právních předpisů EU, které vytvářejí zbytečné byrokratické překážky, jež brání zakládání a rozšiřování podniků;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uznává ústřední úlohu soukromého sektoru v růstu a prosperitě Evropské unie;</w:t>
            </w:r>
            <w:r>
              <w:t xml:space="preserve"> </w:t>
            </w:r>
            <w:r>
              <w:rPr>
                <w:b/>
                <w:i/>
              </w:rPr>
              <w:t>poukazuje na to, že konkurenceschopná ekonomika, jako je evropská ekonomika, závisí na dynamické podnikatelské struktuře a prostředí, které podporuje soukromé investice, podnikání a vytváření hodnot;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je přesvědčen, že rozlišující definice začínajících podniků a rychle se rozšiřujících podniků zvýší možnosti podpory prostřednictvím opatření, která jsou přizpůsobena specifickým potřebám a rysům začínajících a rychle se rozvíjejících podniků tím, že posílí jejich přístup na evropské kapitálové trhy a k soukromým investorům;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připomíná, že zvýšení produktivity lze dosáhnout především investicemi do inovačních činností;</w:t>
            </w:r>
            <w:r>
              <w:t xml:space="preserve"> </w:t>
            </w:r>
            <w:r>
              <w:rPr>
                <w:b/>
                <w:i/>
              </w:rPr>
              <w:t>uznává, že budování udržitelného hospodářství je důležitou konkurenční výhodou hospodářství EU a základem hospodářské suverenity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uvědomuje si, že bankovní úvěry tvoří v Unii tradičně nejvýznamnější zdroj financování pro MSP, protože se bankovní financování podílí na financování MSP více než ze tří čtvrtin</w:t>
            </w:r>
            <w:r>
              <w:rPr>
                <w:b/>
                <w:i/>
                <w:vertAlign w:val="superscript"/>
              </w:rPr>
              <w:t>1a</w:t>
            </w:r>
            <w:r>
              <w:rPr>
                <w:b/>
                <w:i/>
              </w:rPr>
              <w:t>, kvůli čemuž jsou MSP zvláště zranitelné vůči omezování bankovních úvěrů;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OECD (2024), Financing SMEs and Entrepreneurs 2024:</w:t>
            </w:r>
            <w:r>
              <w:t xml:space="preserve"> </w:t>
            </w:r>
            <w:r>
              <w:rPr>
                <w:b/>
                <w:i/>
              </w:rPr>
              <w:t>An OECD Scoreboard, OECD Publishing, Paříž, https://doi.org/10.1787/fa521246-en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konstatuje, že rostoucí koncentrace v bankovním sektoru a zaměření na úvěrové rámce založené na riziku dále prohlubují finanční vyloučení malých a středních podniků, zejména v okrajových nebo nedostatečně pokrytých regionech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zdůrazňuje významnou a dobře rozvinutou úlohu bank, jež znají konkrétní regionální a místní podmínky, při poskytování financování MSP díky jejich dlouhodobým vztahům s těmito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3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3c.</w:t>
            </w:r>
            <w:r>
              <w:tab/>
            </w:r>
            <w:r>
              <w:rPr>
                <w:b/>
                <w:i/>
              </w:rPr>
              <w:t>domnívá se, že je nezbytné podporovat úlohu a viditelnost žen i mladých lidí v odvětví malých a středních podniků, kde jejich účast zůstává nepřiměřeně nízká;</w:t>
            </w:r>
            <w:r>
              <w:t xml:space="preserve"> </w:t>
            </w:r>
            <w:r>
              <w:rPr>
                <w:b/>
                <w:i/>
              </w:rPr>
              <w:t>cílená politická opatření by měla podporovat podnikání a finanční začlenění těchto skupin prostřednictvím přizpůsobených finančních nástrojů, programů budování kapacit, specializovaných sítí odborného vedení a pobídek pro rizikový kapitál a finanční zprostředkovatele s cílem podporovat podniky vedené ženami a mladými lidmi;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upozorňuje na zvláštní problémy, s nimiž se evropské rychle se rozvíjející podniky potýkají při získávání financování v pozdní fázi svého růstu;</w:t>
            </w:r>
            <w:r>
              <w:t xml:space="preserve"> </w:t>
            </w:r>
            <w:r>
              <w:rPr>
                <w:b/>
                <w:i/>
              </w:rPr>
              <w:t>konstatuje, že mnohé firmy z EU s vysokým potenciálem jsou i nadále závislé na zahraničním rizikovém kapitálu a investorech, přičemž velká část pozdějších kol financování je vedena mimoevropskými investory;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upozorňuje na zvláštní problémy, s nimiž se evropské rychle se rozvíjející podniky potýkají při získávání financování v pozdní fázi svého růstu;</w:t>
            </w:r>
            <w:r>
              <w:t xml:space="preserve"> </w:t>
            </w:r>
            <w:r>
              <w:rPr>
                <w:b/>
                <w:i/>
              </w:rPr>
              <w:t>konstatuje, že mnohé firmy z EU s vysokým potenciálem jsou i nadále závislé na zahraničním rizikovém kapitálu a investorech, přičemž velká část pozdějších kol financování je vedena mimoevropskými investory;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konstatuje, že mnohé firmy z EU s vysokým potenciálem </w:t>
            </w:r>
            <w:r>
              <w:rPr>
                <w:b/>
                <w:i/>
              </w:rPr>
              <w:t>jsou i nadále závislé na zahraničním rizikovém</w:t>
            </w:r>
            <w:r>
              <w:t xml:space="preserve"> kapitálu </w:t>
            </w:r>
            <w:r>
              <w:rPr>
                <w:b/>
                <w:i/>
              </w:rPr>
              <w:t>a investorech, přičemž velká část pozdějších kol</w:t>
            </w:r>
            <w:r>
              <w:t xml:space="preserve"> financování </w:t>
            </w:r>
            <w:r>
              <w:rPr>
                <w:b/>
                <w:i/>
              </w:rPr>
              <w:t>je vedena mimoevropskými investory</w:t>
            </w:r>
            <w:r>
              <w:t>;</w:t>
            </w:r>
          </w:p>
        </w:tc>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konstatuje, že mnohé firmy z EU s vysokým potenciálem </w:t>
            </w:r>
            <w:r>
              <w:rPr>
                <w:b/>
                <w:i/>
              </w:rPr>
              <w:t>se uchylují k rizikovému</w:t>
            </w:r>
            <w:r>
              <w:t xml:space="preserve"> kapitálu </w:t>
            </w:r>
            <w:r>
              <w:rPr>
                <w:b/>
                <w:i/>
              </w:rPr>
              <w:t>ze zemí mimo EU, což zdůrazňuje potřebu vytvořit atraktivnější podmínky pro investice v rámci EU;</w:t>
            </w:r>
            <w:r>
              <w:t xml:space="preserve"> </w:t>
            </w:r>
            <w:r>
              <w:rPr>
                <w:b/>
                <w:i/>
              </w:rPr>
              <w:t>zdůrazňuje, že přístup k</w:t>
            </w:r>
            <w:r>
              <w:t xml:space="preserve"> financování </w:t>
            </w:r>
            <w:r>
              <w:rPr>
                <w:b/>
                <w:i/>
              </w:rPr>
              <w:t>by se měl řídit kritérii hospodářské účinnosti, ziskovosti a rozšiřitelnosti bez ohledu na zdroj kapitálu, a připomíná, že otevřená a celosvětová hospodářská soutěž přiláká investiční přínosy pro podniky a inovace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upozorňuje na zvláštní problémy, s nimiž se evropské rychle se rozvíjející podniky potýkají při získávání financování v pozdní fázi svého růstu; konstatuje, že mnohé firmy z EU s vysokým potenciálem jsou i nadále závislé na zahraničním rizikovém kapitálu a investorech, přičemž velká část pozdějších kol financování je vedena mimoevropskými investory;</w:t>
            </w:r>
          </w:p>
        </w:tc>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konstatuje, že mnohé firmy z EU s vysokým potenciálem jsou i nadále závislé na zahraničním rizikovém kapitálu a investorech, přičemž velká část pozdějších kol financování je vedena mimoevropskými investory; </w:t>
            </w:r>
            <w:r>
              <w:rPr>
                <w:b/>
                <w:i/>
              </w:rPr>
              <w:t>vítá nedávné přijetí nařízení EU o kotování, které usnadní kotování na evropských burzách společnostem všech velikostí, včetně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upozorňuje na zvláštní problémy, s nimiž se evropské rychle se rozvíjející podniky potýkají při získávání financování v pozdní fázi svého růstu; konstatuje, že mnohé firmy z EU s vysokým potenciálem jsou i nadále závislé na zahraničním rizikovém kapitálu a investorech</w:t>
            </w:r>
            <w:r>
              <w:rPr>
                <w:b/>
                <w:i/>
              </w:rPr>
              <w:t>, přičemž</w:t>
            </w:r>
            <w:r>
              <w:t xml:space="preserve"> velká část </w:t>
            </w:r>
            <w:r>
              <w:rPr>
                <w:b/>
                <w:i/>
              </w:rPr>
              <w:t>pozdějších kol</w:t>
            </w:r>
            <w:r>
              <w:t xml:space="preserve"> financování </w:t>
            </w:r>
            <w:r>
              <w:rPr>
                <w:b/>
                <w:i/>
              </w:rPr>
              <w:t>je vedena mimoevropskými investory</w:t>
            </w:r>
            <w:r>
              <w:t>;</w:t>
            </w:r>
          </w:p>
        </w:tc>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konstatuje, že mnohé firmy z EU s vysokým potenciálem jsou i nadále závislé na zahraničním rizikovém kapitálu a investorech </w:t>
            </w:r>
            <w:r>
              <w:rPr>
                <w:b/>
                <w:i/>
              </w:rPr>
              <w:t>a že</w:t>
            </w:r>
            <w:r>
              <w:t xml:space="preserve"> velká část </w:t>
            </w:r>
            <w:r>
              <w:rPr>
                <w:b/>
                <w:i/>
              </w:rPr>
              <w:t>evropských podniků nemůže najít</w:t>
            </w:r>
            <w:r>
              <w:t xml:space="preserve"> financování </w:t>
            </w:r>
            <w:r>
              <w:rPr>
                <w:b/>
                <w:i/>
              </w:rPr>
              <w:t>v EU a musí jej hledat v jiných jurisdikcích</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w:t>
            </w:r>
            <w:r>
              <w:rPr>
                <w:b/>
                <w:i/>
              </w:rPr>
              <w:t>konstatuje, že mnohé firmy z EU s vysokým potenciálem jsou i nadále závislé na zahraničním rizikovém</w:t>
            </w:r>
            <w:r>
              <w:t xml:space="preserve"> kapitálu </w:t>
            </w:r>
            <w:r>
              <w:rPr>
                <w:b/>
                <w:i/>
              </w:rPr>
              <w:t>a investorech, přičemž velká část pozdějších kol financování je vedena mimoevropskými investory</w:t>
            </w:r>
            <w:r>
              <w:t>;</w:t>
            </w:r>
          </w:p>
        </w:tc>
        <w:tc>
          <w:tcPr>
            <w:tcW w:w="4876" w:type="dxa"/>
            <w:tcBorders>
              <w:top w:val="nil"/>
              <w:left w:val="nil"/>
              <w:bottom w:val="nil"/>
              <w:right w:val="nil"/>
            </w:tcBorders>
          </w:tcPr>
          <w:p>
            <w:pPr>
              <w:pStyle w:val="Normal6a"/>
            </w:pPr>
            <w:r>
              <w:t>4.</w:t>
            </w:r>
            <w:r>
              <w:tab/>
            </w:r>
            <w:r>
              <w:t xml:space="preserve">upozorňuje na zvláštní problémy, s nimiž se evropské rychle se rozvíjející podniky potýkají při získávání financování v pozdní fázi svého růstu; </w:t>
            </w:r>
            <w:r>
              <w:rPr>
                <w:b/>
                <w:i/>
              </w:rPr>
              <w:t>uznává význam zahraničního rizikového</w:t>
            </w:r>
            <w:r>
              <w:t xml:space="preserve"> kapitálu </w:t>
            </w:r>
            <w:r>
              <w:rPr>
                <w:b/>
                <w:i/>
              </w:rPr>
              <w:t>jako kritické hnací síly růstu Evropy, neboť 40 % finančních prostředků na soukromých trzích pochází ze zemí mimo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zdůrazňuje zásadní úlohu záručních nástrojů při zlepšování přístupu malých a středních podniků k financování;</w:t>
            </w:r>
            <w:r>
              <w:t xml:space="preserve"> </w:t>
            </w:r>
            <w:r>
              <w:rPr>
                <w:b/>
                <w:i/>
              </w:rPr>
              <w:t>zdůrazňuje, že tyto nástroje mohou významně zmírnit rizika spojená s poskytováním úvěrů menším podnikům tím, že poskytnou úvěrová posílení a mechanismy sdílení rizik;</w:t>
            </w:r>
            <w:r>
              <w:t xml:space="preserve"> </w:t>
            </w:r>
            <w:r>
              <w:rPr>
                <w:b/>
                <w:i/>
              </w:rPr>
              <w:t>konstatuje, že záruční nástroje mohou přilákat širší škálu věřitelů, včetně těch, kteří mohou váhat kvůli vnímaným rizikům, a financovat širší škálu malých a středních podniků;</w:t>
            </w:r>
            <w:r>
              <w:t xml:space="preserve"> </w:t>
            </w:r>
            <w:r>
              <w:rPr>
                <w:b/>
                <w:i/>
              </w:rPr>
              <w:t>vyzývá Komisi, aby v návaznosti na úspěch programu InvestEU podporovala širší využívání záručních nástrojů ve všech členských státech a aby v příštím programovém období posílila využívání záruk;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poukazuje na to, že přibližně 80 % vnějšího financování evropských společností pochází od bank a 20 % z kapitálových trhů, zatímco ve Spojených státech pochází pouze 30 % úvěrů podnikům od bank, zatímco 70 % je financováno prostřednictvím kapitálových trhů, jako jsou podnikové dluhopisy nebo emise akcií;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zdůrazňuje, že zjednodušení by nikdy nemělo znamenat deregulaci;</w:t>
            </w:r>
            <w:r>
              <w:t xml:space="preserve"> </w:t>
            </w:r>
            <w:r>
              <w:rPr>
                <w:b/>
                <w:i/>
              </w:rPr>
              <w:t>vyzývá Komisi a členské státy, aby zajistily, že výhody, které Evropská unie nabízí, budou poskytovány společnostem, které na ně mají právo a které je potřebují;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je pevně přesvědčen, že vytvoření pevného a důvěryhodného rámce udržitelného financování je klíčové pro směřování investic v souladu s dlouhodobými cíli EU a pro přilákání mezinárodních investorů;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5.</w:t>
            </w:r>
            <w:r>
              <w:tab/>
            </w:r>
            <w:r>
              <w:rPr>
                <w:b/>
                <w:i/>
              </w:rPr>
              <w:t>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výrazném snížení byrokratické a regulační zátěže, </w:t>
            </w:r>
            <w:r>
              <w:rPr>
                <w:b/>
                <w:i/>
              </w:rPr>
              <w:t>včetně zdlouhavých povolovacích postupů, nákladných požadavků na podávání zpráv a složitosti a nepředvídatelnosti regulačního prostředí,</w:t>
            </w:r>
            <w:r>
              <w:t xml:space="preserve"> ii) větší kapacitě pro uvolňování soukromých investic a úspor </w:t>
            </w:r>
            <w:r>
              <w:rPr>
                <w:b/>
                <w:i/>
              </w:rPr>
              <w:t>prostřednictvím vytvoření unie úspor a investic</w:t>
            </w:r>
            <w:r>
              <w:t>, iii) překlenutí mezery ve financování rozvíjejících se podniků</w:t>
            </w:r>
            <w:r>
              <w:rPr>
                <w:b/>
                <w:i/>
              </w:rPr>
              <w:t>, zejména tím, že institucionální investoři budou moci být dlouhodobými kapitálovými investory,</w:t>
            </w:r>
            <w:r>
              <w:t xml:space="preserve"> a iv) posílení konkurenceschopného ekosystému kapitálových trhů v rámci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w:t>
            </w:r>
            <w:r>
              <w:rPr>
                <w:b/>
                <w:i/>
              </w:rPr>
              <w:t>výrazném</w:t>
            </w:r>
            <w:r>
              <w:t xml:space="preserve">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snížení byrokratické a regulační zátěže, ii) větší kapacitě pro uvolňování soukromých </w:t>
            </w:r>
            <w:r>
              <w:rPr>
                <w:b/>
                <w:i/>
              </w:rPr>
              <w:t>a veřejných</w:t>
            </w:r>
            <w:r>
              <w:t xml:space="preserve"> investic a úspor, iii) překlenutí mezery ve financování rozvíjejících se podniků a iv) posílení konkurenceschopného </w:t>
            </w:r>
            <w:r>
              <w:rPr>
                <w:b/>
                <w:i/>
              </w:rPr>
              <w:t>a integrovanějšího</w:t>
            </w:r>
            <w:r>
              <w:t xml:space="preserve"> ekosystému kapitálových trhů v rámci EU</w:t>
            </w:r>
            <w:r>
              <w:rPr>
                <w:b/>
                <w:i/>
              </w:rPr>
              <w:t>, který je dobře regulovaný a založený na řádné ochraně investorů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výrazném </w:t>
            </w:r>
            <w:r>
              <w:rPr>
                <w:b/>
                <w:i/>
              </w:rPr>
              <w:t>a trvalém</w:t>
            </w:r>
            <w:r>
              <w:t xml:space="preserve"> snížení byrokratické a regulační zátěže, ii) větší kapacitě pro uvolňování soukromých investic a úspor, iii) překlenutí mezery ve financování rozvíjejících se podniků a iv) posílení konkurenceschopného ekosystému kapitálových trhů v rámci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w:t>
            </w:r>
            <w:r>
              <w:rPr>
                <w:b/>
                <w:i/>
              </w:rPr>
              <w:t>výrazném snížení byrokratické a regulační zátěže, ii)</w:t>
            </w:r>
            <w:r>
              <w:t xml:space="preserve"> větší kapacitě pro uvolňování soukromých investic a úspor, </w:t>
            </w:r>
            <w:r>
              <w:rPr>
                <w:b/>
                <w:i/>
              </w:rPr>
              <w:t>iii</w:t>
            </w:r>
            <w:r>
              <w:t xml:space="preserve">) překlenutí mezery ve financování rozvíjejících se podniků a </w:t>
            </w:r>
            <w:r>
              <w:rPr>
                <w:b/>
                <w:i/>
              </w:rPr>
              <w:t>iv</w:t>
            </w:r>
            <w:r>
              <w:t>) posílení konkurenceschopného ekosystému kapitálových trhů v rámci EU;</w:t>
            </w:r>
          </w:p>
        </w:tc>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větší kapacitě pro uvolňování soukromých investic a úspor, </w:t>
            </w:r>
            <w:r>
              <w:rPr>
                <w:b/>
                <w:i/>
              </w:rPr>
              <w:t>ii</w:t>
            </w:r>
            <w:r>
              <w:t xml:space="preserve">) překlenutí mezery ve financování rozvíjejících se podniků a </w:t>
            </w:r>
            <w:r>
              <w:rPr>
                <w:b/>
                <w:i/>
              </w:rPr>
              <w:t>iii</w:t>
            </w:r>
            <w:r>
              <w:t>) posílení konkurenceschopného ekosystému kapitálových trhů v rámci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w:t>
            </w:r>
            <w:r>
              <w:rPr>
                <w:b/>
                <w:i/>
              </w:rPr>
              <w:t>posílení konkurenceschopného ekosystému kapitálových trhů v rámci EU</w:t>
            </w:r>
            <w:r>
              <w:t>;</w:t>
            </w:r>
          </w:p>
        </w:tc>
        <w:tc>
          <w:tcPr>
            <w:tcW w:w="4876" w:type="dxa"/>
            <w:tcBorders>
              <w:top w:val="nil"/>
              <w:left w:val="nil"/>
              <w:bottom w:val="nil"/>
              <w:right w:val="nil"/>
            </w:tcBorders>
          </w:tcPr>
          <w:p>
            <w:pPr>
              <w:pStyle w:val="Normal6a"/>
            </w:pPr>
            <w:r>
              <w:t>5.</w:t>
            </w:r>
            <w:r>
              <w:tab/>
            </w:r>
            <w:r>
              <w:t xml:space="preserve">domnívá se, že usnadnění přístupu malých a středních podniků a rychle se rozvíjejících podniků k financování bude záviset na i) výrazném snížení byrokratické a regulační zátěže, ii) větší kapacitě pro uvolňování soukromých investic a úspor, iii) překlenutí mezery ve financování rozvíjejících se podniků a iv) </w:t>
            </w:r>
            <w:r>
              <w:rPr>
                <w:b/>
                <w:i/>
              </w:rPr>
              <w:t>dokončení unie úspor a investic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zdůrazňuje, že financování malých a středních podniků by mělo být poskytováno tam, kde jsou podmínky nejpříznivější pro jejich růst a škálovatelnost, bez ohledu na zeměpisný původ kapitálu;</w:t>
            </w:r>
            <w:r>
              <w:t xml:space="preserve"> </w:t>
            </w:r>
            <w:r>
              <w:rPr>
                <w:b/>
                <w:i/>
              </w:rPr>
              <w:t>považuje za kontraproduktivní jakoukoli politickou orientaci, která upřednostňuje finanční nacionalismus nebo preferenci „evropského“ kapitálu před kritérii ekonomické efektivity, ziskovosti a rizikového profilu;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zdůrazňuje význam intervence EIB, pokud jde o podporu malých a středních podniků a začínajících podniků, zejména v konkrétních strategických odvětvích;</w:t>
            </w:r>
            <w:r>
              <w:t xml:space="preserve"> </w:t>
            </w:r>
            <w:r>
              <w:rPr>
                <w:b/>
                <w:i/>
              </w:rPr>
              <w:t>zdůrazňuje, že tyto úvěry mají zásadní význam pro rozvoj našeho hospodářství, zejména v hospodářsky znevýhodněných a marginalizovaných oblastech, a nesmí být přesměrovány na vojenské technologie nebo technologie dvojího užití;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vyzývá Komisi a skupinu EIB, aby zajistily, že program InvestEU pro malé a střední podniky bude mít dostatečné zdroje a že bude zachována schopnost podporovat inovativní projekty v rané fázi a rizikovější projekty, aby se zabránilo vyloučení společností se silným růstovým potenciálem;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uznává, že klimatická krize vyžaduje přechod milionů malých a středních podniků v EU na nulové čisté emise;</w:t>
            </w:r>
            <w:r>
              <w:t xml:space="preserve"> </w:t>
            </w:r>
            <w:r>
              <w:rPr>
                <w:b/>
                <w:i/>
              </w:rPr>
              <w:t>vyzývá Komisi a členské státy, aby zvýšily své úsilí o to, aby se udržitelné financování lépe přizpůsobilo malým a středním podnikům;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požaduje systematické posuzování všech nových právních předpisů EU z hlediska jejich potenciálního dopadu na malé a střední podniky, zejména pokud jde o administrativní zátěž, a rovněž, aby tato posouzení byla podkladem pro tvorbu právních předpisů způsobem, který zabrání nepřiměřeným dopadům;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Snižování byrokratické a regulační zátěže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Snižování byrokratické a regulační zátěže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Snižování byrokratické a regulační zátěže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zdůrazňuje, že úsilí o zjednodušení by nemělo vést k odstranění základních předpisů a ustanovení na podporu malých a středních podniků, neboť ty mají zásadní význam pro zvýšení jejich konkurenceschopnosti a snížení neefektivnosti;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Malé a střední podniky a nové technologie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připomíná, že se mnoho slibných evropských začínajících a rychle rozvíjejících podniků přemisťuje do zemí mimo EU kvůli zatěžujícímu, pomalému a nepředvídatelnému evropskému regulačnímu prostředí;</w:t>
            </w:r>
            <w:r>
              <w:t xml:space="preserve"> </w:t>
            </w:r>
            <w:r>
              <w:rPr>
                <w:b/>
                <w:i/>
              </w:rPr>
              <w:t>zdůrazňuje, že pokud se tento trend nezvrátí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připomíná, že se mnoho slibných evropských začínajících a rychle rozvíjejících podniků přemisťuje do zemí mimo EU kvůli zatěžujícímu, pomalému a nepředvídatelnému evropskému regulačnímu prostředí;</w:t>
            </w:r>
            <w:r>
              <w:t xml:space="preserve"> </w:t>
            </w:r>
            <w:r>
              <w:rPr>
                <w:b/>
                <w:i/>
              </w:rPr>
              <w:t>zdůrazňuje, že pokud se tento trend nezvrátí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připomíná, že se mnoho slibných evropských začínajících a rychle rozvíjejících podniků přemisťuje do zemí mimo EU kvůli zatěžujícímu, pomalému a nepředvídatelnému evropskému regulačnímu prostředí;</w:t>
            </w:r>
            <w:r>
              <w:t xml:space="preserve"> </w:t>
            </w:r>
            <w:r>
              <w:rPr>
                <w:b/>
                <w:i/>
              </w:rPr>
              <w:t>zdůrazňuje, že pokud se tento trend nezvrátí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připomíná, že se mnoho slibných evropských začínajících a rychle rozvíjejících podniků </w:t>
            </w:r>
            <w:r>
              <w:rPr>
                <w:b/>
                <w:i/>
              </w:rPr>
              <w:t>přemisťuje</w:t>
            </w:r>
            <w:r>
              <w:t xml:space="preserve"> do zemí mimo EU kvůli zatěžujícímu</w:t>
            </w:r>
            <w:r>
              <w:rPr>
                <w:b/>
                <w:i/>
              </w:rPr>
              <w:t>, pomalému a nepředvídatelnému evropskému</w:t>
            </w:r>
            <w:r>
              <w:t xml:space="preserve"> regulačnímu </w:t>
            </w:r>
            <w:r>
              <w:rPr>
                <w:b/>
                <w:i/>
              </w:rPr>
              <w:t>prostředí</w:t>
            </w:r>
            <w:r>
              <w:t>; zdůrazňuje, že pokud se tento trend nezvrátí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w:t>
            </w:r>
            <w:r>
              <w:rPr>
                <w:b/>
                <w:i/>
              </w:rPr>
              <w:t>přesouvá</w:t>
            </w:r>
            <w:r>
              <w:t xml:space="preserve"> do zemí mimo EU kvůli zatěžujícímu regulačnímu </w:t>
            </w:r>
            <w:r>
              <w:rPr>
                <w:b/>
                <w:i/>
              </w:rPr>
              <w:t>rámci EU a nedostatku propracovaných a jednotných kapitálových trhů</w:t>
            </w:r>
            <w:r>
              <w:t xml:space="preserve">; zdůrazňuje, že pokud se tento trend nezvrátí podstatným zjednodušením regulace </w:t>
            </w:r>
            <w:r>
              <w:rPr>
                <w:b/>
                <w:i/>
              </w:rPr>
              <w:t>a uskutečněním unie úspor a investic</w:t>
            </w:r>
            <w:r>
              <w:t>, bude Evropa podniky v nejstrategičtější fázi růstu i nadále ztrácet;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připomíná, že se mnoho slibných evropských začínajících a rychle rozvíjejících podniků přemisťuje do zemí mimo EU kvůli zatěžujícímu, pomalému a nepředvídatelnému evropskému regulačnímu prostředí; zdůrazňuje, že pokud se tento trend nezvrátí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přemisťuje do zemí mimo EU kvůli zatěžujícímu, pomalému a nepředvídatelnému evropskému regulačnímu prostředí; zdůrazňuje, že pokud se tento trend nezvrátí podstatným zjednodušením regulace, bude Evropa podniky v nejstrategičtější fázi růstu i nadále ztrácet; </w:t>
            </w:r>
            <w:r>
              <w:rPr>
                <w:b/>
                <w:i/>
              </w:rPr>
              <w:t>zdůrazňuje, že tato ztráta inovativních a rychle rostoucích společností vede k menšímu vytváření pracovních míst a pomalejšímu hospodářskému růstu v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připomíná, že se mnoho slibných evropských začínajících a rychle rozvíjejících podniků </w:t>
            </w:r>
            <w:r>
              <w:rPr>
                <w:b/>
                <w:i/>
              </w:rPr>
              <w:t>přemisťuje</w:t>
            </w:r>
            <w:r>
              <w:t xml:space="preserve"> do zemí mimo EU kvůli </w:t>
            </w:r>
            <w:r>
              <w:rPr>
                <w:b/>
                <w:i/>
              </w:rPr>
              <w:t>zatěžujícímu, pomalému a nepředvídatelnému evropskému</w:t>
            </w:r>
            <w:r>
              <w:t xml:space="preserve"> regulačnímu prostředí; zdůrazňuje, že </w:t>
            </w:r>
            <w:r>
              <w:rPr>
                <w:b/>
                <w:i/>
              </w:rPr>
              <w:t>pokud se tento trend nezvrátí podstatným zjednodušením regulace, bude Evropa podniky v nejstrategičtější fázi růstu i nadále ztrácet</w:t>
            </w:r>
            <w:r>
              <w: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w:t>
            </w:r>
            <w:r>
              <w:rPr>
                <w:b/>
                <w:i/>
              </w:rPr>
              <w:t>stále více snaží přemístit nebo expandovat</w:t>
            </w:r>
            <w:r>
              <w:t xml:space="preserve"> do zemí mimo EU</w:t>
            </w:r>
            <w:r>
              <w:rPr>
                <w:b/>
                <w:i/>
              </w:rPr>
              <w:t>, a to především</w:t>
            </w:r>
            <w:r>
              <w:t xml:space="preserve"> kvůli regulačnímu prostředí</w:t>
            </w:r>
            <w:r>
              <w:rPr>
                <w:b/>
                <w:i/>
              </w:rPr>
              <w:t>, které je vnímáno jako zatěžující, roztříštěné a nepředvídatelné</w:t>
            </w:r>
            <w:r>
              <w:t xml:space="preserve">; zdůrazňuje, že </w:t>
            </w:r>
            <w:r>
              <w:rPr>
                <w:b/>
                <w:i/>
              </w:rPr>
              <w:t>bez smysluplného a včasného úsilí o zjednodušení hrozí, že EU ztratí rychle rostoucí společnosti v nejkritičtější fázi rozvoje spolu se souvisejícími inovacemi, pracovními místy a investicemi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připomíná, že se mnoho slibných evropských začínajících a rychle rozvíjejících podniků přemisťuje do zemí mimo EU kvůli </w:t>
            </w:r>
            <w:r>
              <w:rPr>
                <w:b/>
                <w:i/>
              </w:rPr>
              <w:t>zatěžujícímu, pomalému a nepředvídatelnému evropskému regulačnímu prostředí;</w:t>
            </w:r>
            <w:r>
              <w:t xml:space="preserve"> </w:t>
            </w:r>
            <w:r>
              <w:rPr>
                <w:b/>
                <w:i/>
              </w:rPr>
              <w:t>zdůrazňuje, že pokud se tento trend nezvrátí podstatným zjednodušením regulace, bude Evropa podniky v nejstrategičtější fázi růstu i nadále ztrácet</w:t>
            </w:r>
            <w:r>
              <w: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přemisťuje do zemí mimo EU kvůli </w:t>
            </w:r>
            <w:r>
              <w:rPr>
                <w:b/>
                <w:i/>
              </w:rPr>
              <w:t>nedostatečně integrovaným a nedostatečně rozvinutým kapitálovým trhům v Evropské unii;</w:t>
            </w:r>
            <w:r>
              <w:t xml:space="preserve"> </w:t>
            </w:r>
            <w:r>
              <w:rPr>
                <w:b/>
                <w:i/>
              </w:rPr>
              <w:t>vyzývá Komisi, aby pokračovala v dosahování pokroku v rozvoji unie kapitálových trhů EU, která zlepší přístup společností k financování a nabídne občanům a investorům atraktivnější investiční příležitosti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připomíná, že se mnoho slibných evropských začínajících a rychle rozvíjejících podniků přemisťuje do zemí mimo EU kvůli </w:t>
            </w:r>
            <w:r>
              <w:rPr>
                <w:b/>
                <w:i/>
              </w:rPr>
              <w:t>zatěžujícímu, pomalému a nepředvídatelnému evropskému regulačnímu prostředí</w:t>
            </w:r>
            <w:r>
              <w:t xml:space="preserve">; zdůrazňuje, že pokud se tento </w:t>
            </w:r>
            <w:r>
              <w:rPr>
                <w:b/>
                <w:i/>
              </w:rPr>
              <w:t>trend nezvrátí</w:t>
            </w:r>
            <w:r>
              <w:t xml:space="preserve"> podstatným zjednodušením regulace, bude Evropa podniky v nejstrategičtější fázi růstu i nadále ztrácet;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přemisťuje do zemí mimo EU kvůli </w:t>
            </w:r>
            <w:r>
              <w:rPr>
                <w:b/>
                <w:i/>
              </w:rPr>
              <w:t>vysoké administrativní zátěži</w:t>
            </w:r>
            <w:r>
              <w:t xml:space="preserve">; zdůrazňuje, že pokud se tento </w:t>
            </w:r>
            <w:r>
              <w:rPr>
                <w:b/>
                <w:i/>
              </w:rPr>
              <w:t>problém nevyřeší</w:t>
            </w:r>
            <w:r>
              <w:t xml:space="preserve"> podstatným zjednodušením regulace, bude Evropa podniky v nejstrategičtější fázi růstu i nadále ztrácet;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připomíná, že se mnoho slibných evropských začínajících a rychle rozvíjejících podniků přemisťuje do zemí </w:t>
            </w:r>
            <w:r>
              <w:rPr>
                <w:b/>
                <w:i/>
              </w:rPr>
              <w:t>mimo EU</w:t>
            </w:r>
            <w:r>
              <w:t xml:space="preserve"> kvůli </w:t>
            </w:r>
            <w:r>
              <w:rPr>
                <w:b/>
                <w:i/>
              </w:rPr>
              <w:t>zatěžujícímu, pomalému a nepředvídatelnému evropskému regulačnímu prostředí;</w:t>
            </w:r>
            <w:r>
              <w:t xml:space="preserve"> </w:t>
            </w:r>
            <w:r>
              <w:rPr>
                <w:b/>
                <w:i/>
              </w:rPr>
              <w:t>zdůrazňuje, že pokud se tento trend nezvrátí podstatným zjednodušením regulace, bude Evropa podniky v nejstrategičtější fázi</w:t>
            </w:r>
            <w:r>
              <w:t xml:space="preserve"> růstu </w:t>
            </w:r>
            <w:r>
              <w:rPr>
                <w:b/>
                <w:i/>
              </w:rPr>
              <w:t>i nadále ztrácet</w:t>
            </w:r>
            <w:r>
              <w:t>;</w:t>
            </w:r>
          </w:p>
        </w:tc>
        <w:tc>
          <w:tcPr>
            <w:tcW w:w="4876" w:type="dxa"/>
            <w:tcBorders>
              <w:top w:val="nil"/>
              <w:left w:val="nil"/>
              <w:bottom w:val="nil"/>
              <w:right w:val="nil"/>
            </w:tcBorders>
          </w:tcPr>
          <w:p>
            <w:pPr>
              <w:pStyle w:val="Normal6a"/>
            </w:pPr>
            <w:r>
              <w:t>6.</w:t>
            </w:r>
            <w:r>
              <w:tab/>
            </w:r>
            <w:r>
              <w:t xml:space="preserve">připomíná, že se mnoho slibných evropských začínajících a rychle </w:t>
            </w:r>
            <w:r>
              <w:rPr>
                <w:b/>
                <w:i/>
              </w:rPr>
              <w:t>se</w:t>
            </w:r>
            <w:r>
              <w:t xml:space="preserve"> rozvíjejících podniků přemisťuje do </w:t>
            </w:r>
            <w:r>
              <w:rPr>
                <w:b/>
                <w:i/>
              </w:rPr>
              <w:t>třetích</w:t>
            </w:r>
            <w:r>
              <w:t xml:space="preserve"> zemí kvůli </w:t>
            </w:r>
            <w:r>
              <w:rPr>
                <w:b/>
                <w:i/>
              </w:rPr>
              <w:t>vysoké regulační zátěži, která v některých případech vytváří nejistotu a odrazuje od</w:t>
            </w:r>
            <w:r>
              <w:t xml:space="preserve"> růstu </w:t>
            </w:r>
            <w:r>
              <w:rPr>
                <w:b/>
                <w:i/>
              </w:rPr>
              <w:t>podniků;</w:t>
            </w:r>
            <w:r>
              <w:t xml:space="preserve"> </w:t>
            </w:r>
            <w:r>
              <w:rPr>
                <w:b/>
                <w:i/>
              </w:rPr>
              <w:t>poukazuje na to, že v předchozím volebním období proběhl náročný regulační program, který je třeba v tomto volebním období realizovat</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vyzývá Evropskou komisi a členské státy, aby zvýšily úsilí o odstranění překážek a bariér, které tříští jednotný trh a omezují schopnost malých a středních podniků a rychle se rozvíjejících podniků konsolidovat se a posilovat na svém území;</w:t>
            </w:r>
            <w:r>
              <w:t xml:space="preserve"> </w:t>
            </w:r>
            <w:r>
              <w:rPr>
                <w:b/>
                <w:i/>
              </w:rPr>
              <w:t>zdůrazňuje zejména naléhavou potřebu řešit nepřiměřenou administrativní zátěž, nekonzistentní daňové režimy mezi členskými státy, penalizující environmentální břemeno, nadměrnou dobu potřebnou k získání povolení a licencí, jakož i obtíže s přístupem k financování;</w:t>
            </w:r>
            <w:r>
              <w:t xml:space="preserve"> </w:t>
            </w:r>
            <w:r>
              <w:rPr>
                <w:b/>
                <w:i/>
              </w:rPr>
              <w:t>zdůrazňuje, že tyto zásadní problémy ohrožují konkurenceschopnost a růstovou kapacitu evropských malých a středních podniků, zejména v nejcitlivějších fázích jejich rozvoje;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naléhavě žádá Komisi, aby vypracovala a přijala „test pro začínající podniky“, podobný testu pro malé a střední podniky, který přijala v roce 2021, s cílem lépe posoudit dopad právních předpisů zaměřených na inovace, financování a konkurenceschopnost; bere na vědomí návrh předsedkyně Komise zavést kontrolu konkurenceschopnosti pro nové právní předpisy EU, kterou by prováděl nezávislý orgán;</w:t>
            </w:r>
            <w:r>
              <w:t xml:space="preserve"> </w:t>
            </w:r>
            <w:r>
              <w:rPr>
                <w:b/>
                <w:i/>
              </w:rPr>
              <w:t>domnívá se, že tento test by měl mít zvláštní rámec pro začínající, rychle se rozvíjející a malé a střední podniky, aby se zajistilo, že právní předpisy budou v Evropě motivovat k zakládání nových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poznamenává, že růst podnikání není omezen pouze nedostatkem finančních prostředků v pozdějších fázích, ale také hromaděním regulačních překážek, které penalizují rozšiřování;</w:t>
            </w:r>
            <w:r>
              <w:t xml:space="preserve"> </w:t>
            </w:r>
            <w:r>
              <w:rPr>
                <w:b/>
                <w:i/>
              </w:rPr>
              <w:t>zdůrazňuje zejména administrativní zátěž spojenou s povinností podávání zpráv, jakož i daňové a regulační prahové hodnoty, které odrazují od růstu podniků, protože po překročení určitých objemů nebo fakturačních úrovní ukládají další zatěžující postupy;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očekává, že Komise bude při hodnocení výjimek z pravidel státní podpory, pravidel kontroly spojování a uvolňování ustanovení politiky hospodářské soutěže věnovat maximální pozornost zájmům začínajících a rychle se rozvíjejících podniků, pokud jde o konkurenční přístup na trh;</w:t>
            </w:r>
            <w:r>
              <w:t xml:space="preserve"> </w:t>
            </w:r>
            <w:r>
              <w:rPr>
                <w:b/>
                <w:i/>
              </w:rPr>
              <w:t>vyzývá k přijetí programu konkurenceschopnosti zaměřeného na inovátory s důrazem na snížení nákladů na vstup na trh, podporu přeshraniční mobility zakladatelů a talentů a podporu digitální a ekologické transformace společností;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zdůrazňuje, že je důležité, aby malé a střední podniky měly přístup k novým technologiím umělé inteligence;</w:t>
            </w:r>
            <w:r>
              <w:t xml:space="preserve"> </w:t>
            </w:r>
            <w:r>
              <w:rPr>
                <w:b/>
                <w:i/>
              </w:rPr>
              <w:t>vyzývá k rozvoji veřejné digitální infrastruktury a platforem, které by rovněž usnadnily přístup k know-how a veřejné demokratické kontrole v digitálním odvětví;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vyzývá Komisi, aby se zabývala hospodářskou, finanční, regulační a právní roztříštěností v EU a odstranila překážky bránící růstu malých a středních podniků a rychle se rozvíjejících podniků;</w:t>
            </w:r>
            <w:r>
              <w:t xml:space="preserve"> </w:t>
            </w:r>
            <w:r>
              <w:rPr>
                <w:b/>
                <w:i/>
              </w:rPr>
              <w:t>zdůrazňuje, že skutečný jednotný trh pomůže odradit rychle se rozvíjející podniky od přemisťování do zemí mimo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připomíná, že v rámci Zelené dohody pro Evropu byla pro malé a střední podniky zavedena nadměrná zátěž v oblasti podávání zpráv a že její zmírňování by mělo jít ruku v ruce s přezkumem celé zelené agendy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vítá cíl Komise, jímž je snížit zátěž spojenou s požadavky na podávání zpráv o 25 %, aniž by to ohrozilo politické cíle;</w:t>
            </w:r>
            <w:r>
              <w:t xml:space="preserve"> </w:t>
            </w:r>
            <w:r>
              <w:rPr>
                <w:b/>
                <w:i/>
              </w:rPr>
              <w:t>domnívá se, že by Komise měla v tomto ohledu zohlednit specifická a strukturální omezení začínajících a rychle se rozvíjejících podniků s cílem snížit tlak, který je na ně vyvíjen z hlediska nákladů, a podpořit jejich konkurenceschopnost;</w:t>
            </w:r>
            <w:r>
              <w:t xml:space="preserve"> </w:t>
            </w:r>
            <w:r>
              <w:rPr>
                <w:b/>
                <w:i/>
              </w:rPr>
              <w:t>vyzývá k vyváženému přístupu k právním předpisům EU, pokud jde o podporu růstu, podnikání a souběžné transformace;</w:t>
            </w:r>
            <w:r>
              <w:t xml:space="preserve"> </w:t>
            </w:r>
            <w:r>
              <w:rPr>
                <w:b/>
                <w:i/>
              </w:rPr>
              <w:t>vyzývá k důslednému uplatňování zásady „zelenou malým a středním podnikům“ v rámci interních jednání a ve všech příslušných legislativních návrzích a politických iniciativách;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6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vyzývá k zavedení předpisů a rámců, které budou pro začínající a rychle se rozvíjející podniky příznivé a umožní jim, aby se dále rozvíjely, rozšiřovaly a vyvíjely přeshraniční činnost, a zároveň zajistí ochranu spotřebitele, soukromí údajů a spravedlivou hospodářskou soutěž;</w:t>
            </w:r>
            <w:r>
              <w:t xml:space="preserve"> </w:t>
            </w:r>
            <w:r>
              <w:rPr>
                <w:b/>
                <w:i/>
              </w:rPr>
              <w:t>zdůrazňuje, že pro začínající a rychle se rozvíjející podniky je důležité omezit náklady na dodržování předpisů;</w:t>
            </w:r>
            <w:r>
              <w:t xml:space="preserve"> </w:t>
            </w:r>
            <w:r>
              <w:rPr>
                <w:b/>
                <w:i/>
              </w:rPr>
              <w:t>vyzývá Komisi, aby rozšířila podporu malých a středních podniků, začínajících a rychle se rozvíjejících podniků při zvládání složitosti právních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7.</w:t>
            </w:r>
            <w:r>
              <w:tab/>
            </w:r>
            <w:r>
              <w:rPr>
                <w:b/>
                <w:i/>
              </w:rP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t>7.</w:t>
            </w:r>
            <w:r>
              <w:tab/>
            </w:r>
            <w:r>
              <w:t xml:space="preserve">vyzývá k dalšímu úsilí o zjednodušení regulace, které půjde nad rámec souhrnného balíčku zjednodušujících opatření, jejž Komise zveřejnila dne 26. února 2025; </w:t>
            </w:r>
            <w:r>
              <w:rPr>
                <w:b/>
                <w:i/>
              </w:rPr>
              <w:t>zejména naléhavě vyzývá Komisi, aby předložila nový legislativní balíček týkající se udržitelnosti, který by tyto právní předpisy učinil dobrovolnými a nabídl společnostem, které je chtějí dobrovolně dodržovat, možnost používat označení udržitelnosti prokazující jejich soulad s normami EU v oblasti životního prostředí a lidských práv;</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t>7.</w:t>
            </w:r>
            <w:r>
              <w:tab/>
            </w:r>
            <w:r>
              <w:t xml:space="preserve">vyzývá k dalšímu úsilí o zjednodušení regulace, které půjde nad rámec souhrnného balíčku zjednodušujících opatření, jejž Komise zveřejnila dne 26. února 2025; </w:t>
            </w:r>
            <w:r>
              <w:rPr>
                <w:b/>
                <w:i/>
              </w:rPr>
              <w:t>vyzývá k systematickému prověřování acquis communautaire z hlediska opatření, která brání malým a středním podnikům v přístupu k financování, a k řešení zjištěných překážek;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vyzývá k dalšímu úsilí o zjednodušení regulace, které půjde nad rámec </w:t>
            </w:r>
            <w:r>
              <w:rPr>
                <w:b/>
                <w:i/>
              </w:rPr>
              <w:t>souhrnného balíčku</w:t>
            </w:r>
            <w:r>
              <w:t xml:space="preserve"> zjednodušujících opatření</w:t>
            </w:r>
            <w:r>
              <w:rPr>
                <w:b/>
                <w:i/>
              </w:rPr>
              <w:t>, jejž</w:t>
            </w:r>
            <w:r>
              <w:t xml:space="preserve"> Komise </w:t>
            </w:r>
            <w:r>
              <w:rPr>
                <w:b/>
                <w:i/>
              </w:rPr>
              <w:t>zveřejnila dne 26. února 2025</w:t>
            </w:r>
            <w:r>
              <w:t>;</w:t>
            </w:r>
          </w:p>
        </w:tc>
        <w:tc>
          <w:tcPr>
            <w:tcW w:w="4876" w:type="dxa"/>
            <w:tcBorders>
              <w:top w:val="nil"/>
              <w:left w:val="nil"/>
              <w:bottom w:val="nil"/>
              <w:right w:val="nil"/>
            </w:tcBorders>
          </w:tcPr>
          <w:p>
            <w:pPr>
              <w:pStyle w:val="Normal6a"/>
            </w:pPr>
            <w:r>
              <w:t>7.</w:t>
            </w:r>
            <w:r>
              <w:tab/>
            </w:r>
            <w:r>
              <w:t xml:space="preserve">vyzývá k dalšímu úsilí o zjednodušení regulace, které půjde nad rámec </w:t>
            </w:r>
            <w:r>
              <w:rPr>
                <w:b/>
                <w:i/>
              </w:rPr>
              <w:t>nedávno zveřejněných souhrnných balíčků</w:t>
            </w:r>
            <w:r>
              <w:t xml:space="preserve"> zjednodušujících opatření</w:t>
            </w:r>
            <w:r>
              <w:rPr>
                <w:b/>
                <w:i/>
              </w:rPr>
              <w:t>;</w:t>
            </w:r>
            <w:r>
              <w:t xml:space="preserve"> </w:t>
            </w:r>
            <w:r>
              <w:rPr>
                <w:b/>
                <w:i/>
              </w:rPr>
              <w:t>připomíná závazek</w:t>
            </w:r>
            <w:r>
              <w:t xml:space="preserve"> Komise </w:t>
            </w:r>
            <w:r>
              <w:rPr>
                <w:b/>
                <w:i/>
              </w:rPr>
              <w:t>snížit byrokracii prostřednictvím horizontálního přístupu ve všech oblastech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vyzývá k dalšímu úsilí o zjednodušení regulace, které půjde nad rámec souhrnného balíčku zjednodušujících opatření, jejž Komise zveřejnila dne 26. února 2025;</w:t>
            </w:r>
          </w:p>
        </w:tc>
        <w:tc>
          <w:tcPr>
            <w:tcW w:w="4876" w:type="dxa"/>
            <w:tcBorders>
              <w:top w:val="nil"/>
              <w:left w:val="nil"/>
              <w:bottom w:val="nil"/>
              <w:right w:val="nil"/>
            </w:tcBorders>
          </w:tcPr>
          <w:p>
            <w:pPr>
              <w:pStyle w:val="Normal6a"/>
            </w:pPr>
            <w:r>
              <w:t>7.</w:t>
            </w:r>
            <w:r>
              <w:tab/>
            </w:r>
            <w:r>
              <w:t xml:space="preserve">vyzývá k dalšímu úsilí o zjednodušení regulace, které půjde nad rámec souhrnného balíčku zjednodušujících opatření, jejž Komise zveřejnila dne 26. února 2025; </w:t>
            </w:r>
            <w:r>
              <w:rPr>
                <w:b/>
                <w:i/>
              </w:rPr>
              <w:t>zdůrazňuje, že zjednodušení nesmí vést k deregulaci;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vyzývá k dalšímu</w:t>
            </w:r>
            <w:r>
              <w:t xml:space="preserve"> úsilí o zjednodušení </w:t>
            </w:r>
            <w:r>
              <w:rPr>
                <w:b/>
                <w:i/>
              </w:rPr>
              <w:t>regulace</w:t>
            </w:r>
            <w:r>
              <w:t xml:space="preserve">, které </w:t>
            </w:r>
            <w:r>
              <w:rPr>
                <w:b/>
                <w:i/>
              </w:rPr>
              <w:t>půjde</w:t>
            </w:r>
            <w:r>
              <w:t xml:space="preserve"> nad rámec </w:t>
            </w:r>
            <w:r>
              <w:rPr>
                <w:b/>
                <w:i/>
              </w:rPr>
              <w:t>souhrnného balíčku</w:t>
            </w:r>
            <w:r>
              <w:t xml:space="preserve"> zjednodušujících opatření, </w:t>
            </w:r>
            <w:r>
              <w:rPr>
                <w:b/>
                <w:i/>
              </w:rPr>
              <w:t>jejž</w:t>
            </w:r>
            <w:r>
              <w:t xml:space="preserve"> Komise zveřejnila </w:t>
            </w:r>
            <w:r>
              <w:rPr>
                <w:b/>
                <w:i/>
              </w:rPr>
              <w:t>dne 26. února 2025</w:t>
            </w:r>
            <w:r>
              <w:t>;</w:t>
            </w:r>
          </w:p>
        </w:tc>
        <w:tc>
          <w:tcPr>
            <w:tcW w:w="4876" w:type="dxa"/>
            <w:tcBorders>
              <w:top w:val="nil"/>
              <w:left w:val="nil"/>
              <w:bottom w:val="nil"/>
              <w:right w:val="nil"/>
            </w:tcBorders>
          </w:tcPr>
          <w:p>
            <w:pPr>
              <w:pStyle w:val="Normal6a"/>
            </w:pPr>
            <w:r>
              <w:t>7.</w:t>
            </w:r>
            <w:r>
              <w:tab/>
            </w:r>
            <w:r>
              <w:rPr>
                <w:b/>
                <w:i/>
              </w:rPr>
              <w:t>vyjadřuje podporu pokračujícímu</w:t>
            </w:r>
            <w:r>
              <w:t xml:space="preserve"> úsilí o zjednodušení</w:t>
            </w:r>
            <w:r>
              <w:rPr>
                <w:b/>
                <w:i/>
              </w:rPr>
              <w:t>;</w:t>
            </w:r>
            <w:r>
              <w:t xml:space="preserve"> </w:t>
            </w:r>
            <w:r>
              <w:rPr>
                <w:b/>
                <w:i/>
              </w:rPr>
              <w:t>vybízí Komisi, aby předložila následné návrhy</w:t>
            </w:r>
            <w:r>
              <w:t xml:space="preserve">, které </w:t>
            </w:r>
            <w:r>
              <w:rPr>
                <w:b/>
                <w:i/>
              </w:rPr>
              <w:t>půjdou</w:t>
            </w:r>
            <w:r>
              <w:t xml:space="preserve"> nad rámec </w:t>
            </w:r>
            <w:r>
              <w:rPr>
                <w:b/>
                <w:i/>
              </w:rPr>
              <w:t>zveřejněných souhrnných balíčků</w:t>
            </w:r>
            <w:r>
              <w:t xml:space="preserve"> zjednodušujících opatření, </w:t>
            </w:r>
            <w:r>
              <w:rPr>
                <w:b/>
                <w:i/>
              </w:rPr>
              <w:t>jež</w:t>
            </w:r>
            <w:r>
              <w:t xml:space="preserve"> Komise zveřejnila;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vyzývá k dalšímu</w:t>
            </w:r>
            <w:r>
              <w:t xml:space="preserve"> úsilí o zjednodušení </w:t>
            </w:r>
            <w:r>
              <w:rPr>
                <w:b/>
                <w:i/>
              </w:rPr>
              <w:t>regulace, které půjde nad rámec</w:t>
            </w:r>
            <w:r>
              <w:t xml:space="preserve"> souhrnného balíčku </w:t>
            </w:r>
            <w:r>
              <w:rPr>
                <w:b/>
                <w:i/>
              </w:rPr>
              <w:t>zjednodušujících</w:t>
            </w:r>
            <w:r>
              <w:t xml:space="preserve"> opatření</w:t>
            </w:r>
            <w:r>
              <w:rPr>
                <w:b/>
                <w:i/>
              </w:rPr>
              <w:t>, jejž Komise zveřejnila</w:t>
            </w:r>
            <w:r>
              <w:t xml:space="preserve"> dne 26. února 2025;</w:t>
            </w:r>
          </w:p>
        </w:tc>
        <w:tc>
          <w:tcPr>
            <w:tcW w:w="4876" w:type="dxa"/>
            <w:tcBorders>
              <w:top w:val="nil"/>
              <w:left w:val="nil"/>
              <w:bottom w:val="nil"/>
              <w:right w:val="nil"/>
            </w:tcBorders>
          </w:tcPr>
          <w:p>
            <w:pPr>
              <w:pStyle w:val="Normal6a"/>
            </w:pPr>
            <w:r>
              <w:t>7.</w:t>
            </w:r>
            <w:r>
              <w:tab/>
            </w:r>
            <w:r>
              <w:rPr>
                <w:b/>
                <w:i/>
              </w:rPr>
              <w:t>vítá</w:t>
            </w:r>
            <w:r>
              <w:t xml:space="preserve"> úsilí </w:t>
            </w:r>
            <w:r>
              <w:rPr>
                <w:b/>
                <w:i/>
              </w:rPr>
              <w:t>Komise</w:t>
            </w:r>
            <w:r>
              <w:t xml:space="preserve"> o zjednodušení souhrnného balíčku opatření </w:t>
            </w:r>
            <w:r>
              <w:rPr>
                <w:b/>
                <w:i/>
              </w:rPr>
              <w:t>zveřejněného</w:t>
            </w:r>
            <w:r>
              <w:t xml:space="preserve"> dne 26. února 2025; </w:t>
            </w:r>
            <w:r>
              <w:rPr>
                <w:b/>
                <w:i/>
              </w:rPr>
              <w:t>připomíná, že Komise oznámila, že přijme další souhrnné balíčky;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očekává, že Komise bude motivovat rostoucí začínající podniky a společnosti, aby se dále rozvíjely a kotovaly své akcie na burzách v EU;</w:t>
            </w:r>
            <w:r>
              <w:t xml:space="preserve"> </w:t>
            </w:r>
            <w:r>
              <w:rPr>
                <w:b/>
                <w:i/>
              </w:rPr>
              <w:t>zdůrazňuje riziko ztráty technologické výhody a inovací rozvinutých společností z EU ve prospěch trhů mimo EU, a vítá proto zaměření Strategie EU pro startupy a scaleupy na financování, jejímž cílem je zabránit jejich přemístění do zemí mimo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v návaznosti na přijetí druhého souhrnného balíčku Komisí zdůrazňuje, že je třeba zjednodušit postupy při provádění programu InvestEU, aby se zajistilo, že malé a střední podniky, včetně těch nejmenších, budou mít snazší přístup k finanční podpoře, kterou potřebují k růstu a inovacím;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podporuje rozšíření státem řízených inovačních ekosystémů a regionálních klastrů, které mohou snížit překážky vstupu technologicky zaostávajících malých a středních podniků na trh;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naléhavě vyzývá Komisi, aby posoudila stávající regulační povinnosti, které společnosti zatěžují, jako je rámec pro udržitelné financování, a aby vypracovala prahové hodnoty proporcionality s cílem osvobodit malé a střední podniky od nadměrných povinností;</w:t>
            </w:r>
            <w:r>
              <w:t xml:space="preserve"> </w:t>
            </w:r>
            <w:r>
              <w:rPr>
                <w:b/>
                <w:i/>
              </w:rPr>
              <w:t>vítá nově navrhovanou kontrolu konkurenceschopnosti pro malé a střední podniky;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naléhavě vyzývá Komisi, aby posoudila stávající regulační povinnosti, které společnosti zatěžují, jako je rámec pro udržitelné financování, a aby vypracovala prahové hodnoty proporcionality s cílem osvobodit malé a střední podniky od nadměrných povinností;</w:t>
            </w:r>
            <w:r>
              <w:t xml:space="preserve"> </w:t>
            </w:r>
            <w:r>
              <w:rPr>
                <w:b/>
                <w:i/>
              </w:rPr>
              <w:t>vítá nově navrhovanou kontrolu konkurenceschopnosti pro malé a střední podniky;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naléhavě vyzývá Komisi, aby posoudila stávající regulační povinnosti, které společnosti zatěžují, jako je rámec pro udržitelné financování, a aby vypracovala prahové hodnoty proporcionality s cílem osvobodit malé a střední podniky od nadměrných povinností;</w:t>
            </w:r>
            <w:r>
              <w:t xml:space="preserve"> </w:t>
            </w:r>
            <w:r>
              <w:rPr>
                <w:b/>
                <w:i/>
              </w:rPr>
              <w:t>vítá nově navrhovanou kontrolu konkurenceschopnosti pro malé a střední podniky;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naléhavě vyzývá Komisi, aby posoudila stávající regulační povinnosti, které společnosti zatěžují, jako je rámec pro udržitelné financování, a aby vypracovala prahové hodnoty proporcionality s cílem </w:t>
            </w:r>
            <w:r>
              <w:rPr>
                <w:b/>
                <w:i/>
              </w:rPr>
              <w:t>osvobodit</w:t>
            </w:r>
            <w:r>
              <w:t xml:space="preserve"> malé a střední podniky </w:t>
            </w:r>
            <w:r>
              <w:rPr>
                <w:b/>
                <w:i/>
              </w:rPr>
              <w:t>od</w:t>
            </w:r>
            <w:r>
              <w:t xml:space="preserve"> nadměrných povinností; vítá nově navrhovanou kontrolu konkurenceschopnosti pro malé a střední podniky;</w:t>
            </w:r>
          </w:p>
        </w:tc>
        <w:tc>
          <w:tcPr>
            <w:tcW w:w="4876" w:type="dxa"/>
            <w:tcBorders>
              <w:top w:val="nil"/>
              <w:left w:val="nil"/>
              <w:bottom w:val="nil"/>
              <w:right w:val="nil"/>
            </w:tcBorders>
          </w:tcPr>
          <w:p>
            <w:pPr>
              <w:pStyle w:val="Normal6a"/>
            </w:pPr>
            <w:r>
              <w:t>8.</w:t>
            </w:r>
            <w:r>
              <w:tab/>
            </w:r>
            <w:r>
              <w:t xml:space="preserve">naléhavě vyzývá Komisi, aby posoudila stávající regulační povinnosti, které společnosti zatěžují, jako je rámec pro udržitelné financování, a aby vypracovala prahové hodnoty proporcionality s cílem </w:t>
            </w:r>
            <w:r>
              <w:rPr>
                <w:b/>
                <w:i/>
              </w:rPr>
              <w:t>zbavit</w:t>
            </w:r>
            <w:r>
              <w:t xml:space="preserve"> malé a střední podniky </w:t>
            </w:r>
            <w:r>
              <w:rPr>
                <w:b/>
                <w:i/>
              </w:rPr>
              <w:t>a začínající podniky</w:t>
            </w:r>
            <w:r>
              <w:t xml:space="preserve"> nadměrných povinností; vítá nově navrhovanou kontrolu konkurenceschopnosti pro malé a střední podniky; </w:t>
            </w:r>
            <w:r>
              <w:rPr>
                <w:b/>
                <w:i/>
              </w:rPr>
              <w:t>trvá na tom, že v procesu přidělování úvěrů malým a středním podnikům má zásadní význam dostupnost informací o udržitelnosti;</w:t>
            </w:r>
            <w:r>
              <w:t xml:space="preserve"> </w:t>
            </w:r>
            <w:r>
              <w:rPr>
                <w:b/>
                <w:i/>
              </w:rPr>
              <w:t>v této souvislosti připomíná, že úvěrové instituce se při posuzování rizik udržitelnosti společnosti při rozhodování o úvěrech spoléhají mimo jiné na informace požadované podle článku 449a nařízení o úvěrových požadavcích;</w:t>
            </w:r>
            <w:r>
              <w:t xml:space="preserve"> </w:t>
            </w:r>
            <w:r>
              <w:rPr>
                <w:b/>
                <w:i/>
              </w:rPr>
              <w:t>domnívá se proto, že je velmi důležité, aby povinnosti malých a středních podniků týkající se podávání zpráv odpovídaly informacím, které požadují investoři při rozhodování o přidělení úvěru;</w:t>
            </w:r>
            <w:r>
              <w:t xml:space="preserve"> </w:t>
            </w:r>
            <w:r>
              <w:rPr>
                <w:b/>
                <w:i/>
              </w:rPr>
              <w:t>vyjadřuje hluboké politování nad tím, že návrh „Omnibus I“ Evropské komise do značné míry vyčleňuje malé a střední podniky a místo toho nutí investory spoléhat se na nahodilé dobrovolné zveřejňování informací, což představuje do očí bijící rozpor s dalšími informačními požadavky na účastníky finančního trhu a podkopává rámec pro udržitelné financování, jakož i přístup malých a středních podniků k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naléhavě vyzývá Komisi, aby posoudila stávající regulační povinnosti, které společnosti zatěžují, jako je rámec pro udržitelné financování, a aby vypracovala prahové hodnoty proporcionality s cílem osvobodit malé a střední podniky od nadměrných povinností; vítá nově navrhovanou kontrolu konkurenceschopnosti pro malé a střední podniky;</w:t>
            </w:r>
          </w:p>
        </w:tc>
        <w:tc>
          <w:tcPr>
            <w:tcW w:w="4876" w:type="dxa"/>
            <w:tcBorders>
              <w:top w:val="nil"/>
              <w:left w:val="nil"/>
              <w:bottom w:val="nil"/>
              <w:right w:val="nil"/>
            </w:tcBorders>
          </w:tcPr>
          <w:p>
            <w:pPr>
              <w:pStyle w:val="Normal6a"/>
            </w:pPr>
            <w:r>
              <w:t>8.</w:t>
            </w:r>
            <w:r>
              <w:tab/>
            </w:r>
            <w:r>
              <w:t xml:space="preserve">naléhavě vyzývá Komisi, aby posoudila stávající regulační povinnosti, které společnosti zatěžují, jako je rámec pro udržitelné financování, a aby vypracovala prahové hodnoty proporcionality s cílem osvobodit malé a střední podniky od nadměrných povinností; vítá nově navrhovanou kontrolu konkurenceschopnosti pro malé a střední podniky; </w:t>
            </w:r>
            <w:r>
              <w:rPr>
                <w:b/>
                <w:i/>
              </w:rPr>
              <w:t>dále vyzývá k včasnému pokroku v oblasti zjednodušených a dobrovolných norem pro podávání zpráv o udržitelnosti přizpůsobených malým a středním podnikům a k přezkumu požadavků na zveřejňování bankovních informací v rámci pilíře 3, které mohou klientům z řad malých a středních podniků nepřímo ukládat nepřiměřené požadavky na údaje;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naléhavě vyzývá Komisi, aby posoudila stávající regulační povinnosti, které společnosti zatěžují, jako je rámec pro udržitelné financování, a aby vypracovala prahové hodnoty proporcionality s cílem osvobodit malé a střední podniky od nadměrných povinností; vítá nově navrhovanou kontrolu konkurenceschopnosti pro malé a střední podniky;</w:t>
            </w:r>
          </w:p>
        </w:tc>
        <w:tc>
          <w:tcPr>
            <w:tcW w:w="4876" w:type="dxa"/>
            <w:tcBorders>
              <w:top w:val="nil"/>
              <w:left w:val="nil"/>
              <w:bottom w:val="nil"/>
              <w:right w:val="nil"/>
            </w:tcBorders>
          </w:tcPr>
          <w:p>
            <w:pPr>
              <w:pStyle w:val="Normal6a"/>
            </w:pPr>
            <w:r>
              <w:t>8.</w:t>
            </w:r>
            <w:r>
              <w:tab/>
            </w:r>
            <w:r>
              <w:t xml:space="preserve">naléhavě vyzývá Komisi, aby </w:t>
            </w:r>
            <w:r>
              <w:rPr>
                <w:b/>
                <w:i/>
              </w:rPr>
              <w:t>systematicky</w:t>
            </w:r>
            <w:r>
              <w:t xml:space="preserve"> posoudila stávající regulační povinnosti, které společnosti zatěžují, jako je rámec pro udržitelné financování, a aby vypracovala prahové hodnoty proporcionality s cílem osvobodit malé a střední podniky od nadměrných povinností; vítá nově navrhovanou kontrolu konkurenceschopnosti pro malé a střední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Georgios Aftias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 pododstavec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 požaduje vytvoření chráněného, nezabavitelného podnikatelského účtu pro malé a střední podniky, který by byl vázán na část jejich obratu, s cílem zajistit provozní likviditu a zabránit systémovému narušení každodenních obchodních činností v důsledku finančních vymáhacích opatření;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vyjadřuje politování nad tím, že mnozí podnikatelé se sídlem v EU cítí potřebu přesunout svůj podnik mimo EU, pokud chtějí mít snazší přístup k financování a zdrojům;</w:t>
            </w:r>
            <w:r>
              <w:t xml:space="preserve"> </w:t>
            </w:r>
            <w:r>
              <w:rPr>
                <w:b/>
                <w:i/>
              </w:rPr>
              <w:t>lituje, že se obracejí na poskytovatele rizikového kapitálu mimo EU a expandují na zahraničních trzích;</w:t>
            </w:r>
            <w:r>
              <w:t xml:space="preserve"> </w:t>
            </w:r>
            <w:r>
              <w:rPr>
                <w:b/>
                <w:i/>
              </w:rPr>
              <w:t>souhlasí s Draghiho a Lettovou zprávou, že EU by měla více rozvíjet své trhy rizikového kapitálu;</w:t>
            </w:r>
            <w:r>
              <w:t xml:space="preserve"> </w:t>
            </w:r>
            <w:r>
              <w:rPr>
                <w:b/>
                <w:i/>
              </w:rPr>
              <w:t>zdůrazňuje však, že veřejná podpora trhů rizikového kapitálu by měla být zaměřena výhradně na projekty, které jsou v souladu s cíli Zelené dohody a mají pozitivní sociální dopad;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zdůrazňuje, že je důležité zajistit, aby regulační rámce a nástroje financované EU byly úměrné velikosti a správní kapacitě malých a středních podniků a aby byly vhodně přizpůsobeny a nikoli kopírovány z požadavků pro větší společnosti;</w:t>
            </w:r>
            <w:r>
              <w:t xml:space="preserve"> </w:t>
            </w:r>
            <w:r>
              <w:rPr>
                <w:b/>
                <w:i/>
              </w:rPr>
              <w:t>naléhavě vyzývá Komisi, aby alespoň dva roky před vstupem nových povinností v platnost zveřejnila prováděcí pokyny a zajistila jejich dostupnost ve všech úředních jazycích EU s cílem poskytnout malým a středním podnikům dostatek času na přípravu a přizpůsobení;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vítá cíl Komise snížit povinnost malých a středních podniků podávat zprávy alespoň o 35 %;</w:t>
            </w:r>
            <w:r>
              <w:t xml:space="preserve"> </w:t>
            </w:r>
            <w:r>
              <w:rPr>
                <w:b/>
                <w:i/>
              </w:rPr>
              <w:t>zdůrazňuje, že tento cíl musí být měřitelný a výsledky musí být sledovatelné;</w:t>
            </w:r>
            <w:r>
              <w:t xml:space="preserve"> </w:t>
            </w:r>
            <w:r>
              <w:rPr>
                <w:b/>
                <w:i/>
              </w:rPr>
              <w:t>vyzývá Komisi, aby stanovila jasný harmonogram a vymezila klíčové ukazatele výkonnosti, jakož i metodiku, jak je sledovat;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8b.</w:t>
            </w:r>
            <w:r>
              <w:tab/>
            </w:r>
            <w:r>
              <w:rPr>
                <w:b/>
                <w:i/>
              </w:rPr>
              <w:t>konstatuje, že regulace by neměla vytvářet příliš vysoké překážky při přechodu například z jedné velikostní kategorie do jiné nebo mezi kotovanými a nekotovanými společnostmi;</w:t>
            </w:r>
            <w:r>
              <w:t xml:space="preserve"> </w:t>
            </w:r>
            <w:r>
              <w:rPr>
                <w:b/>
                <w:i/>
              </w:rPr>
              <w:t>zastává proto názor, že přednost by měl mít fázovaný přístup počítající s postupným zvyšováním regulačních požadavků;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8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8c.</w:t>
            </w:r>
            <w:r>
              <w:tab/>
            </w:r>
            <w:r>
              <w:rPr>
                <w:b/>
                <w:i/>
              </w:rPr>
              <w:t>zdůrazňuje, že rámec EU pro udržitelné financování není pro evropské malé a střední podniky vhodný, neboť je často spojen s vysokou administrativní zátěží a zátěží spojenou s podáváním zpráv, jakož i s vysokými náklady na provádění a dodržování předpisů;</w:t>
            </w:r>
            <w:r>
              <w:t xml:space="preserve"> </w:t>
            </w:r>
            <w:r>
              <w:rPr>
                <w:b/>
                <w:i/>
              </w:rPr>
              <w:t>vyzývá Evropskou komisi, aby přezkoumala a revidovala rámec EU pro udržitelné financování tak, aby byl méně byrokratický, méně nákladný a vstřícnější vůči malým a středním podnikům;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zdůrazňuje, že nestačí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t>9.</w:t>
            </w:r>
            <w:r>
              <w:tab/>
            </w:r>
            <w:r>
              <w:t>zdůrazňuje, že nestačí přístup „jeden přijmout – jeden zrušit“, a vyzývá Komisi, aby navrhla ambiciózní strategii zjednodušení předpisů</w:t>
            </w:r>
            <w:r>
              <w:rPr>
                <w:b/>
                <w:i/>
              </w:rPr>
              <w:t>, která bude chránit politické cíle EU a zároveň sníží regulační a administrativní zátěž pro podniky, zejména malé a střední podniky</w:t>
            </w:r>
            <w:r>
              <w:t xml:space="preserve">; </w:t>
            </w:r>
            <w:r>
              <w:rPr>
                <w:b/>
                <w:i/>
              </w:rPr>
              <w:t>zdůrazňuje, že je třeba zaručit systematickou právní a regulační soudržnost v právním rámci EU a zajistit právní jistotu, bezpečnost a předvídatelnost;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nestačí přístup „jeden přijmout – jeden zrušit“, a vyzývá Komisi, aby navrhla </w:t>
            </w:r>
            <w:r>
              <w:rPr>
                <w:b/>
                <w:i/>
              </w:rPr>
              <w:t>ambiciózní</w:t>
            </w:r>
            <w:r>
              <w:t xml:space="preserve"> strategii zjednodušení předpisů;</w:t>
            </w:r>
          </w:p>
        </w:tc>
        <w:tc>
          <w:tcPr>
            <w:tcW w:w="4876" w:type="dxa"/>
            <w:tcBorders>
              <w:top w:val="nil"/>
              <w:left w:val="nil"/>
              <w:bottom w:val="nil"/>
              <w:right w:val="nil"/>
            </w:tcBorders>
          </w:tcPr>
          <w:p>
            <w:pPr>
              <w:pStyle w:val="Normal6a"/>
            </w:pPr>
            <w:r>
              <w:t>9.</w:t>
            </w:r>
            <w:r>
              <w:tab/>
            </w:r>
            <w:r>
              <w:t xml:space="preserve">zdůrazňuje, že nestačí přístup „jeden přijmout – jeden zrušit“, a vyzývá Komisi, aby navrhla </w:t>
            </w:r>
            <w:r>
              <w:rPr>
                <w:b/>
                <w:i/>
              </w:rPr>
              <w:t>ambicióznější</w:t>
            </w:r>
            <w:r>
              <w:t xml:space="preserve"> strategii zjednodušení předpisů</w:t>
            </w:r>
            <w:r>
              <w:rPr>
                <w:b/>
                <w:i/>
              </w:rPr>
              <w:t>, která by se neomezovala pouze na směrnice a nařízení, ale zohledňovala také právní předpisy úrovně 2 a 3 a kvalitativní dopad opatření, jako je přístup „jeden přijmout – jeden zrušit“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zdůrazňuje, že nestačí přístup „jeden přijmout – jeden zrušit“, a</w:t>
            </w:r>
            <w:r>
              <w:t xml:space="preserve"> vyzývá Komisi, aby navrhla ambiciózní strategii zjednodušení předpisů;</w:t>
            </w:r>
          </w:p>
        </w:tc>
        <w:tc>
          <w:tcPr>
            <w:tcW w:w="4876" w:type="dxa"/>
            <w:tcBorders>
              <w:top w:val="nil"/>
              <w:left w:val="nil"/>
              <w:bottom w:val="nil"/>
              <w:right w:val="nil"/>
            </w:tcBorders>
          </w:tcPr>
          <w:p>
            <w:pPr>
              <w:pStyle w:val="Normal6a"/>
            </w:pPr>
            <w:r>
              <w:t>9.</w:t>
            </w:r>
            <w:r>
              <w:tab/>
            </w:r>
            <w:r>
              <w:t xml:space="preserve">vyzývá Komisi, aby navrhla ambiciózní strategii zjednodušení </w:t>
            </w:r>
            <w:r>
              <w:rPr>
                <w:b/>
                <w:i/>
              </w:rPr>
              <w:t>v oblastech, kde zjednodušení přinese konkrétní výsledky, aniž by oslabilo cíl právních</w:t>
            </w:r>
            <w:r>
              <w:t xml:space="preserve">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Anouk Van Brug,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zdůrazňuje, že </w:t>
            </w:r>
            <w:r>
              <w:rPr>
                <w:b/>
                <w:i/>
              </w:rPr>
              <w:t>nestačí</w:t>
            </w:r>
            <w:r>
              <w:t xml:space="preserve"> přístup „jeden přijmout – jeden zrušit“, a vyzývá Komisi, aby navrhla ambiciózní strategii zjednodušení předpisů;</w:t>
            </w:r>
          </w:p>
        </w:tc>
        <w:tc>
          <w:tcPr>
            <w:tcW w:w="4876" w:type="dxa"/>
            <w:tcBorders>
              <w:top w:val="nil"/>
              <w:left w:val="nil"/>
              <w:bottom w:val="nil"/>
              <w:right w:val="nil"/>
            </w:tcBorders>
          </w:tcPr>
          <w:p>
            <w:pPr>
              <w:pStyle w:val="Normal6a"/>
            </w:pPr>
            <w:r>
              <w:t>9.</w:t>
            </w:r>
            <w:r>
              <w:tab/>
            </w:r>
            <w:r>
              <w:t xml:space="preserve">zdůrazňuje, že přístup „jeden přijmout – jeden zrušit“ </w:t>
            </w:r>
            <w:r>
              <w:rPr>
                <w:b/>
                <w:i/>
              </w:rPr>
              <w:t>není v praxi dostatečně uplatňován</w:t>
            </w:r>
            <w:r>
              <w:t xml:space="preserve">, a vyzývá Komisi, aby </w:t>
            </w:r>
            <w:r>
              <w:rPr>
                <w:b/>
                <w:i/>
              </w:rPr>
              <w:t>v tomto ohledu</w:t>
            </w:r>
            <w:r>
              <w:t xml:space="preserve"> navrhla ambiciózní strategii zjednodušení předpisů;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připomíná katalytickou úlohu, kterou hraje cílená veřejná podpora ve formě grantů, kapitálových půjček nebo úvěrových záruk při překlenování nedostatku ve financování infrastruktury a výrobních kapacit pro začínající a rychle se rozvíjející podniky, zejména v případech, kdy jsou soukromé investice nedostatečné nebo nejsou k dispozici;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poukazuje na to, že nařízení zavedená za účelem zjednodušení jsou často sama o sobě složitá, a proto by mělo být zváženo úplné zrušení mnoha stávajících předpisů, které zvyšují administrativní zátěž, zejména povinnosti týkající se podávání environmentálních zpráv;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opakuje, že požadavky týkající se dodržování předpisů by měly zůstat pro malé a střední podniky přiměřené; podporuje vývoj standardizovaných, bezplatných šablon a jasných, přiměřených povinností zveřejňování informací, které odrážejí kapacity menších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Anouk Van Brug,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vyzývá Komisi, aby prozkoumala přínosy posíleného centrálního dohledu nad finančními trhy EU s cílem snížit napětí, která stále odrazují od přeshraničních investic, a posoudila proveditelnost jednotného souboru pravidel pro účastníky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vyzývá Komisi, aby zřídila centralizovaný digitální portál, který malým a středním podnikům pomůže identifikovat možnosti financování z EU;</w:t>
            </w:r>
            <w:r>
              <w:t xml:space="preserve"> </w:t>
            </w:r>
            <w:r>
              <w:rPr>
                <w:b/>
                <w:i/>
              </w:rPr>
              <w:t>tento portál by měl být jazykově přístupný, s podporou umělé inteligence a optimalizovaný pro mobilní zařízení;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Uvolnění soukromého kapitálu a úspor</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Uvolnění soukromého kapitálu a úspor</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Podpora evropských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konstatuje, že cílem Komise je zavést unii úspor a investic, která musí zahrnovat nejen opatření na úrovni EU, ale také rozvoj nástrojů, řešení a osvědčených postupů, které respektují a podporují opatření členských států na vnitrostátní úrovni;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konstatuje, že cílem Komise je zavést unii úspor a investic, která musí zahrnovat nejen opatření na úrovni EU, ale také rozvoj nástrojů, řešení a osvědčených postupů, které respektují a podporují opatření členských států na vnitrostátní úrovni;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konstatuje, že cílem Komise je zavést unii úspor a investic, která musí zahrnovat nejen opatření na úrovni EU, ale také rozvoj nástrojů, řešení a osvědčených postupů, které respektují a podporují opatření členských států na vnitrostátní úrovni;</w:t>
            </w:r>
          </w:p>
        </w:tc>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nejen opatření na úrovni EU, ale také rozvoj nástrojů, řešení a osvědčených postupů, které respektují a podporují opatření členských států na vnitrostátní úrovni; </w:t>
            </w:r>
            <w:r>
              <w:rPr>
                <w:b/>
                <w:i/>
              </w:rPr>
              <w:t>zdůrazňuje, že unie úspor a investic bude úspěšná při zlepšování finanční situace malých a středních podniků pouze tehdy, pokud ji členské státy EU skutečně podpoří;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konstatuje, že cílem Komise je zavést unii úspor a investic, která musí zahrnovat nejen opatření na úrovni EU, ale také rozvoj nástrojů, řešení a osvědčených postupů, které respektují a podporují opatření členských států na vnitrostátní úrovni;</w:t>
            </w:r>
          </w:p>
        </w:tc>
        <w:tc>
          <w:tcPr>
            <w:tcW w:w="4876" w:type="dxa"/>
            <w:tcBorders>
              <w:top w:val="nil"/>
              <w:left w:val="nil"/>
              <w:bottom w:val="nil"/>
              <w:right w:val="nil"/>
            </w:tcBorders>
          </w:tcPr>
          <w:p>
            <w:pPr>
              <w:pStyle w:val="Normal6a"/>
            </w:pPr>
            <w:r>
              <w:t>10.</w:t>
            </w:r>
            <w:r>
              <w:tab/>
            </w:r>
            <w:r>
              <w:t>konstatuje, že cílem Komise je zavést unii úspor a investic, která musí zahrnovat nejen opatření na úrovni EU, ale také rozvoj nástrojů, řešení a osvědčených postupů, které respektují a podporují opatření členských států na vnitrostátní úrovni</w:t>
            </w:r>
            <w:r>
              <w:rPr>
                <w:b/>
                <w:i/>
              </w:rPr>
              <w:t>, a především podporují přeshraniční soudržnost, aby se zabránilo regulačním rozdílům mezi členskými státy</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konstatuje, že </w:t>
            </w:r>
            <w:r>
              <w:rPr>
                <w:b/>
                <w:i/>
              </w:rPr>
              <w:t>cílem Komise je zavést unii</w:t>
            </w:r>
            <w:r>
              <w:t xml:space="preserve"> úspor a investic, která </w:t>
            </w:r>
            <w:r>
              <w:rPr>
                <w:b/>
                <w:i/>
              </w:rPr>
              <w:t>musí zahrnovat nejen opatření na úrovni EU, ale také rozvoj nástrojů, řešení a osvědčených postupů, které respektují a podporují opatření členských států na</w:t>
            </w:r>
            <w:r>
              <w:t xml:space="preserve"> vnitrostátní </w:t>
            </w:r>
            <w:r>
              <w:rPr>
                <w:b/>
                <w:i/>
              </w:rPr>
              <w:t>úrovni</w:t>
            </w:r>
            <w:r>
              <w:t>;</w:t>
            </w:r>
          </w:p>
        </w:tc>
        <w:tc>
          <w:tcPr>
            <w:tcW w:w="4876" w:type="dxa"/>
            <w:tcBorders>
              <w:top w:val="nil"/>
              <w:left w:val="nil"/>
              <w:bottom w:val="nil"/>
              <w:right w:val="nil"/>
            </w:tcBorders>
          </w:tcPr>
          <w:p>
            <w:pPr>
              <w:pStyle w:val="Normal6a"/>
            </w:pPr>
            <w:r>
              <w:t>10.</w:t>
            </w:r>
            <w:r>
              <w:tab/>
            </w:r>
            <w:r>
              <w:t xml:space="preserve">konstatuje, že </w:t>
            </w:r>
            <w:r>
              <w:rPr>
                <w:b/>
                <w:i/>
              </w:rPr>
              <w:t>domácnosti v EU mají vysokou míru úspor u nástrojů s nízkým výnosem;</w:t>
            </w:r>
            <w:r>
              <w:t xml:space="preserve"> </w:t>
            </w:r>
            <w:r>
              <w:rPr>
                <w:b/>
                <w:i/>
              </w:rPr>
              <w:t>důrazně vybízí k dalšímu rozvoji unie</w:t>
            </w:r>
            <w:r>
              <w:t xml:space="preserve"> úspor a investic, která </w:t>
            </w:r>
            <w:r>
              <w:rPr>
                <w:b/>
                <w:i/>
              </w:rPr>
              <w:t>může pomoci směrovat dlouhodobé úspory na kapitálové trhy a doplnit</w:t>
            </w:r>
            <w:r>
              <w:t xml:space="preserve"> vnitrostátní </w:t>
            </w:r>
            <w:r>
              <w:rPr>
                <w:b/>
                <w:i/>
              </w:rPr>
              <w:t>úsilí o prohloubení kapitálových trhů a zvýšení dostupnosti kapitálu, zejména pro malé a střední podniky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nejen opatření na úrovni EU, ale také rozvoj nástrojů, řešení a osvědčených postupů, které </w:t>
            </w:r>
            <w:r>
              <w:rPr>
                <w:b/>
                <w:i/>
              </w:rPr>
              <w:t>respektují a</w:t>
            </w:r>
            <w:r>
              <w:t xml:space="preserve"> podporují opatření členských států na vnitrostátní úrovni;</w:t>
            </w:r>
          </w:p>
        </w:tc>
        <w:tc>
          <w:tcPr>
            <w:tcW w:w="4876" w:type="dxa"/>
            <w:tcBorders>
              <w:top w:val="nil"/>
              <w:left w:val="nil"/>
              <w:bottom w:val="nil"/>
              <w:right w:val="nil"/>
            </w:tcBorders>
          </w:tcPr>
          <w:p>
            <w:pPr>
              <w:pStyle w:val="Normal6a"/>
            </w:pPr>
            <w:r>
              <w:t>10.</w:t>
            </w:r>
            <w:r>
              <w:tab/>
            </w:r>
            <w:r>
              <w:t>konstatuje, že cílem Komise je zavést unii úspor a investic, která musí zahrnovat nejen opatření na úrovni EU, ale také rozvoj nástrojů, řešení a osvědčených postupů, které podporují opatření členských států na vnitrostátní úrovni</w:t>
            </w:r>
            <w:r>
              <w:rPr>
                <w:b/>
                <w:i/>
              </w:rPr>
              <w:t>, pokud tato opatření mohou lépe přispět k zavedení unie úspor a investic</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konstatuje, že cílem Komise je zavést unii úspor a investic</w:t>
            </w:r>
            <w:r>
              <w:rPr>
                <w:b/>
                <w:i/>
              </w:rPr>
              <w:t>, která musí zahrnovat nejen opatření na úrovni EU, ale také rozvoj nástrojů, řešení a osvědčených postupů, které respektují a podporují opatření členských států na vnitrostátní úrovni</w:t>
            </w:r>
            <w:r>
              <w:t>;</w:t>
            </w:r>
          </w:p>
        </w:tc>
        <w:tc>
          <w:tcPr>
            <w:tcW w:w="4876" w:type="dxa"/>
            <w:tcBorders>
              <w:top w:val="nil"/>
              <w:left w:val="nil"/>
              <w:bottom w:val="nil"/>
              <w:right w:val="nil"/>
            </w:tcBorders>
          </w:tcPr>
          <w:p>
            <w:pPr>
              <w:pStyle w:val="Normal6a"/>
            </w:pPr>
            <w:r>
              <w:t>10.</w:t>
            </w:r>
            <w:r>
              <w:tab/>
            </w:r>
            <w:r>
              <w:t>konstatuje, že cílem Komise je zavést unii úspor a investic</w:t>
            </w:r>
            <w:r>
              <w:rPr>
                <w:b/>
                <w:i/>
              </w:rPr>
              <w:t>;</w:t>
            </w:r>
            <w:r>
              <w:t xml:space="preserve"> </w:t>
            </w:r>
            <w:r>
              <w:rPr>
                <w:b/>
                <w:i/>
              </w:rPr>
              <w:t>zdůrazňuje, že dosažení unie úspor a investic vyžaduje plnou integraci kapitálových trhů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nejen opatření na úrovni EU, ale </w:t>
            </w:r>
            <w:r>
              <w:rPr>
                <w:b/>
                <w:i/>
              </w:rPr>
              <w:t>také</w:t>
            </w:r>
            <w:r>
              <w:t xml:space="preserve"> rozvoj nástrojů, řešení a osvědčených postupů, které respektují a podporují opatření členských států na vnitrostátní úrovni;</w:t>
            </w:r>
          </w:p>
        </w:tc>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nejen opatření na úrovni EU, ale </w:t>
            </w:r>
            <w:r>
              <w:rPr>
                <w:b/>
                <w:i/>
              </w:rPr>
              <w:t>zejména</w:t>
            </w:r>
            <w:r>
              <w:t xml:space="preserve"> rozvoj nástrojů, řešení a osvědčených postupů, které respektují a podporují opatření členských států na vnitrostátní úrovni;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konstatuje, že cílem Komise je zavést unii úspor a investic, která musí zahrnovat nejen opatření na úrovni EU, ale také rozvoj nástrojů, řešení a osvědčených postupů</w:t>
            </w:r>
            <w:r>
              <w:rPr>
                <w:b/>
                <w:i/>
              </w:rPr>
              <w:t>, které respektují a podporují opatření</w:t>
            </w:r>
            <w:r>
              <w:t xml:space="preserve"> členských států </w:t>
            </w:r>
            <w:r>
              <w:rPr>
                <w:b/>
                <w:i/>
              </w:rPr>
              <w:t>na vnitrostátní úrovni</w:t>
            </w:r>
            <w:r>
              <w:t>;</w:t>
            </w:r>
          </w:p>
        </w:tc>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nejen opatření na úrovni EU, ale také rozvoj nástrojů, řešení a osvědčených postupů </w:t>
            </w:r>
            <w:r>
              <w:rPr>
                <w:b/>
                <w:i/>
              </w:rPr>
              <w:t>na úrovni</w:t>
            </w:r>
            <w:r>
              <w:t xml:space="preserve"> členských států;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w:t>
            </w:r>
            <w:r>
              <w:rPr>
                <w:b/>
                <w:i/>
              </w:rPr>
              <w:t>nejen</w:t>
            </w:r>
            <w:r>
              <w:t xml:space="preserve"> opatření na úrovni EU</w:t>
            </w:r>
            <w:r>
              <w:rPr>
                <w:b/>
                <w:i/>
              </w:rPr>
              <w:t>, ale také rozvoj nástrojů</w:t>
            </w:r>
            <w:r>
              <w:t xml:space="preserve">, řešení a </w:t>
            </w:r>
            <w:r>
              <w:rPr>
                <w:b/>
                <w:i/>
              </w:rPr>
              <w:t>osvědčených postupů</w:t>
            </w:r>
            <w:r>
              <w:t xml:space="preserve">, které respektují a podporují opatření členských států </w:t>
            </w:r>
            <w:r>
              <w:rPr>
                <w:b/>
                <w:i/>
              </w:rPr>
              <w:t>na vnitrostátní úrovni</w:t>
            </w:r>
            <w:r>
              <w:t>;</w:t>
            </w:r>
          </w:p>
        </w:tc>
        <w:tc>
          <w:tcPr>
            <w:tcW w:w="4876" w:type="dxa"/>
            <w:tcBorders>
              <w:top w:val="nil"/>
              <w:left w:val="nil"/>
              <w:bottom w:val="nil"/>
              <w:right w:val="nil"/>
            </w:tcBorders>
          </w:tcPr>
          <w:p>
            <w:pPr>
              <w:pStyle w:val="Normal6a"/>
            </w:pPr>
            <w:r>
              <w:t>10.</w:t>
            </w:r>
            <w:r>
              <w:tab/>
            </w:r>
            <w:r>
              <w:t xml:space="preserve">konstatuje, že cílem Komise je zavést unii úspor a investic, která musí zahrnovat opatření na úrovni EU </w:t>
            </w:r>
            <w:r>
              <w:rPr>
                <w:b/>
                <w:i/>
              </w:rPr>
              <w:t>a nástroje</w:t>
            </w:r>
            <w:r>
              <w:t xml:space="preserve">, řešení a </w:t>
            </w:r>
            <w:r>
              <w:rPr>
                <w:b/>
                <w:i/>
              </w:rPr>
              <w:t>osvědčené postupy</w:t>
            </w:r>
            <w:r>
              <w:t xml:space="preserve">, které respektují </w:t>
            </w:r>
            <w:r>
              <w:rPr>
                <w:b/>
                <w:i/>
              </w:rPr>
              <w:t>vnitrostátní kompetence</w:t>
            </w:r>
            <w:r>
              <w:t xml:space="preserve"> a podporují opatření členských států;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vyzývá Komisi, aby zkoumala nové nástroje financování a přizpůsobila je potřebám mikropodniků a malých podniků se sníženými poplatky a vyšším pokrytím rizik pro zelené, sociální a družstevní malé a střední podniky, se zvláštním zaměřením na podporu hospodářsky znevýhodněných a marginalizovaných oblastí a na boj proti nezaměstnanosti a regionální nerovnosti;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Gilles Boyer, Stéphanie Yon-Courtin, Pascal Canfin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vítá zavedení označení „Finance Europe“ se zvláštním seznamem vlastností, které musí fondy využívající toto označení respektovat, aby střadatelé, kteří chtějí investovat své úspory do evropských společností, tak mohli učinit a přímo přispívat k financování hospodářství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poukazuje na to, že dokončení a posílení hospodářské a měnové unie, unie kapitálových trhů a bankovní unie, zejména v současném kontextu možné dedolarizace, by mohlo rozšířit mezinárodní používání eura ve prospěch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vyzývá Komisi, aby zlepšila přístup investorů k informacím a ochraně a zároveň využila potenciál zjednodušených retailových produktů k přilákání více úspor na kapitálové trhy;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vyzývá Komisi, aby zlepšila přístup investorů k informacím a ochraně a zároveň využila potenciál zjednodušených retailových produktů k přilákání více úspor na kapitálové trhy;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vyzývá Komisi, aby </w:t>
            </w:r>
            <w:r>
              <w:rPr>
                <w:b/>
                <w:i/>
              </w:rPr>
              <w:t>zlepšila</w:t>
            </w:r>
            <w:r>
              <w:t xml:space="preserve"> přístup </w:t>
            </w:r>
            <w:r>
              <w:rPr>
                <w:b/>
                <w:i/>
              </w:rPr>
              <w:t>investorů k informacím a ochraně a zároveň využila potenciál zjednodušených</w:t>
            </w:r>
            <w:r>
              <w:t xml:space="preserve"> retailových </w:t>
            </w:r>
            <w:r>
              <w:rPr>
                <w:b/>
                <w:i/>
              </w:rPr>
              <w:t>produktů k přilákání více úspor na kapitálové</w:t>
            </w:r>
            <w:r>
              <w:t xml:space="preserve"> trhy;</w:t>
            </w:r>
          </w:p>
        </w:tc>
        <w:tc>
          <w:tcPr>
            <w:tcW w:w="4876" w:type="dxa"/>
            <w:tcBorders>
              <w:top w:val="nil"/>
              <w:left w:val="nil"/>
              <w:bottom w:val="nil"/>
              <w:right w:val="nil"/>
            </w:tcBorders>
          </w:tcPr>
          <w:p>
            <w:pPr>
              <w:pStyle w:val="Normal6a"/>
            </w:pPr>
            <w:r>
              <w:t>11.</w:t>
            </w:r>
            <w:r>
              <w:tab/>
            </w:r>
            <w:r>
              <w:rPr>
                <w:b/>
                <w:i/>
              </w:rPr>
              <w:t>vítá myšlenku přeměnit střadatele na investory;</w:t>
            </w:r>
            <w:r>
              <w:t xml:space="preserve"> vyzývá Komisi, aby </w:t>
            </w:r>
            <w:r>
              <w:rPr>
                <w:b/>
                <w:i/>
              </w:rPr>
              <w:t>usnadnila</w:t>
            </w:r>
            <w:r>
              <w:t xml:space="preserve"> přístup retailových </w:t>
            </w:r>
            <w:r>
              <w:rPr>
                <w:b/>
                <w:i/>
              </w:rPr>
              <w:t>investorů na finanční</w:t>
            </w:r>
            <w:r>
              <w:t xml:space="preserve"> trhy; </w:t>
            </w:r>
            <w:r>
              <w:rPr>
                <w:b/>
                <w:i/>
              </w:rPr>
              <w:t>zdůrazňuje, že klíčem k tomu, aby byly úspory směrovány do začínajících nebo rychle se rozvíjejících podniků, jsou zprostředkovatelé, například penzijní fondy a pojišťovny;</w:t>
            </w:r>
            <w:r>
              <w:t xml:space="preserve"> </w:t>
            </w:r>
            <w:r>
              <w:rPr>
                <w:b/>
                <w:i/>
              </w:rPr>
              <w:t>vyzývá Komisi, aby vytvořila regulační rámec, který umožní, aby pro tyto subjekty bylo atraktivní převzít úlohu zprostředkovatelů;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vyzývá Komisi, aby zlepšila přístup investorů k informacím a ochraně a zároveň využila potenciál zjednodušených retailových produktů k přilákání více úspor na kapitálové trhy;</w:t>
            </w:r>
          </w:p>
        </w:tc>
        <w:tc>
          <w:tcPr>
            <w:tcW w:w="4876" w:type="dxa"/>
            <w:tcBorders>
              <w:top w:val="nil"/>
              <w:left w:val="nil"/>
              <w:bottom w:val="nil"/>
              <w:right w:val="nil"/>
            </w:tcBorders>
          </w:tcPr>
          <w:p>
            <w:pPr>
              <w:pStyle w:val="Normal6a"/>
            </w:pPr>
            <w:r>
              <w:t>11.</w:t>
            </w:r>
            <w:r>
              <w:tab/>
            </w:r>
            <w:r>
              <w:t xml:space="preserve">vyzývá Komisi, aby zlepšila přístup investorů k informacím a ochraně a zároveň využila potenciál zjednodušených retailových produktů k přilákání více úspor na kapitálové trhy; </w:t>
            </w:r>
            <w:r>
              <w:rPr>
                <w:b/>
                <w:i/>
              </w:rPr>
              <w:t>vyzývá Komisi, aby prosazovala dobrovolné evropské normy s cílem zlepšit transparentnost, srovnatelnost a jasnou prezentaci finančních produktů pro malé a střední podniky s cílem usnadnit podnikatelům informovaná rozhodnutí;</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vyzývá Komisi, aby </w:t>
            </w:r>
            <w:r>
              <w:rPr>
                <w:b/>
                <w:i/>
              </w:rPr>
              <w:t>zlepšila přístup</w:t>
            </w:r>
            <w:r>
              <w:t xml:space="preserve"> investorů </w:t>
            </w:r>
            <w:r>
              <w:rPr>
                <w:b/>
                <w:i/>
              </w:rPr>
              <w:t>k informacím a ochraně</w:t>
            </w:r>
            <w:r>
              <w:t xml:space="preserve"> a zároveň využila potenciál </w:t>
            </w:r>
            <w:r>
              <w:rPr>
                <w:b/>
                <w:i/>
              </w:rPr>
              <w:t>zjednodušených</w:t>
            </w:r>
            <w:r>
              <w:t xml:space="preserve"> retailových produktů k přilákání více úspor na </w:t>
            </w:r>
            <w:r>
              <w:rPr>
                <w:b/>
                <w:i/>
              </w:rPr>
              <w:t>kapitálové trhy</w:t>
            </w:r>
            <w:r>
              <w:t>;</w:t>
            </w:r>
          </w:p>
        </w:tc>
        <w:tc>
          <w:tcPr>
            <w:tcW w:w="4876" w:type="dxa"/>
            <w:tcBorders>
              <w:top w:val="nil"/>
              <w:left w:val="nil"/>
              <w:bottom w:val="nil"/>
              <w:right w:val="nil"/>
            </w:tcBorders>
          </w:tcPr>
          <w:p>
            <w:pPr>
              <w:pStyle w:val="Normal6a"/>
            </w:pPr>
            <w:r>
              <w:t>11.</w:t>
            </w:r>
            <w:r>
              <w:tab/>
            </w:r>
            <w:r>
              <w:t xml:space="preserve">vyzývá Komisi, aby </w:t>
            </w:r>
            <w:r>
              <w:rPr>
                <w:b/>
                <w:i/>
              </w:rPr>
              <w:t>různými prostředky posilovala účast retailových</w:t>
            </w:r>
            <w:r>
              <w:t xml:space="preserve"> investorů </w:t>
            </w:r>
            <w:r>
              <w:rPr>
                <w:b/>
                <w:i/>
              </w:rPr>
              <w:t>na kapitálových trzích</w:t>
            </w:r>
            <w:r>
              <w:t xml:space="preserve"> a zároveň využila potenciál </w:t>
            </w:r>
            <w:r>
              <w:rPr>
                <w:b/>
                <w:i/>
              </w:rPr>
              <w:t>jednoduchých</w:t>
            </w:r>
            <w:r>
              <w:t xml:space="preserve"> retailových produktů k přilákání více úspor na </w:t>
            </w:r>
            <w:r>
              <w:rPr>
                <w:b/>
                <w:i/>
              </w:rPr>
              <w:t>kapitálových trzích a, což je důležitější, k tomu, aby občanům EU nabídla přitažlivější návratnost jejich úspor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vyzývá Komisi, aby zlepšila přístup investorů k informacím a ochraně a zároveň využila potenciál </w:t>
            </w:r>
            <w:r>
              <w:rPr>
                <w:b/>
                <w:i/>
              </w:rPr>
              <w:t>zjednodušených</w:t>
            </w:r>
            <w:r>
              <w:t xml:space="preserve"> retailových produktů k přilákání více úspor na kapitálové trhy;</w:t>
            </w:r>
          </w:p>
        </w:tc>
        <w:tc>
          <w:tcPr>
            <w:tcW w:w="4876" w:type="dxa"/>
            <w:tcBorders>
              <w:top w:val="nil"/>
              <w:left w:val="nil"/>
              <w:bottom w:val="nil"/>
              <w:right w:val="nil"/>
            </w:tcBorders>
          </w:tcPr>
          <w:p>
            <w:pPr>
              <w:pStyle w:val="Normal6a"/>
            </w:pPr>
            <w:r>
              <w:t>11.</w:t>
            </w:r>
            <w:r>
              <w:tab/>
            </w:r>
            <w:r>
              <w:t>vyzývá Komisi, aby zlepšila přístup investorů k informacím a ochraně a zároveň využila potenciál retailových produktů k přilákání více úspor na kapitálové trhy;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vyjadřuje politování nad tím, že nařízení o EuVECA ((EU) č. 345/2013) nemělo významný pozitivní dopad na místní trhy rizikového kapitálu;</w:t>
            </w:r>
            <w:r>
              <w:t xml:space="preserve"> </w:t>
            </w:r>
            <w:r>
              <w:rPr>
                <w:b/>
                <w:i/>
              </w:rPr>
              <w:t>vítá skutečnost, že sdělení SIU se konkrétně zabývá investicemi rizikového kapitálu do malých nekótovaných společností, které jsou v ideálním případě mladé a inovativní, vyjadřuje však politování nad tím, že návrh Komise týkající se nařízení o EuVECA je odložen na 3. čtvrtletí 2026;</w:t>
            </w:r>
            <w:r>
              <w:t xml:space="preserve"> </w:t>
            </w:r>
            <w:r>
              <w:rPr>
                <w:b/>
                <w:i/>
              </w:rPr>
              <w:t>žádá Komisi, aby zvážila, zda soukromým střadatelům poskytnout možnost investovat do alternativních fondů, a aby  z nařízení o EuVECA odstranila minimální výši investic 100 000 EUR;</w:t>
            </w:r>
            <w:r>
              <w:t xml:space="preserve"> </w:t>
            </w:r>
            <w:r>
              <w:rPr>
                <w:b/>
                <w:i/>
              </w:rPr>
              <w:t>žádá Komisi, aby členské státy vybízela k poskytování daňových pobídek fondům rizikového kapitálu, které investují do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zdůrazňuje, že uvolňování úspor pro investice by mělo jít ruku v ruce s vytvářením vhodného prostředí pro to, aby byly evropské malé a střední podniky a rychle se rozvíjející podniky dostatečně ziskové, s cílem vytvořit ekonomické důvody pro to, aby lidé mohli volně investovat své peníze do evropských společností;</w:t>
            </w:r>
            <w:r>
              <w:t xml:space="preserve"> </w:t>
            </w:r>
            <w:r>
              <w:rPr>
                <w:b/>
                <w:i/>
              </w:rPr>
              <w:t>konstatuje proto, že základním předpokladem pro uvolnění soukromého kapitálu a úspor je podpora produktivity, inovací a konkurenceschopnosti a výrazné snížení regulační zátěže;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konstatuje, že Draghiho zpráva označuje nedostatečný rozvoj předfinancovaných veřejných, zaměstnaneckých a soukromých penzijních systémů v členských státech EU za významný faktor omezující rozvoj kapitálového trhu;</w:t>
            </w:r>
            <w:r>
              <w:t xml:space="preserve"> </w:t>
            </w:r>
            <w:r>
              <w:rPr>
                <w:b/>
                <w:i/>
              </w:rPr>
              <w:t>zdůrazňuje, že předfinancované penzijní systémy, v nichž jsou určené příspěvky investovány na kapitálových trzích, a nikoli rozdělovány prostřednictvím průběžných systémů, mají zásadní význam pro směřování dlouhodobých investic do reálné ekonomiky;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vyzývá Komisi, aby se přednostně zaměřovala na program unie kapitálových trhů, který zachová finanční stabilitu a ochranu spotřebitelů, zvýhodní přístup k rizikovému kapitálu a kapitálovým investicím a omezí nadměrné spoléhání se na bankovní úvěry a zároveň poskytne jasné pobídky k udržitelným činnostem a odkloní se od činností, které významně poškozují jeden z cílů taxonomie;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domnívá se, že uvolnění soukromého kapitálu a jeho větší zapojení do investic je úkolem, který dalece přesahuje oblast regulace a vyžaduje změnu v úsporných a investičních návycích, což vyžaduje výrazné rozšíření ekonomických znalostí a informovanosti;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vyzývá evropské a vnitrostátní rozvojové banky, aby zvýšily přímé úvěry a kapitálovou účast v malých a středních podnicích se zaměřením na financování v rané fázi a nedostatečně pokryté komunity;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zdůrazňuje, že je třeba zlepšit finanční gramotnost občanů a podnikatelů v EU;</w:t>
            </w:r>
            <w:r>
              <w:t xml:space="preserve"> </w:t>
            </w:r>
            <w:r>
              <w:rPr>
                <w:b/>
                <w:i/>
              </w:rPr>
              <w:t>vyzývá Komisi, aby zahrnula podnikání do oblasti působnosti nastupující strategie finanční gramotnosti a do souboru nástrojů pro členské státy, aby byla posílena koordinace v tomto ohledu;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zdůrazňuje, že je třeba zlepšit finanční gramotnost občanů a podnikatelů v EU;</w:t>
            </w:r>
            <w:r>
              <w:t xml:space="preserve"> </w:t>
            </w:r>
            <w:r>
              <w:rPr>
                <w:b/>
                <w:i/>
              </w:rPr>
              <w:t>vyzývá Komisi, aby zahrnula podnikání do oblasti působnosti nastupující strategie finanční gramotnosti a do souboru nástrojů pro členské státy, aby byla posílena koordinace v tomto ohledu;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zdůrazňuje, že je třeba zlepšit finanční gramotnost občanů a podnikatelů v EU; vyzývá Komisi, aby zahrnula podnikání do oblasti působnosti nastupující strategie finanční gramotnosti a do souboru nástrojů pro členské státy, aby byla posílena koordinace v tomto ohledu;</w:t>
            </w:r>
          </w:p>
        </w:tc>
        <w:tc>
          <w:tcPr>
            <w:tcW w:w="4876" w:type="dxa"/>
            <w:tcBorders>
              <w:top w:val="nil"/>
              <w:left w:val="nil"/>
              <w:bottom w:val="nil"/>
              <w:right w:val="nil"/>
            </w:tcBorders>
          </w:tcPr>
          <w:p>
            <w:pPr>
              <w:pStyle w:val="Normal6a"/>
            </w:pPr>
            <w:r>
              <w:t>12.</w:t>
            </w:r>
            <w:r>
              <w:tab/>
            </w:r>
            <w:r>
              <w:rPr>
                <w:b/>
                <w:i/>
              </w:rPr>
              <w:t>rozhodně</w:t>
            </w:r>
            <w:r>
              <w:t xml:space="preserve"> zdůrazňuje, že je třeba zlepšit finanční gramotnost občanů a podnikatelů v EU; vyzývá Komisi, aby zahrnula podnikání do oblasti působnosti nastupující strategie finanční gramotnosti a do souboru nástrojů pro členské státy, aby byla posílena koordinace v tomto ohledu; </w:t>
            </w:r>
            <w:r>
              <w:rPr>
                <w:b/>
                <w:i/>
              </w:rPr>
              <w:t>zdůrazňuje přínosy větší finanční gramotnosti, aby občané mohli nezávisle činit informovanější finanční rozhodnutí;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zdůrazňuje, že je třeba zlepšit finanční </w:t>
            </w:r>
            <w:r>
              <w:rPr>
                <w:b/>
                <w:i/>
              </w:rPr>
              <w:t>gramotnost</w:t>
            </w:r>
            <w:r>
              <w:t xml:space="preserve"> občanů a podnikatelů v EU; vyzývá Komisi, aby zahrnula podnikání do oblasti působnosti nastupující strategie </w:t>
            </w:r>
            <w:r>
              <w:rPr>
                <w:b/>
                <w:i/>
              </w:rPr>
              <w:t>finanční gramotnosti</w:t>
            </w:r>
            <w:r>
              <w:t xml:space="preserve"> a do souboru nástrojů pro členské státy, aby byla posílena koordinace v tomto ohledu;</w:t>
            </w:r>
          </w:p>
        </w:tc>
        <w:tc>
          <w:tcPr>
            <w:tcW w:w="4876" w:type="dxa"/>
            <w:tcBorders>
              <w:top w:val="nil"/>
              <w:left w:val="nil"/>
              <w:bottom w:val="nil"/>
              <w:right w:val="nil"/>
            </w:tcBorders>
          </w:tcPr>
          <w:p>
            <w:pPr>
              <w:pStyle w:val="Normal6a"/>
            </w:pPr>
            <w:r>
              <w:t>12.</w:t>
            </w:r>
            <w:r>
              <w:tab/>
            </w:r>
            <w:r>
              <w:t xml:space="preserve">zdůrazňuje, že je třeba zlepšit finanční </w:t>
            </w:r>
            <w:r>
              <w:rPr>
                <w:b/>
                <w:i/>
              </w:rPr>
              <w:t>vzdělávání</w:t>
            </w:r>
            <w:r>
              <w:t xml:space="preserve"> občanů a podnikatelů v EU; vyzývá Komisi, aby zahrnula podnikání do oblasti působnosti nastupující strategie </w:t>
            </w:r>
            <w:r>
              <w:rPr>
                <w:b/>
                <w:i/>
              </w:rPr>
              <w:t>finančního vzdělávání</w:t>
            </w:r>
            <w:r>
              <w:t xml:space="preserve"> a do souboru nástrojů pro členské státy, aby byla posílena koordinace v tomto ohledu;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zdůrazňuje, že je třeba odstranit stávající zvýhodnění dluhu oproti vlastnímu kapitálu ve zdanění právnických osob, jež zvyšuje pákový efekt, podporuje využívání složitých finančních nástrojů a zvyšuje systémová rizika na kapitálových trzích;</w:t>
            </w:r>
            <w:r>
              <w:t xml:space="preserve"> </w:t>
            </w:r>
            <w:r>
              <w:rPr>
                <w:b/>
                <w:i/>
              </w:rPr>
              <w:t>domnívá se, že taková narušení daňového režimu by měla být řešena omezením daňové odpočitatelnosti úroků namísto zavedení nových srážek z daně z příjmu právnických osob u kapitálových nákladů, což by vedlo k větším ztrátám příjmů z daně z příjmu právnických osob, aniž by to mělo skutečný dopad na vytváření hodnot;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rozhodně zdůrazňuje, že cílené daňové úlevy jsou klíčovým nástrojem pro podporu rozvoje, konkurenceschopnosti a růstu malých a středních podniků a rychle se rozvíjejících podniků;</w:t>
            </w:r>
            <w:r>
              <w:t xml:space="preserve"> </w:t>
            </w:r>
            <w:r>
              <w:rPr>
                <w:b/>
                <w:i/>
              </w:rPr>
              <w:t>vyzývá proto Komisi, aby podporovala a povzbuzovala členské státy k provádění strukturovaných a ambiciózních „politik nulových daní“, jakož i daňových a regulačních úlev v inovativních odvětvích s vysokým růstovým potenciálem.</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vyzývá k vytvoření evropské strategie na podporu rozvoje družstevních a komunitních finančních institucí (např. úvěrových družstev, vzájemných bank) jako klíčových aktérů inkluzivního financování malých a středních podniků, vzhledem k tomu, že jsou schopny lépe sloužit malým a středním podnikům, jelikož mají místní znalosti a sociální mandáty;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vyzývá k tomu, aby veřejné financování nebylo využíváno jako dotace, ale spíše jako katalyzátor pro mobilizaci soukromých investic a zpřístupnění většího množství soukromých finančních prostředků podnikům;</w:t>
            </w:r>
            <w:r>
              <w:t xml:space="preserve"> </w:t>
            </w:r>
            <w:r>
              <w:rPr>
                <w:b/>
                <w:i/>
              </w:rPr>
              <w:t>zdůrazňuje v tomto ohledu rovněž úlohu daňových pobídek;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vyzývá k tomu, aby veřejné financování nebylo využíváno jako dotace, ale spíše jako katalyzátor pro mobilizaci soukromých investic a zpřístupnění většího množství soukromých finančních prostředků podnikům;</w:t>
            </w:r>
            <w:r>
              <w:t xml:space="preserve"> </w:t>
            </w:r>
            <w:r>
              <w:rPr>
                <w:b/>
                <w:i/>
              </w:rPr>
              <w:t>zdůrazňuje v tomto ohledu rovněž úlohu daňových pobídek;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13.</w:t>
            </w:r>
            <w:r>
              <w:tab/>
            </w:r>
            <w:r>
              <w:rPr>
                <w:b/>
                <w:i/>
              </w:rPr>
              <w:t>vyzývá k tomu, aby veřejné financování nebylo využíváno jako dotace, ale spíše jako katalyzátor pro mobilizaci soukromých investic a zpřístupnění většího množství soukromých finančních prostředků podnikům;</w:t>
            </w:r>
            <w:r>
              <w:t xml:space="preserve"> </w:t>
            </w:r>
            <w:r>
              <w:rPr>
                <w:b/>
                <w:i/>
              </w:rPr>
              <w:t>zdůrazňuje v tomto ohledu rovněž úlohu daňových pobídek;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Georgios Aftias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vyzývá k tomu, aby veřejné financování nebylo využíváno jako dotace, ale spíše jako katalyzátor pro mobilizaci soukromých investic a zpřístupnění většího množství soukromých finančních prostředků podnikům; zdůrazňuje v tomto ohledu rovněž úlohu daňových pobídek;</w:t>
            </w:r>
          </w:p>
        </w:tc>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w:t>
            </w:r>
            <w:r>
              <w:rPr>
                <w:b/>
                <w:i/>
              </w:rPr>
              <w:t>a mikropodnikům</w:t>
            </w:r>
            <w:r>
              <w:t xml:space="preserve">; zdůrazňuje v tomto ohledu rovněž úlohu daňových pobídek </w:t>
            </w:r>
            <w:r>
              <w:rPr>
                <w:b/>
                <w:i/>
              </w:rPr>
              <w:t>a vyzývá Komisi, aby uznala strukturální slabiny a potřebu inkluzivní a spravedlivé konkurenceschopnosti napříč podniky všech velikostí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vyzývá k tomu, aby veřejné financování nebylo využíváno jako dotace, ale spíše jako katalyzátor pro mobilizaci soukromých investic a zpřístupnění většího množství soukromých finančních prostředků podnikům; zdůrazňuje v tomto ohledu rovněž úlohu daňových pobídek;</w:t>
            </w:r>
          </w:p>
        </w:tc>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v tomto ohledu rovněž úlohu daňových pobídek; </w:t>
            </w:r>
            <w:r>
              <w:rPr>
                <w:b/>
                <w:i/>
              </w:rPr>
              <w:t>domnívá se, že velká část investic by měla pocházet ze soukromého sektoru;</w:t>
            </w:r>
            <w:r>
              <w:t xml:space="preserve"> </w:t>
            </w:r>
            <w:r>
              <w:rPr>
                <w:b/>
                <w:i/>
              </w:rPr>
              <w:t>zdůrazňuje, že to vyžaduje stabilní a atraktivní daňové a regulační rámce pro profesionální a retailové investory;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w:t>
            </w:r>
            <w:r>
              <w:rPr>
                <w:b/>
                <w:i/>
              </w:rPr>
              <w:t>v tomto ohledu rovněž</w:t>
            </w:r>
            <w:r>
              <w:t xml:space="preserve"> úlohu </w:t>
            </w:r>
            <w:r>
              <w:rPr>
                <w:b/>
                <w:i/>
              </w:rPr>
              <w:t>daňových pobídek</w:t>
            </w:r>
            <w:r>
              <w:t>;</w:t>
            </w:r>
          </w:p>
        </w:tc>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úlohu </w:t>
            </w:r>
            <w:r>
              <w:rPr>
                <w:b/>
                <w:i/>
              </w:rPr>
              <w:t>záručních nástrojů při posilování omezených veřejných zdrojů s cílem stimulovat investice soukromého sektoru, čímž se sníží riziko pro soukromé investory a podpoří větší účast na financování malých a středních podniků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v tomto ohledu </w:t>
            </w:r>
            <w:r>
              <w:rPr>
                <w:b/>
                <w:i/>
              </w:rPr>
              <w:t>rovněž</w:t>
            </w:r>
            <w:r>
              <w:t xml:space="preserve"> úlohu daňových pobídek;</w:t>
            </w:r>
          </w:p>
        </w:tc>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w:t>
            </w:r>
            <w:r>
              <w:rPr>
                <w:b/>
                <w:i/>
              </w:rPr>
              <w:t>význam pákového efektu veřejných nástrojů, jako jsou záruky, kapitálové investice a kombinované financování, s cílem maximalizovat mobilizaci soukromého kapitálu;</w:t>
            </w:r>
            <w:r>
              <w:t xml:space="preserve"> </w:t>
            </w:r>
            <w:r>
              <w:rPr>
                <w:b/>
                <w:i/>
              </w:rPr>
              <w:t>zdůrazňuje</w:t>
            </w:r>
            <w:r>
              <w:t xml:space="preserve"> v tomto ohledu </w:t>
            </w:r>
            <w:r>
              <w:rPr>
                <w:b/>
                <w:i/>
              </w:rPr>
              <w:t>klíčovou</w:t>
            </w:r>
            <w:r>
              <w:t xml:space="preserve"> úlohu daňových pobídek;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vyzývá k tomu, aby veřejné financování nebylo využíváno jako dotace, ale spíše jako katalyzátor pro mobilizaci soukromých investic a zpřístupnění většího množství soukromých finančních prostředků podnikům; zdůrazňuje v tomto ohledu rovněž úlohu daňových pobídek;</w:t>
            </w:r>
          </w:p>
        </w:tc>
        <w:tc>
          <w:tcPr>
            <w:tcW w:w="4876" w:type="dxa"/>
            <w:tcBorders>
              <w:top w:val="nil"/>
              <w:left w:val="nil"/>
              <w:bottom w:val="nil"/>
              <w:right w:val="nil"/>
            </w:tcBorders>
          </w:tcPr>
          <w:p>
            <w:pPr>
              <w:pStyle w:val="Normal6a"/>
            </w:pPr>
            <w:r>
              <w:t>13.</w:t>
            </w:r>
            <w:r>
              <w:tab/>
            </w:r>
            <w:r>
              <w:t xml:space="preserve">vyzývá k tomu, aby veřejné financování nebylo využíváno jako dotace, ale spíše jako katalyzátor pro mobilizaci soukromých investic a zpřístupnění většího množství soukromých finančních prostředků podnikům; zdůrazňuje v tomto ohledu rovněž </w:t>
            </w:r>
            <w:r>
              <w:rPr>
                <w:b/>
                <w:i/>
              </w:rPr>
              <w:t>pozitivní</w:t>
            </w:r>
            <w:r>
              <w:t xml:space="preserve"> úlohu daňových pobídek;</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vyzývá k tomu, aby veřejné financování </w:t>
            </w:r>
            <w:r>
              <w:rPr>
                <w:b/>
                <w:i/>
              </w:rPr>
              <w:t>nebylo</w:t>
            </w:r>
            <w:r>
              <w:t xml:space="preserve"> využíváno </w:t>
            </w:r>
            <w:r>
              <w:rPr>
                <w:b/>
                <w:i/>
              </w:rPr>
              <w:t>jako dotace, ale spíše</w:t>
            </w:r>
            <w:r>
              <w:t xml:space="preserve"> jako katalyzátor pro mobilizaci soukromých investic a zpřístupnění většího množství soukromých finančních prostředků podnikům</w:t>
            </w:r>
            <w:r>
              <w:rPr>
                <w:b/>
                <w:i/>
              </w:rPr>
              <w:t>;</w:t>
            </w:r>
            <w:r>
              <w:t xml:space="preserve"> zdůrazňuje v tomto ohledu rovněž úlohu daňových pobídek;</w:t>
            </w:r>
          </w:p>
        </w:tc>
        <w:tc>
          <w:tcPr>
            <w:tcW w:w="4876" w:type="dxa"/>
            <w:tcBorders>
              <w:top w:val="nil"/>
              <w:left w:val="nil"/>
              <w:bottom w:val="nil"/>
              <w:right w:val="nil"/>
            </w:tcBorders>
          </w:tcPr>
          <w:p>
            <w:pPr>
              <w:pStyle w:val="Normal6a"/>
            </w:pPr>
            <w:r>
              <w:t>13.</w:t>
            </w:r>
            <w:r>
              <w:tab/>
            </w:r>
            <w:r>
              <w:t xml:space="preserve">vyzývá k tomu, aby veřejné financování </w:t>
            </w:r>
            <w:r>
              <w:rPr>
                <w:b/>
                <w:i/>
              </w:rPr>
              <w:t>bylo</w:t>
            </w:r>
            <w:r>
              <w:t xml:space="preserve"> využíváno jako katalyzátor pro mobilizaci soukromých investic a zpřístupnění většího množství soukromých finančních prostředků podnikům</w:t>
            </w:r>
            <w:r>
              <w:rPr>
                <w:b/>
                <w:i/>
              </w:rPr>
              <w:t>,</w:t>
            </w:r>
            <w:r>
              <w:t xml:space="preserve"> zdůrazňuje v tomto ohledu rovněž úlohu daňových pobídek;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Georgios Aftias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pododstavec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 xml:space="preserve"> </w:t>
            </w:r>
            <w:r>
              <w:rPr>
                <w:b/>
                <w:i/>
              </w:rPr>
              <w:t>naléhavě vyzývá Komisi, aby prozkoumala vytvoření stálého mechanismu na podporu likvidity pro malé a střední podniky, a to po vzoru účinných dočasných opatření, jako jsou vratné zálohy, které během nedávných krizí prokázala dobré výsledky, jelikož obcházela překážky tradičního bankovního systému;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Jorge Martín Frías, Enikő Győri, Tomáš Kubín, Pierre Pimpie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 pododstavec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vyzývá Komisi, aby zahrnula zemědělství a automobilový průmysl do prioritních odvětví stanovených ve strategii pro začínající a rychle se rozvíjející podniky.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zdůrazňuje, že je třeba chránit a podporovat přístup začínajících a rychle se rozvíjejících podniků k postupům zadávání veřejných zakázek, například v rámci digitalizace veřejné správy, s cílem podpořit vytvoření dynamického a konkurenceschopného evropského digitálního odvětví;</w:t>
            </w:r>
            <w:r>
              <w:t xml:space="preserve"> </w:t>
            </w:r>
            <w:r>
              <w:rPr>
                <w:b/>
                <w:i/>
              </w:rPr>
              <w:t>v této souvislosti požaduje přidělení nejméně 10 % digitálních veřejných zakázek Unie začínajícím a rychle se rozvíjejícím podnikům;</w:t>
            </w:r>
            <w:r>
              <w:t xml:space="preserve"> </w:t>
            </w:r>
            <w:r>
              <w:rPr>
                <w:b/>
                <w:i/>
              </w:rPr>
              <w:t>s ohledem na snahu o evropskou strategickou autonomii podporuje úsilí o dosažení technologické suverenity;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poukazuje na to, že veřejný sektor může hrát účinnou katalytickou úlohu při mobilizaci soukromého kapitálu, zejména v odvětvích s vysokou informační asymetrií nebo v regionech s rozvíjejícími se finančními trhy;</w:t>
            </w:r>
            <w:r>
              <w:t xml:space="preserve"> </w:t>
            </w:r>
            <w:r>
              <w:rPr>
                <w:b/>
                <w:i/>
              </w:rPr>
              <w:t>vyzývá k tomu, aby byly veřejné nástroje koncipovány na základě kritérií účinnosti, neutrality z hlediska hospodářské soutěže a dopadu a aby současně maximalizovaly pákový efekt na soukromé investice;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zdůrazňuje, že potenciál skupiny Evropské investiční banky (EIB) musí být plně využit k přilákání soukromých investic a překlenutí investiční mezery Evropy ve všech prioritních oblastech, od dekarbonizace až po obranu;</w:t>
            </w:r>
            <w:r>
              <w:t xml:space="preserve"> </w:t>
            </w:r>
            <w:r>
              <w:rPr>
                <w:b/>
                <w:i/>
              </w:rPr>
              <w:t>žádá EIB, aby vyčlenila více zdrojů na projekty malých a středních podniků v oblasti inovací, začínajících a rychle se rozvíjejících podniků;</w:t>
            </w:r>
            <w:r>
              <w:t xml:space="preserve"> </w:t>
            </w:r>
            <w:r>
              <w:rPr>
                <w:b/>
                <w:i/>
              </w:rPr>
              <w:t>vyjadřuje politování nad tím, že v této věci chybí konkrétní návrhy;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zdůrazňuje, že je důležité rozšířit využívání revolvingových finančních nástrojů spolufinancovaných z Evropského fondu pro regionální rozvoj jako udržitelného a účinného prostředku k řešení přetrvávajících nedostatků ve financování malých a středních podniků, zejména v regionech s omezenou dostupností úvěrů;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vyzývá Komisi a členské státy, aby účinně bojovaly proti vyhýbání se daňovým povinnostem, daňovým únikům a škodlivým daňovým praktikám mimo jiné zavedením mezinárodní minimální daně pro společnosti ve výši 25 %;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Pascal Canfin, Stéphanie Yon-Courtin,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vyzývá Evropskou komisi, aby v rámci nadcházejícího přezkumu dlouhodobého rozpočtu EU vyčlenila značné prostředky na snížení rizika soukromých investic institucionálních investorů do inovativních technologií;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poukazuje na to, že náklady na úvěry se v rámci EU značně liší, což v některých členských státech znevýhodňuje malé a střední podniky;</w:t>
            </w:r>
            <w:r>
              <w:t xml:space="preserve"> </w:t>
            </w:r>
            <w:r>
              <w:rPr>
                <w:b/>
                <w:i/>
              </w:rPr>
              <w:t>vyzývá Komisi, aby prozkoumala možnosti, jak tento problém řešit;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připomíná, že strukturální zvýhodnění dluhu penalizuje růst založený na inovacích a omezuje finanční odolnost podniků;</w:t>
            </w:r>
            <w:r>
              <w:t xml:space="preserve"> </w:t>
            </w:r>
            <w:r>
              <w:rPr>
                <w:b/>
                <w:i/>
              </w:rPr>
              <w:t>považuje za nezbytné znovu zahájit diskusi o daňovém odpočtu za vlastní kapitál s cílem dosáhnout lepší fiskální rovnováhy mezi dluhem a vlastním kapitálem;</w:t>
            </w:r>
            <w:r>
              <w:t xml:space="preserve"> </w:t>
            </w:r>
            <w:r>
              <w:rPr>
                <w:b/>
                <w:i/>
              </w:rPr>
              <w:t>zdůrazňuje, že náklady na vlastní kapitál jsou výrazně vyšší než náklady na dluh a že stávající daňový systém tuto předpojatost posiluje;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13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13b.</w:t>
            </w:r>
            <w:r>
              <w:tab/>
            </w:r>
            <w:r>
              <w:rPr>
                <w:b/>
                <w:i/>
              </w:rPr>
              <w:t>vyjadřuje politování nad nadměrnou expozicí bank vůči státnímu dluhu, což poškozuje dlužníky, včetně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Překlenutí mezery ve financování malých a středních podniků, rychle se rozvíjejících podniků a začínajících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vyzývá Komisi, aby zavedla flexibilitu při provádění požadavků Basel III s cílem zajistit, aby 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Anouk Van Brug,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vyzývá Komisi, aby zavedla flexibilitu při provádění požadavků Basel III s cílem zajistit, aby 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vyzývá Komisi, aby zavedla flexibilitu při provádění požadavků Basel III s cílem zajistit, aby 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vyzývá Komisi, aby zavedla flexibilitu při provádění požadavků Basel III s cílem zajistit, aby 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vyzývá Komisi, aby zavedla flexibilitu při provádění požadavků Basel III s cílem zajistit, aby 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vyzývá Komisi, aby zavedla flexibilitu při provádění požadavků Basel III s cílem zajistit, aby bylo poskytováno více úvěrů malým a středním podnikům a rychle se rozvíjejícím podnikům; 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t>14.</w:t>
            </w:r>
            <w:r>
              <w:tab/>
            </w:r>
            <w:r>
              <w:t xml:space="preserve">vyzývá Komisi, aby zavedla flexibilitu při provádění požadavků Basel III s cílem zajistit, aby bylo poskytováno více úvěrů malým a středním podnikům a rychle se rozvíjejícím podnikům; konstatuje, že vhodná flexibilita by v tomto ohledu mohla uvolnit finanční kapacitu a posílit konkurenceschopnost oproti jiným jurisdikcím; </w:t>
            </w:r>
            <w:r>
              <w:rPr>
                <w:b/>
                <w:i/>
              </w:rPr>
              <w:t>zdůrazňuje, že prováděcí ustanovení Basel III obsahují určité prvky, jako je nepříznivé zacházení s podniky bez ratingu, které by mohlo podstatně zvýšit náklady na financování malých a středních podniků;</w:t>
            </w:r>
            <w:r>
              <w:t xml:space="preserve"> </w:t>
            </w:r>
            <w:r>
              <w:rPr>
                <w:b/>
                <w:i/>
              </w:rPr>
              <w:t>poukazuje na to, že čas získaný díky přechodnému režimu pro podniky bez ratingu je třeba využít k nalezení trvalejších řešení;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Georgios Aftias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vyzývá Komisi, aby zavedla flexibilitu při provádění požadavků Basel III s cílem zajistit, aby bylo poskytováno více úvěrů malým a středním podnikům a rychle se rozvíjejícím podnikům; 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t>14.</w:t>
            </w:r>
            <w:r>
              <w:tab/>
            </w:r>
            <w:r>
              <w:t xml:space="preserve">vyzývá Komisi, aby zavedla flexibilitu při provádění požadavků Basel III s cílem zajistit, aby bylo poskytováno více úvěrů malým a středním podnikům a rychle se rozvíjejícím podnikům; konstatuje, že vhodná flexibilita by v tomto ohledu mohla uvolnit finanční kapacitu a posílit konkurenceschopnost oproti jiným jurisdikcím; </w:t>
            </w:r>
            <w:r>
              <w:rPr>
                <w:b/>
                <w:i/>
              </w:rPr>
              <w:t>za tímto účelem vybízí k vytvoření inovativních modelů financování přizpůsobených mikropodnikům, jako jsou úvěrové mechanismy založené na historii transakcí v místech prodeje a obchodní činnosti, s cílem zlepšit přístup k úvěrům pro podniky, které nemají tradiční úvěrové profily nebo zajištění;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rPr>
                <w:b/>
                <w:i/>
              </w:rPr>
              <w:t>vyzývá Komisi, aby zavedla flexibilitu při provádění požadavků</w:t>
            </w:r>
            <w:r>
              <w:t xml:space="preserve"> Basel III s cílem zajistit, aby </w:t>
            </w:r>
            <w:r>
              <w:rPr>
                <w:b/>
                <w:i/>
              </w:rPr>
              <w:t>bylo poskytováno více úvěrů malým a středním podnikům a rychle se rozvíjejícím podnikům</w:t>
            </w:r>
            <w:r>
              <w:t xml:space="preserve">; </w:t>
            </w:r>
            <w:r>
              <w:rPr>
                <w:b/>
                <w:i/>
              </w:rPr>
              <w:t>konstatuje, že vhodná flexibilita by v tomto ohledu mohla uvolnit finanční kapacitu a posílit konkurenceschopnost oproti jiným jurisdikcím;</w:t>
            </w:r>
          </w:p>
        </w:tc>
        <w:tc>
          <w:tcPr>
            <w:tcW w:w="4876" w:type="dxa"/>
            <w:tcBorders>
              <w:top w:val="nil"/>
              <w:left w:val="nil"/>
              <w:bottom w:val="nil"/>
              <w:right w:val="nil"/>
            </w:tcBorders>
          </w:tcPr>
          <w:p>
            <w:pPr>
              <w:pStyle w:val="Normal6a"/>
            </w:pPr>
            <w:r>
              <w:t>14.</w:t>
            </w:r>
            <w:r>
              <w:tab/>
            </w:r>
            <w:r>
              <w:rPr>
                <w:b/>
                <w:i/>
              </w:rPr>
              <w:t>připomíná zavedení rámce</w:t>
            </w:r>
            <w:r>
              <w:t xml:space="preserve"> Basel III </w:t>
            </w:r>
            <w:r>
              <w:rPr>
                <w:b/>
                <w:i/>
              </w:rPr>
              <w:t>prostřednictvím příslušných právních předpisů EU;</w:t>
            </w:r>
            <w:r>
              <w:t xml:space="preserve"> </w:t>
            </w:r>
            <w:r>
              <w:rPr>
                <w:b/>
                <w:i/>
              </w:rPr>
              <w:t>zdůrazňuje klíčovou úlohu, kterou to bude hrát při dalším zvyšování odolnosti bank v EU, a že to přispěje k finanční stabilitě;</w:t>
            </w:r>
            <w:r>
              <w:t xml:space="preserve"> </w:t>
            </w:r>
            <w:r>
              <w:rPr>
                <w:b/>
                <w:i/>
              </w:rPr>
              <w:t>zdůrazňuje, že je důležité zajistit globální konkurenceschopnost bank EU a rovné podmínky na mezinárodní úrovni</w:t>
            </w:r>
            <w:r>
              <w:t xml:space="preserve"> s cílem zajistit, aby </w:t>
            </w:r>
            <w:r>
              <w:rPr>
                <w:b/>
                <w:i/>
              </w:rPr>
              <w:t>evropské banky mohly i nadále financovat evropské malé a střední podniky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vyzývá Komisi</w:t>
            </w:r>
            <w:r>
              <w:rPr>
                <w:b/>
                <w:i/>
              </w:rPr>
              <w:t>, aby zavedla flexibilitu při provádění požadavků</w:t>
            </w:r>
            <w:r>
              <w:t xml:space="preserve"> Basel III </w:t>
            </w:r>
            <w:r>
              <w:rPr>
                <w:b/>
                <w:i/>
              </w:rPr>
              <w:t>s cílem zajistit, aby bylo poskytováno více úvěrů malým a středním podnikům a rychle se rozvíjejícím podnikům;</w:t>
            </w:r>
            <w:r>
              <w:t xml:space="preserve"> </w:t>
            </w:r>
            <w:r>
              <w:rPr>
                <w:b/>
                <w:i/>
              </w:rPr>
              <w:t>konstatuje, že vhodná flexibilita by v tomto ohledu mohla uvolnit finanční kapacitu a posílit</w:t>
            </w:r>
            <w:r>
              <w:t xml:space="preserve"> konkurenceschopnost </w:t>
            </w:r>
            <w:r>
              <w:rPr>
                <w:b/>
                <w:i/>
              </w:rPr>
              <w:t>oproti jiným jurisdikcím</w:t>
            </w:r>
            <w:r>
              <w:t>;</w:t>
            </w:r>
          </w:p>
        </w:tc>
        <w:tc>
          <w:tcPr>
            <w:tcW w:w="4876" w:type="dxa"/>
            <w:tcBorders>
              <w:top w:val="nil"/>
              <w:left w:val="nil"/>
              <w:bottom w:val="nil"/>
              <w:right w:val="nil"/>
            </w:tcBorders>
          </w:tcPr>
          <w:p>
            <w:pPr>
              <w:pStyle w:val="Normal6a"/>
            </w:pPr>
            <w:r>
              <w:t>14.</w:t>
            </w:r>
            <w:r>
              <w:tab/>
            </w:r>
            <w:r>
              <w:t xml:space="preserve">vyzývá Komisi </w:t>
            </w:r>
            <w:r>
              <w:rPr>
                <w:b/>
                <w:i/>
              </w:rPr>
              <w:t>a členské státy EU, aby zajistily úplné a včasné provedení standardů</w:t>
            </w:r>
            <w:r>
              <w:t xml:space="preserve"> Basel III </w:t>
            </w:r>
            <w:r>
              <w:rPr>
                <w:b/>
                <w:i/>
              </w:rPr>
              <w:t>přijatých spolunormotvůrci a aby odmítly veškeré pokusy o oslabení stávajících pravidel nebo zahájení mezinárodního závodu o co nejnižší standardy;</w:t>
            </w:r>
            <w:r>
              <w:t xml:space="preserve"> </w:t>
            </w:r>
            <w:r>
              <w:rPr>
                <w:b/>
                <w:i/>
              </w:rPr>
              <w:t>připomíná, že dobře kapitalizované banky s dobrým dohledem jsou klíčem ke stabilnímu a udržitelnému finančnímu prostředí, a že tak chrání evropské spotřebitele a</w:t>
            </w:r>
            <w:r>
              <w:t xml:space="preserve"> konkurenceschopnost;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je si vědom toho, že bankovní úvěry zůstávají hlavním zdrojem vnějšího financování malých a středních podniků v Unii;</w:t>
            </w:r>
            <w:r>
              <w:t xml:space="preserve"> </w:t>
            </w:r>
            <w:r>
              <w:rPr>
                <w:b/>
                <w:i/>
              </w:rPr>
              <w:t>podtrhuje v této souvislosti klíčovou úlohu tradičních modelů bankovnictví včetně malých regionálních bank, spořitelen, družstevních záložen a veřejnoprávních institucí;</w:t>
            </w:r>
            <w:r>
              <w:t xml:space="preserve"> </w:t>
            </w:r>
            <w:r>
              <w:rPr>
                <w:b/>
                <w:i/>
              </w:rPr>
              <w:t>zdůrazňuje, že banky s hlubokými regionálními a místními odbornými znalostmi často poskytují nejúčinnější podporu malým a středním podnikům prostřednictvím dlouhodobých vztahů;</w:t>
            </w:r>
            <w:r>
              <w:t xml:space="preserve"> </w:t>
            </w:r>
            <w:r>
              <w:rPr>
                <w:b/>
                <w:i/>
              </w:rPr>
              <w:t>konstatuje, že tyto malé a místní banky se ve srovnání s většími institucemi potýkají s odlišnými problémy;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připomíná, že nebankovní zdroje financování pro malé a střední podniky, jako je rizikový kapitál a soukromé dluhové fondy, jsou atraktivním alternativním zdrojem financování;</w:t>
            </w:r>
            <w:r>
              <w:t xml:space="preserve"> </w:t>
            </w:r>
            <w:r>
              <w:rPr>
                <w:b/>
                <w:i/>
              </w:rPr>
              <w:t>vyzývá Komisi, aby prozkoumala opatření týkající se regulační proporcionality v této oblasti, která usnadní rozvoj specializovaných subjektů přizpůsobených financování malých a středních podniků;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vyzývá Komisi, aby vytvořila celoevropský systém poskytování úvěrů malým a středním podnikům a inovativním začínajícím podnikům;</w:t>
            </w:r>
            <w:r>
              <w:t xml:space="preserve"> </w:t>
            </w:r>
            <w:r>
              <w:rPr>
                <w:b/>
                <w:i/>
              </w:rPr>
              <w:t>navrhuje, aby byl tento systém začleněn do stávajícího jednotného evropského přístupového místa, kde mohou malé a střední podniky nahrávat své příslušné finanční a nefinanční údaje potenciálním investorům;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doporučuje posílit systémy veřejných záruk na vnitrostátní úrovni a na úrovni EU a přizpůsobené úvěrové nástroje s cílem zlepšit přístup životaschopných malých a středních podniků k úvěrům, zejména v případech, kdy restriktivní rizikové profily nebo omezené vnitrostátní zdroje omezují možnosti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vyzývá Komisi a členské státy, aby zajistily, že veškeré finanční prostředky pro společnosti budou poskytovány pouze tehdy, budou-li dodržovány a posíleny environmentální normy a práva pracovníků, mimo jiné posílením kolektivního vyjednávání a práv na účast;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14a.</w:t>
            </w:r>
            <w:r>
              <w:tab/>
            </w:r>
            <w:r>
              <w:rPr>
                <w:b/>
                <w:i/>
              </w:rPr>
              <w:t>vyzývá Komisi, aby usnadnila kotování rychle se rozvíjejících podniků na evropských burzách cenných papírů, mimo jiné harmonizací standardů pro podávání zpráv, požadavků na kotování a pravidel pro zveřejňování informací pro kotování s malými a vstupními standardy;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14b.</w:t>
            </w:r>
            <w:r>
              <w:tab/>
            </w:r>
            <w:r>
              <w:rPr>
                <w:b/>
                <w:i/>
              </w:rPr>
              <w:t>konstatuje, že řada regulačních požadavků na banky může mít negativní dopad na poskytování úvěrů malým a středním podnikům;</w:t>
            </w:r>
            <w:r>
              <w:t xml:space="preserve"> </w:t>
            </w:r>
            <w:r>
              <w:rPr>
                <w:b/>
                <w:i/>
              </w:rPr>
              <w:t>zdůrazňuje, že je důležité vyhnout se duplicitním požadavkům na podávání zpráv a vícečetným kanálům pro podávání zpráv, které představují zbytečnou administrativní zátěž, zejména pro menší banky;</w:t>
            </w:r>
            <w:r>
              <w:t xml:space="preserve"> </w:t>
            </w:r>
            <w:r>
              <w:rPr>
                <w:b/>
                <w:i/>
              </w:rPr>
              <w:t>vyzývá Komisi, aby za pomoci Evropského orgánu pro bankovnictví a jednotného mechanismu dohledu posoudila dopady stávajících regulačních pravidel na poskytování úvěrů malým a středním podnikům;</w:t>
            </w:r>
            <w:r>
              <w:t xml:space="preserve"> </w:t>
            </w:r>
            <w:r>
              <w:rPr>
                <w:b/>
                <w:i/>
              </w:rPr>
              <w:t>zdůrazňuje, že v bankovní regulaci je nezbytné uplatňovat zásadu proporcionality;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14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14b.</w:t>
            </w:r>
            <w:r>
              <w:tab/>
            </w:r>
            <w:r>
              <w:rPr>
                <w:b/>
                <w:i/>
              </w:rPr>
              <w:t>domnívá se, že dodržování obezřetnostních požadavků Basel III má zásadní význam pro zajištění finanční stability a důvěry v evropský bankovní systém;</w:t>
            </w:r>
            <w:r>
              <w:t xml:space="preserve"> </w:t>
            </w:r>
            <w:r>
              <w:rPr>
                <w:b/>
                <w:i/>
              </w:rPr>
              <w:t>zdůrazňuje, že cílem není zaměřovat se na oslabování standardů, ale na doplnění přístupu k bankovnímu financování prostřednictvím silného nebankovního a tržního finančního ekosystému, který malým a středním podnikům poskytne odpovídající alternativy podle jejich rizikového profilu;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vyzývá Komisi, aby zajistila větší flexibilitu regulačního rámce pro sekuritizaci s cílem umožnit úvěrovým institucím poskytovat podnikům další financování a podporovat jejich růst;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vyzývá Komisi, aby zajistila větší flexibilitu regulačního rámce pro sekuritizaci s cílem umožnit úvěrovým institucím poskytovat podnikům další financování a podporovat jejich růst;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vyzývá Komisi, aby zajistila větší flexibilitu regulačního rámce pro sekuritizaci s cílem umožnit úvěrovým institucím poskytovat podnikům další financování a podporovat jejich růst;</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vyzývá Komisi, aby zajistila větší flexibilitu regulačního rámce pro sekuritizaci s cílem umožnit úvěrovým institucím poskytovat podnikům další financování a podporovat jejich růst;</w:t>
            </w:r>
          </w:p>
        </w:tc>
        <w:tc>
          <w:tcPr>
            <w:tcW w:w="4876" w:type="dxa"/>
            <w:tcBorders>
              <w:top w:val="nil"/>
              <w:left w:val="nil"/>
              <w:bottom w:val="nil"/>
              <w:right w:val="nil"/>
            </w:tcBorders>
          </w:tcPr>
          <w:p>
            <w:pPr>
              <w:pStyle w:val="Normal6a"/>
            </w:pPr>
            <w:r>
              <w:t>15.</w:t>
            </w:r>
            <w:r>
              <w:tab/>
            </w:r>
            <w:r>
              <w:t xml:space="preserve">vyzývá Komisi, aby zajistila větší flexibilitu regulačního rámce pro sekuritizaci s cílem umožnit úvěrovým institucím poskytovat podnikům další financování a podporovat jejich růst; </w:t>
            </w:r>
            <w:r>
              <w:rPr>
                <w:b/>
                <w:i/>
              </w:rPr>
              <w:t>domnívá se, že evropský regulační rámec pro sekuritizaci je v posledních letech příliš restriktivní a zbytečně omezuje potenciál tohoto nástroje jako kanálu pro financování podniků;</w:t>
            </w:r>
            <w:r>
              <w:t xml:space="preserve"> </w:t>
            </w:r>
            <w:r>
              <w:rPr>
                <w:b/>
                <w:i/>
              </w:rPr>
              <w:t>vyzývá Komisi, aby zásadně přezkoumala platný režim s cílem zavést větší regulační flexibilitu, aniž by byla ohrožena transparentnost a úvěrová kvalita;</w:t>
            </w:r>
            <w:r>
              <w:t xml:space="preserve"> </w:t>
            </w:r>
            <w:r>
              <w:rPr>
                <w:b/>
                <w:i/>
              </w:rPr>
              <w:t>zdůrazňuje, že dobře regulovaná, jednoduchá a standardizovaná sekuritizace může uvolnit úvěrovou kapacitu v bankovním systému a usnadnit malým a středním podnikům a rychle se rozvíjejícím podnikům přístup k financování, což může účinně doplňovat přímé tržní financování;</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vyzývá Komisi, aby zajistila </w:t>
            </w:r>
            <w:r>
              <w:rPr>
                <w:b/>
                <w:i/>
              </w:rPr>
              <w:t>větší flexibilitu</w:t>
            </w:r>
            <w:r>
              <w:t xml:space="preserve"> regulačního rámce pro sekuritizaci </w:t>
            </w:r>
            <w:r>
              <w:rPr>
                <w:b/>
                <w:i/>
              </w:rPr>
              <w:t>s cílem umožnit úvěrovým institucím poskytovat podnikům</w:t>
            </w:r>
            <w:r>
              <w:t xml:space="preserve"> další </w:t>
            </w:r>
            <w:r>
              <w:rPr>
                <w:b/>
                <w:i/>
              </w:rPr>
              <w:t>financování a podporovat jejich růst</w:t>
            </w:r>
            <w:r>
              <w:t>;</w:t>
            </w:r>
          </w:p>
        </w:tc>
        <w:tc>
          <w:tcPr>
            <w:tcW w:w="4876" w:type="dxa"/>
            <w:tcBorders>
              <w:top w:val="nil"/>
              <w:left w:val="nil"/>
              <w:bottom w:val="nil"/>
              <w:right w:val="nil"/>
            </w:tcBorders>
          </w:tcPr>
          <w:p>
            <w:pPr>
              <w:pStyle w:val="Normal6a"/>
            </w:pPr>
            <w:r>
              <w:t>15.</w:t>
            </w:r>
            <w:r>
              <w:tab/>
            </w:r>
            <w:r>
              <w:t>vyzývá Komisi, aby zajistila</w:t>
            </w:r>
            <w:r>
              <w:rPr>
                <w:b/>
                <w:i/>
              </w:rPr>
              <w:t>, že žádný přezkum</w:t>
            </w:r>
            <w:r>
              <w:t xml:space="preserve"> regulačního rámce pro sekuritizaci </w:t>
            </w:r>
            <w:r>
              <w:rPr>
                <w:b/>
                <w:i/>
              </w:rPr>
              <w:t>nebude na úkor finanční stability;</w:t>
            </w:r>
            <w:r>
              <w:t xml:space="preserve"> </w:t>
            </w:r>
            <w:r>
              <w:rPr>
                <w:b/>
                <w:i/>
              </w:rPr>
              <w:t>domnívá se, že případný přezkum by měl mít omezený rozsah a neměl by být deregulačním postupem, který by zcela oslabil klíčové obezřetnostní požadavky a</w:t>
            </w:r>
            <w:r>
              <w:t xml:space="preserve"> další </w:t>
            </w:r>
            <w:r>
              <w:rPr>
                <w:b/>
                <w:i/>
              </w:rPr>
              <w:t>záruky, jež byly zavedeny po celosvětové finanční krizi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vyzývá Komisi, aby zajistila větší flexibilitu regulačního rámce pro sekuritizaci s cílem umožnit úvěrovým institucím poskytovat podnikům další financování a podporovat jejich růst;</w:t>
            </w:r>
          </w:p>
        </w:tc>
        <w:tc>
          <w:tcPr>
            <w:tcW w:w="4876" w:type="dxa"/>
            <w:tcBorders>
              <w:top w:val="nil"/>
              <w:left w:val="nil"/>
              <w:bottom w:val="nil"/>
              <w:right w:val="nil"/>
            </w:tcBorders>
          </w:tcPr>
          <w:p>
            <w:pPr>
              <w:pStyle w:val="Normal6a"/>
            </w:pPr>
            <w:r>
              <w:t>15.</w:t>
            </w:r>
            <w:r>
              <w:tab/>
            </w:r>
            <w:r>
              <w:t xml:space="preserve">vyzývá Komisi, aby zajistila větší flexibilitu regulačního rámce pro sekuritizaci s cílem umožnit úvěrovým institucím poskytovat podnikům další financování a podporovat jejich růst; </w:t>
            </w:r>
            <w:r>
              <w:rPr>
                <w:b/>
                <w:i/>
              </w:rPr>
              <w:t>vítá nadcházející přezkum sekuritizačního rámce a vyzývá Komisi, aby tento režim učinila méně zatěžujícím a citlivějším vůči rizikům;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 Anouk Van Brug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vyzývá Komisi, aby zajistila větší flexibilitu regulačního rámce pro sekuritizaci s cílem umožnit úvěrovým institucím poskytovat podnikům další</w:t>
            </w:r>
            <w:r>
              <w:t xml:space="preserve"> financování </w:t>
            </w:r>
            <w:r>
              <w:rPr>
                <w:b/>
                <w:i/>
              </w:rPr>
              <w:t>a podporovat</w:t>
            </w:r>
            <w:r>
              <w:t xml:space="preserve"> jejich růst;</w:t>
            </w:r>
          </w:p>
        </w:tc>
        <w:tc>
          <w:tcPr>
            <w:tcW w:w="4876" w:type="dxa"/>
            <w:tcBorders>
              <w:top w:val="nil"/>
              <w:left w:val="nil"/>
              <w:bottom w:val="nil"/>
              <w:right w:val="nil"/>
            </w:tcBorders>
          </w:tcPr>
          <w:p>
            <w:pPr>
              <w:pStyle w:val="Normal6a"/>
            </w:pPr>
            <w:r>
              <w:t>15.</w:t>
            </w:r>
            <w:r>
              <w:tab/>
            </w:r>
            <w:r>
              <w:rPr>
                <w:b/>
                <w:i/>
              </w:rPr>
              <w:t>zdůrazňuje důležitou roli, kterou může sekuritizace hrát při usnadňování financování investic, vytváření alternativních zdrojů</w:t>
            </w:r>
            <w:r>
              <w:t xml:space="preserve"> financování </w:t>
            </w:r>
            <w:r>
              <w:rPr>
                <w:b/>
                <w:i/>
              </w:rPr>
              <w:t>pro evropské společnosti, včetně malých a středních podniků, které usnadňují</w:t>
            </w:r>
            <w:r>
              <w:t xml:space="preserve"> jejich růst</w:t>
            </w:r>
            <w:r>
              <w:rPr>
                <w:b/>
                <w:i/>
              </w:rPr>
              <w:t>, zvyšování evropské konkurenceschopnosti a vytváření hlubokých a dynamických evropských kapitálových trhů</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 pododstavec 1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konstatuje, že Draghiho zpráva označuje nedostatečný rozvoj předfinancovaných veřejných, zaměstnaneckých a soukromých penzijních systémů v členských státech EU za významný faktor omezující rozvoj kapitálového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domnívá se, že očekávaný návrh Komise týkající se sekuritizace zjednoduší její regulační rámec a umožní plně využívat výhod, které může sekuritizace nabídnout;</w:t>
            </w:r>
            <w:r>
              <w:t xml:space="preserve"> </w:t>
            </w:r>
            <w:r>
              <w:rPr>
                <w:b/>
                <w:i/>
              </w:rPr>
              <w:t>konstatuje, že většina zúčastněných stran v průmyslu považuje stávající obezřetnostní rámec za příliš represivní, což vede k nadměrné kapitalizaci;</w:t>
            </w:r>
            <w:r>
              <w:t xml:space="preserve"> </w:t>
            </w:r>
            <w:r>
              <w:rPr>
                <w:b/>
                <w:i/>
              </w:rPr>
              <w:t>požaduje přístup více založený na riziku, který zvýší objemy sekuritizací a zároveň zachová finanční stabilitu spolu se zvýšením spolehlivosti testů převodu významného rizika, jak to doporučuje Evropský orgán pro bankovnictví;</w:t>
            </w:r>
            <w:r>
              <w:t xml:space="preserve"> </w:t>
            </w:r>
            <w:r>
              <w:rPr>
                <w:b/>
                <w:i/>
              </w:rPr>
              <w:t>návrh Komise by měl zlepšit zacházení s likviditou u sekuritizací v rámci ukazatele krytí likvidity, což lze provést způsobem, který je v souladu s doporučeními evropských orgánů dohledu a basilejskými standardy;</w:t>
            </w:r>
            <w:r>
              <w:t xml:space="preserve"> </w:t>
            </w:r>
            <w:r>
              <w:rPr>
                <w:b/>
                <w:i/>
              </w:rPr>
              <w:t>nový rámec pro sekuritizaci by měl snížit byrokratickou zátěž spojenou s požadavky na transparentnost a náležitou péči;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zdůrazňuje, že roztříštěné tržní infrastruktury představují hlavní překážku pro přeshraniční kapitálové toky a investice i pro financování malých a středních podniků a scaleupů;</w:t>
            </w:r>
            <w:r>
              <w:t xml:space="preserve"> </w:t>
            </w:r>
            <w:r>
              <w:rPr>
                <w:b/>
                <w:i/>
              </w:rPr>
              <w:t>vyzývá Komisi, aby v rámci unie úspor a investic navrhla opatření na podporu konsolidace obchodní a poobchodní infrastruktury v Evropě;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podporuje Komisi při přípravě plánu investičního spořicího účtu EU, který by měl zahrnovat i) zjednodušený postup daňového přiznání, ii) doprovodné daňové pobídky a iii) neexistenci omezení týkajících se místa investování, odvětví, limitů vkladů nebo minimální doby držení;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zdůrazňuje, že EU by měla usilovat o usnadňování podnikatelského prostředí pro evropské podnikatele odstraněním zbytečných regulačních překážek a vytvořením expanzivního ekosystému založeného především na soukromých investicích, kde je hnací silou růstu soukromá iniciativa;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 Anouk Van Brug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zdůrazňuje, že rozvoj evropského sekuritizačního trhu by mohl přispět k naléhavé potřebě, aby se ekonomika Unie přeorientovala z financování založeného především na rozvahách bank na ekonomiku, která plně využívá potenciál kapitálových trhů;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vyzývá Komisi, aby urychlila dokončení plně funkční unie kapitálových trhů (UKT) s cílem zlepšit přeshraniční přístup malých a středních podniků a rozvíjejících se podniků k financování, snížit závislost na kapitálu z třetích zemí a posílit konkurenceschopnost a strategickou autonomii hospodářství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vyzývá k urychlenému provádění Fondu Scaleup Europe a Evropského paktu pro investice do inovací, jak je uvedeno ve Strategii EU pro startupy a scaleupy;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15a.</w:t>
            </w:r>
            <w:r>
              <w:tab/>
            </w:r>
            <w:r>
              <w:rPr>
                <w:b/>
                <w:i/>
              </w:rPr>
              <w:t>zdůrazňuje, že dokončení unie kapitálových trhů jde ruku v ruce s dokončením bankovní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vyzývá Komisi, aby ve druhém čtvrtletí 2025 zveřejnila ambiciózní a ucelenou revizi rámce pro sekuritizaci, která se zaměří zejména na přezkum konkrétních obezřetnostních požadavků, pravidel náležité péče, požadavků na podávání zpráv týkajících se některých druhů aktiv, soudržnosti jednoduchých transparentních a standardizovaných kritérií, jakož i procesu dohledu, s cílem zajistit, aby sekuritizace mohla hrát klíčovou úlohu při financování budoucího evropského růstu a zároveň zachovat beze změny základní záruky zavedené po roce 2008:</w:t>
            </w:r>
            <w:r>
              <w:t xml:space="preserve"> </w:t>
            </w:r>
            <w:r>
              <w:rPr>
                <w:b/>
                <w:i/>
              </w:rPr>
              <w:t>zákaz opětovné sekuritizace, zákaz sekuritizace bez ponechání si rizika, přísný dohled nad ratingovými agenturami;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uznává ústřední úlohu soukromého sektoru v hospodářském růstu a prosperitě Evropské unie;</w:t>
            </w:r>
            <w:r>
              <w:t xml:space="preserve"> </w:t>
            </w:r>
            <w:r>
              <w:rPr>
                <w:b/>
                <w:i/>
              </w:rPr>
              <w:t>zdůrazňuje, že jakýkoli pokrok směrem k integraci kapitálových trhů musí být založen na zásadách hospodářské svobody, hospodářské soutěže a právní jistoty;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zdůrazňuje, že je nutný jasný a časově vymezený plán pro dokončení unie kapitálových trhů, včetně harmonizace insolvenčních právních předpisů, zjednodušení pravidel pro kotování pro malé a střední podniky a zlepšení rámců na ochranu investorů;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15b.</w:t>
            </w:r>
            <w:r>
              <w:tab/>
            </w:r>
            <w:r>
              <w:rPr>
                <w:b/>
                <w:i/>
              </w:rPr>
              <w:t>konstatuje, že poskytování rizikového kapitálu by mělo být podporováno jako součást obchodního modelu tradičních bank, přičemž je nutné zachovat finanční stabilitu bank;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15c.</w:t>
            </w:r>
            <w:r>
              <w:tab/>
            </w:r>
            <w:r>
              <w:rPr>
                <w:b/>
                <w:i/>
              </w:rPr>
              <w:t>zdůrazňuje význam zajištění snadného, bezpečného a přeshraničního přístupu retailových investorů k finančním produktům, podpory účasti občanů na kapitálových trzích a podpory účinnějšího využívání evropských úspor;</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15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15d.</w:t>
            </w:r>
            <w:r>
              <w:tab/>
            </w:r>
            <w:r>
              <w:rPr>
                <w:b/>
                <w:i/>
              </w:rPr>
              <w:t>naléhavě vyzývá Komisi, aby ve svých regulačních návrzích upřednostňovala globální konkurenceschopnost finančních trhů EU a zajistila, aby evropský regulační rámec nebyl překážkou ve srovnání s jinými jurisdikcemi, jež jsou atraktivní pro mezinárodní kapitál;</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Překlenutí mezery ve financování rychle se rozvíjejících podniků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Překlenutí mezery ve financování rychle se rozvíjejících podniků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vyzývá Komisi a členské státy, aby posoudily překážky, s nimiž se potýkají začínající a rychle se rozvíjející podniky při přístupu k financování, a přizpůsobily postupy podávání žádostí o financování tak, aby byl přístup k financím snadnější;</w:t>
            </w:r>
            <w:r>
              <w:t xml:space="preserve"> </w:t>
            </w:r>
            <w:r>
              <w:rPr>
                <w:b/>
                <w:i/>
              </w:rPr>
              <w:t>vyzývá k tomu, aby se úsilí zaměřilo na urychlení harmonizace kapitálových trhů v celé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4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naléhavě vyzývá Komisi, aby posílila mechanismy financování začínajících a rychle se rozvíjejících podniků, včetně zadávání veřejných zakázek a poskytování grantů, půjček a skupinového financování, a přitom dbala na to, aby nebylo vytěsňováno soukromé financování, a zajistila finanční stabilitu;</w:t>
            </w:r>
            <w:r>
              <w:t xml:space="preserve"> </w:t>
            </w:r>
            <w:r>
              <w:rPr>
                <w:b/>
                <w:i/>
              </w:rPr>
              <w:t>naléhavě vyzývá Komisi, aby přeorientovala stávající finanční prostředky tak, aby se účinněji zaměřovaly na evropské začínající a rychle se rozvíjející podniky;</w:t>
            </w:r>
            <w:r>
              <w:t xml:space="preserve"> </w:t>
            </w:r>
            <w:r>
              <w:rPr>
                <w:b/>
                <w:i/>
              </w:rPr>
              <w:t>zdůrazňuje, že je třeba vytvořit dobrovolný celoevropský systém postoupení úvěrů pro začínající a rychle se rozvíjející podniky, jejichž žádost o bankovní úvěr byla zamítnuta;</w:t>
            </w:r>
            <w:r>
              <w:t xml:space="preserve"> </w:t>
            </w:r>
            <w:r>
              <w:rPr>
                <w:b/>
                <w:i/>
              </w:rPr>
              <w:t>zdůrazňuje, že je třeba rozšířit iniciativy, jako je VentureEU, s cílem přilákat v dlouhodobém horizontu větší soukromé investice do začínajících a rychle se rozvíjejících podniků;</w:t>
            </w:r>
            <w:r>
              <w:t xml:space="preserve"> </w:t>
            </w:r>
            <w:r>
              <w:rPr>
                <w:b/>
                <w:i/>
              </w:rPr>
              <w:t>naléhavě vyzývá Komisi, aby vybízela členské státy k posílení pobídek pro investice v rané fázi ze strany tzv. „business angels“ a investorů;</w:t>
            </w:r>
            <w:r>
              <w:t xml:space="preserve"> </w:t>
            </w:r>
            <w:r>
              <w:rPr>
                <w:b/>
                <w:i/>
              </w:rPr>
              <w:t>vyzývá Komisi, aby prozkoumala příslušné osvědčené postupy v celé EU a poskytla doporučení na podporu společného rámce;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4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vybízí vládní agentury a soukromé investory, aby začínajícím a rychle se rozvíjejícím podnikům v různých fázích růstu poskytovali cílenější granty a nízkoúročené úvěry a zároveň zachovali konkurenční mechanismy přidělování kapitálu, přičemž je nutné zabezpečit finanční stabilitu a věnovat maximální pozornost tomu, aby nebyly vytěsňovány soukromé investice;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vyjadřuje politování nad tím, že mnoho evropských podniků nakonec využívá poskytovatele rizikového kapitálu se sídly v zemích mimo EU a usazuje se na trzích zemí mimo EU, aby své podniky rozšířili;</w:t>
            </w:r>
            <w:r>
              <w:t xml:space="preserve"> </w:t>
            </w:r>
            <w:r>
              <w:rPr>
                <w:b/>
                <w:i/>
              </w:rPr>
              <w:t>vyjadřuje znepokojení nad rostoucím počtem selhání malých a středních podniků v EU</w:t>
            </w:r>
            <w:r>
              <w:rPr>
                <w:b/>
                <w:i/>
                <w:vertAlign w:val="superscript"/>
              </w:rPr>
              <w:t>4</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vyjadřuje politování nad tím, že mnoho evropských podniků nakonec využívá poskytovatele rizikového kapitálu se sídly v zemích mimo EU a usazuje se na trzích zemí mimo EU, aby své podniky rozšířili;</w:t>
            </w:r>
            <w:r>
              <w:t xml:space="preserve"> </w:t>
            </w:r>
            <w:r>
              <w:rPr>
                <w:b/>
                <w:i/>
              </w:rPr>
              <w:t>vyjadřuje znepokojení nad rostoucím počtem selhání malých a středních podniků v EU</w:t>
            </w:r>
            <w:r>
              <w:rPr>
                <w:b/>
                <w:i/>
                <w:vertAlign w:val="superscript"/>
              </w:rPr>
              <w:t>4</w:t>
            </w:r>
            <w:r>
              <w:rPr>
                <w:b/>
                <w:i/>
              </w:rPr>
              <w:t>;</w:t>
            </w:r>
          </w:p>
        </w:tc>
        <w:tc>
          <w:tcPr>
            <w:tcW w:w="4876" w:type="dxa"/>
            <w:tcBorders>
              <w:top w:val="nil"/>
              <w:left w:val="nil"/>
              <w:bottom w:val="nil"/>
              <w:right w:val="nil"/>
            </w:tcBorders>
          </w:tcPr>
          <w:p>
            <w:pPr>
              <w:pStyle w:val="Normal6a"/>
            </w:pPr>
            <w:r>
              <w:rPr>
                <w:b/>
                <w:i/>
              </w:rPr>
              <w:t>vypouští se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b/>
                <w:i/>
                <w:vertAlign w:val="superscript"/>
              </w:rPr>
              <w:t>4</w:t>
            </w:r>
            <w:r>
              <w:t>;</w:t>
            </w:r>
          </w:p>
        </w:tc>
        <w:tc>
          <w:tcPr>
            <w:tcW w:w="4876" w:type="dxa"/>
            <w:tcBorders>
              <w:top w:val="nil"/>
              <w:left w:val="nil"/>
              <w:bottom w:val="nil"/>
              <w:right w:val="nil"/>
            </w:tcBorders>
          </w:tcPr>
          <w:p>
            <w:pPr>
              <w:pStyle w:val="Normal6a"/>
            </w:pPr>
            <w:r>
              <w:t>16.</w:t>
            </w:r>
            <w:r>
              <w:tab/>
            </w:r>
            <w:r>
              <w:t xml:space="preserve">vyjadřuje politování nad tím, že mnoho evropských podniků nakonec využívá poskytovatele rizikového kapitálu se sídly v zemích mimo EU a usazuje se na trzích zemí mimo EU, aby své podniky rozšířili; </w:t>
            </w:r>
            <w:r>
              <w:rPr>
                <w:b/>
                <w:i/>
              </w:rPr>
              <w:t>připomíná, že tomu tak je převážně kvůli nedostatku financování na našem trhu;</w:t>
            </w:r>
            <w:r>
              <w:t xml:space="preserve"> vyjadřuje znepokojení nad rostoucím počtem selhání malých a středních podniků v EU</w:t>
            </w:r>
            <w:r>
              <w:rPr>
                <w:b/>
                <w:i/>
              </w:rPr>
              <w:t>[1]</w:t>
            </w:r>
            <w:r>
              <w:t>;</w:t>
            </w:r>
            <w:r>
              <w:rPr>
                <w:b/>
                <w:i/>
              </w:rPr>
              <w:t> [1] Katsinis, A., Lagüera-González, J., Di Bella, L., Odenthal, L., Hell, M., Lozar, B., „Annual Report on European SMEs 2023/2024“ (Výroční zpráva o evropských malých a středních podnicích 2023/2024), Úřad pro publikace Evropské unie,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rPr>
                <w:b/>
                <w:i/>
              </w:rPr>
              <w:t>vyjadřuje politování nad tím</w:t>
            </w:r>
            <w:r>
              <w:t>,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c>
          <w:tcPr>
            <w:tcW w:w="4876" w:type="dxa"/>
            <w:tcBorders>
              <w:top w:val="nil"/>
              <w:left w:val="nil"/>
              <w:bottom w:val="nil"/>
              <w:right w:val="nil"/>
            </w:tcBorders>
          </w:tcPr>
          <w:p>
            <w:pPr>
              <w:pStyle w:val="Normal6a"/>
            </w:pPr>
            <w:r>
              <w:t>16.</w:t>
            </w:r>
            <w:r>
              <w:tab/>
            </w:r>
            <w:r>
              <w:rPr>
                <w:b/>
                <w:i/>
              </w:rPr>
              <w:t>konstatuje</w:t>
            </w:r>
            <w:r>
              <w:t>,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 xml:space="preserve">; </w:t>
            </w:r>
            <w:r>
              <w:rPr>
                <w:b/>
                <w:i/>
              </w:rPr>
              <w:t>zdůrazňuje, že prioritou musí být pochopení a řešení hlavních příčin přesouvání, a to podporou konkurenceschopnějšího a atraktivnějšího vnitřního trhu, poskytováním podmínek k růstu a rozšiřování v rámci Unie pro podnikatele se sídlem v EU a zajištěním regulačního prostředí, které není příliš zatěžující nebo omezující;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vyjadřuje politování nad tím, že mnoho evropských podniků nakonec </w:t>
            </w:r>
            <w:r>
              <w:rPr>
                <w:b/>
                <w:i/>
              </w:rPr>
              <w:t>využívá poskytovatele rizikového kapitálu se sídly v zemích mimo EU a usazuje se na trzích zemí mimo EU, aby své podniky rozšířili</w:t>
            </w:r>
            <w:r>
              <w:t xml:space="preserve">; vyjadřuje znepokojení nad </w:t>
            </w:r>
            <w:r>
              <w:rPr>
                <w:b/>
                <w:i/>
              </w:rPr>
              <w:t>rostoucím počtem</w:t>
            </w:r>
            <w:r>
              <w:t xml:space="preserve"> selhání malých a středních podniků v EU</w:t>
            </w:r>
            <w:r>
              <w:rPr>
                <w:b/>
                <w:i/>
                <w:vertAlign w:val="superscript"/>
              </w:rPr>
              <w:t>4</w:t>
            </w:r>
            <w:r>
              <w:t>;</w:t>
            </w:r>
          </w:p>
        </w:tc>
        <w:tc>
          <w:tcPr>
            <w:tcW w:w="4876" w:type="dxa"/>
            <w:tcBorders>
              <w:top w:val="nil"/>
              <w:left w:val="nil"/>
              <w:bottom w:val="nil"/>
              <w:right w:val="nil"/>
            </w:tcBorders>
          </w:tcPr>
          <w:p>
            <w:pPr>
              <w:pStyle w:val="Normal6a"/>
            </w:pPr>
            <w:r>
              <w:t>16.</w:t>
            </w:r>
            <w:r>
              <w:tab/>
            </w:r>
            <w:r>
              <w:t xml:space="preserve">vyjadřuje politování nad tím, že mnoho evropských podniků </w:t>
            </w:r>
            <w:r>
              <w:rPr>
                <w:b/>
                <w:i/>
              </w:rPr>
              <w:t>s vysokým potenciálem</w:t>
            </w:r>
            <w:r>
              <w:t xml:space="preserve"> nakonec </w:t>
            </w:r>
            <w:r>
              <w:rPr>
                <w:b/>
                <w:i/>
              </w:rPr>
              <w:t>přesouvá své podnikání do třetích zemí, nikoli kvůli nedostatku zájmu o expanzi v Evropě, ale kvůli nedostatku odpovídajícího konkurenčního, regulačního a finančního prostředí;</w:t>
            </w:r>
            <w:r>
              <w:t xml:space="preserve"> </w:t>
            </w:r>
            <w:r>
              <w:rPr>
                <w:b/>
                <w:i/>
              </w:rPr>
              <w:t>zdůrazňuje, že tato situace odráží strukturální selhání v evropském ekosystému růstu</w:t>
            </w:r>
            <w:r>
              <w:t xml:space="preserve">; vyjadřuje znepokojení nad </w:t>
            </w:r>
            <w:r>
              <w:rPr>
                <w:b/>
                <w:i/>
              </w:rPr>
              <w:t>nárůstem počtu</w:t>
            </w:r>
            <w:r>
              <w:t xml:space="preserve"> selhání malých a středních podniků v EU</w:t>
            </w:r>
            <w:r>
              <w:rPr>
                <w:vertAlign w:val="superscript"/>
              </w:rPr>
              <w:t>4</w:t>
            </w:r>
            <w:r>
              <w:t xml:space="preserve"> </w:t>
            </w:r>
            <w:r>
              <w:rPr>
                <w:b/>
                <w:i/>
              </w:rPr>
              <w:t>a považuje za prioritu řešit základní příčiny, jako je dlouhodobý nedostatek kapitálu, daňová zátěž při rozšiřování podniků a nepřiměřená administrativní zátěž</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 xml:space="preserve">; </w:t>
            </w:r>
            <w:r>
              <w:rPr>
                <w:b/>
                <w:i/>
              </w:rPr>
              <w:t>zdůrazňuje, že k financování inovativních začínajících a rychle se rozvíjejících podniků je v EU zapotřebí hlubší a rozvinutější ekosystém rizikového kapitálu;</w:t>
            </w:r>
            <w:r>
              <w:t xml:space="preserve"> </w:t>
            </w:r>
            <w:r>
              <w:rPr>
                <w:b/>
                <w:i/>
              </w:rPr>
              <w:t>konstatuje, že bankovní struktura EU není vhodná k financování inovativních začínajících a rychle se rozvíjejících podniků vzhledem k neochotě bankovních modelů podstupovat riziko;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 xml:space="preserve">; </w:t>
            </w:r>
            <w:r>
              <w:rPr>
                <w:b/>
                <w:i/>
              </w:rPr>
              <w:t>zdůrazňuje, že je třeba podporovat vytváření skutečně evropských fondů rizikového kapitálu, růstu a nákupu, a to i prostřednictvím nástrojů, které jsou k dispozici v rámci VFR a programů InvestEU, jakož i financování ze strany skupiny EIB a vnitrostátních podpůrných bank a institucí;</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c>
          <w:tcPr>
            <w:tcW w:w="4876" w:type="dxa"/>
            <w:tcBorders>
              <w:top w:val="nil"/>
              <w:left w:val="nil"/>
              <w:bottom w:val="nil"/>
              <w:right w:val="nil"/>
            </w:tcBorders>
          </w:tcPr>
          <w:p>
            <w:pPr>
              <w:pStyle w:val="Normal6a"/>
            </w:pPr>
            <w:r>
              <w:t>16.</w:t>
            </w:r>
            <w:r>
              <w:tab/>
            </w:r>
            <w:r>
              <w:t xml:space="preserve">vyjadřuje politování nad tím, že mnoho evropských podniků nakonec využívá poskytovatele rizikového kapitálu se sídly v zemích mimo EU a usazuje se na trzích zemí mimo EU, aby své podniky rozšířili; </w:t>
            </w:r>
            <w:r>
              <w:rPr>
                <w:b/>
                <w:i/>
              </w:rPr>
              <w:t>poukazuje na to, že to je také odrazem špatného regulačního prostředí pro malé a inovativní podniky;</w:t>
            </w:r>
            <w:r>
              <w:t xml:space="preserve"> vyjadřuje znepokojení nad rostoucím počtem selhání malých a středních podniků v EU</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vyjadřuje politování nad tím, že mnoho evropských podniků </w:t>
            </w:r>
            <w:r>
              <w:rPr>
                <w:b/>
                <w:i/>
              </w:rPr>
              <w:t>nakonec využívá poskytovatele rizikového</w:t>
            </w:r>
            <w:r>
              <w:t xml:space="preserve"> kapitálu </w:t>
            </w:r>
            <w:r>
              <w:rPr>
                <w:b/>
                <w:i/>
              </w:rPr>
              <w:t>se sídly v zemích mimo EU a usazuje se na trzích</w:t>
            </w:r>
            <w:r>
              <w:t xml:space="preserve"> zemí mimo EU, </w:t>
            </w:r>
            <w:r>
              <w:rPr>
                <w:b/>
                <w:i/>
              </w:rPr>
              <w:t>aby své podniky rozšířili</w:t>
            </w:r>
            <w:r>
              <w:t xml:space="preserve">; vyjadřuje </w:t>
            </w:r>
            <w:r>
              <w:rPr>
                <w:b/>
                <w:i/>
              </w:rPr>
              <w:t>znepokojení</w:t>
            </w:r>
            <w:r>
              <w:t xml:space="preserve"> nad rostoucím počtem </w:t>
            </w:r>
            <w:r>
              <w:rPr>
                <w:b/>
                <w:i/>
              </w:rPr>
              <w:t>selhání</w:t>
            </w:r>
            <w:r>
              <w:t xml:space="preserve"> malých a středních podniků </w:t>
            </w:r>
            <w:r>
              <w:rPr>
                <w:b/>
                <w:i/>
              </w:rPr>
              <w:t>v EU</w:t>
            </w:r>
            <w:r>
              <w:rPr>
                <w:b/>
                <w:i/>
                <w:vertAlign w:val="superscript"/>
              </w:rPr>
              <w:t>4</w:t>
            </w:r>
            <w:r>
              <w:t>;</w:t>
            </w:r>
          </w:p>
        </w:tc>
        <w:tc>
          <w:tcPr>
            <w:tcW w:w="4876" w:type="dxa"/>
            <w:tcBorders>
              <w:top w:val="nil"/>
              <w:left w:val="nil"/>
              <w:bottom w:val="nil"/>
              <w:right w:val="nil"/>
            </w:tcBorders>
          </w:tcPr>
          <w:p>
            <w:pPr>
              <w:pStyle w:val="Normal6a"/>
            </w:pPr>
            <w:r>
              <w:t>16.</w:t>
            </w:r>
            <w:r>
              <w:tab/>
            </w:r>
            <w:r>
              <w:t xml:space="preserve">vyjadřuje politování nad tím, že mnoho evropských podniků </w:t>
            </w:r>
            <w:r>
              <w:rPr>
                <w:b/>
                <w:i/>
              </w:rPr>
              <w:t>je závislých na rizikovém</w:t>
            </w:r>
            <w:r>
              <w:t xml:space="preserve"> kapitálu </w:t>
            </w:r>
            <w:r>
              <w:rPr>
                <w:b/>
                <w:i/>
              </w:rPr>
              <w:t>a růstovém financování od investorů ze</w:t>
            </w:r>
            <w:r>
              <w:t xml:space="preserve"> zemí mimo EU, </w:t>
            </w:r>
            <w:r>
              <w:rPr>
                <w:b/>
                <w:i/>
              </w:rPr>
              <w:t>což je často vede k tomu, že mají primární kotaci, sídlo nebo obchodní přítomnost mimo EU</w:t>
            </w:r>
            <w:r>
              <w:t xml:space="preserve">; vyjadřuje </w:t>
            </w:r>
            <w:r>
              <w:rPr>
                <w:b/>
                <w:i/>
              </w:rPr>
              <w:t>politování nad tím, že se stále nedostává finančních prostředků na rozšiřování inovativních podniků, a</w:t>
            </w:r>
            <w:r>
              <w:t xml:space="preserve"> nad rostoucím počtem </w:t>
            </w:r>
            <w:r>
              <w:rPr>
                <w:b/>
                <w:i/>
              </w:rPr>
              <w:t>uzavírání</w:t>
            </w:r>
            <w:r>
              <w:t xml:space="preserve"> malých a středních podniků;</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vyjadřuje politování nad tím, že mnoho evropských podniků nakonec využívá poskytovatele rizikového kapitálu se sídly v zemích mimo EU a usazuje se na trzích zemí mimo EU, aby své podniky rozšířili; </w:t>
            </w:r>
            <w:r>
              <w:rPr>
                <w:b/>
                <w:i/>
              </w:rPr>
              <w:t>vyjadřuje znepokojení nad rostoucím počtem selhání malých a středních podniků v EU</w:t>
            </w:r>
            <w:r>
              <w:rPr>
                <w:b/>
                <w:i/>
                <w:vertAlign w:val="superscript"/>
              </w:rPr>
              <w:t>4</w:t>
            </w:r>
            <w:r>
              <w:rPr>
                <w:b/>
                <w:i/>
              </w:rPr>
              <w:t>;</w:t>
            </w:r>
          </w:p>
        </w:tc>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4</w:t>
            </w:r>
            <w:r>
              <w:t xml:space="preserve"> </w:t>
            </w:r>
            <w:r>
              <w:rPr>
                <w:b/>
                <w:i/>
              </w:rP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Billy Kelleher, 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vyjadřuje politování nad tím, že mnoho evropských podniků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c>
          <w:tcPr>
            <w:tcW w:w="4876" w:type="dxa"/>
            <w:tcBorders>
              <w:top w:val="nil"/>
              <w:left w:val="nil"/>
              <w:bottom w:val="nil"/>
              <w:right w:val="nil"/>
            </w:tcBorders>
          </w:tcPr>
          <w:p>
            <w:pPr>
              <w:pStyle w:val="Normal6a"/>
            </w:pPr>
            <w:r>
              <w:t>16.</w:t>
            </w:r>
            <w:r>
              <w:tab/>
            </w:r>
            <w:r>
              <w:t xml:space="preserve">vyjadřuje politování nad tím, že mnoho evropských podniků </w:t>
            </w:r>
            <w:r>
              <w:rPr>
                <w:b/>
                <w:i/>
              </w:rPr>
              <w:t>kvůli nedostatku financování na rozšiřování</w:t>
            </w:r>
            <w:r>
              <w:t xml:space="preserve"> nakonec využívá poskytovatele rizikového kapitálu se sídly v zemích mimo EU a usazuje se na trzích zemí mimo EU, aby své podniky rozšířili; vyjadřuje znepokojení nad rostoucím počtem selhání malých a středních podniků v EU</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c>
          <w:tcPr>
            <w:tcW w:w="4876" w:type="dxa"/>
            <w:tcBorders>
              <w:top w:val="nil"/>
              <w:left w:val="nil"/>
              <w:bottom w:val="nil"/>
              <w:right w:val="nil"/>
            </w:tcBorders>
          </w:tcPr>
          <w:p>
            <w:pPr>
              <w:pStyle w:val="Normal6a"/>
            </w:pPr>
            <w:r>
              <w:rPr>
                <w:vertAlign w:val="superscript"/>
              </w:rPr>
              <w:t>4</w:t>
            </w:r>
            <w:r>
              <w:t xml:space="preserve"> </w:t>
            </w:r>
            <w:r>
              <w:t>Katsinis, A., Lagüera-González, J., Di Bella, L., Odenthal, L., Hell, M., Lozar, B., „Annual Report on European SMEs 2023/2024“ (Výroční zpráva o evropských malých a středních podnicích 2023/2024), Úřad pro publikace Evropské unie,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připomíná, že Evropská rada pro inovace (ERI) je jedinečný evropský program financování, jehož cílem je poskytnout startupům z oblasti deep tech jednotné místo pro otázky financování, aby mohly rozvinout své inovace od prvotního nápadu až po produkt, který lze uvést na trh, a také společnost rozšiřovat;</w:t>
            </w:r>
            <w:r>
              <w:t xml:space="preserve"> </w:t>
            </w:r>
            <w:r>
              <w:rPr>
                <w:b/>
                <w:i/>
              </w:rPr>
              <w:t>se zájmem bere na vědomí úsilí o doplnění Programu InvestEU a iniciativy „European Tech Champions“ s cílem překlenout mezeru ve financování rychle se rozvíjejících společností v oblasti technologií tím, že se přímé kapitálové investice do strategických odvětví uskuteční nad rámec stávající logiky intervence v rámci nástroje ERI Accelerator;</w:t>
            </w:r>
            <w:r>
              <w:t xml:space="preserve"> </w:t>
            </w:r>
            <w:r>
              <w:rPr>
                <w:b/>
                <w:i/>
              </w:rPr>
              <w:t>připomíná nutnost vysoké transparentnosti, integrity a předcházení rizikům střetu zájmů, které jsou nedílnou součástí odpovídající logiky intervence;</w:t>
            </w:r>
            <w:r>
              <w:t xml:space="preserve"> </w:t>
            </w:r>
            <w:r>
              <w:rPr>
                <w:b/>
                <w:i/>
              </w:rPr>
              <w:t>poukazuje na obavy, že investování veřejných finančních prostředků daňových poplatníků za potenciálně nižších standardů náležité péče nebo při toleranci vyšších rizik vytěsňuje soukromé investice, což může ohrozit dlouhodobou perspektivu začínajících a rychle se rozvíjejících podniků v Unii;</w:t>
            </w:r>
            <w:r>
              <w:t xml:space="preserve"> </w:t>
            </w:r>
            <w:r>
              <w:rPr>
                <w:b/>
                <w:i/>
              </w:rPr>
              <w:t>vyzývá proto Komisi, aby vytvořila správu a koncepci Fondu Scaleup Europe, který zajistí vysokou odpovědnost vůči veřejnosti a soulad s přísnými etickými normami a evropským obecným zájmem a současně přiláká soukromé investice;</w:t>
            </w:r>
            <w:r>
              <w:t xml:space="preserve"> </w:t>
            </w:r>
            <w:r>
              <w:rPr>
                <w:b/>
                <w:i/>
              </w:rPr>
              <w:t>domnívá se, že z dlouhodobého hlediska by byl rozvoj řady nástrojů určených k provádění přímých kapitálových investic do strategických odvětví na úrovni Unie klíčový pro technologickou suverenitu a strategickou autonomii Evropy a bude vyžadovat posun v mentalitě a vývoj souboru dovedností v rámci orgánů EU, aby bylo možné postupně přijmout myšlení a postoj benevolentních a strategických investorů;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upozorňuje na problémy, s nimiž se potýkají evropské začínající a rychle se rozvíjející podniky, pokud jde o přístup k financování, včetně obtíží s rychlým rozšiřováním podniků v Evropě;</w:t>
            </w:r>
            <w:r>
              <w:t xml:space="preserve"> </w:t>
            </w:r>
            <w:r>
              <w:rPr>
                <w:b/>
                <w:i/>
              </w:rPr>
              <w:t>bere na vědomí potřeby investičního ekosystému, který řeší jejich potřeby a zároveň chrání finanční stabilitu;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16a.</w:t>
            </w:r>
            <w:r>
              <w:tab/>
            </w:r>
            <w:r>
              <w:rPr>
                <w:b/>
                <w:i/>
              </w:rPr>
              <w:t>zdůrazňuje, že evropský trh pro přímé sekundární transakce, který by umožňoval obchodování s akciemi začínajících podniků v pozdní fázi a před primární veřejnou nabídkou akcií, by posílil finanční ekosystém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16b.</w:t>
            </w:r>
            <w:r>
              <w:tab/>
            </w:r>
            <w:r>
              <w:rPr>
                <w:b/>
                <w:i/>
              </w:rPr>
              <w:t>upozorňuje na významný dopad, který mají na peněžní tok malých, středních, začínajících a rychle se rozvíjejících podniků opožděné platby;</w:t>
            </w:r>
            <w:r>
              <w:t xml:space="preserve"> </w:t>
            </w:r>
            <w:r>
              <w:rPr>
                <w:b/>
                <w:i/>
              </w:rPr>
              <w:t>poznamenává, že větší transparentnosti a rychlejšího proplacení faktur lze dosáhnout využitím digitálních řešení;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16c.</w:t>
            </w:r>
            <w:r>
              <w:tab/>
            </w:r>
            <w:r>
              <w:rPr>
                <w:b/>
                <w:i/>
              </w:rPr>
              <w:t>zdůrazňuje, že v tržních ekonomikách probíhá primární mechanismus financování kapitálových potřeb podniků, včetně potřeb začínajících a rychle se rozvíjejících podniků, prostřednictvím soukromých dluhových a kapitálových trhů;</w:t>
            </w:r>
            <w:r>
              <w:t xml:space="preserve"> </w:t>
            </w:r>
            <w:r>
              <w:rPr>
                <w:b/>
                <w:i/>
              </w:rPr>
              <w:t>naléhavě vyzývá k dokončení unie kapitálových trhů s cílem mobilizovat soukromý kapitál a zlepšit přeshraniční pohyb tohoto kapitálu v rámci Unie;</w:t>
            </w:r>
            <w:r>
              <w:t xml:space="preserve"> </w:t>
            </w:r>
            <w:r>
              <w:rPr>
                <w:b/>
                <w:i/>
              </w:rPr>
              <w:t>vyzývá ke komplexnímu přístupu k řešení regionálních rozdílů a překážek, které brání přístupu k financování v rámci evropského ekosystému začínajících a rozvíjejících se podniků, a to s ohledem na různorodou finanční situaci v jednotlivých členských státech a regionech;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16d.</w:t>
            </w:r>
            <w:r>
              <w:tab/>
            </w:r>
            <w:r>
              <w:rPr>
                <w:b/>
                <w:i/>
              </w:rPr>
              <w:t>vyzývá Komisi, aby podporovala a usnadňovala účast inovativních začínajících a rychle se rozvíjejících podniků v programech financování EU a aby zajistila lepší přístup k programům financování a nabídkovým řízením EU, jakož i lepší postupy podávání žádostí v rámci těchto programů a řízení;</w:t>
            </w:r>
            <w:r>
              <w:t xml:space="preserve"> </w:t>
            </w:r>
            <w:r>
              <w:rPr>
                <w:b/>
                <w:i/>
              </w:rPr>
              <w:t>bere na vědomí současné finanční prostředí, v němž začínající podniky čelí obtížím při přístupu k cílenému financování prostřednictvím grantů, záruk a úvěrů;</w:t>
            </w:r>
            <w:r>
              <w:t xml:space="preserve"> </w:t>
            </w:r>
            <w:r>
              <w:rPr>
                <w:b/>
                <w:i/>
              </w:rPr>
              <w:t>zdůrazňuje, že je nezbytné přizpůsobit stávající strukturu financování EU, tak aby více vycházela vstříc potřebám začínajících podniků, s cílem zajistit, že příslušná finanční podpora nebude spojena s nepřiměřenou administrativní zátěží;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16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16e.</w:t>
            </w:r>
            <w:r>
              <w:tab/>
            </w:r>
            <w:r>
              <w:rPr>
                <w:b/>
                <w:i/>
              </w:rPr>
              <w:t>vybízí členské státy a Komisi, aby upřednostňovaly investice do digitální infrastruktury v městských a venkovských oblastech a zaujaly progresivní přístup, který podpoří růst a udržitelnost začínajících a rychle se rozvíjejících podniků a posílí vedoucí postavení Evropy v digitální oblasti;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chápe, že klíčem ke snížení rozdílů v tempu rozvoje podniků je mobilizace evropských institucionálních investorů, zejména pojišťoven a penzijních fondů;</w:t>
            </w:r>
            <w:r>
              <w:t xml:space="preserve"> </w:t>
            </w:r>
            <w:r>
              <w:rPr>
                <w:b/>
                <w:i/>
              </w:rPr>
              <w:t>konstatuje, že je třeba zvýšit podíl fondů rizikového kapitálu v Evropě, aby bylo možné poskytnout více finančních prostředků rozvíjejícím se podnikům;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chápe, že klíčem ke snížení rozdílů v tempu rozvoje podniků je mobilizace evropských institucionálních investorů, zejména pojišťoven a penzijních fondů;</w:t>
            </w:r>
            <w:r>
              <w:t xml:space="preserve"> </w:t>
            </w:r>
            <w:r>
              <w:rPr>
                <w:b/>
                <w:i/>
              </w:rPr>
              <w:t>konstatuje, že je třeba zvýšit podíl fondů rizikového kapitálu v Evropě, aby bylo možné poskytnout více finančních prostředků rozvíjejícím se podnikům;</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chápe, že </w:t>
            </w:r>
            <w:r>
              <w:rPr>
                <w:b/>
                <w:i/>
              </w:rPr>
              <w:t>klíčem ke snížení rozdílů v tempu rozvoje podniků je</w:t>
            </w:r>
            <w:r>
              <w:t xml:space="preserve"> mobilizace evropských institucionálních investorů, zejména pojišťoven a penzijních fondů; konstatuje, že je třeba zvýšit podíl fondů rizikového kapitálu v Evropě, aby bylo možné poskytnout více finančních prostředků rozvíjejícím se podnikům;</w:t>
            </w:r>
          </w:p>
        </w:tc>
        <w:tc>
          <w:tcPr>
            <w:tcW w:w="4876" w:type="dxa"/>
            <w:tcBorders>
              <w:top w:val="nil"/>
              <w:left w:val="nil"/>
              <w:bottom w:val="nil"/>
              <w:right w:val="nil"/>
            </w:tcBorders>
          </w:tcPr>
          <w:p>
            <w:pPr>
              <w:pStyle w:val="Normal6a"/>
            </w:pPr>
            <w:r>
              <w:t>17.</w:t>
            </w:r>
            <w:r>
              <w:tab/>
            </w:r>
            <w:r>
              <w:t>chápe, že mobilizace evropských institucionálních investorů, zejména pojišťoven a penzijních fondů</w:t>
            </w:r>
            <w:r>
              <w:rPr>
                <w:b/>
                <w:i/>
              </w:rPr>
              <w:t>, může potenciálně snížit rozdíly v tempu rozvoje podniků;</w:t>
            </w:r>
            <w:r>
              <w:t xml:space="preserve"> </w:t>
            </w:r>
            <w:r>
              <w:rPr>
                <w:b/>
                <w:i/>
              </w:rPr>
              <w:t>zdůrazňuje, že institucionální investoři, včetně penzijních fondů, by měli mít možnost investovat v nejlepším zájmu svých důchodců a zúčastněných stran a že nutit k investicím do méně ziskových evropských projektů a podniků je neudržitelné</w:t>
            </w:r>
            <w:r>
              <w:t xml:space="preserve">; konstatuje, že je třeba zvýšit podíl fondů rizikového kapitálu v Evropě, aby bylo možné poskytnout více finančních prostředků rozvíjejícím se podnikům; </w:t>
            </w:r>
            <w:r>
              <w:rPr>
                <w:b/>
                <w:i/>
              </w:rPr>
              <w:t>vyzývá Komisi, aby vybízela členské státy s nedostatečně rozvinutými důchodovými systémy k rozvoji doplňkových důchodových odvětví (pilíř 2), což by mohlo pomoci vybudovat trhy rizikového kapitálu;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Georgios Aftias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chápe, že klíčem ke snížení rozdílů v tempu rozvoje podniků je mobilizace evropských institucionálních investorů, zejména pojišťoven a penzijních fondů; konstatuje, že je třeba zvýšit podíl fondů rizikového kapitálu v Evropě, aby bylo možné poskytnout více finančních prostředků rozvíjejícím se podnikům;</w:t>
            </w:r>
          </w:p>
        </w:tc>
        <w:tc>
          <w:tcPr>
            <w:tcW w:w="4876" w:type="dxa"/>
            <w:tcBorders>
              <w:top w:val="nil"/>
              <w:left w:val="nil"/>
              <w:bottom w:val="nil"/>
              <w:right w:val="nil"/>
            </w:tcBorders>
          </w:tcPr>
          <w:p>
            <w:pPr>
              <w:pStyle w:val="Normal6a"/>
            </w:pPr>
            <w:r>
              <w:t>17.</w:t>
            </w:r>
            <w:r>
              <w:tab/>
            </w:r>
            <w:r>
              <w:t xml:space="preserve">chápe, že klíčem ke snížení rozdílů v tempu rozvoje podniků je mobilizace evropských institucionálních investorů, zejména pojišťoven a penzijních fondů; konstatuje, že je třeba zvýšit podíl fondů rizikového kapitálu v Evropě, aby bylo možné poskytnout více finančních prostředků rozvíjejícím se podnikům; </w:t>
            </w:r>
            <w:r>
              <w:rPr>
                <w:b/>
                <w:i/>
              </w:rPr>
              <w:t>za tímto účelem naléhavě vyzývá Komisi a členské státy, aby rozšířily operační úlohu národních rozvojových bank a umožnily jim jednat jako přímí věřitelé mikropodniků a malých podniků, a nikoli pouze jako finanční zprostředkovatelé, s cílem řešit přetrvávající nedostatek investic a omezení růstu v místních ekonomikách;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chápe, že klíčem ke snížení rozdílů v tempu rozvoje podniků je </w:t>
            </w:r>
            <w:r>
              <w:rPr>
                <w:b/>
                <w:i/>
              </w:rPr>
              <w:t>mobilizace</w:t>
            </w:r>
            <w:r>
              <w:t xml:space="preserve"> evropských institucionálních investorů, zejména pojišťoven a penzijních fondů</w:t>
            </w:r>
            <w:r>
              <w:rPr>
                <w:b/>
                <w:i/>
              </w:rPr>
              <w:t>;</w:t>
            </w:r>
            <w:r>
              <w:t xml:space="preserve"> </w:t>
            </w:r>
            <w:r>
              <w:rPr>
                <w:b/>
                <w:i/>
              </w:rPr>
              <w:t>konstatuje</w:t>
            </w:r>
            <w:r>
              <w:t xml:space="preserve">, že je třeba </w:t>
            </w:r>
            <w:r>
              <w:rPr>
                <w:b/>
                <w:i/>
              </w:rPr>
              <w:t>zvýšit podíl fondů</w:t>
            </w:r>
            <w:r>
              <w:t xml:space="preserve"> rizikového kapitálu </w:t>
            </w:r>
            <w:r>
              <w:rPr>
                <w:b/>
                <w:i/>
              </w:rPr>
              <w:t>v Evropě, aby bylo možné poskytnout více finančních prostředků rozvíjejícím se podnikům</w:t>
            </w:r>
            <w:r>
              <w:t>;</w:t>
            </w:r>
          </w:p>
        </w:tc>
        <w:tc>
          <w:tcPr>
            <w:tcW w:w="4876" w:type="dxa"/>
            <w:tcBorders>
              <w:top w:val="nil"/>
              <w:left w:val="nil"/>
              <w:bottom w:val="nil"/>
              <w:right w:val="nil"/>
            </w:tcBorders>
          </w:tcPr>
          <w:p>
            <w:pPr>
              <w:pStyle w:val="Normal6a"/>
            </w:pPr>
            <w:r>
              <w:t>17.</w:t>
            </w:r>
            <w:r>
              <w:tab/>
            </w:r>
            <w:r>
              <w:t xml:space="preserve">chápe, že klíčem ke snížení rozdílů v tempu rozvoje podniků je </w:t>
            </w:r>
            <w:r>
              <w:rPr>
                <w:b/>
                <w:i/>
              </w:rPr>
              <w:t>umožnění a motivování</w:t>
            </w:r>
            <w:r>
              <w:t xml:space="preserve"> evropských institucionálních investorů, zejména pojišťoven a </w:t>
            </w:r>
            <w:r>
              <w:rPr>
                <w:b/>
                <w:i/>
              </w:rPr>
              <w:t>zaměstnaneckých</w:t>
            </w:r>
            <w:r>
              <w:t xml:space="preserve"> penzijních fondů</w:t>
            </w:r>
            <w:r>
              <w:rPr>
                <w:b/>
                <w:i/>
              </w:rPr>
              <w:t>, k investicím do akcií;</w:t>
            </w:r>
            <w:r>
              <w:t xml:space="preserve"> </w:t>
            </w:r>
            <w:r>
              <w:rPr>
                <w:b/>
                <w:i/>
              </w:rPr>
              <w:t>uznává výhody vyšší alokace do akcií a investičních fondů ze strany pojišťoven a zaměstnaneckých penzijních fondů, pokud jsou finančně zdravé;</w:t>
            </w:r>
            <w:r>
              <w:t xml:space="preserve"> </w:t>
            </w:r>
            <w:r>
              <w:rPr>
                <w:b/>
                <w:i/>
              </w:rPr>
              <w:t>zdůrazňuje</w:t>
            </w:r>
            <w:r>
              <w:t xml:space="preserve">, že je třeba </w:t>
            </w:r>
            <w:r>
              <w:rPr>
                <w:b/>
                <w:i/>
              </w:rPr>
              <w:t>podporovat příznivý rámec pro financování</w:t>
            </w:r>
            <w:r>
              <w:t xml:space="preserve"> rizikového kapitálu </w:t>
            </w:r>
            <w:r>
              <w:rPr>
                <w:b/>
                <w:i/>
              </w:rPr>
              <w:t>a bezpečné přímé zahraniční investice v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chápe, že klíčem ke snížení rozdílů v tempu rozvoje podniků je mobilizace evropských institucionálních investorů, zejména </w:t>
            </w:r>
            <w:r>
              <w:rPr>
                <w:b/>
                <w:i/>
              </w:rPr>
              <w:t>pojišťoven a penzijních fondů</w:t>
            </w:r>
            <w:r>
              <w:t>; konstatuje, že je třeba zvýšit podíl fondů rizikového kapitálu v Evropě, aby bylo možné poskytnout více finančních prostředků rozvíjejícím se podnikům;</w:t>
            </w:r>
          </w:p>
        </w:tc>
        <w:tc>
          <w:tcPr>
            <w:tcW w:w="4876" w:type="dxa"/>
            <w:tcBorders>
              <w:top w:val="nil"/>
              <w:left w:val="nil"/>
              <w:bottom w:val="nil"/>
              <w:right w:val="nil"/>
            </w:tcBorders>
          </w:tcPr>
          <w:p>
            <w:pPr>
              <w:pStyle w:val="Normal6a"/>
            </w:pPr>
            <w:r>
              <w:t>17.</w:t>
            </w:r>
            <w:r>
              <w:tab/>
            </w:r>
            <w:r>
              <w:t xml:space="preserve">chápe, že klíčem ke snížení rozdílů v tempu rozvoje podniků je mobilizace evropských institucionálních investorů, </w:t>
            </w:r>
            <w:r>
              <w:rPr>
                <w:b/>
                <w:i/>
              </w:rPr>
              <w:t>kteří mohou sloužit jako zprostředkovatelé mezi retailovými zákazníky a subjekty, do nichž investuje,</w:t>
            </w:r>
            <w:r>
              <w:t xml:space="preserve"> zejména </w:t>
            </w:r>
            <w:r>
              <w:rPr>
                <w:b/>
                <w:i/>
              </w:rPr>
              <w:t>pojišťovnami a penzijními fondy</w:t>
            </w:r>
            <w:r>
              <w:t xml:space="preserve">; konstatuje, že je třeba zvýšit podíl fondů rizikového kapitálu v Evropě, aby bylo možné poskytnout více finančních prostředků rozvíjejícím se podnikům; </w:t>
            </w:r>
            <w:r>
              <w:rPr>
                <w:b/>
                <w:i/>
              </w:rPr>
              <w:t>vyzývá Evropskou komisi, aby vytvořila regulační prostředí, které bude podporovat kapitálové investice institucionálních investorů;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Billy Kelleher, 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chápe, že klíčem ke snížení rozdílů v tempu rozvoje podniků je mobilizace evropských institucionálních investorů, zejména pojišťoven a penzijních fondů; </w:t>
            </w:r>
            <w:r>
              <w:rPr>
                <w:b/>
                <w:i/>
              </w:rPr>
              <w:t>konstatuje, že je třeba zvýšit podíl</w:t>
            </w:r>
            <w:r>
              <w:t xml:space="preserve"> fondů rizikového kapitálu </w:t>
            </w:r>
            <w:r>
              <w:rPr>
                <w:b/>
                <w:i/>
              </w:rPr>
              <w:t>v Evropě, aby bylo možné poskytnout více</w:t>
            </w:r>
            <w:r>
              <w:t xml:space="preserve"> finančních prostředků rozvíjejícím </w:t>
            </w:r>
            <w:r>
              <w:rPr>
                <w:b/>
                <w:i/>
              </w:rPr>
              <w:t>se</w:t>
            </w:r>
            <w:r>
              <w:t xml:space="preserve"> podnikům;</w:t>
            </w:r>
          </w:p>
        </w:tc>
        <w:tc>
          <w:tcPr>
            <w:tcW w:w="4876" w:type="dxa"/>
            <w:tcBorders>
              <w:top w:val="nil"/>
              <w:left w:val="nil"/>
              <w:bottom w:val="nil"/>
              <w:right w:val="nil"/>
            </w:tcBorders>
          </w:tcPr>
          <w:p>
            <w:pPr>
              <w:pStyle w:val="Normal6a"/>
            </w:pPr>
            <w:r>
              <w:t>17.</w:t>
            </w:r>
            <w:r>
              <w:tab/>
            </w:r>
            <w:r>
              <w:t>chápe, že klíčem ke snížení rozdílů v tempu rozvoje podniků je mobilizace evropských institucionálních investorů, zejména pojišťoven</w:t>
            </w:r>
            <w:r>
              <w:rPr>
                <w:b/>
                <w:i/>
              </w:rPr>
              <w:t>, bank</w:t>
            </w:r>
            <w:r>
              <w:t xml:space="preserve"> a penzijních fondů; </w:t>
            </w:r>
            <w:r>
              <w:rPr>
                <w:b/>
                <w:i/>
              </w:rPr>
              <w:t>bere na vědomí potenciál</w:t>
            </w:r>
            <w:r>
              <w:t xml:space="preserve"> fondů rizikového kapitálu</w:t>
            </w:r>
            <w:r>
              <w:rPr>
                <w:b/>
                <w:i/>
              </w:rPr>
              <w:t>, růstu a soukromého kapitálu, pokud jde o poskytování většího objemu</w:t>
            </w:r>
            <w:r>
              <w:t xml:space="preserve"> finančních prostředků </w:t>
            </w:r>
            <w:r>
              <w:rPr>
                <w:b/>
                <w:i/>
              </w:rPr>
              <w:t>malým a středním podnikům a rychle se</w:t>
            </w:r>
            <w:r>
              <w:t xml:space="preserve"> rozvíjejícím podnikům</w:t>
            </w:r>
            <w:r>
              <w:rPr>
                <w:b/>
                <w:i/>
              </w:rPr>
              <w:t>, a naléhavě vyzývá Komisi, aby v rámci své unie úspor a investic zvážila opatření ke zlepšení investičního prostředí pro přeshraniční fondy rizikového kapitálu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zdůrazňuje, že státní podpora nejen zajišťuje hladké fungování vnitřního trhu, ale může být také strategickým nástrojem na podporu udržitelného růstu evropské výrobní struktury;</w:t>
            </w:r>
            <w:r>
              <w:t xml:space="preserve"> </w:t>
            </w:r>
            <w:r>
              <w:rPr>
                <w:b/>
                <w:i/>
              </w:rPr>
              <w:t>vyzývá proto Komisi, aby pečlivě prozkoumala potenciál státní podpory při vytváření příznivých podmínek pro rozvoj a odolnost malých a středních podniků a rozvíjejících se podniků, zejména v inovativních a strategických odvětvích, jako je energetika a technologie, a také ve znevýhodněných a méně rozvinutých regionech Unie;</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vyzývá Komisi, aby podporovala rozvoj specializovaných trhů pro růst malých a středních podniků a rozvíjejících se podniků s cílem zlepšit přístup inovativních společností na veřejné kapitálové trhy a usnadnit odchod investorům;</w:t>
            </w:r>
            <w:r>
              <w:t xml:space="preserve"> </w:t>
            </w:r>
            <w:r>
              <w:rPr>
                <w:b/>
                <w:i/>
              </w:rPr>
              <w:t>podporuje vytvoření celounijního rámce pro malé a střední podniky a rychle se rozvíjející burzy cenných papírů se zjednodušenými požadavky na kotování a zvýšenou ochranou investorů;</w:t>
            </w:r>
            <w:r>
              <w:t xml:space="preserve"> </w:t>
            </w:r>
            <w:r>
              <w:rPr>
                <w:b/>
                <w:i/>
              </w:rPr>
              <w:t>naléhavě vyzývá Evropskou komisi, aby vytvořila fond EU pro celkový akciový trh s cílem směrovat institucionální investice na kapitálové trhy, včetně začínajících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žádá Komisi a Evropský orgán pro cenné papíry a trhy, aby zajistily, že akty v přenesené pravomoci a prováděcí akty balíčku týkajícího se kotování budou co nejjednodušší a že bude minimalizována zátěž;</w:t>
            </w:r>
            <w:r>
              <w:t xml:space="preserve"> </w:t>
            </w:r>
            <w:r>
              <w:rPr>
                <w:b/>
                <w:i/>
              </w:rPr>
              <w:t>připomíná, že balíček týkající se kotování byl přijat v dubnu 2024 s cílem usnadnit kotování menších společností;</w:t>
            </w:r>
            <w:r>
              <w:t xml:space="preserve"> </w:t>
            </w:r>
            <w:r>
              <w:rPr>
                <w:b/>
                <w:i/>
              </w:rPr>
              <w:t>je znepokojen omezeními na ochranu nových akcionářů, která mohou být přijata na základě uvážení členských států a která mohou vytvářet překážky pro integraci kapitálových trhů;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zdůrazňuje, že kapitál je hlavním finančním nástrojem pro inovativní a rychle rostoucí společnosti, zejména v raných fázích a fázích rozšiřování;</w:t>
            </w:r>
            <w:r>
              <w:t xml:space="preserve"> </w:t>
            </w:r>
            <w:r>
              <w:rPr>
                <w:b/>
                <w:i/>
              </w:rPr>
              <w:t>připomíná, že omezená dostupnost rizikového kapitálu v mnoha členských státech a fragmentace evropských kapitálových trhů omezují konkurenceschopnost podnikatelské struktury EU;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17a.</w:t>
            </w:r>
            <w:r>
              <w:tab/>
            </w:r>
            <w:r>
              <w:rPr>
                <w:b/>
                <w:i/>
              </w:rPr>
              <w:t>zdůrazňuje, že primární veřejné nabídky akcií jsou pro podnikatele důležitou výstupní strategií;</w:t>
            </w:r>
            <w:r>
              <w:t xml:space="preserve"> </w:t>
            </w:r>
            <w:r>
              <w:rPr>
                <w:b/>
                <w:i/>
              </w:rPr>
              <w:t>domnívá se, že dynamický trh s primárními veřejnými nabídkami akcií je základním kamenem dobře fungujícího ekosystému financování, který je přínosný pro mladé a inovativní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připomíná, že přístup na kapitálové trhy, včetně dluhových i akciových trhů, s sebou pro malé a střední podniky nese značné náklady;</w:t>
            </w:r>
            <w:r>
              <w:t xml:space="preserve"> </w:t>
            </w:r>
            <w:r>
              <w:rPr>
                <w:b/>
                <w:i/>
              </w:rPr>
              <w:t>zdůrazňuje, že kotovací rámec EU musí být flexibilní a přiměřený;</w:t>
            </w:r>
            <w:r>
              <w:t xml:space="preserve"> </w:t>
            </w:r>
            <w:r>
              <w:rPr>
                <w:b/>
                <w:i/>
              </w:rPr>
              <w:t>vítá přijetí nařízení o kotování a vyzývá k jeho urychlenému provedení;</w:t>
            </w:r>
            <w:r>
              <w:t xml:space="preserve"> </w:t>
            </w:r>
            <w:r>
              <w:rPr>
                <w:b/>
                <w:i/>
              </w:rPr>
              <w:t>zdůrazňuje, že společnosti se rozhodnou pro kotování pouze v případě, že zveřejňování informací, odpovědnost a administrativní zátěž jsou přiměřené a zvládnutelné;</w:t>
            </w:r>
            <w:r>
              <w:t xml:space="preserve"> </w:t>
            </w:r>
            <w:r>
              <w:rPr>
                <w:b/>
                <w:i/>
              </w:rPr>
              <w:t>poukazuje na to, že to platí i pro následné požadavky na kotované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17b.</w:t>
            </w:r>
            <w:r>
              <w:tab/>
            </w:r>
            <w:r>
              <w:rPr>
                <w:b/>
                <w:i/>
              </w:rPr>
              <w:t>zdůrazňuje, že pro přilákání většího množství rizikového kapitálu a podporu investic do inovativních společností je třeba zlepšit mechanismy pro odchod investorů (odchod na burzu, přeshraniční akvizice atd.) prostřednictvím harmonizovanějšího a přístupnějšího evropského rámce pro kotování a fúze;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17c.</w:t>
            </w:r>
            <w:r>
              <w:tab/>
            </w:r>
            <w:r>
              <w:rPr>
                <w:b/>
                <w:i/>
              </w:rPr>
              <w:t>konstatuje, že přepracované znění směrnice o trzích finančních nástrojů (MiFID II) stanoví zvláštní kategorii trhů pro růst malých a středních podniků, které mají sloužit specifickým potřebám menších společností;</w:t>
            </w:r>
            <w:r>
              <w:t xml:space="preserve"> </w:t>
            </w:r>
            <w:r>
              <w:rPr>
                <w:b/>
                <w:i/>
              </w:rPr>
              <w:t>vyzývá Evropskou komisi, aby tento nástroj dále rozvíjela tím, že zajistí flexibilnější regulační režim, který bude odpovídat potřebám společností s malou a střední tržní kapitalizací;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17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17d.</w:t>
            </w:r>
            <w:r>
              <w:tab/>
            </w:r>
            <w:r>
              <w:rPr>
                <w:b/>
                <w:i/>
              </w:rPr>
              <w:t>vyzývá k rychlému a ambicióznímu přezkumu nařízení o evropských fondech rizikového kapitálu (EuVECA);</w:t>
            </w:r>
            <w:r>
              <w:t xml:space="preserve"> </w:t>
            </w:r>
            <w:r>
              <w:rPr>
                <w:b/>
                <w:i/>
              </w:rPr>
              <w:t>zdůrazňuje, že tento přezkum by měl zahrnovat rozšíření rozsahu aktiv a strategií, do nichž lze investovat;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vybízí Komisi, aby posílila platformy pro společné investice jako prostředek k přilákání soukromých investic;</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vybízí Komisi, aby posílila platformy pro společné investice jako prostředek k přilákání soukromých investic;</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Pascal Canfin, Stéphanie Yon-Courtin, Billy Kelleher,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vybízí Komisi, aby posílila platformy pro společné investice jako prostředek k přilákání soukromých investic;</w:t>
            </w:r>
          </w:p>
        </w:tc>
        <w:tc>
          <w:tcPr>
            <w:tcW w:w="4876" w:type="dxa"/>
            <w:tcBorders>
              <w:top w:val="nil"/>
              <w:left w:val="nil"/>
              <w:bottom w:val="nil"/>
              <w:right w:val="nil"/>
            </w:tcBorders>
          </w:tcPr>
          <w:p>
            <w:pPr>
              <w:pStyle w:val="Normal6a"/>
            </w:pPr>
            <w:r>
              <w:t>18.</w:t>
            </w:r>
            <w:r>
              <w:tab/>
            </w:r>
            <w:r>
              <w:t xml:space="preserve">vybízí Komisi, aby posílila platformy pro společné investice jako prostředek k přilákání soukromých investic; </w:t>
            </w:r>
            <w:r>
              <w:rPr>
                <w:b/>
                <w:i/>
              </w:rPr>
              <w:t>žádá, aby budoucí iniciativa European Tech-Champions 2.0, kterou Komise oznámila ve svém sdělení o unii úspor a investic, navýšila své finanční prostředky na podporu unijního financování a kotování začínajících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vybízí Komisi, aby posílila platformy pro společné investice jako prostředek k přilákání soukromých investic;</w:t>
            </w:r>
          </w:p>
        </w:tc>
        <w:tc>
          <w:tcPr>
            <w:tcW w:w="4876" w:type="dxa"/>
            <w:tcBorders>
              <w:top w:val="nil"/>
              <w:left w:val="nil"/>
              <w:bottom w:val="nil"/>
              <w:right w:val="nil"/>
            </w:tcBorders>
          </w:tcPr>
          <w:p>
            <w:pPr>
              <w:pStyle w:val="Normal6a"/>
            </w:pPr>
            <w:r>
              <w:t>18.</w:t>
            </w:r>
            <w:r>
              <w:tab/>
            </w:r>
            <w:r>
              <w:t xml:space="preserve">vybízí Komisi, aby posílila platformy pro společné investice jako prostředek k přilákání soukromých investic; </w:t>
            </w:r>
            <w:r>
              <w:rPr>
                <w:b/>
                <w:i/>
              </w:rPr>
              <w:t>podporuje úsilí o posílení regionálně ukotvených platforem pro společné investice a sítí „business angels“ jakožto prostředku ke zlepšení přístupu ke kapitálu pro malé a střední podniky s vysokým růstem a inovacemi, což pomůže řešit přetrvávající chybějící financování v rané fázi;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Michalis Hadjipantela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zdůrazňuje, že podpora malých a středních podniků je klíčovým cílem skupiny EIB;</w:t>
            </w:r>
            <w:r>
              <w:t xml:space="preserve"> </w:t>
            </w:r>
            <w:r>
              <w:rPr>
                <w:b/>
                <w:i/>
              </w:rPr>
              <w:t>v této souvislosti zdůrazňuje, že je třeba přijmout flexibilnější rámec pro posuzování rizik, který by rovněž lépe podporoval menší projekty a podniky, které mají zásadní význam pro posílení konkurenceschopnosti a podporu inkluzivního hospodářského rozvoje ve všech členských státech; zdůrazňuje, že větší přístup k úvěrům, vytváření uzpůsobených finančních nástrojů a cílené investice do malých a středních podniků mohou mít široký pozitivní dopad, neboť přispějí k hospodářské odolnosti Unie;</w:t>
            </w:r>
            <w:r>
              <w:t xml:space="preserve"> </w:t>
            </w:r>
            <w:r>
              <w:rPr>
                <w:b/>
                <w:i/>
              </w:rPr>
              <w:t>vyzývá EIB, aby poskytla více finančních prostředků v podobě soukromých investic;</w:t>
            </w:r>
            <w:r>
              <w:t xml:space="preserve"> </w:t>
            </w:r>
            <w:r>
              <w:rPr>
                <w:b/>
                <w:i/>
              </w:rPr>
              <w:t>vyzývá skupinu EIB, aby výrazně zvýšila podíl svého ročního financování určeného na investice soukromého sektoru a uznala jejich zásadní úlohu při podpoře hospodářského růstu, vytváření pracovních míst a technologického pokroku v Evropské 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souhlasí se sdělením o unii úspor a investic, které se zabývá významem veřejné finanční podpory na úrovni EU pro financování růstu společností;</w:t>
            </w:r>
            <w:r>
              <w:t xml:space="preserve"> </w:t>
            </w:r>
            <w:r>
              <w:rPr>
                <w:b/>
                <w:i/>
              </w:rPr>
              <w:t>v této souvislosti vyzývá k přeorientování fondů EU, tak aby měly méně programů a byly více flexibilní při postupném převádění prostředků podle priorit;</w:t>
            </w:r>
            <w:r>
              <w:t xml:space="preserve"> </w:t>
            </w:r>
            <w:r>
              <w:rPr>
                <w:b/>
                <w:i/>
              </w:rPr>
              <w:t>doporučuje zvláštní režimy financování pro „rozvíjející se technologické společnosti“;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18a.</w:t>
            </w:r>
            <w:r>
              <w:tab/>
            </w:r>
            <w:r>
              <w:rPr>
                <w:b/>
                <w:i/>
              </w:rPr>
              <w:t>naléhavě vyzývá Komisi, aby přezkoumala směrnici IZPP II s cílem mobilizovat zejména pojišťovací a penzijní fondy a zvýšit jejich podíl na investicích do fondů rizikového kapitálu v Evropě, aby bylo více finančních prostředků poskytováno začínajícím a rychle se rozvíjejícím podnikům;</w:t>
            </w:r>
            <w:r>
              <w:t xml:space="preserve"> </w:t>
            </w:r>
            <w:r>
              <w:rPr>
                <w:b/>
                <w:i/>
              </w:rPr>
              <w:t>zapojení institucionálních investorů je klíčem ke zmenšení mezery v rozvoji podniků a investicích v Evropě;</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Michalis Hadjipantela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18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18b.</w:t>
            </w:r>
            <w:r>
              <w:tab/>
            </w:r>
            <w:r>
              <w:rPr>
                <w:b/>
                <w:i/>
              </w:rPr>
              <w:t>vítá nadcházející spuštění platformy TechEU Evropské investiční banky a zdůrazňuje její potenciál řešit kritické nedostatky ve financování, s nimiž se potýkají začínající podniky v technologickém odvětví;</w:t>
            </w:r>
            <w:r>
              <w:t xml:space="preserve"> </w:t>
            </w:r>
            <w:r>
              <w:rPr>
                <w:b/>
                <w:i/>
              </w:rPr>
              <w:t>vyzývá skupinu EIB, aby zaručila, že platforma TechEU bude široce přístupná ve všech členských státech, a to i prostřednictvím zjednodušených postupů, s cílem zajistit, že přiláká talenty, investice a kapitál ve všech členských státech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zdůrazňuje, že je důležité směrovat úspory občanů do produktivních investičních nástrojů, které mohou být přínosem pro malé a střední podniky a rychle se rozvíjející podniky;</w:t>
            </w:r>
            <w:r>
              <w:t xml:space="preserve"> </w:t>
            </w:r>
            <w:r>
              <w:rPr>
                <w:b/>
                <w:i/>
              </w:rPr>
              <w:t>vybízí Komisi, aby podporovala jednoduché a bezpečné retailové investiční kanály a aby odstraňovala regulační překážky;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zdůrazňuje, že je důležité směrovat úspory občanů do produktivních investičních nástrojů, které mohou být přínosem pro malé a střední podniky a rychle se rozvíjející podniky;</w:t>
            </w:r>
            <w:r>
              <w:t xml:space="preserve"> </w:t>
            </w:r>
            <w:r>
              <w:rPr>
                <w:b/>
                <w:i/>
              </w:rPr>
              <w:t>vybízí Komisi, aby podporovala jednoduché a bezpečné retailové investiční kanály a aby odstraňovala regulační překážky;</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zdůrazňuje, že je důležité směrovat úspory občanů do produktivních investičních nástrojů, které mohou být přínosem pro malé a střední podniky a rychle se rozvíjející podniky; </w:t>
            </w:r>
            <w:r>
              <w:rPr>
                <w:b/>
                <w:i/>
              </w:rPr>
              <w:t>vybízí Komisi, aby podporovala jednoduché a bezpečné</w:t>
            </w:r>
            <w:r>
              <w:t xml:space="preserve"> retailové </w:t>
            </w:r>
            <w:r>
              <w:rPr>
                <w:b/>
                <w:i/>
              </w:rPr>
              <w:t>investiční kanály a aby odstraňovala regulační překážky</w:t>
            </w:r>
            <w:r>
              <w:t>;</w:t>
            </w:r>
          </w:p>
        </w:tc>
        <w:tc>
          <w:tcPr>
            <w:tcW w:w="4876" w:type="dxa"/>
            <w:tcBorders>
              <w:top w:val="nil"/>
              <w:left w:val="nil"/>
              <w:bottom w:val="nil"/>
              <w:right w:val="nil"/>
            </w:tcBorders>
          </w:tcPr>
          <w:p>
            <w:pPr>
              <w:pStyle w:val="Normal6a"/>
            </w:pPr>
            <w:r>
              <w:t>19.</w:t>
            </w:r>
            <w:r>
              <w:tab/>
            </w:r>
            <w:r>
              <w:t xml:space="preserve">zdůrazňuje, že je důležité směrovat úspory občanů do produktivních investičních nástrojů, které mohou být přínosem pro malé a střední podniky a rychle se rozvíjející podniky; </w:t>
            </w:r>
            <w:r>
              <w:rPr>
                <w:b/>
                <w:i/>
              </w:rPr>
              <w:t>poukazuje na to, že přímé investice do malých a středních podniků a rozvíjejících se podniků jsou pro</w:t>
            </w:r>
            <w:r>
              <w:t xml:space="preserve"> retailové </w:t>
            </w:r>
            <w:r>
              <w:rPr>
                <w:b/>
                <w:i/>
              </w:rPr>
              <w:t>investory často obtížné z důvodu přístupu a diverzifikace a že klíčovou úlohu zde hrají zprostředkovatelé, jako jsou pojišťovny a penzijní fondy</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zdůrazňuje, že je důležité směrovat úspory občanů do produktivních investičních nástrojů, které mohou být přínosem pro malé a střední podniky a rychle se rozvíjející podniky; vybízí Komisi, aby podporovala jednoduché a bezpečné retailové investiční kanály a aby </w:t>
            </w:r>
            <w:r>
              <w:rPr>
                <w:b/>
                <w:i/>
              </w:rPr>
              <w:t>odstraňovala regulační překážky</w:t>
            </w:r>
            <w:r>
              <w:t>;</w:t>
            </w:r>
          </w:p>
        </w:tc>
        <w:tc>
          <w:tcPr>
            <w:tcW w:w="4876" w:type="dxa"/>
            <w:tcBorders>
              <w:top w:val="nil"/>
              <w:left w:val="nil"/>
              <w:bottom w:val="nil"/>
              <w:right w:val="nil"/>
            </w:tcBorders>
          </w:tcPr>
          <w:p>
            <w:pPr>
              <w:pStyle w:val="Normal6a"/>
            </w:pPr>
            <w:r>
              <w:t>19.</w:t>
            </w:r>
            <w:r>
              <w:tab/>
            </w:r>
            <w:r>
              <w:t xml:space="preserve">zdůrazňuje, že je důležité směrovat úspory občanů do produktivních investičních nástrojů, které mohou být přínosem pro malé a střední podniky a rychle se rozvíjející podniky; vybízí Komisi, aby podporovala jednoduché a bezpečné retailové investiční kanály a aby </w:t>
            </w:r>
            <w:r>
              <w:rPr>
                <w:b/>
                <w:i/>
              </w:rPr>
              <w:t>zajistila odpovídající ochranu retailových investorů při přijímání investičních rozhodnutí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zdůrazňuje, že je důležité </w:t>
            </w:r>
            <w:r>
              <w:rPr>
                <w:b/>
                <w:i/>
              </w:rPr>
              <w:t>směrovat</w:t>
            </w:r>
            <w:r>
              <w:t xml:space="preserve"> úspory </w:t>
            </w:r>
            <w:r>
              <w:rPr>
                <w:b/>
                <w:i/>
              </w:rPr>
              <w:t>občanů</w:t>
            </w:r>
            <w:r>
              <w:t xml:space="preserve"> do produktivních investičních nástrojů, které mohou být přínosem pro malé a střední podniky a rychle se rozvíjející podniky; vybízí Komisi, aby podporovala jednoduché a bezpečné retailové investiční </w:t>
            </w:r>
            <w:r>
              <w:rPr>
                <w:b/>
                <w:i/>
              </w:rPr>
              <w:t>kanály</w:t>
            </w:r>
            <w:r>
              <w:t xml:space="preserve"> a aby odstraňovala regulační překážky;</w:t>
            </w:r>
          </w:p>
        </w:tc>
        <w:tc>
          <w:tcPr>
            <w:tcW w:w="4876" w:type="dxa"/>
            <w:tcBorders>
              <w:top w:val="nil"/>
              <w:left w:val="nil"/>
              <w:bottom w:val="nil"/>
              <w:right w:val="nil"/>
            </w:tcBorders>
          </w:tcPr>
          <w:p>
            <w:pPr>
              <w:pStyle w:val="Normal6a"/>
            </w:pPr>
            <w:r>
              <w:t>19.</w:t>
            </w:r>
            <w:r>
              <w:tab/>
            </w:r>
            <w:r>
              <w:t xml:space="preserve">zdůrazňuje, že je důležité </w:t>
            </w:r>
            <w:r>
              <w:rPr>
                <w:b/>
                <w:i/>
              </w:rPr>
              <w:t>vytvářet správné podmínky pro občany, aby směrovali své</w:t>
            </w:r>
            <w:r>
              <w:t xml:space="preserve"> úspory do produktivních investičních nástrojů, které mohou být přínosem pro malé a střední podniky a rychle se rozvíjející podniky; vybízí Komisi, aby podporovala jednoduché a bezpečné retailové investiční </w:t>
            </w:r>
            <w:r>
              <w:rPr>
                <w:b/>
                <w:i/>
              </w:rPr>
              <w:t>produkty</w:t>
            </w:r>
            <w:r>
              <w:t xml:space="preserve"> a aby odstraňovala regulační překážky;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zdůrazňuje, že je důležité </w:t>
            </w:r>
            <w:r>
              <w:rPr>
                <w:b/>
                <w:i/>
              </w:rPr>
              <w:t>směrovat úspory občanů do produktivních investičních nástrojů, které mohou</w:t>
            </w:r>
            <w:r>
              <w:t xml:space="preserve"> být přínosem pro malé a střední podniky a rychle se rozvíjející podniky; vybízí Komisi, aby podporovala jednoduché a bezpečné retailové investiční kanály a aby odstraňovala regulační překážky;</w:t>
            </w:r>
          </w:p>
        </w:tc>
        <w:tc>
          <w:tcPr>
            <w:tcW w:w="4876" w:type="dxa"/>
            <w:tcBorders>
              <w:top w:val="nil"/>
              <w:left w:val="nil"/>
              <w:bottom w:val="nil"/>
              <w:right w:val="nil"/>
            </w:tcBorders>
          </w:tcPr>
          <w:p>
            <w:pPr>
              <w:pStyle w:val="Normal6a"/>
            </w:pPr>
            <w:r>
              <w:t>19.</w:t>
            </w:r>
            <w:r>
              <w:tab/>
            </w:r>
            <w:r>
              <w:t xml:space="preserve">zdůrazňuje, že je důležité </w:t>
            </w:r>
            <w:r>
              <w:rPr>
                <w:b/>
                <w:i/>
              </w:rPr>
              <w:t>zvýšit účast retailových investorů na kapitálových trzích, což může</w:t>
            </w:r>
            <w:r>
              <w:t xml:space="preserve"> být přínosem pro malé a střední podniky a rychle se rozvíjející podniky; vybízí Komisi, aby podporovala jednoduché a bezpečné retailové investiční kanály a aby odstraňovala regulační překážky;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vyzývá Komisi a evropské orgány dohledu, aby přezkoumaly regulační a dohledový rámec pro finanční sektor s cílem zlepšit přístup malých a středních podniků a rozvíjejících se podniků k bankovním úvěrům a zajistit lepší rovnováhu mezi finanční stabilitou a podporou reálné ekonomiky;</w:t>
            </w:r>
            <w:r>
              <w:t xml:space="preserve"> </w:t>
            </w:r>
            <w:r>
              <w:rPr>
                <w:b/>
                <w:i/>
              </w:rPr>
              <w:t>zdůrazňuje klíčovou roli místních a regionálních bank a družstevních úvěrů, které jsou hluboce zakořeněny v místní výrobní struktuře, při posuzování stability malých a středních podniků a uspokojování jejich specifických potřeb;</w:t>
            </w:r>
            <w:r>
              <w:t xml:space="preserve"> </w:t>
            </w:r>
            <w:r>
              <w:rPr>
                <w:b/>
                <w:i/>
              </w:rPr>
              <w:t>požaduje, aby tito aktéři byli v rámci evropských právních předpisů podporováni, nikoli penalizováni, a to prosazováním inkluzivnějšího finančního systému orientovaného na rozvoj;</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Billy Kelleher, 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vyzdvihuje přijetí nařízení, kterým se zřizuje jednotné evropské přístupové místo (ESAP), jež vytvoří celounijní databázi údajů z finančního a nefinančního výkaznictví s možností snadného vyhledávání, která bude fungovat od roku 2027;</w:t>
            </w:r>
            <w:r>
              <w:t xml:space="preserve"> </w:t>
            </w:r>
            <w:r>
              <w:rPr>
                <w:b/>
                <w:i/>
              </w:rPr>
              <w:t>konstatuje, že nařízení o jednotném evropském přístupovém místě umožňuje malým a středním podnikům, aby do této centralizované databáze dobrovolně zadávaly své finanční a nefinanční informace, a zvýšily tak svou viditelnost, pokud jde o potenciální investory;</w:t>
            </w:r>
            <w:r>
              <w:t xml:space="preserve"> </w:t>
            </w:r>
            <w:r>
              <w:rPr>
                <w:b/>
                <w:i/>
              </w:rPr>
              <w:t>vybízí malé a střední podniky a začínající podniky, aby tyto informace dobrovolně poskytovaly;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vítá záměr Komise uvedený ve strategii EU pro začínající a rychle se rozvíjející podniky ze dne 28. května, aby byl vytvořen rámec pro oceňování duševního vlastnictví pro financování zajištěné duševním vlastnictvím;</w:t>
            </w:r>
            <w:r>
              <w:t xml:space="preserve"> </w:t>
            </w:r>
            <w:r>
              <w:rPr>
                <w:b/>
                <w:i/>
              </w:rPr>
              <w:t>vybízí Komisi, aby tento rámec doplnila zřízením celoevropského záručního nástroje pro úvěry malých a středních podniků zajištěné duševním vlastnictvím;</w:t>
            </w:r>
            <w:r>
              <w:t xml:space="preserve"> </w:t>
            </w:r>
            <w:r>
              <w:rPr>
                <w:b/>
                <w:i/>
              </w:rPr>
              <w:t>domnívá se, že by takovýto záruční nástroj měl být projednán v rámci budoucího 28. režimu;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uznává potenciál platforem skupinového financování a nových technologických nástrojů, jako jsou chytré smlouvy a decentralizované financování, pro rozšíření přístupu malých a středních podniků k nezprostředkovanému financování;</w:t>
            </w:r>
            <w:r>
              <w:t xml:space="preserve"> </w:t>
            </w:r>
            <w:r>
              <w:rPr>
                <w:b/>
                <w:i/>
              </w:rPr>
              <w:t>vyzývá Komisi, aby podrobila svůj regulační rámec revizi na základě přístupu založeného na inovacích a přiměřeném riziku;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vyzývá k urychlenému rozvoji evropských trhů s rizikovým kapitálem a soukromých kapitálových trhů zvýšením dostupnosti financování investic v oblasti rizikového kapitálu a rozvojem rozsáhlejších fondů rizikového kapitálu v pozdním stadiu, veřejných programů pro rizikový kapitál a investic „business angels“, jakož i aktivních trhů s primárními veřejnými nabídkami pro společnosti podporované rizikovým kapitálem;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19a.</w:t>
            </w:r>
            <w:r>
              <w:tab/>
            </w:r>
            <w:r>
              <w:rPr>
                <w:b/>
                <w:i/>
              </w:rPr>
              <w:t>naléhavě vyzývá Komisi a členské státy, aby upřednostňovaly rozvoj celoevropských investičních platforem a přeshraničních finančních nástrojů přizpůsobených malým a středním podnikům a rozvíjejícím se podnikům, zejména těm, které působí v odvětvích založených na inovacích a v ekologických odvětvích;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19b.</w:t>
            </w:r>
            <w:r>
              <w:tab/>
            </w:r>
            <w:r>
              <w:rPr>
                <w:b/>
                <w:i/>
              </w:rPr>
              <w:t>konstatuje, že i vnitrostátní prahová hodnota financování, která se vztahuje i na menší družstevní banky, může představovat finanční limit pro začínající podniky;</w:t>
            </w:r>
            <w:r>
              <w:t xml:space="preserve"> </w:t>
            </w:r>
            <w:r>
              <w:rPr>
                <w:b/>
                <w:i/>
              </w:rPr>
              <w:t>tyto limity nebo prahové hodnoty by měly být přezkoumány;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Billy Kelleher, 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19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19c.</w:t>
            </w:r>
            <w:r>
              <w:tab/>
            </w:r>
            <w:r>
              <w:rPr>
                <w:b/>
                <w:i/>
              </w:rPr>
              <w:t>zdůrazňuje závazek, který přijala předsedkyně Komise ve svých „Politických směrech pro příští Evropskou komisi 2024–2029“</w:t>
            </w:r>
            <w:r>
              <w:rPr>
                <w:b/>
                <w:i/>
                <w:vertAlign w:val="superscript"/>
              </w:rPr>
              <w:t>1a</w:t>
            </w:r>
            <w:r>
              <w:rPr>
                <w:b/>
                <w:i/>
              </w:rPr>
              <w:t> a který zopakovala v pověřovacím dopise adresovaném komisařce Albuquerqueové</w:t>
            </w:r>
            <w:r>
              <w:rPr>
                <w:b/>
                <w:i/>
                <w:vertAlign w:val="superscript"/>
              </w:rPr>
              <w:t>1b</w:t>
            </w:r>
            <w:r>
              <w:rPr>
                <w:b/>
                <w:i/>
              </w:rPr>
              <w:t>, a sice že bude pracovat na opatřeních k absorpci rizik s cílem přilákat soukromé financování komerčních bank, investorů a rizikového kapitálu, čímž rozšíří možnosti financování pro nové nebo rychle rostoucí inovativní společnosti;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Projev nově zvolené předsedkyně von der Leyenové „Volba Evropy:</w:t>
            </w:r>
            <w:r>
              <w:t xml:space="preserve"> </w:t>
            </w:r>
            <w:r>
              <w:rPr>
                <w:b/>
                <w:i/>
              </w:rPr>
              <w:t>Politické směry pro příští Evropskou komisi 2024–2029" přednesený ve Štrasburku dne 18. července 2024, https://commission.europa.eu/document/download/e6cd4328-673c-4e7a-8683-f63ffb2cf648_cs?filename=Political%20Guidelines%202024-2029_EN.pdf</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1b</w:t>
            </w:r>
            <w:r>
              <w:t xml:space="preserve"> </w:t>
            </w:r>
            <w:r>
              <w:rPr>
                <w:b/>
                <w:i/>
              </w:rPr>
              <w:t>https://commission.europa.eu/document/download/ac06a896-2645-4857-9958-467d2ce6f221_en?filename=Mission%20letter%20-%20ALBUQUERQUE.pdf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zdůrazňuje, že pro pomoc j rozvoji podniků má zásadní význam více integrovaný inovační ekosystém se sítěmi univerzit, začínajících podniků, velkých podniků a investorů rizikového kapitálu, který se opírá o přístup k testovacím zařízením a technologické infrastruktuře;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zdůrazňuje, že pro pomoc j rozvoji podniků má zásadní význam více integrovaný inovační ekosystém se sítěmi univerzit, začínajících podniků, velkých podniků a investorů rizikového kapitálu, který se opírá o přístup k testovacím zařízením a technologické infrastruktuře;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zdůrazňuje, že pro pomoc </w:t>
            </w:r>
            <w:r>
              <w:rPr>
                <w:b/>
                <w:i/>
              </w:rPr>
              <w:t>j</w:t>
            </w:r>
            <w:r>
              <w:t xml:space="preserve"> rozvoji podniků má zásadní význam více integrovaný inovační ekosystém se sítěmi univerzit, začínajících podniků, velkých podniků a investorů rizikového kapitálu, který se opírá o přístup k testovacím zařízením a technologické infrastruktuře;</w:t>
            </w:r>
          </w:p>
        </w:tc>
        <w:tc>
          <w:tcPr>
            <w:tcW w:w="4876" w:type="dxa"/>
            <w:tcBorders>
              <w:top w:val="nil"/>
              <w:left w:val="nil"/>
              <w:bottom w:val="nil"/>
              <w:right w:val="nil"/>
            </w:tcBorders>
          </w:tcPr>
          <w:p>
            <w:pPr>
              <w:pStyle w:val="Normal6a"/>
            </w:pPr>
            <w:r>
              <w:t>20.</w:t>
            </w:r>
            <w:r>
              <w:tab/>
            </w:r>
            <w:r>
              <w:t xml:space="preserve">zdůrazňuje, že pro pomoc rozvoji podniků má zásadní význam více integrovaný inovační ekosystém se sítěmi univerzit, začínajících podniků, velkých podniků a investorů rizikového kapitálu, který se opírá o přístup k testovacím zařízením a technologické infrastruktuře; </w:t>
            </w:r>
            <w:r>
              <w:rPr>
                <w:b/>
                <w:i/>
              </w:rPr>
              <w:t>rovněž zdůrazňuje přidanou hodnotu podnikatelských kruhů, které podporují výměnu zkušeností, vzájemné učení a šíření osvědčených postupů;</w:t>
            </w:r>
            <w:r>
              <w:t xml:space="preserve"> </w:t>
            </w:r>
            <w:r>
              <w:rPr>
                <w:b/>
                <w:i/>
              </w:rPr>
              <w:t>zdůrazňuje úlohu, kterou mohou hrát podnikatelská fóra, soukromí akcelerátoři a sítě mentorů při podpoře růstu nových podnikatelských projektů;</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zdůrazňuje, že pro pomoc j rozvoji podniků má zásadní význam více integrovaný inovační ekosystém se sítěmi univerzit, začínajících podniků, velkých podniků a investorů rizikového kapitálu, který se opírá o přístup k testovacím zařízením a technologické infrastruktuře;</w:t>
            </w:r>
          </w:p>
        </w:tc>
        <w:tc>
          <w:tcPr>
            <w:tcW w:w="4876" w:type="dxa"/>
            <w:tcBorders>
              <w:top w:val="nil"/>
              <w:left w:val="nil"/>
              <w:bottom w:val="nil"/>
              <w:right w:val="nil"/>
            </w:tcBorders>
          </w:tcPr>
          <w:p>
            <w:pPr>
              <w:pStyle w:val="Normal6a"/>
            </w:pPr>
            <w:r>
              <w:t>20.</w:t>
            </w:r>
            <w:r>
              <w:tab/>
            </w:r>
            <w:r>
              <w:t xml:space="preserve">zdůrazňuje, že pro pomoc j rozvoji podniků má zásadní význam více integrovaný inovační ekosystém se sítěmi univerzit, začínajících podniků, velkých podniků a investorů rizikového kapitálu, který se opírá o přístup k testovacím zařízením a technologické infrastruktuře; </w:t>
            </w:r>
            <w:r>
              <w:rPr>
                <w:b/>
                <w:i/>
              </w:rPr>
              <w:t>vyzývá Komisi a členské státy, aby navázaly na iniciativy, jako je síť důvěryhodných investorů, jejímž cílem je mobilizovat soukromý kapitál ve velkém měřítku na podporu evropských ambicí v oblasti inovací;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vyzývá Komisi, aby provedla studii a posouzení dopadů nových způsobů poskytování kapitálového financování těm malým a středním podnikům, které jsou způsobilé využívat těchto finančních prostředků z důvodu své velikosti nebo výhledů růstu;</w:t>
            </w:r>
            <w:r>
              <w:t xml:space="preserve"> </w:t>
            </w:r>
            <w:r>
              <w:rPr>
                <w:b/>
                <w:i/>
              </w:rPr>
              <w:t>takováto studie by měla prozkoumat možnosti, jako je mimo jiné vytvoření veřejně-soukromého celoevropského fondu pro primární veřejné nabídky (IPO) nebo rozšíření mezaninového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392</w:t>
      </w:r>
      <w:r>
        <w:rPr>
          <w:rStyle w:val="HideTWBExt"/>
        </w:rPr>
        <w:t>&lt;/NumAm&gt;</w:t>
      </w:r>
    </w:p>
    <w:p>
      <w:pPr>
        <w:pStyle w:val="NormalBold"/>
      </w:pPr>
      <w:r>
        <w:rPr>
          <w:rStyle w:val="HideTWBExt"/>
          <w:b w:val="0"/>
        </w:rPr>
        <w:t>&lt;RepeatBlock-By&gt;</w:t>
      </w:r>
      <w:r>
        <w:rPr>
          <w:rStyle w:val="HideTWBExt"/>
          <w:b w:val="0"/>
        </w:rPr>
        <w:t>&lt;Members&gt;</w:t>
      </w:r>
      <w:r>
        <w:t>Anouk Van Brug,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vybízí členské státy, aby rozšířily účast v důchodových systémech druhého pilíře a aby část těchto dlouhodobých aktiv nasměrovaly do fondů rizikového i růstového kapitálu, a vytvořily tak stabilní a stálou domácí investorskou základnu pro rozšiřování společností, čehož lze dosáhnout i prostřednictvím automatického přihlášení;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393</w:t>
      </w:r>
      <w:r>
        <w:rPr>
          <w:rStyle w:val="HideTWBExt"/>
        </w:rPr>
        <w:t>&lt;/NumAm&gt;</w:t>
      </w:r>
    </w:p>
    <w:p>
      <w:pPr>
        <w:pStyle w:val="NormalBold"/>
      </w:pPr>
      <w:r>
        <w:rPr>
          <w:rStyle w:val="HideTWBExt"/>
          <w:b w:val="0"/>
        </w:rPr>
        <w:t>&lt;RepeatBlock-By&gt;</w:t>
      </w:r>
      <w:r>
        <w:rPr>
          <w:rStyle w:val="HideTWBExt"/>
          <w:b w:val="0"/>
        </w:rPr>
        <w:t>&lt;Members&gt;</w:t>
      </w:r>
      <w:r>
        <w:t>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20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konstatuje, že budoucí iniciativa 28. režimu plánovaná Evropskou komisí má potenciál zjednodušit práci soukromých investorů a přilákat více kapitálu do evropských inovativních začínajících podniků a malých a středních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Posílení konkurenceschopného ekosystému v EU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395</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Dílčí nadpis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Posílení konkurenceschopného ekosystému v EU</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396</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397</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399</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400</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domnívá se, že se konkurenceschopný ekosystém v EU musí skládat ze silných vnitrostátních trhů a že rozdíly mezi členskými státy hrají </w:t>
            </w:r>
            <w:r>
              <w:rPr>
                <w:b/>
                <w:i/>
              </w:rPr>
              <w:t>důležitou úlohu</w:t>
            </w:r>
            <w:r>
              <w:t xml:space="preserve"> při podpoře zdravé konkurence mezi členskými státy </w:t>
            </w:r>
            <w:r>
              <w:rPr>
                <w:b/>
                <w:i/>
              </w:rPr>
              <w:t>a v tom, že</w:t>
            </w:r>
            <w:r>
              <w:t xml:space="preserve"> je podněcují k zachování dynamiky a atraktivity jejich ekonomik;</w:t>
            </w:r>
          </w:p>
        </w:tc>
        <w:tc>
          <w:tcPr>
            <w:tcW w:w="4876" w:type="dxa"/>
            <w:tcBorders>
              <w:top w:val="nil"/>
              <w:left w:val="nil"/>
              <w:bottom w:val="nil"/>
              <w:right w:val="nil"/>
            </w:tcBorders>
          </w:tcPr>
          <w:p>
            <w:pPr>
              <w:pStyle w:val="Normal6a"/>
            </w:pPr>
            <w:r>
              <w:t>21.</w:t>
            </w:r>
            <w:r>
              <w:tab/>
            </w:r>
            <w:r>
              <w:t xml:space="preserve">domnívá se, že se konkurenceschopný ekosystém v EU musí skládat ze silných vnitrostátních trhů a že rozdíly mezi členskými státy hrají </w:t>
            </w:r>
            <w:r>
              <w:rPr>
                <w:b/>
                <w:i/>
              </w:rPr>
              <w:t>roli</w:t>
            </w:r>
            <w:r>
              <w:t xml:space="preserve"> při podpoře zdravé konkurence mezi členskými státy </w:t>
            </w:r>
            <w:r>
              <w:rPr>
                <w:b/>
                <w:i/>
              </w:rPr>
              <w:t>na úrovni EU, přičemž</w:t>
            </w:r>
            <w:r>
              <w:t xml:space="preserve"> je podněcují k zachování dynamiky a atraktivity jejich ekonomik; </w:t>
            </w:r>
            <w:r>
              <w:rPr>
                <w:b/>
                <w:i/>
              </w:rPr>
              <w:t>zdůrazňuje však, že kapitálový trh EU zůstává v současné době velmi roztříštěný podél hranic jednotlivých států, což vede k neefektivitě a brání účastníkům trhu v tom, aby plně využívali výhod jednotného trhu a úspor z rozsahu, které by umožňoval integrovanější trh;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401</w:t>
      </w:r>
      <w:r>
        <w:rPr>
          <w:rStyle w:val="HideTWBExt"/>
        </w:rPr>
        <w:t>&lt;/NumAm&gt;</w:t>
      </w:r>
    </w:p>
    <w:p>
      <w:pPr>
        <w:pStyle w:val="NormalBold"/>
      </w:pPr>
      <w:r>
        <w:rPr>
          <w:rStyle w:val="HideTWBExt"/>
          <w:b w:val="0"/>
        </w:rPr>
        <w:t>&lt;RepeatBlock-By&gt;</w:t>
      </w:r>
      <w:r>
        <w:rPr>
          <w:rStyle w:val="HideTWBExt"/>
          <w:b w:val="0"/>
        </w:rPr>
        <w:t>&lt;Members&gt;</w:t>
      </w:r>
      <w:r>
        <w:t>Arba Kokalari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t>21.</w:t>
            </w:r>
            <w:r>
              <w:tab/>
            </w:r>
            <w:r>
              <w:t xml:space="preserve">domnívá se, že se konkurenceschopný ekosystém v EU musí skládat ze silných vnitrostátních trhů a že rozdíly mezi členskými státy hrají důležitou úlohu při podpoře zdravé konkurence mezi členskými státy a v tom, že je podněcují k zachování dynamiky a atraktivity jejich ekonomik; </w:t>
            </w:r>
            <w:r>
              <w:rPr>
                <w:b/>
                <w:i/>
              </w:rPr>
              <w:t>vyzývá Komisi, aby navrhla řešení, ať už legislativní či nelegislativní, která by vycházela z osvědčených postupů a již dobře rozvinutých a dobře fungujících trhů v některých členských státech;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402</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domnívá se, že se konkurenceschopný ekosystém v EU </w:t>
            </w:r>
            <w:r>
              <w:rPr>
                <w:b/>
                <w:i/>
              </w:rPr>
              <w:t>musí skládat ze silných vnitrostátních trhů a že rozdíly mezi členskými státy hrají důležitou úlohu při podpoře zdravé konkurence mezi členskými státy a v tom, že je podněcují k zachování dynamiky a atraktivity jejich ekonomik</w:t>
            </w:r>
            <w:r>
              <w:t>;</w:t>
            </w:r>
          </w:p>
        </w:tc>
        <w:tc>
          <w:tcPr>
            <w:tcW w:w="4876" w:type="dxa"/>
            <w:tcBorders>
              <w:top w:val="nil"/>
              <w:left w:val="nil"/>
              <w:bottom w:val="nil"/>
              <w:right w:val="nil"/>
            </w:tcBorders>
          </w:tcPr>
          <w:p>
            <w:pPr>
              <w:pStyle w:val="Normal6a"/>
            </w:pPr>
            <w:r>
              <w:t>21.</w:t>
            </w:r>
            <w:r>
              <w:tab/>
            </w:r>
            <w:r>
              <w:t xml:space="preserve">domnívá se, že se konkurenceschopný ekosystém v EU </w:t>
            </w:r>
            <w:r>
              <w:rPr>
                <w:b/>
                <w:i/>
              </w:rPr>
              <w:t>by se měl opírat o silné vnitrostátní trhy, avšak zdůrazňuje, že tyto trhy by se neměly stát překážkou účinného přeshraničního rozdělování ani odůvodněním pro upřednostňování zeměpisného původu kapitálu;</w:t>
            </w:r>
            <w:r>
              <w:t xml:space="preserve"> </w:t>
            </w:r>
            <w:r>
              <w:rPr>
                <w:b/>
                <w:i/>
              </w:rPr>
              <w:t>trvá na tom, že přístup malých a středních podniků k financování by se měl řídit kritérii účinnosti, rozšiřitelnosti a rizikového profilu</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403</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domnívá se, že se konkurenceschopný ekosystém v EU </w:t>
            </w:r>
            <w:r>
              <w:rPr>
                <w:b/>
                <w:i/>
              </w:rPr>
              <w:t>musí skládat</w:t>
            </w:r>
            <w:r>
              <w:t xml:space="preserve"> ze silných vnitrostátních trhů a že </w:t>
            </w:r>
            <w:r>
              <w:rPr>
                <w:b/>
                <w:i/>
              </w:rPr>
              <w:t>rozdíly mezi členskými státy hrají důležitou úlohu při podpoře zdravé konkurence mezi členskými státy a v tom, že je podněcují</w:t>
            </w:r>
            <w:r>
              <w:t xml:space="preserve"> k zachování </w:t>
            </w:r>
            <w:r>
              <w:rPr>
                <w:b/>
                <w:i/>
              </w:rPr>
              <w:t>dynamiky</w:t>
            </w:r>
            <w:r>
              <w:t xml:space="preserve"> a atraktivity </w:t>
            </w:r>
            <w:r>
              <w:rPr>
                <w:b/>
                <w:i/>
              </w:rPr>
              <w:t>jejich</w:t>
            </w:r>
            <w:r>
              <w:t xml:space="preserve"> ekonomik;</w:t>
            </w:r>
          </w:p>
        </w:tc>
        <w:tc>
          <w:tcPr>
            <w:tcW w:w="4876" w:type="dxa"/>
            <w:tcBorders>
              <w:top w:val="nil"/>
              <w:left w:val="nil"/>
              <w:bottom w:val="nil"/>
              <w:right w:val="nil"/>
            </w:tcBorders>
          </w:tcPr>
          <w:p>
            <w:pPr>
              <w:pStyle w:val="Normal6a"/>
            </w:pPr>
            <w:r>
              <w:t>21.</w:t>
            </w:r>
            <w:r>
              <w:tab/>
            </w:r>
            <w:r>
              <w:t xml:space="preserve">domnívá se, že se konkurenceschopný ekosystém v EU </w:t>
            </w:r>
            <w:r>
              <w:rPr>
                <w:b/>
                <w:i/>
              </w:rPr>
              <w:t>se skládá</w:t>
            </w:r>
            <w:r>
              <w:t xml:space="preserve"> ze silných vnitrostátních trhů a že </w:t>
            </w:r>
            <w:r>
              <w:rPr>
                <w:b/>
                <w:i/>
              </w:rPr>
              <w:t>zdravá hospodářská soutěž motivuje podniky k inovacím a</w:t>
            </w:r>
            <w:r>
              <w:t xml:space="preserve"> k zachování </w:t>
            </w:r>
            <w:r>
              <w:rPr>
                <w:b/>
                <w:i/>
              </w:rPr>
              <w:t>dynamického rázu</w:t>
            </w:r>
            <w:r>
              <w:t xml:space="preserve"> a atraktivity ekonomik;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domnívá se, že </w:t>
            </w:r>
            <w:r>
              <w:rPr>
                <w:b/>
                <w:i/>
              </w:rPr>
              <w:t>se</w:t>
            </w:r>
            <w:r>
              <w:t xml:space="preserve"> konkurenceschopný ekosystém </w:t>
            </w:r>
            <w:r>
              <w:rPr>
                <w:b/>
                <w:i/>
              </w:rPr>
              <w:t>v EU musí skládat ze silných vnitrostátních trhů a že rozdíly mezi členskými státy hrají důležitou úlohu při podpoře zdravé konkurence</w:t>
            </w:r>
            <w:r>
              <w:t xml:space="preserve"> mezi členskými státy a </w:t>
            </w:r>
            <w:r>
              <w:rPr>
                <w:b/>
                <w:i/>
              </w:rPr>
              <w:t>v tom, že je podněcují k zachování dynamiky a atraktivity jejich ekonomik</w:t>
            </w:r>
            <w:r>
              <w:t>;</w:t>
            </w:r>
          </w:p>
        </w:tc>
        <w:tc>
          <w:tcPr>
            <w:tcW w:w="4876" w:type="dxa"/>
            <w:tcBorders>
              <w:top w:val="nil"/>
              <w:left w:val="nil"/>
              <w:bottom w:val="nil"/>
              <w:right w:val="nil"/>
            </w:tcBorders>
          </w:tcPr>
          <w:p>
            <w:pPr>
              <w:pStyle w:val="Normal6a"/>
            </w:pPr>
            <w:r>
              <w:t>21.</w:t>
            </w:r>
            <w:r>
              <w:tab/>
            </w:r>
            <w:r>
              <w:t xml:space="preserve">domnívá se, že konkurenceschopný </w:t>
            </w:r>
            <w:r>
              <w:rPr>
                <w:b/>
                <w:i/>
              </w:rPr>
              <w:t>evropský</w:t>
            </w:r>
            <w:r>
              <w:t xml:space="preserve"> ekosystém </w:t>
            </w:r>
            <w:r>
              <w:rPr>
                <w:b/>
                <w:i/>
              </w:rPr>
              <w:t>by měl stavět na síle, kterou představuje dynamičnost;</w:t>
            </w:r>
            <w:r>
              <w:t xml:space="preserve"> </w:t>
            </w:r>
            <w:r>
              <w:rPr>
                <w:b/>
                <w:i/>
              </w:rPr>
              <w:t>zdůrazňuje, že rozmanitost právních předpisů, je-li vyvážena interoperabilitou a společnými normami, může podpořit zdravou hospodářskou soutěž</w:t>
            </w:r>
            <w:r>
              <w:t xml:space="preserve"> mezi členskými státy a </w:t>
            </w:r>
            <w:r>
              <w:rPr>
                <w:b/>
                <w:i/>
              </w:rPr>
              <w:t>stimulovat inovace a investice na vnitrostátní úrovni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405</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domnívá se, že se konkurenceschopný ekosystém v EU musí skládat ze </w:t>
            </w:r>
            <w:r>
              <w:rPr>
                <w:b/>
                <w:i/>
              </w:rPr>
              <w:t>silných vnitrostátních trhů a že</w:t>
            </w:r>
            <w:r>
              <w:t xml:space="preserve"> rozdíly mezi členskými státy hrají důležitou úlohu při podpoře zdravé konkurence mezi členskými státy a v tom, že je podněcují k zachování dynamiky a atraktivity jejich ekonomik;</w:t>
            </w:r>
          </w:p>
        </w:tc>
        <w:tc>
          <w:tcPr>
            <w:tcW w:w="4876" w:type="dxa"/>
            <w:tcBorders>
              <w:top w:val="nil"/>
              <w:left w:val="nil"/>
              <w:bottom w:val="nil"/>
              <w:right w:val="nil"/>
            </w:tcBorders>
          </w:tcPr>
          <w:p>
            <w:pPr>
              <w:pStyle w:val="Normal6a"/>
            </w:pPr>
            <w:r>
              <w:t>21.</w:t>
            </w:r>
            <w:r>
              <w:tab/>
            </w:r>
            <w:r>
              <w:t xml:space="preserve">domnívá se, že se konkurenceschopný ekosystém v EU musí skládat ze </w:t>
            </w:r>
            <w:r>
              <w:rPr>
                <w:b/>
                <w:i/>
              </w:rPr>
              <w:t>silného vnitrostátního trhu, zatímco</w:t>
            </w:r>
            <w:r>
              <w:t xml:space="preserve"> rozdíly mezi členskými státy hrají důležitou úlohu při podpoře zdravé konkurence mezi členskými státy a v tom, že je podněcují k zachování dynamiky a atraktivity jejich ekonomik;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406</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vítá vytvoření Evropské rady pro inovace (ERI), jejímž cílem je prostřednictvím grantů a finančních nástrojů podporovat inovativní začínající a rychle se rozvíjející podniky;</w:t>
            </w:r>
            <w:r>
              <w:t xml:space="preserve"> </w:t>
            </w:r>
            <w:r>
              <w:rPr>
                <w:b/>
                <w:i/>
              </w:rPr>
              <w:t>žádá, aby fond ERI věnoval zvláštní pozornost zeměpisné vyváženosti;</w:t>
            </w:r>
            <w:r>
              <w:t xml:space="preserve"> </w:t>
            </w:r>
            <w:r>
              <w:rPr>
                <w:b/>
                <w:i/>
              </w:rPr>
              <w:t>vítá akční plán pro rozšíření ERI a celkový cíl, kterým je zvýšit účast zemí zapojených do procesu rozšíření na nejméně 15% podíl na financování napříč všemi nástrojemi ERI, jak doporučuje výbor ERI;</w:t>
            </w:r>
            <w:r>
              <w:t xml:space="preserve"> </w:t>
            </w:r>
            <w:r>
              <w:rPr>
                <w:b/>
                <w:i/>
              </w:rPr>
              <w:t>vyzývá Komisi, aby plně provedla opatření doporučená výborem ERI s cílem zajistit, aby měl fond ERI skutečně evropský dopad;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407</w:t>
      </w:r>
      <w:r>
        <w:rPr>
          <w:rStyle w:val="HideTWBExt"/>
        </w:rPr>
        <w:t>&lt;/NumAm&gt;</w:t>
      </w:r>
    </w:p>
    <w:p>
      <w:pPr>
        <w:pStyle w:val="NormalBold"/>
      </w:pPr>
      <w:r>
        <w:rPr>
          <w:rStyle w:val="HideTWBExt"/>
          <w:b w:val="0"/>
        </w:rPr>
        <w:t>&lt;RepeatBlock-By&gt;</w:t>
      </w:r>
      <w:r>
        <w:rPr>
          <w:rStyle w:val="HideTWBExt"/>
          <w:b w:val="0"/>
        </w:rPr>
        <w:t>&lt;Members&gt;</w:t>
      </w:r>
      <w:r>
        <w:t>Marlena Maląg</w:t>
      </w:r>
      <w:r>
        <w:rPr>
          <w:rStyle w:val="HideTWBExt"/>
          <w:b w:val="0"/>
        </w:rPr>
        <w:t>&lt;/Members&gt;</w:t>
      </w:r>
    </w:p>
    <w:p>
      <w:r>
        <w:rPr>
          <w:rStyle w:val="HideTWBExt"/>
          <w:b w:val="0"/>
        </w:rPr>
        <w:t>&lt;AuNomDe&gt;</w:t>
      </w:r>
      <w:r>
        <w:rPr>
          <w:rStyle w:val="HideTWBInt"/>
        </w:rPr>
        <w:t>{ECR}</w:t>
      </w:r>
      <w:r>
        <w:t>za skupinu ECR</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uznává přínosy daňových pobídek a zdravé daňové soutěže, zejména v oblasti inovací a nových technologií;</w:t>
            </w:r>
            <w:r>
              <w:t xml:space="preserve"> </w:t>
            </w:r>
            <w:r>
              <w:rPr>
                <w:b/>
                <w:i/>
              </w:rPr>
              <w:t>zdůrazňuje, že daňová soutěž se liší od škodlivých daňových praktik a musí být založena na jasných, transparentních a spravedlivých pravidlech;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zdůrazňuje potřebu celoevropského retailového investičního produktu, který by mobilizoval úspory domácností pro produktivní investice do malých a středních podniků a rozvíjejících se podniků; požaduje harmonizovaná pravidla, která usnadní přeshraniční investice a rozvoj růstových trhů zaměřených na malé a střední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409</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žádá Komisi, aby prozkoumala možnosti opatření, která by mohla podpořit účast menších bank na alternativních nástrojích financování, jako je rizikový kapitál a fondy soukromého kapitálu;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410</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zdůrazňuje, že je třeba, aby Evropská rada pro inovace byla důvěryhodným účastníkem trhu;</w:t>
            </w:r>
            <w:r>
              <w:t xml:space="preserve"> </w:t>
            </w:r>
            <w:r>
              <w:rPr>
                <w:b/>
                <w:i/>
              </w:rPr>
              <w:t>připomíná, že investice ERI by se měly zaměřit na přilákání soukromých investorů, nikoliv na jejich vytěsňování; s ohledem na rozvíjející se činnost ERI požaduje jasnou strategii pro řízení fondu ERI, a to i pokud jde o metody a kritéria pro přidělování kapitálu a hodnocení výkonnosti správců fondů;</w:t>
            </w:r>
            <w:r>
              <w:t xml:space="preserve"> </w:t>
            </w:r>
            <w:r>
              <w:rPr>
                <w:b/>
                <w:i/>
              </w:rPr>
              <w:t>oceňuje kvalitní hloubkovou kontrolu ze strany Evropské investiční banky (EIB) a naléhavě vyzývá Komisi, aby zajistila zachování této kvality v souladu s tržními normami;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411</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21c.</w:t>
            </w:r>
            <w:r>
              <w:tab/>
            </w:r>
            <w:r>
              <w:rPr>
                <w:b/>
                <w:i/>
              </w:rPr>
              <w:t>vyzývá skupinu Evropské investiční banky (EIB), včetně Evropského investičního fondu, a národní rozvojové banky, aby prozkoumaly možnosti finanční podpory malých a středních podniků a začínajících a rychle se rozvíjejících podniků, včetně těch, které působí v nově vznikajících odvětvích a odvětvích s vysokým potenciálem, zejména v oblasti energetiky a odolnosti vůči změně klimatu a digitální transformace EU;</w:t>
            </w:r>
            <w:r>
              <w:t xml:space="preserve"> </w:t>
            </w:r>
            <w:r>
              <w:rPr>
                <w:b/>
                <w:i/>
              </w:rPr>
              <w:t>poukazuje na to, že řada začínajících podniků není dostatečně informována o nabídkách EIB, a zdůrazňuje, že lepší komunikace a informační úsilí EIB má zásadní význam pro zajištění toho, aby začínající a rychle se rozvíjející podniky mohly z nástrojů a finanční podpory EIB těžit naplno;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412</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21d.</w:t>
            </w:r>
            <w:r>
              <w:tab/>
            </w:r>
            <w:r>
              <w:rPr>
                <w:b/>
                <w:i/>
              </w:rPr>
              <w:t>uznává zejména, že skupina EIB hraje klíčovou úlohu při poskytování finančních nástrojů a zdrojů na podporu začínajících a rychle se rozvíjejících podniků a malých a středních podniků v oblasti čistých technologií v celé Unii;</w:t>
            </w:r>
            <w:r>
              <w:t xml:space="preserve"> </w:t>
            </w:r>
            <w:r>
              <w:rPr>
                <w:b/>
                <w:i/>
              </w:rPr>
              <w:t>vybízí ke specializované podpoře EIB v podobě půjček malým a středním podnikům a začínajícím a rychle se rozvíjejícím podnikům, které jsou zapojeny do ekologické a digitální transformace, jejímž cílem je řešit mezeru ve financování investic do infrastruktury a výrobní kapacity;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413</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21e.</w:t>
            </w:r>
            <w:r>
              <w:tab/>
            </w:r>
            <w:r>
              <w:rPr>
                <w:b/>
                <w:i/>
              </w:rPr>
              <w:t>uznává, že podle nástroje Deep Tech Finder Evropského patentového úřadu již více než 10 % evropských začínajících podniků, které požádaly o evropské patenty, obdrželo finanční prostředky od ERI;</w:t>
            </w:r>
            <w:r>
              <w:t xml:space="preserve"> </w:t>
            </w:r>
            <w:r>
              <w:rPr>
                <w:b/>
                <w:i/>
              </w:rPr>
              <w:t>je přesvědčen, že je třeba zvýšit povědomí o významu duševního vlastnictví;</w:t>
            </w:r>
            <w:r>
              <w:t xml:space="preserve"> </w:t>
            </w:r>
            <w:r>
              <w:rPr>
                <w:b/>
                <w:i/>
              </w:rPr>
              <w:t>domnívá se, že reforma jednotného patentu je dobrým příkladem, neboť jejím cílem je zajistit jednotnou ochranu ve všech zúčastněných zemích na základě jednotného kontaktního místa, a to snížením administrativní zátěže a zajištěním soudržnosti judikatury;</w:t>
            </w:r>
            <w:r>
              <w:t xml:space="preserve"> </w:t>
            </w:r>
            <w:r>
              <w:rPr>
                <w:b/>
                <w:i/>
              </w:rPr>
              <w:t>vyzývá členské státy, které dosud neratifikovaly Dohodu o Jednotném patentovém soudu, aby tak v zájmu ekosystému začínajících podniků učinily;</w:t>
            </w:r>
            <w:r>
              <w:t xml:space="preserve"> </w:t>
            </w:r>
            <w:r>
              <w:rPr>
                <w:b/>
                <w:i/>
              </w:rPr>
              <w:t>malé a střední podniky dosud tvoří více než 35 % žadatelů o jednotný patent, ve srovnání s žadateli o běžné evropské patenty, kde tyto podniky představují 20 %;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414</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21f.</w:t>
            </w:r>
            <w:r>
              <w:tab/>
            </w:r>
            <w:r>
              <w:rPr>
                <w:b/>
                <w:i/>
              </w:rPr>
              <w:t>uznává, že jednotný patent platný ve všech zúčastněných členských státech nabízí žadatelům významné snížení nákladů,a to přibližně o 30 %, ve srovnání se získáním několika samostatných patentů;</w:t>
            </w:r>
            <w:r>
              <w:t xml:space="preserve"> </w:t>
            </w:r>
            <w:r>
              <w:rPr>
                <w:b/>
                <w:i/>
              </w:rPr>
              <w:t>v současné době jsou náklady na získání jednotného patentu platného pro všech 18 zúčastněných členských států rovnocenné s náklady na získání patentu ve čtyřech různých členských státech před zavedením jednotného patentu v roce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415</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21g.</w:t>
            </w:r>
            <w:r>
              <w:tab/>
            </w:r>
            <w:r>
              <w:rPr>
                <w:b/>
                <w:i/>
              </w:rPr>
              <w:t>je přesvědčen, že vytvoření podmínek pro to, aby inovativní podniky mohly fungovat v jednoduchém, jasném a předvídatelném prostředí, je klíčem k zajištění toho, aby tyto podniky mohly růst a rozvíjet se na jednotném trhu, neboť možnost přístupu na širší trh zvýší jejich schopnost přilákat investory;</w:t>
            </w:r>
            <w:r>
              <w:t xml:space="preserve"> </w:t>
            </w:r>
            <w:r>
              <w:rPr>
                <w:b/>
                <w:i/>
              </w:rPr>
              <w:t>zdůrazňuje význam politických rámců, které usnadňují a podporují spolupráci tím, že odstraňují překážky vyplývající z nekonzistentních vnitrostátních regulačních režimů a poskytují nezbytné pobídky, aby podpořily aktivní účast všech zúčastněných stran v inovačním ekosystému;</w:t>
            </w:r>
            <w:r>
              <w:t xml:space="preserve"> </w:t>
            </w:r>
            <w:r>
              <w:rPr>
                <w:b/>
                <w:i/>
              </w:rPr>
              <w:t>vyzývá k vytvoření mechanismů ke zmírnění rizik spojených s mezinárodní expanzí, které zajistí, aby začínající a rychle se rozvíjející podniky a malé a střední podniky měly nezbytnou podporu a pokyny pro zvládání nejistoty, která je na globálních trzích běžná;</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416</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h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21h.</w:t>
            </w:r>
            <w:r>
              <w:tab/>
            </w:r>
            <w:r>
              <w:rPr>
                <w:b/>
                <w:i/>
              </w:rPr>
              <w:t>vítá jmenování zmocněnce EU pro malé a střední podniky;</w:t>
            </w:r>
            <w:r>
              <w:t xml:space="preserve"> </w:t>
            </w:r>
            <w:r>
              <w:rPr>
                <w:b/>
                <w:i/>
              </w:rPr>
              <w:t>dále zdůrazňuje, že je nezbytné, aby tento zmocněnec provedl komplexní analýzu a pravidelně předkládal zprávy o stavu evropských začínajících a rychle se rozvíjejících podniků, včetně jejich každodenních problémů a složitých situací, v nichž se nachází;</w:t>
            </w:r>
            <w:r>
              <w:t xml:space="preserve"> </w:t>
            </w:r>
            <w:r>
              <w:rPr>
                <w:b/>
                <w:i/>
              </w:rPr>
              <w:t>vybízí Komisi, aby v příslušných generálních ředitelstvích určila kontaktní místa pro začínající a rychle se rozvíjející podniky s cílem lépe koordinovat specializovaná politická opatření;</w:t>
            </w:r>
            <w:r>
              <w:t xml:space="preserve"> </w:t>
            </w:r>
            <w:r>
              <w:rPr>
                <w:b/>
                <w:i/>
              </w:rPr>
              <w:t>vyzývá Komisi, aby v rámci sítě Enterprise Europe Network zřídila specializovanou síť poradců pro rozvíjející se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417</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i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21i.</w:t>
            </w:r>
            <w:r>
              <w:tab/>
            </w:r>
            <w:r>
              <w:rPr>
                <w:b/>
                <w:i/>
              </w:rPr>
              <w:t>zdůrazňuje, že je zcela nezbytné vytvořit inkluzivní ekosystém začínajících, rychle se rozvíjejících a malých a středních podniků, který poskytne rovné příležitosti k zaměstnání pro všechny, včetně mladých lidí, zkušených pracovníků a nedostatečně zastoupených skupin;</w:t>
            </w:r>
            <w:r>
              <w:t xml:space="preserve"> </w:t>
            </w:r>
            <w:r>
              <w:rPr>
                <w:b/>
                <w:i/>
              </w:rPr>
              <w:t>vyzývá Komisi a členské státy, aby navrhly proaktivní iniciativy a politiky, které budou aktivně prosazovat inkluzivnost tím, že budou řešit systémové překážky, předpojatost a předsudky a podpoří rovné podmínky pro nedostatečně zastoupené skupiny;</w:t>
            </w:r>
            <w:r>
              <w:t xml:space="preserve"> </w:t>
            </w:r>
            <w:r>
              <w:rPr>
                <w:b/>
                <w:i/>
              </w:rPr>
              <w:t>vybízí k rozvoji příslušných mentorských programů, příležitostí k vytváření sítí a vzdělávacích a jiných iniciativ, které se konkrétně zaměří na nedostatečně zastoupené skupiny;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418</w:t>
      </w:r>
      <w:r>
        <w:rPr>
          <w:rStyle w:val="HideTWBExt"/>
        </w:rPr>
        <w:t>&lt;/NumAm&gt;</w:t>
      </w:r>
    </w:p>
    <w:p>
      <w:pPr>
        <w:pStyle w:val="NormalBold"/>
      </w:pPr>
      <w:r>
        <w:rPr>
          <w:rStyle w:val="HideTWBExt"/>
          <w:b w:val="0"/>
        </w:rPr>
        <w:t>&lt;RepeatBlock-By&gt;</w:t>
      </w:r>
      <w:r>
        <w:rPr>
          <w:rStyle w:val="HideTWBExt"/>
          <w:b w:val="0"/>
        </w:rPr>
        <w:t>&lt;Members&gt;</w:t>
      </w:r>
      <w:r>
        <w:t>Tsvetelina Penkova, 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21 j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21j.</w:t>
            </w:r>
            <w:r>
              <w:tab/>
            </w:r>
            <w:r>
              <w:rPr>
                <w:b/>
                <w:i/>
              </w:rPr>
              <w:t>doporučuje posílit regionální ekosystémy pro začínající podniky, které propojují místní univerzity, podnikatele, podniky a subjekty veřejného sektoru, např. prostřednictvím inovačních středisek, podnikatelských inkubátorů, akcelerátorů a podniků pomáhajících vybudovat podnikání, s cílem využít silných stránek a zdrojů každého regionu;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419</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naléhavě vyzývá Komisi, aby se s ohledem na subsidiaritu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naléhavě vyzývá Komisi, aby se s ohledem na subsidiaritu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421</w:t>
      </w:r>
      <w:r>
        <w:rPr>
          <w:rStyle w:val="HideTWBExt"/>
        </w:rPr>
        <w:t>&lt;/NumAm&gt;</w:t>
      </w:r>
    </w:p>
    <w:p>
      <w:pPr>
        <w:pStyle w:val="NormalBold"/>
      </w:pPr>
      <w:r>
        <w:rPr>
          <w:rStyle w:val="HideTWBExt"/>
          <w:b w:val="0"/>
        </w:rPr>
        <w:t>&lt;RepeatBlock-By&gt;</w:t>
      </w:r>
      <w:r>
        <w:rPr>
          <w:rStyle w:val="HideTWBExt"/>
          <w:b w:val="0"/>
        </w:rPr>
        <w:t>&lt;Members&gt;</w:t>
      </w:r>
      <w:r>
        <w:t>Jonás Fernández, Tsvetelina Penkova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naléhavě vyzývá Komisi, aby se s ohledem na subsidiaritu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422</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naléhavě vyzývá Komisi, aby se s ohledem na subsidiaritu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423</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naléhavě vyzývá Komisi, aby se </w:t>
            </w:r>
            <w:r>
              <w:rPr>
                <w:b/>
                <w:i/>
              </w:rPr>
              <w:t>s ohledem na subsidiaritu</w:t>
            </w:r>
            <w:r>
              <w:t xml:space="preserve"> zaměřila na </w:t>
            </w:r>
            <w:r>
              <w:rPr>
                <w:b/>
                <w:i/>
              </w:rPr>
              <w:t>podporu příznivých podmínek</w:t>
            </w:r>
            <w:r>
              <w:t xml:space="preserve"> pro trhy</w:t>
            </w:r>
            <w:r>
              <w:rPr>
                <w:b/>
                <w:i/>
              </w:rPr>
              <w:t>,</w:t>
            </w:r>
            <w:r>
              <w:t xml:space="preserve"> relevantní společné jmenovatele pro členské státy a dobrovolné a doplňkové rámce;</w:t>
            </w:r>
          </w:p>
        </w:tc>
        <w:tc>
          <w:tcPr>
            <w:tcW w:w="4876" w:type="dxa"/>
            <w:tcBorders>
              <w:top w:val="nil"/>
              <w:left w:val="nil"/>
              <w:bottom w:val="nil"/>
              <w:right w:val="nil"/>
            </w:tcBorders>
          </w:tcPr>
          <w:p>
            <w:pPr>
              <w:pStyle w:val="Normal6a"/>
            </w:pPr>
            <w:r>
              <w:t>22.</w:t>
            </w:r>
            <w:r>
              <w:tab/>
            </w:r>
            <w:r>
              <w:t xml:space="preserve">naléhavě vyzývá Komisi, aby se zaměřila na </w:t>
            </w:r>
            <w:r>
              <w:rPr>
                <w:b/>
                <w:i/>
              </w:rPr>
              <w:t>odstranění překážek jednotného trhu, což umožní harmonizované rámcové podmínky</w:t>
            </w:r>
            <w:r>
              <w:t xml:space="preserve"> pro trhy </w:t>
            </w:r>
            <w:r>
              <w:rPr>
                <w:b/>
                <w:i/>
              </w:rPr>
              <w:t>a</w:t>
            </w:r>
            <w:r>
              <w:t xml:space="preserve"> relevantní společné jmenovatele pro členské státy a dobrovolné a doplňkové rámce </w:t>
            </w:r>
            <w:r>
              <w:rPr>
                <w:b/>
                <w:i/>
              </w:rPr>
              <w:t>a bude respektovat subsidiaritu a zásadu sebeomezování</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424</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naléhavě vyzývá Komisi, aby se </w:t>
            </w:r>
            <w:r>
              <w:rPr>
                <w:b/>
                <w:i/>
              </w:rPr>
              <w:t>s ohledem na subsidiaritu</w:t>
            </w:r>
            <w:r>
              <w:t xml:space="preserve">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t>22.</w:t>
            </w:r>
            <w:r>
              <w:tab/>
            </w:r>
            <w:r>
              <w:t xml:space="preserve">naléhavě vyzývá Komisi, aby se </w:t>
            </w:r>
            <w:r>
              <w:rPr>
                <w:b/>
                <w:i/>
              </w:rPr>
              <w:t>kromě svých iniciativ k vytvoření unie úspor a investic</w:t>
            </w:r>
            <w:r>
              <w:t xml:space="preserve"> zaměřila na podporu příznivých podmínek pro trhy, relevantní společné jmenovatele pro členské státy a dobrovolné a doplňkové rámce;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425</w:t>
      </w:r>
      <w:r>
        <w:rPr>
          <w:rStyle w:val="HideTWBExt"/>
        </w:rPr>
        <w:t>&lt;/NumAm&gt;</w:t>
      </w:r>
    </w:p>
    <w:p>
      <w:pPr>
        <w:pStyle w:val="NormalBold"/>
      </w:pPr>
      <w:r>
        <w:rPr>
          <w:rStyle w:val="HideTWBExt"/>
          <w:b w:val="0"/>
        </w:rPr>
        <w:t>&lt;RepeatBlock-By&gt;</w:t>
      </w:r>
      <w:r>
        <w:rPr>
          <w:rStyle w:val="HideTWBExt"/>
          <w:b w:val="0"/>
        </w:rPr>
        <w:t>&lt;Members&gt;</w:t>
      </w:r>
      <w:r>
        <w:t>Sirpa Pietikäinen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naléhavě vyzývá Komisi, aby se </w:t>
            </w:r>
            <w:r>
              <w:rPr>
                <w:b/>
                <w:i/>
              </w:rPr>
              <w:t>s ohledem na subsidiaritu</w:t>
            </w:r>
            <w:r>
              <w:t xml:space="preserve"> zaměřila na podporu příznivých podmínek pro trhy, relevantní společné jmenovatele pro členské státy a dobrovolné a doplňkové rámce;</w:t>
            </w:r>
          </w:p>
        </w:tc>
        <w:tc>
          <w:tcPr>
            <w:tcW w:w="4876" w:type="dxa"/>
            <w:tcBorders>
              <w:top w:val="nil"/>
              <w:left w:val="nil"/>
              <w:bottom w:val="nil"/>
              <w:right w:val="nil"/>
            </w:tcBorders>
          </w:tcPr>
          <w:p>
            <w:pPr>
              <w:pStyle w:val="Normal6a"/>
            </w:pPr>
            <w:r>
              <w:t>22.</w:t>
            </w:r>
            <w:r>
              <w:tab/>
            </w:r>
            <w:r>
              <w:t>naléhavě vyzývá Komisi, aby se zaměřila na podporu příznivých podmínek pro trhy, relevantní společné jmenovatele pro členské státy a dobrovolné a doplňkové rámce;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naléhavě vyzývá k přijetí komplexní a strukturované strategie na úrovni Unie na podporu malých a středních podniků v ostrovních, vnitrozemských, nejvzdálenějších a hospodářsky znevýhodněných regionech a ve všech oblastech Unie, které trpí v důsledku přírodních znevýhodnění, jako je ostrovní povaha nebo odlehlost;</w:t>
            </w:r>
            <w:r>
              <w:t xml:space="preserve"> </w:t>
            </w:r>
            <w:r>
              <w:rPr>
                <w:b/>
                <w:i/>
              </w:rPr>
              <w:t>zdůrazňuje, že je třeba zajistit větší regulační flexibilitu a snížit byrokracii pro podniky působící v těchto oblastech, se zvláštním zaměřením na ostrovní a křehčí kontext v EU;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427</w:t>
      </w:r>
      <w:r>
        <w:rPr>
          <w:rStyle w:val="HideTWBExt"/>
        </w:rPr>
        <w:t>&lt;/NumAm&gt;</w:t>
      </w:r>
    </w:p>
    <w:p>
      <w:pPr>
        <w:pStyle w:val="NormalBold"/>
      </w:pPr>
      <w:r>
        <w:rPr>
          <w:rStyle w:val="HideTWBExt"/>
          <w:b w:val="0"/>
        </w:rPr>
        <w:t>&lt;RepeatBlock-By&gt;</w:t>
      </w:r>
      <w:r>
        <w:rPr>
          <w:rStyle w:val="HideTWBExt"/>
          <w:b w:val="0"/>
        </w:rPr>
        <w:t>&lt;Members&gt;</w:t>
      </w:r>
      <w:r>
        <w:t>Michalis Hadjipantela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vyzývá Evropskou komisi, aby vytvořila a provedla cílené finanční nástroje přizpůsobené potřebám menších ekonomik a podniků a zajistila spravedlivý přístup k možnostem financování;</w:t>
            </w:r>
            <w:r>
              <w:t xml:space="preserve"> </w:t>
            </w:r>
            <w:r>
              <w:rPr>
                <w:b/>
                <w:i/>
              </w:rPr>
              <w:t>zdůrazňuje, že cílem těchto iniciativ by mělo být podnítit inovace, podpořit udržitelný hospodářský růst a snížit rozdíly v investicích v rámci Unie, a tím přispět k celkové soudržnosti a konkurenceschopnosti evropské ekonomiky;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428</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vybízí k zachování harmonizovaných donucovacích mechanismů a minimálních norem pro sankce ve všech členských státech s cílem zajistit právní jistotu pro malé a střední podniky působící napříč hranicemi na jednotném trhu;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429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22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vyzývá k odstranění překážek pro přeshraniční investice a k posílení unie kapitálových trhů s cílem usnadnit přístup malých a středních podniků na kapitálové i dluhové trhy;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430</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vyzývá Komisi, aby objasnila, z jakých částí se bude 28. právní režim skládat, a připomíná, že tento režim musí být dobrovolný a musí plně respektovat režimy členských států;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vyzývá Komisi, aby objasnila, z jakých částí se bude 28. právní režim skládat, a připomíná, že tento režim musí být dobrovolný a musí plně respektovat režimy členských států;</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432</w:t>
      </w:r>
      <w:r>
        <w:rPr>
          <w:rStyle w:val="HideTWBExt"/>
        </w:rPr>
        <w:t>&lt;/NumAm&gt;</w:t>
      </w:r>
    </w:p>
    <w:p>
      <w:pPr>
        <w:pStyle w:val="NormalBold"/>
      </w:pPr>
      <w:r>
        <w:rPr>
          <w:rStyle w:val="HideTWBExt"/>
          <w:b w:val="0"/>
        </w:rPr>
        <w:t>&lt;RepeatBlock-By&gt;</w:t>
      </w:r>
      <w:r>
        <w:rPr>
          <w:rStyle w:val="HideTWBExt"/>
          <w:b w:val="0"/>
        </w:rPr>
        <w:t>&lt;Members&gt;</w:t>
      </w:r>
      <w:r>
        <w:t>Michalis Hadjipantela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vyzývá Komisi, aby objasnila, z jakých částí se bude 28. právní režim skládat, a připomíná, že tento režim musí být</w:t>
            </w:r>
            <w:r>
              <w:t xml:space="preserve"> dobrovolný </w:t>
            </w:r>
            <w:r>
              <w:rPr>
                <w:b/>
                <w:i/>
              </w:rPr>
              <w:t>a musí plně respektovat režimy členských států</w:t>
            </w:r>
            <w:r>
              <w:t>;</w:t>
            </w:r>
          </w:p>
        </w:tc>
        <w:tc>
          <w:tcPr>
            <w:tcW w:w="4876" w:type="dxa"/>
            <w:tcBorders>
              <w:top w:val="nil"/>
              <w:left w:val="nil"/>
              <w:bottom w:val="nil"/>
              <w:right w:val="nil"/>
            </w:tcBorders>
          </w:tcPr>
          <w:p>
            <w:pPr>
              <w:pStyle w:val="Normal6a"/>
            </w:pPr>
            <w:r>
              <w:t>23.</w:t>
            </w:r>
            <w:r>
              <w:tab/>
            </w:r>
            <w:r>
              <w:rPr>
                <w:b/>
                <w:i/>
              </w:rPr>
              <w:t>vítá Lettovu zprávu a odkaz na</w:t>
            </w:r>
            <w:r>
              <w:t xml:space="preserve"> dobrovolný </w:t>
            </w:r>
            <w:r>
              <w:rPr>
                <w:b/>
                <w:i/>
              </w:rPr>
              <w:t>28. režim, který se zaměří na přilákání a udržení inovativních začínajících podniků v Evropské unii</w:t>
            </w:r>
            <w:r>
              <w:t xml:space="preserve">; </w:t>
            </w:r>
            <w:r>
              <w:rPr>
                <w:b/>
                <w:i/>
              </w:rPr>
              <w:t>zdůrazňuje, že režim by měl dodržovat zásadu subsidiarity, snížit náklady na dodržování předpisů, podporovat přeshraniční investice a zahrnovat daňová pravidla, která jsou atraktivní, jednoduchá a minimalizují narušení a zároveň zajišťují, aby mohl pokračovat boj proti daňovým únikům;</w:t>
            </w:r>
            <w:r>
              <w:t xml:space="preserve"> </w:t>
            </w:r>
            <w:r>
              <w:rPr>
                <w:b/>
                <w:i/>
              </w:rPr>
              <w:t>zdůrazňuje, že dodržování těchto zásad je klíčem k tomu, aby se EU stala předním centrem investic a inovací;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433</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w:t>
            </w:r>
            <w:r>
              <w:rPr>
                <w:b/>
                <w:i/>
              </w:rPr>
              <w:t>připomíná, že tento režim musí být dobrovolný a musí plně respektovat režimy</w:t>
            </w:r>
            <w:r>
              <w:t xml:space="preserve"> členských států;</w:t>
            </w:r>
          </w:p>
        </w:tc>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w:t>
            </w:r>
            <w:r>
              <w:rPr>
                <w:b/>
                <w:i/>
              </w:rPr>
              <w:t>aby posoudila potenciální využití a dopad tohoto režimu;</w:t>
            </w:r>
            <w:r>
              <w:t xml:space="preserve"> </w:t>
            </w:r>
            <w:r>
              <w:rPr>
                <w:b/>
                <w:i/>
              </w:rPr>
              <w:t>domnívá se, že Komise by neměla neomezeně usilovat o přístup EU-27 k unii úspor a investic, neboť unie úspor a investic je pro konkurenceschopnost EU příliš důležitá na to, aby se její realizace dále odkládala;</w:t>
            </w:r>
            <w:r>
              <w:t xml:space="preserve"> </w:t>
            </w:r>
            <w:r>
              <w:rPr>
                <w:b/>
                <w:i/>
              </w:rPr>
              <w:t>zdůrazňuje, že by mělo být možné pokročit v unii úspor a investic s menší skupinou</w:t>
            </w:r>
            <w:r>
              <w:t xml:space="preserve"> členských států </w:t>
            </w:r>
            <w:r>
              <w:rPr>
                <w:b/>
                <w:i/>
              </w:rPr>
              <w:t>nebo koalicí ochotných</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434</w:t>
      </w:r>
      <w:r>
        <w:rPr>
          <w:rStyle w:val="HideTWBExt"/>
        </w:rPr>
        <w:t>&lt;/NumAm&gt;</w:t>
      </w:r>
    </w:p>
    <w:p>
      <w:pPr>
        <w:pStyle w:val="NormalBold"/>
      </w:pPr>
      <w:r>
        <w:rPr>
          <w:rStyle w:val="HideTWBExt"/>
          <w:b w:val="0"/>
        </w:rPr>
        <w:t>&lt;RepeatBlock-By&gt;</w:t>
      </w:r>
      <w:r>
        <w:rPr>
          <w:rStyle w:val="HideTWBExt"/>
          <w:b w:val="0"/>
        </w:rPr>
        <w:t>&lt;Members&gt;</w:t>
      </w:r>
      <w:r>
        <w:t>Isabel Benjumea Benjumea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vyzývá Komisi, aby objasnila, z jakých částí se bude 28. právní režim skládat, a připomíná, že tento režim musí být dobrovolný a musí plně respektovat režimy členských států;</w:t>
            </w:r>
          </w:p>
        </w:tc>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připomíná, že tento režim musí být dobrovolný a musí plně respektovat režimy členských států; </w:t>
            </w:r>
            <w:r>
              <w:rPr>
                <w:b/>
                <w:i/>
              </w:rPr>
              <w:t>v tomto ohledu připomíná, že soukromý sektor je klíčem k rozvoji a že by proto mělo být prioritou naslouchat jeho potřebám, aby se nevytvářela větší zátěž v podobě legislativní nejistoty;</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435</w:t>
      </w:r>
      <w:r>
        <w:rPr>
          <w:rStyle w:val="HideTWBExt"/>
        </w:rPr>
        <w:t>&lt;/NumAm&gt;</w:t>
      </w:r>
    </w:p>
    <w:p>
      <w:pPr>
        <w:pStyle w:val="NormalBold"/>
      </w:pPr>
      <w:r>
        <w:rPr>
          <w:rStyle w:val="HideTWBExt"/>
          <w:b w:val="0"/>
        </w:rPr>
        <w:t>&lt;RepeatBlock-By&gt;</w:t>
      </w:r>
      <w:r>
        <w:rPr>
          <w:rStyle w:val="HideTWBExt"/>
          <w:b w:val="0"/>
        </w:rPr>
        <w:t>&lt;Members&gt;</w:t>
      </w:r>
      <w:r>
        <w:t>Fernando Navarrete Rojas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w:t>
            </w:r>
            <w:r>
              <w:rPr>
                <w:b/>
                <w:i/>
              </w:rPr>
              <w:t>připomíná, že tento</w:t>
            </w:r>
            <w:r>
              <w:t xml:space="preserve"> režim </w:t>
            </w:r>
            <w:r>
              <w:rPr>
                <w:b/>
                <w:i/>
              </w:rPr>
              <w:t>musí být dobrovolný a musí plně respektovat režimy členských států</w:t>
            </w:r>
            <w:r>
              <w:t>;</w:t>
            </w:r>
          </w:p>
        </w:tc>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w:t>
            </w:r>
            <w:r>
              <w:rPr>
                <w:b/>
                <w:i/>
              </w:rPr>
              <w:t>aby se dále zabývala tím, jakou přidanou hodnotu může</w:t>
            </w:r>
            <w:r>
              <w:t xml:space="preserve"> režim </w:t>
            </w:r>
            <w:r>
              <w:rPr>
                <w:b/>
                <w:i/>
              </w:rPr>
              <w:t>poskytnout při vytváření harmonizovanějšího ekosystému financování malých a středních podniků, který je atraktivní pro evropské a zahraniční kapitálové investice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436</w:t>
      </w:r>
      <w:r>
        <w:rPr>
          <w:rStyle w:val="HideTWBExt"/>
        </w:rPr>
        <w:t>&lt;/NumAm&gt;</w:t>
      </w:r>
    </w:p>
    <w:p>
      <w:pPr>
        <w:pStyle w:val="NormalBold"/>
      </w:pPr>
      <w:r>
        <w:rPr>
          <w:rStyle w:val="HideTWBExt"/>
          <w:b w:val="0"/>
        </w:rPr>
        <w:t>&lt;RepeatBlock-By&gt;</w:t>
      </w:r>
      <w:r>
        <w:rPr>
          <w:rStyle w:val="HideTWBExt"/>
          <w:b w:val="0"/>
        </w:rPr>
        <w:t>&lt;Members&gt;</w:t>
      </w:r>
      <w:r>
        <w:t>Pascal Canfin,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vyzývá Komisi, aby </w:t>
            </w:r>
            <w:r>
              <w:rPr>
                <w:b/>
                <w:i/>
              </w:rPr>
              <w:t>objasnila, z jakých částí se bude 28. právní režim skládat, a připomíná, že tento režim musí být dobrovolný a musí plně respektovat režimy členských států</w:t>
            </w:r>
            <w:r>
              <w:t>;</w:t>
            </w:r>
          </w:p>
        </w:tc>
        <w:tc>
          <w:tcPr>
            <w:tcW w:w="4876" w:type="dxa"/>
            <w:tcBorders>
              <w:top w:val="nil"/>
              <w:left w:val="nil"/>
              <w:bottom w:val="nil"/>
              <w:right w:val="nil"/>
            </w:tcBorders>
          </w:tcPr>
          <w:p>
            <w:pPr>
              <w:pStyle w:val="Normal6a"/>
            </w:pPr>
            <w:r>
              <w:t>23.</w:t>
            </w:r>
            <w:r>
              <w:tab/>
            </w:r>
            <w:r>
              <w:t xml:space="preserve">vyzývá Komisi, aby </w:t>
            </w:r>
            <w:r>
              <w:rPr>
                <w:b/>
                <w:i/>
              </w:rPr>
              <w:t>přijala ambiciózní návrh 28. režimu s cílem pomoci začínajícím podnikům stát se evropskými technologickými špičkami a posílit jejich globální konkurenceschopnost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437</w:t>
      </w:r>
      <w:r>
        <w:rPr>
          <w:rStyle w:val="HideTWBExt"/>
        </w:rPr>
        <w:t>&lt;/NumAm&gt;</w:t>
      </w:r>
    </w:p>
    <w:p>
      <w:pPr>
        <w:pStyle w:val="NormalBold"/>
      </w:pPr>
      <w:r>
        <w:rPr>
          <w:rStyle w:val="HideTWBExt"/>
          <w:b w:val="0"/>
        </w:rPr>
        <w:t>&lt;RepeatBlock-By&gt;</w:t>
      </w:r>
      <w:r>
        <w:rPr>
          <w:rStyle w:val="HideTWBExt"/>
          <w:b w:val="0"/>
        </w:rPr>
        <w:t>&lt;Members&gt;</w:t>
      </w:r>
      <w:r>
        <w:t>Jonás Fernández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vyzývá Komisi, aby objasnila, z jakých částí </w:t>
            </w:r>
            <w:r>
              <w:rPr>
                <w:b/>
                <w:i/>
              </w:rPr>
              <w:t>se bude</w:t>
            </w:r>
            <w:r>
              <w:t xml:space="preserve"> 28. právní režim skládat, a </w:t>
            </w:r>
            <w:r>
              <w:rPr>
                <w:b/>
                <w:i/>
              </w:rPr>
              <w:t>připomíná, že tento režim musí být dobrovolný a musí plně respektovat režimy členských států</w:t>
            </w:r>
            <w:r>
              <w:t>;</w:t>
            </w:r>
          </w:p>
        </w:tc>
        <w:tc>
          <w:tcPr>
            <w:tcW w:w="4876" w:type="dxa"/>
            <w:tcBorders>
              <w:top w:val="nil"/>
              <w:left w:val="nil"/>
              <w:bottom w:val="nil"/>
              <w:right w:val="nil"/>
            </w:tcBorders>
          </w:tcPr>
          <w:p>
            <w:pPr>
              <w:pStyle w:val="Normal6a"/>
            </w:pPr>
            <w:r>
              <w:t>23.</w:t>
            </w:r>
            <w:r>
              <w:tab/>
            </w:r>
            <w:r>
              <w:t xml:space="preserve">vyzývá Komisi, aby objasnila, z jakých částí </w:t>
            </w:r>
            <w:r>
              <w:rPr>
                <w:b/>
                <w:i/>
              </w:rPr>
              <w:t>by se mohl</w:t>
            </w:r>
            <w:r>
              <w:t xml:space="preserve"> 28. právní režim skládat, a </w:t>
            </w:r>
            <w:r>
              <w:rPr>
                <w:b/>
                <w:i/>
              </w:rPr>
              <w:t>varuje před rizikem roztříštěnosti, kterou by mohl způsobit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438</w:t>
      </w:r>
      <w:r>
        <w:rPr>
          <w:rStyle w:val="HideTWBExt"/>
        </w:rPr>
        <w:t>&lt;/NumAm&gt;</w:t>
      </w:r>
    </w:p>
    <w:p>
      <w:pPr>
        <w:pStyle w:val="NormalBold"/>
      </w:pPr>
      <w:r>
        <w:rPr>
          <w:rStyle w:val="HideTWBExt"/>
          <w:b w:val="0"/>
        </w:rPr>
        <w:t>&lt;RepeatBlock-By&gt;</w:t>
      </w:r>
      <w:r>
        <w:rPr>
          <w:rStyle w:val="HideTWBExt"/>
          <w:b w:val="0"/>
        </w:rPr>
        <w:t>&lt;Members&gt;</w:t>
      </w:r>
      <w:r>
        <w:t>Anouk Van Brug, Billy Kelleher, Stéphanie Yon-Courtin, Gilles Boyer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připomíná, že </w:t>
            </w:r>
            <w:r>
              <w:rPr>
                <w:b/>
                <w:i/>
              </w:rPr>
              <w:t>tento režim musí být dobrovolný a musí plně respektovat režimy členských států</w:t>
            </w:r>
            <w:r>
              <w:t>;</w:t>
            </w:r>
          </w:p>
        </w:tc>
        <w:tc>
          <w:tcPr>
            <w:tcW w:w="4876" w:type="dxa"/>
            <w:tcBorders>
              <w:top w:val="nil"/>
              <w:left w:val="nil"/>
              <w:bottom w:val="nil"/>
              <w:right w:val="nil"/>
            </w:tcBorders>
          </w:tcPr>
          <w:p>
            <w:pPr>
              <w:pStyle w:val="Normal6a"/>
            </w:pPr>
            <w:r>
              <w:t>23.</w:t>
            </w:r>
            <w:r>
              <w:tab/>
            </w:r>
            <w:r>
              <w:t xml:space="preserve">vyzývá Komisi, aby objasnila, z jakých částí se bude 28. právní režim skládat, a připomíná, že </w:t>
            </w:r>
            <w:r>
              <w:rPr>
                <w:b/>
                <w:i/>
              </w:rPr>
              <w:t>musí přinášet jasnou přidanou hodnotu na úrovni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439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zdůrazňuje, že Evropská investiční banka (EIB) hraje rozhodující úlohu při rozvoji trhů rizikového kapitálu v EU;</w:t>
            </w:r>
            <w:r>
              <w:t xml:space="preserve"> </w:t>
            </w:r>
            <w:r>
              <w:rPr>
                <w:b/>
                <w:i/>
              </w:rPr>
              <w:t>vyzývá Komisi a skupinu EIB, aby přijaly opatření na podporu zapojení institucionálních investorů do rizikového kapitálu tím, že jim pomohou budovat odborné znalosti v oblasti rizikového kapitálu;</w:t>
            </w:r>
            <w:r>
              <w:t xml:space="preserve"> </w:t>
            </w:r>
            <w:r>
              <w:rPr>
                <w:b/>
                <w:i/>
              </w:rPr>
              <w:t>vyzývá proto skupinu EIB, aby vytvořila evropské technologické fórum, které by sdružovalo celý ekosystém rizikového kapitálu, s cílem posílit zapojení institucionálních investorů podle vzoru iniciativy „Tibi“;</w:t>
            </w:r>
            <w:r>
              <w:t xml:space="preserve"> </w:t>
            </w:r>
            <w:r>
              <w:rPr>
                <w:b/>
                <w:i/>
              </w:rPr>
              <w:t>vyzývá EIB, aby těmto investorům nabídla možnost zapojit se do systému společných investic mezi Evropským investičním fondem a institucionálními investory, a to za transparentních a předem dohodnutých podmínek;</w:t>
            </w:r>
            <w:r>
              <w:t xml:space="preserve"> </w:t>
            </w:r>
            <w:r>
              <w:rPr>
                <w:b/>
                <w:i/>
              </w:rPr>
              <w:t>zdůrazňuje, že lepší komunikace a informační úsilí EIB má zásadní význam pro zajištění toho, aby začínající a rychle se rozvíjející podniky mohly plně těžit z nástrojů a finanční podpory EIB;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440</w:t>
      </w:r>
      <w:r>
        <w:rPr>
          <w:rStyle w:val="HideTWBExt"/>
        </w:rPr>
        <w:t>&lt;/NumAm&gt;</w:t>
      </w:r>
    </w:p>
    <w:p>
      <w:pPr>
        <w:pStyle w:val="NormalBold"/>
      </w:pPr>
      <w:r>
        <w:rPr>
          <w:rStyle w:val="HideTWBExt"/>
          <w:b w:val="0"/>
        </w:rPr>
        <w:t>&lt;RepeatBlock-By&gt;</w:t>
      </w:r>
      <w:r>
        <w:rPr>
          <w:rStyle w:val="HideTWBExt"/>
          <w:b w:val="0"/>
        </w:rPr>
        <w:t>&lt;Members&gt;</w:t>
      </w:r>
      <w:r>
        <w:t>Herbert Dorfmann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23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vyzývá Komisi, aby zjednodušila vnitrostátní pravidla pro uvádění fondů rizikového kapitálu na trh a na ochranu investorů;</w:t>
            </w:r>
            <w:r>
              <w:t xml:space="preserve"> </w:t>
            </w:r>
            <w:r>
              <w:rPr>
                <w:b/>
                <w:i/>
              </w:rPr>
              <w:t>uznává, že vnitrostátní právní předpisy a postupy se obtížně mění;</w:t>
            </w:r>
            <w:r>
              <w:t xml:space="preserve"> </w:t>
            </w:r>
            <w:r>
              <w:rPr>
                <w:b/>
                <w:i/>
              </w:rPr>
              <w:t>navrhuje využít budoucího 28. režimu k začlenění celoevropského rámce rizikového kapitálu jako součásti tohoto režimu;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441</w:t>
      </w:r>
      <w:r>
        <w:rPr>
          <w:rStyle w:val="HideTWBExt"/>
        </w:rPr>
        <w:t>&lt;/NumAm&gt;</w:t>
      </w:r>
    </w:p>
    <w:p>
      <w:pPr>
        <w:pStyle w:val="NormalBold"/>
      </w:pPr>
      <w:r>
        <w:rPr>
          <w:rStyle w:val="HideTWBExt"/>
          <w:b w:val="0"/>
        </w:rPr>
        <w:t>&lt;RepeatBlock-By&gt;</w:t>
      </w:r>
      <w:r>
        <w:rPr>
          <w:rStyle w:val="HideTWBExt"/>
          <w:b w:val="0"/>
        </w:rPr>
        <w:t>&lt;Members&gt;</w:t>
      </w:r>
      <w:r>
        <w:t>Gaetano Pedulla'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443</w:t>
      </w:r>
      <w:r>
        <w:rPr>
          <w:rStyle w:val="HideTWBExt"/>
        </w:rPr>
        <w:t>&lt;/NumAm&gt;</w:t>
      </w:r>
    </w:p>
    <w:p>
      <w:pPr>
        <w:pStyle w:val="NormalBold"/>
      </w:pPr>
      <w:r>
        <w:rPr>
          <w:rStyle w:val="HideTWBExt"/>
          <w:b w:val="0"/>
        </w:rPr>
        <w:t>&lt;RepeatBlock-By&gt;</w:t>
      </w:r>
      <w:r>
        <w:rPr>
          <w:rStyle w:val="HideTWBExt"/>
          <w:b w:val="0"/>
        </w:rPr>
        <w:t>&lt;Members&gt;</w:t>
      </w:r>
      <w:r>
        <w:t>Gilles Boyer, Billy Kelleher, Stéphanie Yon-Courtin, Pascal Canfin, Anouk Van Brug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c>
          <w:tcPr>
            <w:tcW w:w="4876" w:type="dxa"/>
            <w:tcBorders>
              <w:top w:val="nil"/>
              <w:left w:val="nil"/>
              <w:bottom w:val="nil"/>
              <w:right w:val="nil"/>
            </w:tcBorders>
          </w:tcPr>
          <w:p>
            <w:pPr>
              <w:pStyle w:val="Normal6a"/>
            </w:pPr>
            <w:r>
              <w:t>24.</w:t>
            </w:r>
            <w:r>
              <w:tab/>
            </w:r>
            <w: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r>
              <w:rPr>
                <w:b/>
                <w:i/>
              </w:rPr>
              <w:t>, dokud nebude dosaženo konvergence na úrovni EU, pokud jde o stávající roztříštěnost insolvenčních právních předpisů mezi členskými státy</w:t>
            </w:r>
            <w:r>
              <w:t xml:space="preserve">; </w:t>
            </w:r>
            <w:r>
              <w:rPr>
                <w:b/>
                <w:i/>
              </w:rPr>
              <w:t>vyzývá Komisi, aby tento závažný problém urychleně řešila, jak je zdůrazněno v Draghiho a Lettově zprávě, a zdůrazňuje důležitou úlohu, kterou by tento problém hrál při vytváření unie úspor a investic;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444</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c>
          <w:tcPr>
            <w:tcW w:w="4876" w:type="dxa"/>
            <w:tcBorders>
              <w:top w:val="nil"/>
              <w:left w:val="nil"/>
              <w:bottom w:val="nil"/>
              <w:right w:val="nil"/>
            </w:tcBorders>
          </w:tcPr>
          <w:p>
            <w:pPr>
              <w:pStyle w:val="Normal6a"/>
            </w:pPr>
            <w:r>
              <w:t>24.</w:t>
            </w:r>
            <w:r>
              <w:tab/>
            </w:r>
            <w:r>
              <w:t xml:space="preserve">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 </w:t>
            </w:r>
            <w:r>
              <w:rPr>
                <w:b/>
                <w:i/>
              </w:rPr>
              <w:t>požaduje větší podporu pro posílení digitálních a finančních kapacit malých a středních podniků a jejich kapacit souvisejících s udržitelností, mimo jiné prostřednictvím poradenských center, zjednodušených poradenských nástrojů, on-line navigačních platforem a přeshraničních programů odborné přípravy;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445</w:t>
      </w:r>
      <w:r>
        <w:rPr>
          <w:rStyle w:val="HideTWBExt"/>
        </w:rPr>
        <w:t>&lt;/NumAm&gt;</w:t>
      </w:r>
    </w:p>
    <w:p>
      <w:pPr>
        <w:pStyle w:val="NormalBold"/>
      </w:pPr>
      <w:r>
        <w:rPr>
          <w:rStyle w:val="HideTWBExt"/>
          <w:b w:val="0"/>
        </w:rPr>
        <w:t>&lt;RepeatBlock-By&gt;</w:t>
      </w:r>
      <w:r>
        <w:rPr>
          <w:rStyle w:val="HideTWBExt"/>
          <w:b w:val="0"/>
        </w:rPr>
        <w:t>&lt;Members&gt;</w:t>
      </w:r>
      <w:r>
        <w:t>Markus Ferber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vyzývá Komisi, aby s podporou orgánů členských států vypracovala podnikatelské pokyny pro malé a střední podniky a rychle se rozvíjející podniky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c>
          <w:tcPr>
            <w:tcW w:w="4876" w:type="dxa"/>
            <w:tcBorders>
              <w:top w:val="nil"/>
              <w:left w:val="nil"/>
              <w:bottom w:val="nil"/>
              <w:right w:val="nil"/>
            </w:tcBorders>
          </w:tcPr>
          <w:p>
            <w:pPr>
              <w:pStyle w:val="Normal6a"/>
            </w:pPr>
            <w:r>
              <w:t>24.</w:t>
            </w:r>
            <w:r>
              <w:tab/>
            </w:r>
            <w:r>
              <w:t xml:space="preserve">vyzývá Komisi, aby s podporou orgánů členských států vypracovala podnikatelské pokyny pro malé a střední podniky a rychle se rozvíjející podniky </w:t>
            </w:r>
            <w:r>
              <w:rPr>
                <w:b/>
                <w:i/>
              </w:rPr>
              <w:t>a aby pro tyto podniky vytvořila jednotná kontaktní místa</w:t>
            </w:r>
            <w:r>
              <w:t xml:space="preserve"> s cílem pomoci jim orientovat se v různých právních systémech v celé EU s ohledem na záležitosti, jako je právo obchodních společností, pracovní právo, insolvenční právo, daňové právo, práva duševního vlastnictví a možnosti vnitrostátního financování;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446</w:t>
      </w:r>
      <w:r>
        <w:rPr>
          <w:rStyle w:val="HideTWBExt"/>
        </w:rPr>
        <w:t>&lt;/NumAm&gt;</w:t>
      </w:r>
    </w:p>
    <w:p>
      <w:pPr>
        <w:pStyle w:val="NormalBold"/>
      </w:pPr>
      <w:r>
        <w:rPr>
          <w:rStyle w:val="HideTWBExt"/>
          <w:b w:val="0"/>
        </w:rPr>
        <w:t>&lt;RepeatBlock-By&gt;</w:t>
      </w:r>
      <w:r>
        <w:rPr>
          <w:rStyle w:val="HideTWBExt"/>
          <w:b w:val="0"/>
        </w:rPr>
        <w:t>&lt;Members&gt;</w:t>
      </w:r>
      <w:r>
        <w:t>Dirk Gotink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vyzývá Komisi, aby </w:t>
            </w:r>
            <w:r>
              <w:rPr>
                <w:b/>
                <w:i/>
              </w:rPr>
              <w:t>s podporou orgánů členských států vypracovala podnikatelské pokyny pro malé a střední podniky a rychle se rozvíjející podniky s cílem pomoci jim orientovat se v různých právních systémech v celé EU s ohledem na záležitosti, jako je právo</w:t>
            </w:r>
            <w:r>
              <w:t xml:space="preserve"> obchodních společností, </w:t>
            </w:r>
            <w:r>
              <w:rPr>
                <w:b/>
                <w:i/>
              </w:rPr>
              <w:t>pracovní právo, insolvenční právo, daňové právo,</w:t>
            </w:r>
            <w:r>
              <w:t xml:space="preserve"> práva duševního vlastnictví </w:t>
            </w:r>
            <w:r>
              <w:rPr>
                <w:b/>
                <w:i/>
              </w:rPr>
              <w:t>a možnosti vnitrostátního financování</w:t>
            </w:r>
            <w:r>
              <w:t>;</w:t>
            </w:r>
          </w:p>
        </w:tc>
        <w:tc>
          <w:tcPr>
            <w:tcW w:w="4876" w:type="dxa"/>
            <w:tcBorders>
              <w:top w:val="nil"/>
              <w:left w:val="nil"/>
              <w:bottom w:val="nil"/>
              <w:right w:val="nil"/>
            </w:tcBorders>
          </w:tcPr>
          <w:p>
            <w:pPr>
              <w:pStyle w:val="Normal6a"/>
            </w:pPr>
            <w:r>
              <w:t>24.</w:t>
            </w:r>
            <w:r>
              <w:tab/>
            </w:r>
            <w:r>
              <w:t xml:space="preserve">vyzývá Komisi, aby </w:t>
            </w:r>
            <w:r>
              <w:rPr>
                <w:b/>
                <w:i/>
              </w:rPr>
              <w:t>určila relevantní aspekty práva</w:t>
            </w:r>
            <w:r>
              <w:t xml:space="preserve"> obchodních společností, </w:t>
            </w:r>
            <w:r>
              <w:rPr>
                <w:b/>
                <w:i/>
              </w:rPr>
              <w:t>insolvenčního</w:t>
            </w:r>
            <w:r>
              <w:t xml:space="preserve"> práva </w:t>
            </w:r>
            <w:r>
              <w:rPr>
                <w:b/>
                <w:i/>
              </w:rPr>
              <w:t>a práv</w:t>
            </w:r>
            <w:r>
              <w:t xml:space="preserve"> duševního vlastnictví </w:t>
            </w:r>
            <w:r>
              <w:rPr>
                <w:b/>
                <w:i/>
              </w:rPr>
              <w:t>členských států, které by mohly být ve střednědobém horizontu reálně lépe sladěny a měly by jasný dodatečný přínos, pokud jde o konkurenceschopnost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doporučuje, aby Evropský investiční fond (EIF) zveřejňoval anonymizované podrobné údaje o výnosech a další klíčové statistiky o fondech podporovaných EIF;</w:t>
            </w:r>
            <w:r>
              <w:t xml:space="preserve"> </w:t>
            </w:r>
            <w:r>
              <w:rPr>
                <w:b/>
                <w:i/>
              </w:rPr>
              <w:t>vyzývá k navýšení rozpočtu EIF s cílem posílit ekosystém rizikového kapitálu EU v souladu s doporučením Draghiho zprávy;</w:t>
            </w:r>
            <w:r>
              <w:t xml:space="preserve"> </w:t>
            </w:r>
            <w:r>
              <w:rPr>
                <w:b/>
                <w:i/>
              </w:rPr>
              <w:t>vyzývá EIF, aby zvýšil podíl svých investic, které mají pozitivní dopad na životní prostředí, a aby stanovil a prosazoval přísné podmínky udržitelnosti;</w:t>
            </w:r>
            <w:r>
              <w:t xml:space="preserve"> </w:t>
            </w:r>
            <w:r>
              <w:rPr>
                <w:b/>
                <w:i/>
              </w:rPr>
              <w:t>žádá EIF, aby šel příkladem a požadoval od svých finančních zprostředkovatelů, aby přezkoumali a ověřili, zda jsou v jejich dodavatelských řetězcích dodržována lidská práva;</w:t>
            </w:r>
            <w:r>
              <w:t xml:space="preserve"> </w:t>
            </w:r>
            <w:r>
              <w:rPr>
                <w:b/>
                <w:i/>
              </w:rPr>
              <w:t>vyzývá EIF a národní rozvojové banky, aby zvýšily finanční podporu začínajícím a rychle se rozvíjejícím podnikům, a to poskytováním úvěrových záruk a snižováním rizika rozšiřování výroby prostřednictvím výrobních záruk;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448</w:t>
      </w:r>
      <w:r>
        <w:rPr>
          <w:rStyle w:val="HideTWBExt"/>
        </w:rPr>
        <w:t>&lt;/NumAm&gt;</w:t>
      </w:r>
    </w:p>
    <w:p>
      <w:pPr>
        <w:pStyle w:val="NormalBold"/>
      </w:pPr>
      <w:r>
        <w:rPr>
          <w:rStyle w:val="HideTWBExt"/>
          <w:b w:val="0"/>
        </w:rPr>
        <w:t>&lt;RepeatBlock-By&gt;</w:t>
      </w:r>
      <w:r>
        <w:rPr>
          <w:rStyle w:val="HideTWBExt"/>
          <w:b w:val="0"/>
        </w:rPr>
        <w:t>&lt;Members&gt;</w:t>
      </w:r>
      <w:r>
        <w:t>Lídia Pereira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vyzývá Radu, aby hospodářským subjektům poskytla právní jistotu, jistotu a předvídatelnost tím, že uvolní právní nástroje, které mohou pomoci zlepšit podnikatelské prostředí v Evropě, zejména v oblasti daňové politiky (např. HOT, FASTER nebo SAFE);</w:t>
            </w:r>
            <w:r>
              <w:t xml:space="preserve"> </w:t>
            </w:r>
            <w:r>
              <w:rPr>
                <w:b/>
                <w:i/>
              </w:rPr>
              <w:t>vyzývá Komisi, aby posoudila několik legislativních iniciativ, které mohou vytvářet zbytečnou zátěž pro podniky, zejména malé a střední podniky, aby tyto návrhy stáhly;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449</w:t>
      </w:r>
      <w:r>
        <w:rPr>
          <w:rStyle w:val="HideTWBExt"/>
        </w:rPr>
        <w:t>&lt;/NumAm&gt;</w:t>
      </w:r>
    </w:p>
    <w:p>
      <w:pPr>
        <w:pStyle w:val="NormalBold"/>
      </w:pPr>
      <w:r>
        <w:rPr>
          <w:rStyle w:val="HideTWBExt"/>
          <w:b w:val="0"/>
        </w:rPr>
        <w:t>&lt;RepeatBlock-By&gt;</w:t>
      </w:r>
      <w:r>
        <w:rPr>
          <w:rStyle w:val="HideTWBExt"/>
          <w:b w:val="0"/>
        </w:rPr>
        <w:t>&lt;Members&gt;</w:t>
      </w:r>
      <w:r>
        <w:t>Pascal Canfin, Stéphanie Yon-Courtin, Billy Kelleher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vyzývá Komisi, aby při přezkumu pravidel pro zadávání veřejných zakázek zvážila strategickou úlohu zadávání veřejných zakázek pro finanční rozvoj evropských začínajících podniků a malých a středních podniků a aby lépe zohledňovala kritéria související s inovacemi, udržitelností a svrchovaností;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450</w:t>
      </w:r>
      <w:r>
        <w:rPr>
          <w:rStyle w:val="HideTWBExt"/>
        </w:rPr>
        <w:t>&lt;/NumAm&gt;</w:t>
      </w:r>
    </w:p>
    <w:p>
      <w:pPr>
        <w:pStyle w:val="NormalBold"/>
      </w:pPr>
      <w:r>
        <w:rPr>
          <w:rStyle w:val="HideTWBExt"/>
          <w:b w:val="0"/>
        </w:rPr>
        <w:t>&lt;RepeatBlock-By&gt;</w:t>
      </w:r>
      <w:r>
        <w:rPr>
          <w:rStyle w:val="HideTWBExt"/>
          <w:b w:val="0"/>
        </w:rPr>
        <w:t>&lt;Members&gt;</w:t>
      </w:r>
      <w:r>
        <w:t>Danuše Nerudová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24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24a.</w:t>
            </w:r>
            <w:r>
              <w:tab/>
            </w:r>
            <w:r>
              <w:rPr>
                <w:b/>
                <w:i/>
              </w:rPr>
              <w:t>vyzývá Komisi, aby zlepšila nástroje pro monitorování přístupu malých a středních podniků k financování, včetně vypracování celounijních ukazatelů a přehledů pro sledování nedostatků ve financování a hodnocení dopadu finančních nástrojů;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451</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pověřuje svou předsedkyni, aby předala toto usnesení Radě a Komisi.</w:t>
            </w:r>
          </w:p>
        </w:tc>
        <w:tc>
          <w:tcPr>
            <w:tcW w:w="4876" w:type="dxa"/>
            <w:tcBorders>
              <w:top w:val="nil"/>
              <w:left w:val="nil"/>
              <w:bottom w:val="nil"/>
              <w:right w:val="nil"/>
            </w:tcBorders>
          </w:tcPr>
          <w:p>
            <w:pPr>
              <w:pStyle w:val="Normal6a"/>
            </w:pPr>
            <w:r>
              <w:rPr>
                <w:b/>
                <w:i/>
              </w:rPr>
              <w:t>vypouští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452</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a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připomíná, že Evropská rada pro inovace (ERI) je nový a jedinečný evropský program financování, jehož cílem je poskytnout startupům z oblasti deep tech jednotné místo pro otázky financování, aby mohly rozvinout své inovace od prvotního nápadu až po produkt, který lze uvést na trh, a také společnost rozšiřovat;</w:t>
            </w:r>
            <w:r>
              <w:t xml:space="preserve"> </w:t>
            </w:r>
            <w:r>
              <w:rPr>
                <w:b/>
                <w:i/>
              </w:rPr>
              <w:t>vítá navýšení rozpočtových prostředků ERI, jakož i rozšíření rozsahu jejích kapitálových aktivit v rámci návrhu Platformy strategických technologií pro Evropu;</w:t>
            </w:r>
            <w:r>
              <w:t xml:space="preserve"> </w:t>
            </w:r>
            <w:r>
              <w:rPr>
                <w:b/>
                <w:i/>
              </w:rPr>
              <w:t>vybízí Komisi, aby část navrhované platformy pro strategické technologie pro Evropu vyčlenila zvlášť pro malé a střední podniky;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453</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b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vyzývá rovněž Komisi, aby usnadňovala účast začínajících a rychle se rozvíjejících podniků v programech financování EU;</w:t>
            </w:r>
            <w:r>
              <w:t xml:space="preserve"> </w:t>
            </w:r>
            <w:r>
              <w:rPr>
                <w:b/>
                <w:i/>
              </w:rPr>
              <w:t>vyzývá Komisi, aby zajistila, že Fond pro konkurenceschopnost bude spravedlivým způsobem podporovat vznik nových podniků;</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454</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c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25c.</w:t>
            </w:r>
            <w:r>
              <w:tab/>
            </w:r>
            <w:r>
              <w:rPr>
                <w:b/>
                <w:i/>
              </w:rPr>
              <w:t>naléhavě vyzývá Komisi, aby posílila mechanismy financování začínajících a rychle se rozvíjejících podniků, včetně zadávání veřejných zakázek a poskytování grantů, půjček a záruk, a přitom dbala na to, aby nebylo vytěsňováno soukromé financování;</w:t>
            </w:r>
            <w:r>
              <w:t xml:space="preserve"> </w:t>
            </w:r>
            <w:r>
              <w:rPr>
                <w:b/>
                <w:i/>
              </w:rPr>
              <w:t>vyzývá Komisi, aby jednala jako prvotní zákazník a přidělila část svých vlastních veřejných zakázek evropským rozvíjejícím se podnikům;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455</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d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25d.</w:t>
            </w:r>
            <w:r>
              <w:tab/>
            </w:r>
            <w:r>
              <w:rPr>
                <w:b/>
                <w:i/>
              </w:rPr>
              <w:t>se znepokojením bere na vědomí návrhy předložené na podporu sekuritizace zmírněním regulačních požadavků na náležitou péči, kapitál a likviditu, což povede k dalšímu odchýlení se od rámce Basel III;</w:t>
            </w:r>
            <w:r>
              <w:t xml:space="preserve"> </w:t>
            </w:r>
            <w:r>
              <w:rPr>
                <w:b/>
                <w:i/>
              </w:rPr>
              <w:t>varuje, že by to ohrozilo finanční stabilitu a zvýšilo systémová rizika bez jakékoli přidané hodnoty pro reálnou ekonomiku;</w:t>
            </w:r>
            <w:r>
              <w:t xml:space="preserve"> </w:t>
            </w:r>
            <w:r>
              <w:rPr>
                <w:b/>
                <w:i/>
              </w:rPr>
              <w:t>připomíná, že zpráva Společného výboru evropských orgánů dohledu z roku 2022 dospěla k závěru, že „rekalibrace sekuritizačního rámce pro banky by nebyla řešením, které by zajistilo oživení sekuritizačního trhu“;</w:t>
            </w:r>
            <w:r>
              <w:t xml:space="preserve"> </w:t>
            </w:r>
            <w:r>
              <w:rPr>
                <w:b/>
                <w:i/>
              </w:rPr>
              <w:t>zdůrazňuje, že kritérium homogenity má zásadní význam pro to, aby byla sekuritizace považována za jednoduchou, transparentní a standardizovanou (STS);</w:t>
            </w:r>
            <w:r>
              <w:t xml:space="preserve"> </w:t>
            </w:r>
            <w:r>
              <w:rPr>
                <w:b/>
                <w:i/>
              </w:rPr>
              <w:t>připomíná, že velkou část sekuritizace tvoří cenné papíry zajištěné hypotékami;</w:t>
            </w:r>
            <w:r>
              <w:t xml:space="preserve"> </w:t>
            </w:r>
            <w:r>
              <w:rPr>
                <w:b/>
                <w:i/>
              </w:rPr>
              <w:t>má proto pochyby o tom, že by podpora rozvoje sekuritizačního trhu vedla ke zvýšení úvěrů malým a středním podnikům;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456</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e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25e.</w:t>
            </w:r>
            <w:r>
              <w:tab/>
            </w:r>
            <w:r>
              <w:rPr>
                <w:b/>
                <w:i/>
              </w:rPr>
              <w:t>naléhavě vyzývá Komisi, aby urychleně navrhla harmonizovaný právní rámec pro přeshraniční obchodní operace, včetně digitálního zakládání společností a insolvenčního, pracovního a daňového práva, s cílem usnadnit zakládání, provozování, přeshraniční nábor a rychlejší rozvoj napříč hranicemi EU;</w:t>
            </w:r>
            <w:r>
              <w:t xml:space="preserve"> </w:t>
            </w:r>
            <w:r>
              <w:rPr>
                <w:b/>
                <w:i/>
              </w:rPr>
              <w:t>připomíná Komisi, že má-li být takový rámec úspěšný, je třeba vyvinout koordinované a ambiciózní úsilí za účasti všech zúčastněných stran, zejména začínajících a rychle se rozvíjejících podniků a členských států, s cílem zvýšit povědomí o tomto „28. režimu“ a jeho popularitu;</w:t>
            </w:r>
            <w:r>
              <w:t xml:space="preserve"> </w:t>
            </w:r>
            <w:r>
              <w:rPr>
                <w:b/>
                <w:i/>
              </w:rPr>
              <w:t>vyzývá k jeho urychlenému provedení s cílem poskytnout atraktivní, dobře fungující a přijatou alternativu k současnému roztříštěnému regulačnímu prostředí;</w:t>
            </w:r>
            <w:r>
              <w:t xml:space="preserve"> </w:t>
            </w:r>
            <w:r>
              <w:rPr>
                <w:b/>
                <w:i/>
              </w:rPr>
              <w:t>doporučuje, aby 28. režim standardně upřednostňoval digitální řešení, podávání zpráv „pouze jednou“ a regulační pískoviště pro inovace a aby zahrnoval zvláštní ustanovení pro malé a střední podniky, rychle se rozvíjející podniky a malé společnosti se střední tržní kapitalizací;</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457</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f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25f.</w:t>
            </w:r>
            <w:r>
              <w:tab/>
            </w:r>
            <w:r>
              <w:rPr>
                <w:b/>
                <w:i/>
              </w:rPr>
              <w:t>zdůrazňuje, že pro pomoc j rozvoji podniků má zásadní význam více integrovaný inovační ekosystém se sítěmi univerzit, začínajících podniků, velkých podniků a investorů rizikového kapitálu, který se opírá o přístup k testovacím zařízením a technologické infrastruktuře;</w:t>
            </w:r>
            <w:r>
              <w:t xml:space="preserve"> </w:t>
            </w:r>
            <w:r>
              <w:rPr>
                <w:b/>
                <w:i/>
              </w:rPr>
              <w:t>vyzývá k harmonizaci zdanění zaměstnaneckých akciových opcí a k vytvoření evropského víza pro začínající podniky s cílem přilákat a udržet inovátory a odborníky ze zemí mimo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458</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g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25g.</w:t>
            </w:r>
            <w:r>
              <w:tab/>
            </w:r>
            <w:r>
              <w:rPr>
                <w:b/>
                <w:i/>
              </w:rPr>
              <w:t>domnívá se, že pro inovativní společnosti by mohlo být výhodné, kdyby existoval jednotný soubor celounijních pravidel, zejména v oblasti zdanění;</w:t>
            </w:r>
            <w:r>
              <w:t xml:space="preserve"> </w:t>
            </w:r>
            <w:r>
              <w:rPr>
                <w:b/>
                <w:i/>
              </w:rPr>
              <w:t>připomíná, že malé a střední podniky čelí značným fiskálním výzvám v důsledku složitých daňových předpisů a roztříštěných daňových systémů, které způsobují vysokou administrativní zátěž a náklady na dodržování předpisů a brání jejich růstu a inovacím;</w:t>
            </w:r>
            <w:r>
              <w:t xml:space="preserve"> </w:t>
            </w:r>
            <w:r>
              <w:rPr>
                <w:b/>
                <w:i/>
              </w:rPr>
              <w:t>naléhavě vyzývá Komisi, aby zkoumala řešení, která zjednoduší daňové postupy a sníží náklady na dodržování předpisů, a zároveň posoudila, proč se návrh směrnice, kterou se zavádí daňový systém sídla pro malé a střední podniky, nesetkal v Radě s velkým nadšením;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Pozměňovací návrh</w:t>
      </w:r>
      <w:r>
        <w:tab/>
      </w:r>
      <w:r>
        <w:tab/>
      </w:r>
      <w:r>
        <w:rPr>
          <w:rStyle w:val="HideTWBExt"/>
        </w:rPr>
        <w:t>&lt;NumAm&gt;</w:t>
      </w:r>
      <w:r>
        <w:t>459</w:t>
      </w:r>
      <w:r>
        <w:rPr>
          <w:rStyle w:val="HideTWBExt"/>
        </w:rPr>
        <w:t>&lt;/NumAm&gt;</w:t>
      </w:r>
    </w:p>
    <w:p>
      <w:pPr>
        <w:pStyle w:val="NormalBold"/>
      </w:pPr>
      <w:r>
        <w:rPr>
          <w:rStyle w:val="HideTWBExt"/>
          <w:b w:val="0"/>
        </w:rPr>
        <w:t>&lt;RepeatBlock-By&gt;</w:t>
      </w:r>
      <w:r>
        <w:rPr>
          <w:rStyle w:val="HideTWBExt"/>
          <w:b w:val="0"/>
        </w:rPr>
        <w:t>&lt;Members&gt;</w:t>
      </w:r>
      <w:r>
        <w:t>Damian Boeselager</w:t>
      </w:r>
      <w:r>
        <w:rPr>
          <w:rStyle w:val="HideTWBExt"/>
          <w:b w:val="0"/>
        </w:rPr>
        <w:t>&lt;/Members&gt;</w:t>
      </w:r>
    </w:p>
    <w:p>
      <w:r>
        <w:rPr>
          <w:rStyle w:val="HideTWBExt"/>
          <w:b w:val="0"/>
        </w:rPr>
        <w:t>&lt;AuNomDe&gt;</w:t>
      </w:r>
      <w:r>
        <w:rPr>
          <w:rStyle w:val="HideTWBInt"/>
        </w:rPr>
        <w:t>{Verts/ALE}</w:t>
      </w:r>
      <w:r>
        <w:t>za skupinu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Návrh usnesení</w:t>
      </w:r>
      <w:r>
        <w:rPr>
          <w:rStyle w:val="HideTWBExt"/>
        </w:rPr>
        <w:t>&lt;/DocAmend&gt;</w:t>
      </w:r>
    </w:p>
    <w:p>
      <w:pPr>
        <w:pStyle w:val="NormalBold"/>
      </w:pPr>
      <w:r>
        <w:rPr>
          <w:rStyle w:val="HideTWBExt"/>
        </w:rPr>
        <w:t>&lt;Article&gt;</w:t>
      </w:r>
      <w:r>
        <w:t>Bod 25 h (nový)</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Návrh usnesení</w:t>
            </w:r>
          </w:p>
        </w:tc>
        <w:tc>
          <w:tcPr>
            <w:tcW w:w="4876" w:type="dxa"/>
            <w:tcBorders>
              <w:top w:val="nil"/>
              <w:left w:val="nil"/>
              <w:bottom w:val="nil"/>
              <w:right w:val="nil"/>
            </w:tcBorders>
          </w:tcPr>
          <w:p>
            <w:pPr>
              <w:pStyle w:val="AmColumnHeading"/>
            </w:pPr>
            <w:r>
              <w:t>Pozměňovací návrh</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25h.</w:t>
            </w:r>
            <w:r>
              <w:tab/>
            </w:r>
            <w:r>
              <w:rPr>
                <w:b/>
                <w:i/>
              </w:rPr>
              <w:t>pověřuje svou předsedkyni, aby předala toto usnesení Radě a Komisi.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774.474</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210</w:t>
    </w:r>
    <w:r>
      <w:fldChar w:fldCharType="end"/>
    </w:r>
    <w:r>
      <w:t>/</w:t>
    </w:r>
    <w:r>
      <w:fldChar w:fldCharType="begin"/>
    </w:r>
    <w:r>
      <w:instrText xml:space="preserve"> NUMPAGES </w:instrText>
    </w:r>
    <w:r>
      <w:fldChar w:fldCharType="separate"/>
    </w:r>
    <w:r>
      <w:t>211</w:t>
    </w:r>
    <w:r>
      <w:fldChar w:fldCharType="end"/>
    </w:r>
    <w:r>
      <w:tab/>
    </w:r>
    <w:r>
      <w:rPr>
        <w:rStyle w:val="HideTWBExt"/>
      </w:rPr>
      <w:t>&lt;PathFdR&gt;</w:t>
    </w:r>
    <w:r>
      <w:t>AM\1323021CS.docx</w:t>
    </w:r>
    <w:r>
      <w:rPr>
        <w:rStyle w:val="HideTWBExt"/>
      </w:rPr>
      <w:t>&lt;/PathFdR&gt;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AM\1323021CS.docx</w:t>
    </w:r>
    <w:r>
      <w:rPr>
        <w:rStyle w:val="HideTWBExt"/>
      </w:rPr>
      <w:t>&lt;/PathFdR&gt;</w:t>
    </w:r>
    <w:r>
      <w:tab/>
    </w:r>
    <w:r>
      <w:fldChar w:fldCharType="begin"/>
    </w:r>
    <w:r>
      <w:instrText xml:space="preserve"> PAGE </w:instrText>
    </w:r>
    <w:r>
      <w:fldChar w:fldCharType="separate"/>
    </w:r>
    <w:r>
      <w:t>211</w:t>
    </w:r>
    <w:r>
      <w:fldChar w:fldCharType="end"/>
    </w:r>
    <w:r>
      <w:t>/</w:t>
    </w:r>
    <w:r>
      <w:fldChar w:fldCharType="begin"/>
    </w:r>
    <w:r>
      <w:instrText xml:space="preserve"> NUMPAGES </w:instrText>
    </w:r>
    <w:r>
      <w:fldChar w:fldCharType="separate"/>
    </w:r>
    <w:r>
      <w:t>211</w:t>
    </w:r>
    <w:r>
      <w:fldChar w:fldCharType="end"/>
    </w:r>
    <w:r>
      <w:tab/>
    </w:r>
    <w:r>
      <w:t>PE</w:t>
    </w:r>
    <w:r>
      <w:rPr>
        <w:rStyle w:val="HideTWBExt"/>
      </w:rPr>
      <w:t>&lt;NoPE&gt;</w:t>
    </w:r>
    <w:r>
      <w:t>774.474</w:t>
    </w:r>
    <w:r>
      <w:rPr>
        <w:rStyle w:val="HideTWBExt"/>
      </w:rPr>
      <w:t>&lt;/NoPE&gt;</w:t>
    </w:r>
    <w:r>
      <w:rPr>
        <w:rStyle w:val="HideTWBExt"/>
      </w:rPr>
      <w:t>&lt;Version&gt;</w:t>
    </w:r>
    <w:r>
      <w:t>v01-00</w:t>
    </w:r>
    <w:r>
      <w:rPr>
        <w:rStyle w:val="HideTWBExt"/>
      </w:rPr>
      <w:t>&lt;/Version&gt;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AM\1323021CS.docx</w:t>
    </w:r>
    <w:r>
      <w:rPr>
        <w:rStyle w:val="HideTWBExt"/>
      </w:rPr>
      <w:t>&lt;/PathFdR&gt;</w:t>
    </w:r>
    <w:r>
      <w:tab/>
    </w:r>
    <w:r>
      <w:tab/>
    </w:r>
    <w:r>
      <w:t>PE</w:t>
    </w:r>
    <w:r>
      <w:rPr>
        <w:rStyle w:val="HideTWBExt"/>
      </w:rPr>
      <w:t>&lt;NoPE&gt;</w:t>
    </w:r>
    <w:r>
      <w:t>774.474</w:t>
    </w:r>
    <w:r>
      <w:rPr>
        <w:rStyle w:val="HideTWBExt"/>
      </w:rPr>
      <w:t>&lt;/NoPE&gt;</w:t>
    </w:r>
    <w:r>
      <w:rPr>
        <w:rStyle w:val="HideTWBExt"/>
      </w:rPr>
      <w:t>&lt;Version&gt;</w:t>
    </w:r>
    <w:r>
      <w:t>v01-00</w:t>
    </w:r>
    <w:r>
      <w:rPr>
        <w:rStyle w:val="HideTWBExt"/>
      </w:rPr>
      <w:t>&lt;/Version&gt;</w:t>
    </w:r>
  </w:p>
  <w:p>
    <w:pPr>
      <w:pStyle w:val="EPFooter2"/>
    </w:pPr>
    <w:r>
      <w:t>CS</w:t>
    </w:r>
    <w:r>
      <w:tab/>
    </w:r>
    <w:r>
      <w:rPr>
        <w:rStyle w:val="EPFooter2Motto"/>
      </w:rPr>
      <w:t>Jednotná v rozmanitosti</w:t>
    </w:r>
    <w:r>
      <w:tab/>
    </w:r>
    <w:r>
      <w:t>CS</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Bold">
    <w:name w:val="NormalBold"/>
    <w:basedOn w:val="Normal"/>
    <w:pPr>
      <w:widowControl w:val="0"/>
    </w:pPr>
    <w:rPr>
      <w:b/>
    </w:r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211</Pages>
  <Words>34733</Words>
  <Characters>208853</Characters>
  <Application>Microsoft Office Word</Application>
  <DocSecurity>0</DocSecurity>
  <Lines>1</Lines>
  <Paragraphs>4084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1323021</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205481</vt:lpwstr>
  </property>
  <property fmtid="{D5CDD505-2E9C-101B-9397-08002B2CF9AE}" pid="7" name="dmxml.render.traceId">
    <vt:lpwstr>6863db666672d41bbad299c4c94f732e</vt:lpwstr>
  </property>
  <property fmtid="{D5CDD505-2E9C-101B-9397-08002B2CF9AE}" pid="8" name="FooterPath">
    <vt:lpwstr>AM\1323021CS.docx</vt:lpwstr>
  </property>
  <property fmtid="{D5CDD505-2E9C-101B-9397-08002B2CF9AE}" pid="9" name="PE Number">
    <vt:lpwstr>774.474</vt:lpwstr>
  </property>
  <property fmtid="{D5CDD505-2E9C-101B-9397-08002B2CF9AE}" pid="10" name="UID">
    <vt:lpwstr>eu.europa.europarl-DIN1-2025-0000121646_01.00-cs-01.00_text-xml</vt:lpwstr>
  </property>
</Properties>
</file>